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4E51F">
      <w:pPr>
        <w:rPr>
          <w:rFonts w:ascii="宋体" w:hAnsi="宋体"/>
          <w:b/>
          <w:color w:val="auto"/>
          <w:sz w:val="44"/>
          <w:szCs w:val="44"/>
          <w:highlight w:val="none"/>
        </w:rPr>
      </w:pPr>
      <w:bookmarkStart w:id="0" w:name="_Toc287620665"/>
    </w:p>
    <w:p w14:paraId="0D8C15A8">
      <w:pPr>
        <w:spacing w:line="360" w:lineRule="auto"/>
        <w:jc w:val="center"/>
        <w:rPr>
          <w:rFonts w:hint="eastAsia" w:ascii="宋体" w:hAnsi="宋体"/>
          <w:color w:val="auto"/>
          <w:kern w:val="0"/>
          <w:sz w:val="32"/>
          <w:szCs w:val="32"/>
          <w:highlight w:val="none"/>
          <w:u w:val="single"/>
          <w:lang w:eastAsia="zh-CN"/>
        </w:rPr>
      </w:pPr>
      <w:r>
        <w:rPr>
          <w:rFonts w:hint="eastAsia" w:ascii="宋体" w:hAnsi="宋体"/>
          <w:color w:val="auto"/>
          <w:kern w:val="0"/>
          <w:sz w:val="32"/>
          <w:szCs w:val="32"/>
          <w:highlight w:val="none"/>
          <w:u w:val="single"/>
          <w:lang w:eastAsia="zh-CN"/>
        </w:rPr>
        <w:t>重庆市南岸区二贸片区老旧小区综合改造工程</w:t>
      </w:r>
    </w:p>
    <w:p w14:paraId="5AE12314">
      <w:pPr>
        <w:spacing w:line="360" w:lineRule="auto"/>
        <w:jc w:val="center"/>
        <w:rPr>
          <w:rFonts w:hint="eastAsia" w:ascii="宋体" w:hAnsi="宋体"/>
          <w:color w:val="auto"/>
          <w:kern w:val="0"/>
          <w:sz w:val="32"/>
          <w:szCs w:val="32"/>
          <w:highlight w:val="none"/>
          <w:u w:val="single"/>
          <w:lang w:val="en-US" w:eastAsia="zh-CN"/>
        </w:rPr>
      </w:pPr>
      <w:r>
        <w:rPr>
          <w:rFonts w:hint="eastAsia" w:ascii="宋体" w:hAnsi="宋体"/>
          <w:color w:val="auto"/>
          <w:kern w:val="0"/>
          <w:sz w:val="32"/>
          <w:szCs w:val="32"/>
          <w:highlight w:val="none"/>
          <w:u w:val="single"/>
          <w:lang w:eastAsia="zh-CN"/>
        </w:rPr>
        <w:t>（一期工程）设计</w:t>
      </w:r>
    </w:p>
    <w:p w14:paraId="5137873D">
      <w:pPr>
        <w:spacing w:line="360" w:lineRule="auto"/>
        <w:jc w:val="center"/>
        <w:rPr>
          <w:rFonts w:hint="eastAsia" w:ascii="宋体" w:hAnsi="宋体" w:eastAsia="宋体"/>
          <w:color w:val="auto"/>
          <w:kern w:val="0"/>
          <w:sz w:val="32"/>
          <w:szCs w:val="32"/>
          <w:highlight w:val="none"/>
          <w:u w:val="single"/>
          <w:lang w:eastAsia="zh-CN"/>
        </w:rPr>
      </w:pPr>
    </w:p>
    <w:p w14:paraId="51EB96A4">
      <w:pPr>
        <w:autoSpaceDE w:val="0"/>
        <w:autoSpaceDN w:val="0"/>
        <w:adjustRightInd w:val="0"/>
        <w:snapToGrid w:val="0"/>
        <w:spacing w:line="360" w:lineRule="auto"/>
        <w:jc w:val="left"/>
        <w:rPr>
          <w:rFonts w:ascii="宋体" w:hAnsi="宋体"/>
          <w:color w:val="auto"/>
          <w:kern w:val="0"/>
          <w:sz w:val="20"/>
          <w:szCs w:val="20"/>
          <w:highlight w:val="none"/>
        </w:rPr>
      </w:pPr>
    </w:p>
    <w:p w14:paraId="76C4457C">
      <w:pPr>
        <w:autoSpaceDE w:val="0"/>
        <w:autoSpaceDN w:val="0"/>
        <w:adjustRightInd w:val="0"/>
        <w:snapToGrid w:val="0"/>
        <w:spacing w:line="360" w:lineRule="auto"/>
        <w:jc w:val="left"/>
        <w:rPr>
          <w:rFonts w:ascii="宋体" w:hAnsi="宋体"/>
          <w:color w:val="auto"/>
          <w:kern w:val="0"/>
          <w:sz w:val="20"/>
          <w:szCs w:val="20"/>
          <w:highlight w:val="none"/>
        </w:rPr>
      </w:pPr>
    </w:p>
    <w:p w14:paraId="0FF6A749">
      <w:pPr>
        <w:autoSpaceDE w:val="0"/>
        <w:autoSpaceDN w:val="0"/>
        <w:adjustRightInd w:val="0"/>
        <w:snapToGrid w:val="0"/>
        <w:spacing w:line="360" w:lineRule="auto"/>
        <w:jc w:val="left"/>
        <w:rPr>
          <w:rFonts w:ascii="宋体" w:hAnsi="宋体"/>
          <w:color w:val="auto"/>
          <w:kern w:val="0"/>
          <w:sz w:val="20"/>
          <w:szCs w:val="20"/>
          <w:highlight w:val="none"/>
        </w:rPr>
      </w:pPr>
    </w:p>
    <w:p w14:paraId="0A1486F6">
      <w:pPr>
        <w:autoSpaceDE w:val="0"/>
        <w:autoSpaceDN w:val="0"/>
        <w:adjustRightInd w:val="0"/>
        <w:snapToGrid w:val="0"/>
        <w:spacing w:line="360" w:lineRule="auto"/>
        <w:jc w:val="left"/>
        <w:rPr>
          <w:rFonts w:ascii="宋体" w:hAnsi="宋体"/>
          <w:color w:val="auto"/>
          <w:kern w:val="0"/>
          <w:sz w:val="20"/>
          <w:szCs w:val="20"/>
          <w:highlight w:val="none"/>
        </w:rPr>
      </w:pPr>
    </w:p>
    <w:p w14:paraId="041C2D22">
      <w:pPr>
        <w:pStyle w:val="4"/>
        <w:rPr>
          <w:rFonts w:ascii="宋体" w:hAnsi="宋体"/>
          <w:color w:val="auto"/>
          <w:kern w:val="0"/>
          <w:sz w:val="20"/>
          <w:szCs w:val="20"/>
          <w:highlight w:val="none"/>
        </w:rPr>
      </w:pPr>
    </w:p>
    <w:p w14:paraId="410D40C4">
      <w:pPr>
        <w:rPr>
          <w:color w:val="auto"/>
          <w:highlight w:val="none"/>
        </w:rPr>
      </w:pPr>
    </w:p>
    <w:p w14:paraId="58EA86A1">
      <w:pPr>
        <w:autoSpaceDE w:val="0"/>
        <w:autoSpaceDN w:val="0"/>
        <w:adjustRightInd w:val="0"/>
        <w:snapToGrid w:val="0"/>
        <w:spacing w:line="360" w:lineRule="auto"/>
        <w:jc w:val="left"/>
        <w:rPr>
          <w:rFonts w:ascii="宋体" w:hAnsi="宋体"/>
          <w:color w:val="auto"/>
          <w:kern w:val="0"/>
          <w:sz w:val="20"/>
          <w:szCs w:val="20"/>
          <w:highlight w:val="none"/>
        </w:rPr>
      </w:pPr>
    </w:p>
    <w:p w14:paraId="0C71DE08">
      <w:pPr>
        <w:autoSpaceDE w:val="0"/>
        <w:autoSpaceDN w:val="0"/>
        <w:adjustRightInd w:val="0"/>
        <w:snapToGrid w:val="0"/>
        <w:spacing w:line="360" w:lineRule="auto"/>
        <w:jc w:val="left"/>
        <w:rPr>
          <w:rFonts w:ascii="宋体" w:hAnsi="宋体"/>
          <w:color w:val="auto"/>
          <w:kern w:val="0"/>
          <w:sz w:val="20"/>
          <w:szCs w:val="20"/>
          <w:highlight w:val="none"/>
        </w:rPr>
      </w:pPr>
    </w:p>
    <w:p w14:paraId="077D8CCF">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竞争性比选</w:t>
      </w:r>
      <w:r>
        <w:rPr>
          <w:rFonts w:ascii="宋体" w:hAnsi="宋体"/>
          <w:color w:val="auto"/>
          <w:kern w:val="0"/>
          <w:sz w:val="72"/>
          <w:szCs w:val="72"/>
          <w:highlight w:val="none"/>
        </w:rPr>
        <w:t>文件</w:t>
      </w:r>
    </w:p>
    <w:p w14:paraId="1F05315E">
      <w:pPr>
        <w:autoSpaceDE w:val="0"/>
        <w:autoSpaceDN w:val="0"/>
        <w:adjustRightInd w:val="0"/>
        <w:snapToGrid w:val="0"/>
        <w:spacing w:line="360" w:lineRule="auto"/>
        <w:jc w:val="left"/>
        <w:rPr>
          <w:rFonts w:ascii="宋体" w:hAnsi="宋体"/>
          <w:color w:val="auto"/>
          <w:kern w:val="0"/>
          <w:sz w:val="10"/>
          <w:szCs w:val="10"/>
          <w:highlight w:val="none"/>
        </w:rPr>
      </w:pPr>
    </w:p>
    <w:p w14:paraId="5033D671">
      <w:pPr>
        <w:autoSpaceDE w:val="0"/>
        <w:autoSpaceDN w:val="0"/>
        <w:adjustRightInd w:val="0"/>
        <w:snapToGrid w:val="0"/>
        <w:spacing w:line="360" w:lineRule="auto"/>
        <w:jc w:val="left"/>
        <w:rPr>
          <w:rFonts w:ascii="宋体" w:hAnsi="宋体"/>
          <w:color w:val="auto"/>
          <w:kern w:val="0"/>
          <w:sz w:val="20"/>
          <w:szCs w:val="20"/>
          <w:highlight w:val="none"/>
        </w:rPr>
      </w:pPr>
    </w:p>
    <w:p w14:paraId="0C9B66F3">
      <w:pPr>
        <w:autoSpaceDE w:val="0"/>
        <w:autoSpaceDN w:val="0"/>
        <w:adjustRightInd w:val="0"/>
        <w:snapToGrid w:val="0"/>
        <w:spacing w:line="360" w:lineRule="auto"/>
        <w:jc w:val="left"/>
        <w:rPr>
          <w:rFonts w:ascii="宋体" w:hAnsi="宋体"/>
          <w:color w:val="auto"/>
          <w:kern w:val="0"/>
          <w:sz w:val="20"/>
          <w:szCs w:val="20"/>
          <w:highlight w:val="none"/>
        </w:rPr>
      </w:pPr>
    </w:p>
    <w:p w14:paraId="7BBDE328">
      <w:pPr>
        <w:autoSpaceDE w:val="0"/>
        <w:autoSpaceDN w:val="0"/>
        <w:adjustRightInd w:val="0"/>
        <w:snapToGrid w:val="0"/>
        <w:spacing w:line="360" w:lineRule="auto"/>
        <w:jc w:val="left"/>
        <w:rPr>
          <w:rFonts w:ascii="宋体" w:hAnsi="宋体"/>
          <w:color w:val="auto"/>
          <w:kern w:val="0"/>
          <w:sz w:val="20"/>
          <w:szCs w:val="20"/>
          <w:highlight w:val="none"/>
        </w:rPr>
      </w:pPr>
    </w:p>
    <w:p w14:paraId="503A086F">
      <w:pPr>
        <w:autoSpaceDE w:val="0"/>
        <w:autoSpaceDN w:val="0"/>
        <w:adjustRightInd w:val="0"/>
        <w:snapToGrid w:val="0"/>
        <w:spacing w:line="360" w:lineRule="auto"/>
        <w:jc w:val="left"/>
        <w:rPr>
          <w:rFonts w:ascii="宋体" w:hAnsi="宋体"/>
          <w:color w:val="auto"/>
          <w:kern w:val="0"/>
          <w:sz w:val="20"/>
          <w:szCs w:val="20"/>
          <w:highlight w:val="none"/>
        </w:rPr>
      </w:pPr>
    </w:p>
    <w:p w14:paraId="794E8B1D">
      <w:pPr>
        <w:autoSpaceDE w:val="0"/>
        <w:autoSpaceDN w:val="0"/>
        <w:adjustRightInd w:val="0"/>
        <w:snapToGrid w:val="0"/>
        <w:spacing w:line="360" w:lineRule="auto"/>
        <w:jc w:val="left"/>
        <w:rPr>
          <w:rFonts w:ascii="宋体" w:hAnsi="宋体"/>
          <w:color w:val="auto"/>
          <w:kern w:val="0"/>
          <w:sz w:val="20"/>
          <w:szCs w:val="20"/>
          <w:highlight w:val="none"/>
        </w:rPr>
      </w:pPr>
    </w:p>
    <w:p w14:paraId="611E7DF4">
      <w:pPr>
        <w:autoSpaceDE w:val="0"/>
        <w:autoSpaceDN w:val="0"/>
        <w:adjustRightInd w:val="0"/>
        <w:snapToGrid w:val="0"/>
        <w:spacing w:line="360" w:lineRule="auto"/>
        <w:rPr>
          <w:rFonts w:ascii="宋体" w:hAnsi="宋体"/>
          <w:color w:val="auto"/>
          <w:kern w:val="0"/>
          <w:sz w:val="20"/>
          <w:szCs w:val="20"/>
          <w:highlight w:val="none"/>
        </w:rPr>
      </w:pPr>
    </w:p>
    <w:p w14:paraId="1E8FD23A">
      <w:pPr>
        <w:autoSpaceDE w:val="0"/>
        <w:autoSpaceDN w:val="0"/>
        <w:adjustRightInd w:val="0"/>
        <w:snapToGrid w:val="0"/>
        <w:spacing w:line="360" w:lineRule="auto"/>
        <w:jc w:val="left"/>
        <w:rPr>
          <w:rFonts w:ascii="宋体" w:hAnsi="宋体"/>
          <w:color w:val="auto"/>
          <w:kern w:val="0"/>
          <w:sz w:val="20"/>
          <w:szCs w:val="20"/>
          <w:highlight w:val="none"/>
        </w:rPr>
      </w:pPr>
    </w:p>
    <w:p w14:paraId="721D7D79">
      <w:pPr>
        <w:autoSpaceDE w:val="0"/>
        <w:autoSpaceDN w:val="0"/>
        <w:adjustRightInd w:val="0"/>
        <w:snapToGrid w:val="0"/>
        <w:spacing w:line="360" w:lineRule="auto"/>
        <w:rPr>
          <w:rFonts w:ascii="宋体" w:hAnsi="宋体"/>
          <w:color w:val="auto"/>
          <w:kern w:val="0"/>
          <w:sz w:val="20"/>
          <w:szCs w:val="20"/>
          <w:highlight w:val="none"/>
        </w:rPr>
      </w:pPr>
    </w:p>
    <w:p w14:paraId="2800E745">
      <w:pPr>
        <w:autoSpaceDE w:val="0"/>
        <w:autoSpaceDN w:val="0"/>
        <w:adjustRightInd w:val="0"/>
        <w:snapToGrid w:val="0"/>
        <w:spacing w:line="360" w:lineRule="auto"/>
        <w:rPr>
          <w:rFonts w:ascii="宋体" w:hAnsi="宋体"/>
          <w:color w:val="auto"/>
          <w:kern w:val="0"/>
          <w:sz w:val="20"/>
          <w:szCs w:val="20"/>
          <w:highlight w:val="none"/>
        </w:rPr>
      </w:pPr>
    </w:p>
    <w:p w14:paraId="77564D9D">
      <w:pPr>
        <w:autoSpaceDE w:val="0"/>
        <w:autoSpaceDN w:val="0"/>
        <w:adjustRightInd w:val="0"/>
        <w:snapToGrid w:val="0"/>
        <w:spacing w:line="360" w:lineRule="auto"/>
        <w:rPr>
          <w:rFonts w:ascii="宋体" w:hAnsi="宋体"/>
          <w:color w:val="auto"/>
          <w:kern w:val="0"/>
          <w:sz w:val="20"/>
          <w:szCs w:val="20"/>
          <w:highlight w:val="none"/>
        </w:rPr>
      </w:pPr>
    </w:p>
    <w:p w14:paraId="592AC1F8">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w w:val="99"/>
          <w:kern w:val="0"/>
          <w:sz w:val="28"/>
          <w:szCs w:val="28"/>
          <w:highlight w:val="none"/>
        </w:rPr>
        <w:t>比选</w:t>
      </w:r>
      <w:r>
        <w:rPr>
          <w:rFonts w:ascii="宋体" w:hAnsi="宋体"/>
          <w:b/>
          <w:color w:val="auto"/>
          <w:w w:val="99"/>
          <w:kern w:val="0"/>
          <w:sz w:val="28"/>
          <w:szCs w:val="28"/>
          <w:highlight w:val="none"/>
        </w:rPr>
        <w:t>人：</w:t>
      </w:r>
      <w:r>
        <w:rPr>
          <w:rFonts w:hint="eastAsia" w:ascii="宋体" w:hAnsi="宋体"/>
          <w:b/>
          <w:color w:val="auto"/>
          <w:spacing w:val="8"/>
          <w:sz w:val="28"/>
          <w:highlight w:val="none"/>
          <w:u w:val="single"/>
          <w:lang w:eastAsia="zh-CN"/>
        </w:rPr>
        <w:t>重庆市江南城市建设发展(集团)有限公司</w:t>
      </w:r>
      <w:r>
        <w:rPr>
          <w:rFonts w:ascii="宋体" w:hAnsi="宋体"/>
          <w:b/>
          <w:color w:val="auto"/>
          <w:w w:val="99"/>
          <w:kern w:val="0"/>
          <w:sz w:val="28"/>
          <w:szCs w:val="28"/>
          <w:highlight w:val="none"/>
        </w:rPr>
        <w:t>（盖单位法人章）</w:t>
      </w:r>
    </w:p>
    <w:p w14:paraId="255ADBD4">
      <w:pPr>
        <w:pStyle w:val="18"/>
        <w:rPr>
          <w:color w:val="auto"/>
          <w:highlight w:val="none"/>
        </w:rPr>
      </w:pPr>
    </w:p>
    <w:p w14:paraId="40B9C4CC">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rPr>
        <w:t>比选</w:t>
      </w:r>
      <w:r>
        <w:rPr>
          <w:rFonts w:ascii="宋体" w:hAnsi="宋体"/>
          <w:b/>
          <w:color w:val="auto"/>
          <w:spacing w:val="8"/>
          <w:kern w:val="0"/>
          <w:sz w:val="28"/>
          <w:szCs w:val="28"/>
          <w:highlight w:val="none"/>
        </w:rPr>
        <w:t>代理机构：</w:t>
      </w:r>
      <w:r>
        <w:rPr>
          <w:rFonts w:hint="eastAsia"/>
          <w:b/>
          <w:bCs/>
          <w:color w:val="auto"/>
          <w:sz w:val="28"/>
          <w:szCs w:val="28"/>
          <w:highlight w:val="none"/>
          <w:u w:val="single"/>
          <w:lang w:eastAsia="zh-CN"/>
        </w:rPr>
        <w:t>重庆修为工程咨询有限公司</w:t>
      </w:r>
      <w:r>
        <w:rPr>
          <w:rFonts w:ascii="宋体" w:hAnsi="宋体"/>
          <w:b/>
          <w:color w:val="auto"/>
          <w:w w:val="99"/>
          <w:kern w:val="0"/>
          <w:sz w:val="28"/>
          <w:szCs w:val="28"/>
          <w:highlight w:val="none"/>
        </w:rPr>
        <w:t>（盖单位法人章）</w:t>
      </w:r>
    </w:p>
    <w:p w14:paraId="056A9AEE">
      <w:pPr>
        <w:autoSpaceDE w:val="0"/>
        <w:autoSpaceDN w:val="0"/>
        <w:adjustRightInd w:val="0"/>
        <w:snapToGrid w:val="0"/>
        <w:spacing w:line="360" w:lineRule="auto"/>
        <w:rPr>
          <w:rFonts w:ascii="宋体" w:hAnsi="宋体"/>
          <w:b/>
          <w:color w:val="auto"/>
          <w:kern w:val="0"/>
          <w:sz w:val="28"/>
          <w:szCs w:val="28"/>
          <w:highlight w:val="none"/>
        </w:rPr>
      </w:pPr>
    </w:p>
    <w:p w14:paraId="1D671D82">
      <w:pPr>
        <w:autoSpaceDE w:val="0"/>
        <w:autoSpaceDN w:val="0"/>
        <w:adjustRightInd w:val="0"/>
        <w:snapToGrid w:val="0"/>
        <w:spacing w:line="360" w:lineRule="auto"/>
        <w:rPr>
          <w:rFonts w:ascii="宋体" w:hAnsi="宋体"/>
          <w:b/>
          <w:color w:val="auto"/>
          <w:kern w:val="0"/>
          <w:sz w:val="20"/>
          <w:szCs w:val="20"/>
          <w:highlight w:val="none"/>
        </w:rPr>
      </w:pPr>
    </w:p>
    <w:p w14:paraId="38067BC3">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796736"/>
      <w:bookmarkStart w:id="2" w:name="_Toc536797277"/>
      <w:bookmarkStart w:id="3" w:name="_Toc509218549"/>
      <w:bookmarkStart w:id="4" w:name="_Toc13210649"/>
      <w:bookmarkStart w:id="5" w:name="_Toc536621766"/>
      <w:r>
        <w:rPr>
          <w:rFonts w:hint="eastAsia" w:ascii="宋体" w:hAnsi="宋体"/>
          <w:b/>
          <w:color w:val="auto"/>
          <w:spacing w:val="8"/>
          <w:kern w:val="0"/>
          <w:sz w:val="28"/>
          <w:szCs w:val="28"/>
          <w:highlight w:val="none"/>
          <w:u w:val="single"/>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 xml:space="preserve"> 10 </w:t>
      </w:r>
      <w:r>
        <w:rPr>
          <w:rFonts w:ascii="宋体" w:hAnsi="宋体"/>
          <w:b/>
          <w:color w:val="auto"/>
          <w:spacing w:val="8"/>
          <w:kern w:val="0"/>
          <w:sz w:val="28"/>
          <w:szCs w:val="28"/>
          <w:highlight w:val="none"/>
        </w:rPr>
        <w:t>月</w:t>
      </w:r>
      <w:bookmarkEnd w:id="1"/>
      <w:bookmarkEnd w:id="2"/>
      <w:bookmarkEnd w:id="3"/>
      <w:bookmarkEnd w:id="4"/>
      <w:bookmarkEnd w:id="5"/>
    </w:p>
    <w:p w14:paraId="0E02E90A">
      <w:pPr>
        <w:pStyle w:val="2"/>
        <w:spacing w:line="360" w:lineRule="auto"/>
        <w:jc w:val="center"/>
        <w:rPr>
          <w:rFonts w:ascii="宋体" w:hAnsi="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6DDD3F0F">
      <w:pPr>
        <w:pStyle w:val="132"/>
        <w:jc w:val="center"/>
        <w:rPr>
          <w:rFonts w:ascii="宋体" w:hAnsi="宋体"/>
          <w:color w:val="auto"/>
          <w:sz w:val="44"/>
          <w:szCs w:val="44"/>
          <w:highlight w:val="none"/>
        </w:rPr>
      </w:pPr>
      <w:bookmarkStart w:id="6" w:name="_Toc5767"/>
      <w:bookmarkStart w:id="7"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0777292F">
      <w:pPr>
        <w:pStyle w:val="32"/>
        <w:tabs>
          <w:tab w:val="right" w:leader="dot" w:pos="9469"/>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_Toc11755 </w:instrText>
      </w:r>
      <w:r>
        <w:rPr>
          <w:rFonts w:ascii="宋体" w:hAnsi="宋体"/>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_Toc11755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highlight w:val="none"/>
        </w:rPr>
        <w:fldChar w:fldCharType="end"/>
      </w:r>
    </w:p>
    <w:p w14:paraId="663B0F2D">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_Toc6051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r>
        <w:rPr>
          <w:color w:val="auto"/>
          <w:highlight w:val="none"/>
        </w:rPr>
        <w:tab/>
      </w:r>
      <w:r>
        <w:rPr>
          <w:color w:val="auto"/>
          <w:highlight w:val="none"/>
        </w:rPr>
        <w:fldChar w:fldCharType="begin"/>
      </w:r>
      <w:r>
        <w:rPr>
          <w:color w:val="auto"/>
          <w:highlight w:val="none"/>
        </w:rPr>
        <w:instrText xml:space="preserve"> PAGEREF _Toc6051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14:paraId="1A0D6A4C">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_Toc29973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r>
        <w:rPr>
          <w:color w:val="auto"/>
          <w:highlight w:val="none"/>
        </w:rPr>
        <w:tab/>
      </w:r>
      <w:r>
        <w:rPr>
          <w:color w:val="auto"/>
          <w:highlight w:val="none"/>
        </w:rPr>
        <w:fldChar w:fldCharType="begin"/>
      </w:r>
      <w:r>
        <w:rPr>
          <w:color w:val="auto"/>
          <w:highlight w:val="none"/>
        </w:rPr>
        <w:instrText xml:space="preserve"> PAGEREF _Toc29973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163BB01F">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_Toc10400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_Toc10400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106E96A4">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_Toc13682 </w:instrText>
      </w:r>
      <w:r>
        <w:rPr>
          <w:rFonts w:ascii="宋体" w:hAnsi="宋体"/>
          <w:bCs/>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_Toc13682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color w:val="auto"/>
          <w:szCs w:val="20"/>
          <w:highlight w:val="none"/>
          <w:lang w:val="zh-CN"/>
        </w:rPr>
        <w:fldChar w:fldCharType="end"/>
      </w:r>
    </w:p>
    <w:p w14:paraId="270049FD">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_Toc8183 </w:instrText>
      </w:r>
      <w:r>
        <w:rPr>
          <w:rFonts w:ascii="宋体" w:hAnsi="宋体"/>
          <w:bCs/>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_Toc8183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olor w:val="auto"/>
          <w:szCs w:val="20"/>
          <w:highlight w:val="none"/>
          <w:lang w:val="zh-CN"/>
        </w:rPr>
        <w:fldChar w:fldCharType="end"/>
      </w:r>
    </w:p>
    <w:p w14:paraId="391B0456">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_Toc6385 </w:instrText>
      </w:r>
      <w:r>
        <w:rPr>
          <w:rFonts w:ascii="宋体" w:hAnsi="宋体"/>
          <w:bCs/>
          <w:color w:val="auto"/>
          <w:szCs w:val="20"/>
          <w:highlight w:val="none"/>
          <w:lang w:val="zh-CN"/>
        </w:rPr>
        <w:fldChar w:fldCharType="separate"/>
      </w:r>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章  发包人要求</w:t>
      </w:r>
      <w:r>
        <w:rPr>
          <w:color w:val="auto"/>
          <w:highlight w:val="none"/>
        </w:rPr>
        <w:tab/>
      </w:r>
      <w:r>
        <w:rPr>
          <w:color w:val="auto"/>
          <w:highlight w:val="none"/>
        </w:rPr>
        <w:fldChar w:fldCharType="begin"/>
      </w:r>
      <w:r>
        <w:rPr>
          <w:color w:val="auto"/>
          <w:highlight w:val="none"/>
        </w:rPr>
        <w:instrText xml:space="preserve"> PAGEREF _Toc6385 \h </w:instrText>
      </w:r>
      <w:r>
        <w:rPr>
          <w:color w:val="auto"/>
          <w:highlight w:val="none"/>
        </w:rPr>
        <w:fldChar w:fldCharType="separate"/>
      </w:r>
      <w:r>
        <w:rPr>
          <w:color w:val="auto"/>
          <w:highlight w:val="none"/>
        </w:rPr>
        <w:t>38</w:t>
      </w:r>
      <w:r>
        <w:rPr>
          <w:color w:val="auto"/>
          <w:highlight w:val="none"/>
        </w:rPr>
        <w:fldChar w:fldCharType="end"/>
      </w:r>
      <w:r>
        <w:rPr>
          <w:rFonts w:ascii="宋体" w:hAnsi="宋体"/>
          <w:bCs/>
          <w:color w:val="auto"/>
          <w:szCs w:val="20"/>
          <w:highlight w:val="none"/>
          <w:lang w:val="zh-CN"/>
        </w:rPr>
        <w:fldChar w:fldCharType="end"/>
      </w:r>
    </w:p>
    <w:p w14:paraId="782DF16B">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_Toc17367 </w:instrText>
      </w:r>
      <w:r>
        <w:rPr>
          <w:rFonts w:ascii="宋体" w:hAnsi="宋体"/>
          <w:bCs/>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_Toc17367 \h </w:instrText>
      </w:r>
      <w:r>
        <w:rPr>
          <w:color w:val="auto"/>
          <w:highlight w:val="none"/>
        </w:rPr>
        <w:fldChar w:fldCharType="separate"/>
      </w:r>
      <w:r>
        <w:rPr>
          <w:color w:val="auto"/>
          <w:highlight w:val="none"/>
        </w:rPr>
        <w:t>39</w:t>
      </w:r>
      <w:r>
        <w:rPr>
          <w:color w:val="auto"/>
          <w:highlight w:val="none"/>
        </w:rPr>
        <w:fldChar w:fldCharType="end"/>
      </w:r>
      <w:r>
        <w:rPr>
          <w:rFonts w:ascii="宋体" w:hAnsi="宋体"/>
          <w:bCs/>
          <w:color w:val="auto"/>
          <w:szCs w:val="20"/>
          <w:highlight w:val="none"/>
          <w:lang w:val="zh-CN"/>
        </w:rPr>
        <w:fldChar w:fldCharType="end"/>
      </w:r>
    </w:p>
    <w:p w14:paraId="31480DB9">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_Toc855 </w:instrText>
      </w:r>
      <w:r>
        <w:rPr>
          <w:rFonts w:ascii="宋体" w:hAnsi="宋体"/>
          <w:bCs/>
          <w:color w:val="auto"/>
          <w:szCs w:val="20"/>
          <w:highlight w:val="none"/>
          <w:lang w:val="zh-CN"/>
        </w:rPr>
        <w:fldChar w:fldCharType="separate"/>
      </w:r>
      <w:r>
        <w:rPr>
          <w:rFonts w:hint="eastAsia" w:ascii="宋体" w:hAnsi="宋体"/>
          <w:color w:val="auto"/>
          <w:highlight w:val="none"/>
        </w:rPr>
        <w:t>第六章  竞标文件格式</w:t>
      </w:r>
      <w:r>
        <w:rPr>
          <w:color w:val="auto"/>
          <w:highlight w:val="none"/>
        </w:rPr>
        <w:tab/>
      </w:r>
      <w:r>
        <w:rPr>
          <w:color w:val="auto"/>
          <w:highlight w:val="none"/>
        </w:rPr>
        <w:fldChar w:fldCharType="begin"/>
      </w:r>
      <w:r>
        <w:rPr>
          <w:color w:val="auto"/>
          <w:highlight w:val="none"/>
        </w:rPr>
        <w:instrText xml:space="preserve"> PAGEREF _Toc855 \h </w:instrText>
      </w:r>
      <w:r>
        <w:rPr>
          <w:color w:val="auto"/>
          <w:highlight w:val="none"/>
        </w:rPr>
        <w:fldChar w:fldCharType="separate"/>
      </w:r>
      <w:r>
        <w:rPr>
          <w:color w:val="auto"/>
          <w:highlight w:val="none"/>
        </w:rPr>
        <w:t>40</w:t>
      </w:r>
      <w:r>
        <w:rPr>
          <w:color w:val="auto"/>
          <w:highlight w:val="none"/>
        </w:rPr>
        <w:fldChar w:fldCharType="end"/>
      </w:r>
      <w:r>
        <w:rPr>
          <w:rFonts w:ascii="宋体" w:hAnsi="宋体"/>
          <w:bCs/>
          <w:color w:val="auto"/>
          <w:szCs w:val="20"/>
          <w:highlight w:val="none"/>
          <w:lang w:val="zh-CN"/>
        </w:rPr>
        <w:fldChar w:fldCharType="end"/>
      </w:r>
    </w:p>
    <w:p w14:paraId="4D4C32DC">
      <w:pPr>
        <w:rPr>
          <w:rFonts w:ascii="宋体" w:hAnsi="宋体"/>
          <w:color w:val="auto"/>
          <w:highlight w:val="none"/>
        </w:rPr>
      </w:pPr>
      <w:r>
        <w:rPr>
          <w:rFonts w:ascii="宋体" w:hAnsi="宋体"/>
          <w:bCs/>
          <w:color w:val="auto"/>
          <w:szCs w:val="20"/>
          <w:highlight w:val="none"/>
          <w:lang w:val="zh-CN"/>
        </w:rPr>
        <w:fldChar w:fldCharType="end"/>
      </w:r>
    </w:p>
    <w:bookmarkEnd w:id="0"/>
    <w:p w14:paraId="014C8DF3">
      <w:pPr>
        <w:spacing w:line="20" w:lineRule="exact"/>
        <w:rPr>
          <w:rFonts w:ascii="宋体" w:hAnsi="宋体"/>
          <w:color w:val="auto"/>
          <w:highlight w:val="none"/>
        </w:rPr>
      </w:pPr>
      <w:bookmarkStart w:id="8" w:name="_Toc430530414"/>
    </w:p>
    <w:p w14:paraId="4D64FD06">
      <w:pPr>
        <w:spacing w:line="20" w:lineRule="exact"/>
        <w:jc w:val="left"/>
        <w:rPr>
          <w:rFonts w:ascii="宋体" w:hAnsi="宋体"/>
          <w:color w:val="auto"/>
          <w:highlight w:val="none"/>
        </w:rPr>
        <w:sectPr>
          <w:footerReference r:id="rId4" w:type="default"/>
          <w:pgSz w:w="11907" w:h="16840"/>
          <w:pgMar w:top="1304" w:right="1134" w:bottom="1304" w:left="1304" w:header="851" w:footer="992" w:gutter="0"/>
          <w:pgNumType w:fmt="numberInDash" w:start="1"/>
          <w:cols w:space="720" w:num="1"/>
          <w:docGrid w:linePitch="312" w:charSpace="0"/>
        </w:sectPr>
      </w:pPr>
    </w:p>
    <w:bookmarkEnd w:id="8"/>
    <w:p w14:paraId="394C5B37">
      <w:pPr>
        <w:spacing w:line="360" w:lineRule="auto"/>
        <w:rPr>
          <w:rFonts w:ascii="宋体" w:hAnsi="宋体"/>
          <w:color w:val="auto"/>
          <w:highlight w:val="none"/>
        </w:rPr>
      </w:pPr>
    </w:p>
    <w:p w14:paraId="7B1B69AA">
      <w:pPr>
        <w:pStyle w:val="2"/>
        <w:spacing w:before="0" w:after="0" w:line="480" w:lineRule="auto"/>
        <w:jc w:val="center"/>
        <w:rPr>
          <w:rFonts w:ascii="宋体" w:hAnsi="宋体"/>
          <w:color w:val="auto"/>
          <w:sz w:val="52"/>
          <w:szCs w:val="52"/>
          <w:highlight w:val="none"/>
        </w:rPr>
      </w:pPr>
      <w:bookmarkStart w:id="9" w:name="_Toc509218690"/>
      <w:bookmarkStart w:id="10" w:name="_Toc11755"/>
      <w:bookmarkStart w:id="11" w:name="_Toc9936"/>
      <w:r>
        <w:rPr>
          <w:rFonts w:hint="eastAsia" w:ascii="宋体" w:hAnsi="宋体"/>
          <w:color w:val="auto"/>
          <w:sz w:val="52"/>
          <w:szCs w:val="52"/>
          <w:highlight w:val="none"/>
        </w:rPr>
        <w:t>第 一 卷</w:t>
      </w:r>
      <w:bookmarkEnd w:id="9"/>
      <w:bookmarkEnd w:id="10"/>
      <w:bookmarkEnd w:id="11"/>
    </w:p>
    <w:p w14:paraId="238DB9A2">
      <w:pPr>
        <w:spacing w:line="200" w:lineRule="exact"/>
        <w:rPr>
          <w:rFonts w:ascii="宋体" w:hAnsi="宋体"/>
          <w:color w:val="auto"/>
          <w:highlight w:val="none"/>
        </w:rPr>
      </w:pPr>
      <w:r>
        <w:rPr>
          <w:rFonts w:ascii="宋体" w:hAnsi="宋体"/>
          <w:color w:val="auto"/>
          <w:highlight w:val="none"/>
        </w:rPr>
        <w:br w:type="page"/>
      </w:r>
    </w:p>
    <w:p w14:paraId="7C6BC4B2">
      <w:pPr>
        <w:pStyle w:val="2"/>
        <w:spacing w:line="360" w:lineRule="auto"/>
        <w:jc w:val="center"/>
        <w:rPr>
          <w:rFonts w:ascii="宋体" w:hAnsi="宋体"/>
          <w:snapToGrid w:val="0"/>
          <w:color w:val="auto"/>
          <w:kern w:val="0"/>
          <w:highlight w:val="none"/>
        </w:rPr>
      </w:pPr>
      <w:bookmarkStart w:id="12" w:name="_Toc6051"/>
      <w:bookmarkStart w:id="13" w:name="_Toc224103298"/>
      <w:bookmarkStart w:id="14" w:name="_Toc287620666"/>
      <w:bookmarkStart w:id="15" w:name="_Toc287607727"/>
      <w:bookmarkStart w:id="16" w:name="_Toc277082535"/>
      <w:bookmarkStart w:id="17" w:name="_Toc12819"/>
      <w:bookmarkStart w:id="18" w:name="_Toc509218691"/>
      <w:bookmarkStart w:id="19" w:name="_Toc430530415"/>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bookmarkEnd w:id="12"/>
      <w:bookmarkEnd w:id="13"/>
      <w:bookmarkEnd w:id="14"/>
      <w:bookmarkEnd w:id="15"/>
      <w:bookmarkEnd w:id="16"/>
      <w:bookmarkEnd w:id="17"/>
      <w:bookmarkEnd w:id="18"/>
      <w:bookmarkEnd w:id="19"/>
    </w:p>
    <w:p w14:paraId="117C8F15">
      <w:pPr>
        <w:autoSpaceDE w:val="0"/>
        <w:autoSpaceDN w:val="0"/>
        <w:adjustRightInd w:val="0"/>
        <w:snapToGrid w:val="0"/>
        <w:spacing w:line="360" w:lineRule="auto"/>
        <w:jc w:val="center"/>
        <w:rPr>
          <w:rFonts w:ascii="宋体" w:hAnsi="宋体"/>
          <w:snapToGrid w:val="0"/>
          <w:color w:val="auto"/>
          <w:w w:val="99"/>
          <w:kern w:val="0"/>
          <w:sz w:val="28"/>
          <w:szCs w:val="28"/>
          <w:highlight w:val="none"/>
        </w:rPr>
      </w:pPr>
      <w:r>
        <w:rPr>
          <w:rFonts w:hint="eastAsia" w:ascii="宋体" w:hAnsi="宋体"/>
          <w:snapToGrid w:val="0"/>
          <w:color w:val="auto"/>
          <w:w w:val="99"/>
          <w:kern w:val="0"/>
          <w:sz w:val="28"/>
          <w:szCs w:val="28"/>
          <w:highlight w:val="none"/>
          <w:lang w:eastAsia="zh-CN"/>
        </w:rPr>
        <w:t>重庆市南岸区二贸片区老旧小区综合改造工程（一期工程）设计</w:t>
      </w:r>
      <w:r>
        <w:rPr>
          <w:rFonts w:hint="eastAsia" w:ascii="宋体" w:hAnsi="宋体"/>
          <w:snapToGrid w:val="0"/>
          <w:color w:val="auto"/>
          <w:w w:val="99"/>
          <w:kern w:val="0"/>
          <w:sz w:val="28"/>
          <w:szCs w:val="28"/>
          <w:highlight w:val="none"/>
        </w:rPr>
        <w:t xml:space="preserve"> </w:t>
      </w:r>
    </w:p>
    <w:p w14:paraId="2BD97165">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w w:val="99"/>
          <w:kern w:val="0"/>
          <w:sz w:val="28"/>
          <w:szCs w:val="28"/>
          <w:highlight w:val="none"/>
        </w:rPr>
        <w:t>比选</w:t>
      </w:r>
      <w:r>
        <w:rPr>
          <w:rFonts w:ascii="宋体" w:hAnsi="宋体"/>
          <w:snapToGrid w:val="0"/>
          <w:color w:val="auto"/>
          <w:w w:val="99"/>
          <w:kern w:val="0"/>
          <w:sz w:val="28"/>
          <w:szCs w:val="28"/>
          <w:highlight w:val="none"/>
        </w:rPr>
        <w:t>公告</w:t>
      </w:r>
    </w:p>
    <w:p w14:paraId="03C60E97">
      <w:pPr>
        <w:pStyle w:val="3"/>
        <w:spacing w:before="100" w:after="100" w:line="460" w:lineRule="exact"/>
        <w:rPr>
          <w:rFonts w:ascii="宋体" w:hAnsi="宋体"/>
          <w:snapToGrid w:val="0"/>
          <w:color w:val="auto"/>
          <w:sz w:val="28"/>
          <w:szCs w:val="28"/>
          <w:highlight w:val="none"/>
        </w:rPr>
      </w:pPr>
      <w:bookmarkStart w:id="20" w:name="_Toc287607728"/>
      <w:bookmarkStart w:id="21" w:name="_Toc25664"/>
      <w:bookmarkStart w:id="22" w:name="_Toc287620667"/>
      <w:bookmarkStart w:id="23" w:name="_Toc200359427"/>
      <w:bookmarkStart w:id="24" w:name="_Toc224103299"/>
      <w:bookmarkStart w:id="25" w:name="_Toc27491"/>
      <w:bookmarkStart w:id="26" w:name="_Toc277082536"/>
      <w:bookmarkStart w:id="27" w:name="_Toc430530416"/>
      <w:bookmarkStart w:id="28" w:name="_Toc200359238"/>
      <w:bookmarkStart w:id="29" w:name="_Toc509218692"/>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比选</w:t>
      </w:r>
      <w:r>
        <w:rPr>
          <w:rFonts w:ascii="宋体" w:hAnsi="宋体"/>
          <w:snapToGrid w:val="0"/>
          <w:color w:val="auto"/>
          <w:sz w:val="28"/>
          <w:szCs w:val="28"/>
          <w:highlight w:val="none"/>
        </w:rPr>
        <w:t>条件</w:t>
      </w:r>
      <w:bookmarkEnd w:id="20"/>
      <w:bookmarkEnd w:id="21"/>
      <w:bookmarkEnd w:id="22"/>
      <w:bookmarkEnd w:id="23"/>
      <w:bookmarkEnd w:id="24"/>
      <w:bookmarkEnd w:id="25"/>
      <w:bookmarkEnd w:id="26"/>
      <w:bookmarkEnd w:id="27"/>
      <w:bookmarkEnd w:id="28"/>
      <w:bookmarkEnd w:id="29"/>
    </w:p>
    <w:p w14:paraId="4D6A24E7">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u w:val="single"/>
          <w:lang w:eastAsia="zh-CN"/>
        </w:rPr>
        <w:t>重庆市南岸区二贸片区老旧小区综合改造工程（一期工程）设计</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业主为</w:t>
      </w:r>
      <w:r>
        <w:rPr>
          <w:rFonts w:hint="eastAsia" w:ascii="宋体" w:hAnsi="宋体"/>
          <w:color w:val="auto"/>
          <w:highlight w:val="none"/>
          <w:u w:val="single"/>
          <w:lang w:eastAsia="zh-CN"/>
        </w:rPr>
        <w:t>重庆市江南城市建设发展(集团)有限公司</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position w:val="-2"/>
          <w:szCs w:val="21"/>
          <w:highlight w:val="none"/>
        </w:rPr>
        <w:t>为</w:t>
      </w:r>
      <w:r>
        <w:rPr>
          <w:rFonts w:hint="eastAsia" w:ascii="宋体" w:hAnsi="宋体"/>
          <w:color w:val="auto"/>
          <w:highlight w:val="none"/>
          <w:u w:val="single"/>
          <w:lang w:eastAsia="zh-CN"/>
        </w:rPr>
        <w:t>重庆市江南城市建设发展(集团)有限公司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rPr>
        <w:t>竞争性比选</w:t>
      </w:r>
      <w:r>
        <w:rPr>
          <w:rFonts w:ascii="宋体" w:hAnsi="宋体"/>
          <w:snapToGrid w:val="0"/>
          <w:color w:val="auto"/>
          <w:kern w:val="0"/>
          <w:position w:val="-2"/>
          <w:szCs w:val="21"/>
          <w:highlight w:val="none"/>
        </w:rPr>
        <w:t>。</w:t>
      </w:r>
    </w:p>
    <w:p w14:paraId="414B9EEB">
      <w:pPr>
        <w:pStyle w:val="3"/>
        <w:spacing w:before="100" w:after="100" w:line="460" w:lineRule="exact"/>
        <w:rPr>
          <w:rFonts w:ascii="宋体" w:hAnsi="宋体"/>
          <w:snapToGrid w:val="0"/>
          <w:color w:val="auto"/>
          <w:sz w:val="28"/>
          <w:szCs w:val="28"/>
          <w:highlight w:val="none"/>
        </w:rPr>
      </w:pPr>
      <w:bookmarkStart w:id="30" w:name="_Toc430530417"/>
      <w:bookmarkStart w:id="31" w:name="_Toc509218693"/>
      <w:bookmarkStart w:id="32" w:name="_Toc200359239"/>
      <w:bookmarkStart w:id="33" w:name="_Toc277082537"/>
      <w:bookmarkStart w:id="34" w:name="_Toc200359428"/>
      <w:bookmarkStart w:id="35" w:name="_Toc18954"/>
      <w:bookmarkStart w:id="36" w:name="_Toc16344"/>
      <w:bookmarkStart w:id="37" w:name="_Toc224103300"/>
      <w:bookmarkStart w:id="38" w:name="_Toc287607729"/>
      <w:bookmarkStart w:id="39" w:name="_Toc28762066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rPr>
        <w:t>比选</w:t>
      </w:r>
      <w:r>
        <w:rPr>
          <w:rFonts w:ascii="宋体" w:hAnsi="宋体"/>
          <w:snapToGrid w:val="0"/>
          <w:color w:val="auto"/>
          <w:sz w:val="28"/>
          <w:szCs w:val="28"/>
          <w:highlight w:val="none"/>
        </w:rPr>
        <w:t>范围</w:t>
      </w:r>
      <w:bookmarkEnd w:id="30"/>
      <w:bookmarkEnd w:id="31"/>
      <w:bookmarkEnd w:id="32"/>
      <w:bookmarkEnd w:id="33"/>
      <w:bookmarkEnd w:id="34"/>
      <w:bookmarkEnd w:id="35"/>
      <w:bookmarkEnd w:id="36"/>
      <w:bookmarkEnd w:id="37"/>
      <w:bookmarkEnd w:id="38"/>
      <w:bookmarkEnd w:id="39"/>
    </w:p>
    <w:p w14:paraId="734A0BB0">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none"/>
          <w:lang w:eastAsia="zh-CN"/>
        </w:rPr>
        <w:t>2.1 建设地点：</w:t>
      </w:r>
      <w:r>
        <w:rPr>
          <w:rFonts w:hint="eastAsia" w:ascii="宋体" w:hAnsi="宋体"/>
          <w:snapToGrid w:val="0"/>
          <w:color w:val="auto"/>
          <w:kern w:val="0"/>
          <w:szCs w:val="21"/>
          <w:highlight w:val="none"/>
          <w:u w:val="single"/>
          <w:lang w:eastAsia="zh-CN"/>
        </w:rPr>
        <w:t>南岸区</w:t>
      </w:r>
      <w:r>
        <w:rPr>
          <w:rFonts w:hint="eastAsia" w:ascii="宋体" w:hAnsi="宋体"/>
          <w:snapToGrid w:val="0"/>
          <w:color w:val="auto"/>
          <w:kern w:val="0"/>
          <w:szCs w:val="21"/>
          <w:highlight w:val="none"/>
          <w:u w:val="none"/>
          <w:lang w:eastAsia="zh-CN"/>
        </w:rPr>
        <w:t>。</w:t>
      </w:r>
    </w:p>
    <w:p w14:paraId="5A5188E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none"/>
          <w:lang w:eastAsia="zh-CN"/>
        </w:rPr>
        <w:t>2.2 项目概况与建设规模：</w:t>
      </w:r>
      <w:bookmarkStart w:id="40" w:name="OLE_LINK3"/>
      <w:r>
        <w:rPr>
          <w:rFonts w:hint="eastAsia" w:ascii="宋体" w:hAnsi="宋体"/>
          <w:snapToGrid w:val="0"/>
          <w:color w:val="auto"/>
          <w:kern w:val="0"/>
          <w:szCs w:val="21"/>
          <w:highlight w:val="none"/>
          <w:u w:val="single"/>
        </w:rPr>
        <w:t>包括配套道路铺装改造、线缆规整、人行道地面基层整治改造及铺装街区环境整治、老旧建筑外立面更新、屋面防水整治、设施设备更新以及相关配套管网改造等。</w:t>
      </w:r>
    </w:p>
    <w:p w14:paraId="2755D3B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none"/>
          <w:lang w:eastAsia="zh-CN"/>
        </w:rPr>
        <w:t>2.</w:t>
      </w:r>
      <w:r>
        <w:rPr>
          <w:rFonts w:hint="eastAsia" w:ascii="宋体" w:hAnsi="宋体"/>
          <w:snapToGrid w:val="0"/>
          <w:color w:val="auto"/>
          <w:kern w:val="0"/>
          <w:szCs w:val="21"/>
          <w:highlight w:val="none"/>
          <w:u w:val="none"/>
          <w:lang w:val="en-US" w:eastAsia="zh-CN"/>
        </w:rPr>
        <w:t>3</w:t>
      </w:r>
      <w:r>
        <w:rPr>
          <w:rFonts w:hint="eastAsia" w:ascii="宋体" w:hAnsi="宋体"/>
          <w:snapToGrid w:val="0"/>
          <w:color w:val="auto"/>
          <w:kern w:val="0"/>
          <w:szCs w:val="21"/>
          <w:highlight w:val="none"/>
          <w:u w:val="none"/>
          <w:lang w:eastAsia="zh-CN"/>
        </w:rPr>
        <w:t xml:space="preserve"> </w:t>
      </w:r>
      <w:r>
        <w:rPr>
          <w:rFonts w:hint="eastAsia" w:ascii="宋体" w:hAnsi="宋体"/>
          <w:snapToGrid w:val="0"/>
          <w:color w:val="auto"/>
          <w:kern w:val="0"/>
          <w:szCs w:val="21"/>
          <w:highlight w:val="none"/>
        </w:rPr>
        <w:t xml:space="preserve"> 本次比选项目</w:t>
      </w:r>
      <w:r>
        <w:rPr>
          <w:rFonts w:hint="eastAsia" w:ascii="宋体" w:hAnsi="宋体"/>
          <w:snapToGrid w:val="0"/>
          <w:color w:val="auto"/>
          <w:kern w:val="0"/>
          <w:szCs w:val="21"/>
          <w:highlight w:val="none"/>
          <w:lang w:val="en-US" w:eastAsia="zh-CN"/>
        </w:rPr>
        <w:t>建安费</w:t>
      </w:r>
      <w:r>
        <w:rPr>
          <w:rFonts w:hint="eastAsia" w:ascii="宋体" w:hAnsi="宋体"/>
          <w:snapToGrid w:val="0"/>
          <w:color w:val="auto"/>
          <w:kern w:val="0"/>
          <w:szCs w:val="21"/>
          <w:highlight w:val="none"/>
        </w:rPr>
        <w:t>约：</w:t>
      </w:r>
      <w:r>
        <w:rPr>
          <w:rFonts w:hint="eastAsia" w:ascii="宋体" w:hAnsi="宋体"/>
          <w:snapToGrid w:val="0"/>
          <w:color w:val="auto"/>
          <w:kern w:val="0"/>
          <w:szCs w:val="21"/>
          <w:highlight w:val="none"/>
          <w:u w:val="single"/>
          <w:lang w:val="en-US" w:eastAsia="zh-CN"/>
        </w:rPr>
        <w:t>4000</w:t>
      </w:r>
      <w:r>
        <w:rPr>
          <w:rFonts w:hint="eastAsia" w:ascii="宋体" w:hAnsi="宋体"/>
          <w:snapToGrid w:val="0"/>
          <w:color w:val="auto"/>
          <w:kern w:val="0"/>
          <w:szCs w:val="21"/>
          <w:highlight w:val="none"/>
        </w:rPr>
        <w:t>万元</w:t>
      </w:r>
    </w:p>
    <w:bookmarkEnd w:id="40"/>
    <w:p w14:paraId="6B769BA1">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u w:val="none"/>
          <w:lang w:eastAsia="zh-CN"/>
        </w:rPr>
        <w:t>2.</w:t>
      </w:r>
      <w:r>
        <w:rPr>
          <w:rFonts w:hint="eastAsia" w:ascii="宋体" w:hAnsi="宋体"/>
          <w:snapToGrid w:val="0"/>
          <w:color w:val="auto"/>
          <w:kern w:val="0"/>
          <w:szCs w:val="21"/>
          <w:highlight w:val="none"/>
          <w:u w:val="none"/>
          <w:lang w:val="en-US" w:eastAsia="zh-CN"/>
        </w:rPr>
        <w:t>4</w:t>
      </w:r>
      <w:r>
        <w:rPr>
          <w:rFonts w:hint="eastAsia" w:ascii="宋体" w:hAnsi="宋体"/>
          <w:snapToGrid w:val="0"/>
          <w:color w:val="auto"/>
          <w:kern w:val="0"/>
          <w:szCs w:val="21"/>
          <w:highlight w:val="none"/>
          <w:u w:val="none"/>
          <w:lang w:eastAsia="zh-CN"/>
        </w:rPr>
        <w:t>比选范围：</w:t>
      </w:r>
      <w:r>
        <w:rPr>
          <w:rFonts w:hint="eastAsia"/>
          <w:color w:val="auto"/>
          <w:highlight w:val="none"/>
          <w:u w:val="single"/>
        </w:rPr>
        <w:t>包含方案设计（或总体设计）、初步设计、施工图设计、施工阶段及缺陷责任期的伴随设计服务</w:t>
      </w:r>
      <w:r>
        <w:rPr>
          <w:rFonts w:hint="eastAsia" w:ascii="宋体" w:hAnsi="宋体"/>
          <w:snapToGrid w:val="0"/>
          <w:color w:val="auto"/>
          <w:kern w:val="0"/>
          <w:szCs w:val="21"/>
          <w:highlight w:val="none"/>
          <w:u w:val="single"/>
          <w:lang w:eastAsia="zh-CN"/>
        </w:rPr>
        <w:t>。</w:t>
      </w:r>
    </w:p>
    <w:p w14:paraId="21B38EFF">
      <w:pPr>
        <w:tabs>
          <w:tab w:val="left" w:pos="3840"/>
          <w:tab w:val="left" w:pos="5300"/>
        </w:tabs>
        <w:autoSpaceDE w:val="0"/>
        <w:autoSpaceDN w:val="0"/>
        <w:adjustRightInd w:val="0"/>
        <w:snapToGrid w:val="0"/>
        <w:spacing w:line="460" w:lineRule="exact"/>
        <w:ind w:firstLine="420" w:firstLineChars="200"/>
        <w:jc w:val="left"/>
        <w:rPr>
          <w:rFonts w:ascii="宋体" w:hAnsi="宋体" w:eastAsiaTheme="minorEastAsia"/>
          <w:snapToGrid w:val="0"/>
          <w:color w:val="auto"/>
          <w:kern w:val="0"/>
          <w:szCs w:val="21"/>
          <w:highlight w:val="none"/>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cs="宋体" w:asciiTheme="minorEastAsia" w:hAnsiTheme="minorEastAsia" w:eastAsiaTheme="minorEastAsia"/>
          <w:color w:val="auto"/>
          <w:szCs w:val="21"/>
          <w:highlight w:val="none"/>
        </w:rPr>
        <w:t>服务期限</w:t>
      </w:r>
      <w:r>
        <w:rPr>
          <w:rFonts w:hint="eastAsia" w:cs="宋体" w:asciiTheme="minorEastAsia" w:hAnsiTheme="minorEastAsia" w:eastAsiaTheme="minorEastAsia"/>
          <w:color w:val="auto"/>
          <w:szCs w:val="21"/>
          <w:highlight w:val="none"/>
        </w:rPr>
        <w:t>：</w:t>
      </w:r>
      <w:r>
        <w:rPr>
          <w:rFonts w:hint="eastAsia" w:ascii="宋体" w:hAnsi="宋体"/>
          <w:snapToGrid w:val="0"/>
          <w:color w:val="auto"/>
          <w:kern w:val="0"/>
          <w:szCs w:val="21"/>
          <w:highlight w:val="none"/>
          <w:u w:val="single"/>
          <w:lang w:eastAsia="zh-CN"/>
        </w:rPr>
        <w:t>签订合同</w:t>
      </w:r>
      <w:r>
        <w:rPr>
          <w:rFonts w:hint="eastAsia" w:ascii="宋体" w:hAnsi="宋体"/>
          <w:snapToGrid w:val="0"/>
          <w:color w:val="auto"/>
          <w:kern w:val="0"/>
          <w:szCs w:val="21"/>
          <w:highlight w:val="none"/>
          <w:u w:val="single"/>
          <w:lang w:val="en-US" w:eastAsia="zh-CN"/>
        </w:rPr>
        <w:t>后 90</w:t>
      </w:r>
      <w:r>
        <w:rPr>
          <w:rFonts w:hint="eastAsia" w:ascii="宋体" w:hAnsi="宋体"/>
          <w:snapToGrid w:val="0"/>
          <w:color w:val="auto"/>
          <w:kern w:val="0"/>
          <w:szCs w:val="21"/>
          <w:highlight w:val="none"/>
          <w:u w:val="single"/>
          <w:lang w:eastAsia="zh-CN"/>
        </w:rPr>
        <w:t>日历天。</w:t>
      </w:r>
    </w:p>
    <w:p w14:paraId="6526809D">
      <w:pPr>
        <w:pStyle w:val="3"/>
        <w:spacing w:before="100" w:after="100" w:line="460" w:lineRule="exact"/>
        <w:rPr>
          <w:rFonts w:ascii="宋体" w:hAnsi="宋体"/>
          <w:snapToGrid w:val="0"/>
          <w:color w:val="auto"/>
          <w:sz w:val="28"/>
          <w:szCs w:val="28"/>
          <w:highlight w:val="none"/>
        </w:rPr>
      </w:pPr>
      <w:bookmarkStart w:id="41" w:name="_Toc224103301"/>
      <w:bookmarkStart w:id="42" w:name="_Toc287607730"/>
      <w:bookmarkStart w:id="43" w:name="_Toc200359240"/>
      <w:bookmarkStart w:id="44" w:name="_Toc430530418"/>
      <w:bookmarkStart w:id="45" w:name="_Toc15101"/>
      <w:bookmarkStart w:id="46" w:name="_Toc19513"/>
      <w:bookmarkStart w:id="47" w:name="_Toc277082538"/>
      <w:bookmarkStart w:id="48" w:name="_Toc200359429"/>
      <w:bookmarkStart w:id="49" w:name="_Toc287620669"/>
      <w:bookmarkStart w:id="50" w:name="_Toc509218694"/>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人资格要求</w:t>
      </w:r>
      <w:bookmarkEnd w:id="41"/>
      <w:bookmarkEnd w:id="42"/>
      <w:bookmarkEnd w:id="43"/>
      <w:bookmarkEnd w:id="44"/>
      <w:bookmarkEnd w:id="45"/>
      <w:bookmarkEnd w:id="46"/>
      <w:bookmarkEnd w:id="47"/>
      <w:bookmarkEnd w:id="48"/>
      <w:bookmarkEnd w:id="49"/>
      <w:bookmarkEnd w:id="50"/>
    </w:p>
    <w:p w14:paraId="3BCDB57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600DCCDD">
      <w:pPr>
        <w:spacing w:line="360" w:lineRule="auto"/>
        <w:ind w:firstLine="420" w:firstLineChars="200"/>
        <w:jc w:val="left"/>
        <w:rPr>
          <w:rFonts w:hint="eastAsia" w:ascii="宋体"/>
          <w:szCs w:val="21"/>
          <w:highlight w:val="none"/>
        </w:rPr>
      </w:pPr>
      <w:r>
        <w:rPr>
          <w:rFonts w:hint="eastAsia" w:ascii="宋体" w:hAnsi="宋体"/>
          <w:snapToGrid w:val="0"/>
          <w:color w:val="auto"/>
          <w:kern w:val="0"/>
          <w:szCs w:val="21"/>
          <w:highlight w:val="none"/>
        </w:rPr>
        <w:t xml:space="preserve">3.1.1 </w:t>
      </w:r>
      <w:r>
        <w:rPr>
          <w:rFonts w:hint="eastAsia" w:ascii="宋体"/>
          <w:szCs w:val="21"/>
          <w:highlight w:val="none"/>
        </w:rPr>
        <w:t>本次比选申请人资格要求：</w:t>
      </w:r>
    </w:p>
    <w:p w14:paraId="1F45D500">
      <w:pPr>
        <w:spacing w:line="360" w:lineRule="auto"/>
        <w:ind w:firstLine="420" w:firstLineChars="200"/>
        <w:jc w:val="left"/>
        <w:rPr>
          <w:rFonts w:hint="eastAsia" w:ascii="宋体" w:eastAsia="宋体"/>
          <w:szCs w:val="21"/>
          <w:highlight w:val="none"/>
          <w:lang w:eastAsia="zh-CN"/>
        </w:rPr>
      </w:pPr>
      <w:r>
        <w:rPr>
          <w:rFonts w:hint="eastAsia" w:ascii="宋体" w:eastAsia="宋体"/>
          <w:szCs w:val="21"/>
          <w:highlight w:val="none"/>
          <w:lang w:val="en-US" w:eastAsia="zh-CN"/>
        </w:rPr>
        <w:t>比选申请人</w:t>
      </w:r>
      <w:r>
        <w:rPr>
          <w:rFonts w:hint="eastAsia" w:ascii="宋体" w:eastAsia="宋体"/>
          <w:szCs w:val="21"/>
          <w:highlight w:val="none"/>
        </w:rPr>
        <w:t>应具备建设行政主管部门颁发的以下资质之一：</w:t>
      </w:r>
      <w:r>
        <w:rPr>
          <w:rFonts w:hint="eastAsia" w:ascii="宋体" w:eastAsia="宋体"/>
          <w:szCs w:val="21"/>
          <w:highlight w:val="none"/>
          <w:lang w:eastAsia="zh-CN"/>
        </w:rPr>
        <w:t>：</w:t>
      </w:r>
    </w:p>
    <w:p w14:paraId="5FCB1E95">
      <w:pPr>
        <w:spacing w:line="360" w:lineRule="auto"/>
        <w:ind w:firstLine="420" w:firstLineChars="200"/>
        <w:jc w:val="left"/>
        <w:rPr>
          <w:rFonts w:hint="eastAsia" w:ascii="宋体" w:eastAsia="宋体"/>
          <w:szCs w:val="21"/>
          <w:highlight w:val="none"/>
        </w:rPr>
      </w:pPr>
      <w:r>
        <w:rPr>
          <w:rFonts w:hint="eastAsia" w:ascii="宋体" w:eastAsia="宋体"/>
          <w:szCs w:val="21"/>
          <w:highlight w:val="none"/>
        </w:rPr>
        <w:t>①工程设计综合甲级资质；</w:t>
      </w:r>
    </w:p>
    <w:p w14:paraId="3452ACFD">
      <w:pPr>
        <w:spacing w:line="360" w:lineRule="auto"/>
        <w:ind w:firstLine="420" w:firstLineChars="200"/>
        <w:jc w:val="left"/>
        <w:rPr>
          <w:rFonts w:hint="eastAsia" w:ascii="宋体" w:eastAsia="宋体"/>
          <w:szCs w:val="21"/>
          <w:highlight w:val="none"/>
          <w:lang w:eastAsia="zh-CN"/>
        </w:rPr>
      </w:pPr>
      <w:r>
        <w:rPr>
          <w:rFonts w:hint="eastAsia" w:ascii="宋体" w:eastAsia="宋体"/>
          <w:szCs w:val="21"/>
          <w:highlight w:val="none"/>
          <w:lang w:val="en-US" w:eastAsia="zh-CN"/>
        </w:rPr>
        <w:t>②</w:t>
      </w:r>
      <w:r>
        <w:rPr>
          <w:rFonts w:hint="eastAsia" w:ascii="宋体" w:eastAsia="宋体"/>
          <w:szCs w:val="21"/>
          <w:highlight w:val="none"/>
        </w:rPr>
        <w:t>工程设计市政行业（道路工程、桥梁工程、给水工程、排水工程）专业乙级及以上资质和建筑行业（建筑工程）专业乙级及以上资质</w:t>
      </w:r>
      <w:r>
        <w:rPr>
          <w:rFonts w:hint="eastAsia" w:ascii="宋体" w:eastAsia="宋体"/>
          <w:szCs w:val="21"/>
          <w:highlight w:val="none"/>
          <w:lang w:eastAsia="zh-CN"/>
        </w:rPr>
        <w:t>。</w:t>
      </w:r>
    </w:p>
    <w:p w14:paraId="6608AA8B">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 竞标人还应在人员、设备、资金等方面具有相应的</w:t>
      </w:r>
      <w:r>
        <w:rPr>
          <w:rFonts w:hint="eastAsia" w:ascii="宋体" w:hAnsi="宋体"/>
          <w:snapToGrid w:val="0"/>
          <w:color w:val="auto"/>
          <w:kern w:val="0"/>
          <w:szCs w:val="21"/>
          <w:highlight w:val="none"/>
          <w:lang w:val="en-US" w:eastAsia="zh-CN"/>
        </w:rPr>
        <w:t>服务</w:t>
      </w:r>
      <w:r>
        <w:rPr>
          <w:rFonts w:hint="eastAsia" w:ascii="宋体" w:hAnsi="宋体"/>
          <w:snapToGrid w:val="0"/>
          <w:color w:val="auto"/>
          <w:kern w:val="0"/>
          <w:szCs w:val="21"/>
          <w:highlight w:val="none"/>
        </w:rPr>
        <w:t>能力，详见竞争性比选文件第二章竞标人须知前附表第1.4.1项内容。</w:t>
      </w:r>
    </w:p>
    <w:p w14:paraId="297A9325">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w:t>
      </w:r>
      <w:r>
        <w:rPr>
          <w:rFonts w:hint="eastAsia" w:ascii="宋体" w:hAnsi="宋体"/>
          <w:snapToGrid w:val="0"/>
          <w:color w:val="auto"/>
          <w:kern w:val="0"/>
          <w:szCs w:val="21"/>
          <w:highlight w:val="none"/>
        </w:rPr>
        <w:t>比选</w:t>
      </w:r>
      <w:r>
        <w:rPr>
          <w:rFonts w:hint="eastAsia" w:ascii="宋体" w:hAnsi="宋体"/>
          <w:snapToGrid w:val="0"/>
          <w:color w:val="auto"/>
          <w:kern w:val="0"/>
          <w:szCs w:val="21"/>
          <w:highlight w:val="none"/>
          <w:lang w:val="en-US" w:eastAsia="zh-CN"/>
        </w:rPr>
        <w:t xml:space="preserve"> </w:t>
      </w:r>
      <w:r>
        <w:rPr>
          <w:rFonts w:hint="eastAsia" w:ascii="宋体" w:hAnsi="宋体" w:eastAsia="宋体"/>
          <w:snapToGrid w:val="0"/>
          <w:color w:val="auto"/>
          <w:kern w:val="0"/>
          <w:szCs w:val="21"/>
          <w:highlight w:val="none"/>
          <w:u w:val="none"/>
          <w:lang w:val="en-US" w:eastAsia="zh-CN"/>
        </w:rPr>
        <w:t>不</w:t>
      </w:r>
      <w:r>
        <w:rPr>
          <w:rFonts w:hint="eastAsia" w:ascii="宋体" w:hAnsi="宋体"/>
          <w:snapToGrid w:val="0"/>
          <w:color w:val="auto"/>
          <w:kern w:val="0"/>
          <w:szCs w:val="21"/>
          <w:highlight w:val="none"/>
          <w:u w:val="none"/>
        </w:rPr>
        <w:t>接</w:t>
      </w:r>
      <w:r>
        <w:rPr>
          <w:rFonts w:hint="eastAsia" w:ascii="宋体" w:hAnsi="宋体"/>
          <w:snapToGrid w:val="0"/>
          <w:color w:val="auto"/>
          <w:kern w:val="0"/>
          <w:szCs w:val="21"/>
          <w:highlight w:val="none"/>
        </w:rPr>
        <w:t>受</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联合体</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w:t>
      </w:r>
    </w:p>
    <w:p w14:paraId="5AE3E0AD">
      <w:pPr>
        <w:pStyle w:val="3"/>
        <w:spacing w:before="100" w:after="100" w:line="460" w:lineRule="exact"/>
        <w:rPr>
          <w:rFonts w:ascii="宋体" w:hAnsi="宋体"/>
          <w:snapToGrid w:val="0"/>
          <w:color w:val="auto"/>
          <w:sz w:val="28"/>
          <w:szCs w:val="28"/>
          <w:highlight w:val="none"/>
        </w:rPr>
      </w:pPr>
      <w:bookmarkStart w:id="51" w:name="_Toc224103302"/>
      <w:bookmarkStart w:id="52" w:name="_Toc509218695"/>
      <w:bookmarkStart w:id="53" w:name="_Toc200359430"/>
      <w:bookmarkStart w:id="54" w:name="_Toc277082539"/>
      <w:bookmarkStart w:id="55" w:name="_Toc200359241"/>
      <w:bookmarkStart w:id="56" w:name="_Toc287620670"/>
      <w:bookmarkStart w:id="57" w:name="_Toc10508"/>
      <w:bookmarkStart w:id="58" w:name="_Toc12705"/>
      <w:bookmarkStart w:id="59" w:name="_Toc430530419"/>
      <w:bookmarkStart w:id="60" w:name="_Toc287607731"/>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竞争性比选文件</w:t>
      </w:r>
      <w:r>
        <w:rPr>
          <w:rFonts w:ascii="宋体" w:hAnsi="宋体"/>
          <w:snapToGrid w:val="0"/>
          <w:color w:val="auto"/>
          <w:sz w:val="28"/>
          <w:szCs w:val="28"/>
          <w:highlight w:val="none"/>
        </w:rPr>
        <w:t>的获取</w:t>
      </w:r>
      <w:bookmarkEnd w:id="51"/>
      <w:bookmarkEnd w:id="52"/>
      <w:bookmarkEnd w:id="53"/>
      <w:bookmarkEnd w:id="54"/>
      <w:bookmarkEnd w:id="55"/>
      <w:bookmarkEnd w:id="56"/>
      <w:bookmarkEnd w:id="57"/>
      <w:bookmarkEnd w:id="58"/>
      <w:bookmarkEnd w:id="59"/>
      <w:bookmarkEnd w:id="60"/>
    </w:p>
    <w:p w14:paraId="78E2303E">
      <w:pPr>
        <w:spacing w:line="360" w:lineRule="auto"/>
        <w:ind w:firstLine="420" w:firstLineChars="200"/>
        <w:rPr>
          <w:rFonts w:ascii="宋体" w:hAnsi="宋体" w:cs="宋体"/>
          <w:color w:val="auto"/>
          <w:szCs w:val="21"/>
          <w:highlight w:val="none"/>
        </w:rPr>
      </w:pPr>
      <w:bookmarkStart w:id="61" w:name="_Toc224103303"/>
      <w:bookmarkStart w:id="62" w:name="_Toc200359431"/>
      <w:bookmarkStart w:id="63" w:name="_Toc200359242"/>
      <w:bookmarkStart w:id="64" w:name="_Toc430530420"/>
      <w:bookmarkStart w:id="65" w:name="_Toc277082540"/>
      <w:bookmarkStart w:id="66" w:name="_Toc287607732"/>
      <w:bookmarkStart w:id="67" w:name="_Toc28449"/>
      <w:bookmarkStart w:id="68" w:name="_Toc509218696"/>
      <w:bookmarkStart w:id="69" w:name="_Toc287620671"/>
      <w:r>
        <w:rPr>
          <w:rFonts w:hint="eastAsia" w:ascii="宋体" w:hAnsi="宋体" w:cs="宋体"/>
          <w:color w:val="auto"/>
          <w:szCs w:val="21"/>
          <w:highlight w:val="none"/>
        </w:rPr>
        <w:t>4.1竞标人在竞标前可在行采家（https://www.gec123.com/）进行注册。</w:t>
      </w:r>
    </w:p>
    <w:p w14:paraId="48AAC2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4.2潜在竞标人请在“行采家”网上下载本项目竞争性比选文件以及补遗等开标前公布的所有项目资料，无论竞标人下载与否，均视为已知晓所有比选内容。</w:t>
      </w:r>
    </w:p>
    <w:p w14:paraId="5A4142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4.3凡有意参加比选的竞标人，请于2025年</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13 </w:t>
      </w:r>
      <w:r>
        <w:rPr>
          <w:rFonts w:hint="eastAsia" w:ascii="宋体" w:hAnsi="宋体" w:cs="宋体"/>
          <w:color w:val="auto"/>
          <w:szCs w:val="21"/>
          <w:highlight w:val="none"/>
        </w:rPr>
        <w:t>日起-2025年</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15 </w:t>
      </w:r>
      <w:r>
        <w:rPr>
          <w:rFonts w:hint="eastAsia" w:ascii="宋体" w:hAnsi="宋体" w:cs="宋体"/>
          <w:color w:val="auto"/>
          <w:szCs w:val="21"/>
          <w:highlight w:val="none"/>
        </w:rPr>
        <w:t>日（9:00-17:00）内完成报名，未在规定时间内完成报名不得参与竞标。报名方式为：</w:t>
      </w:r>
    </w:p>
    <w:p w14:paraId="033DF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4.3.1比选文件售价：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00元/</w:t>
      </w:r>
      <w:r>
        <w:rPr>
          <w:rFonts w:hint="eastAsia" w:ascii="宋体" w:hAnsi="宋体" w:cs="宋体"/>
          <w:color w:val="auto"/>
          <w:szCs w:val="21"/>
          <w:highlight w:val="none"/>
          <w:lang w:val="en-US" w:eastAsia="zh-CN"/>
        </w:rPr>
        <w:t>份</w:t>
      </w:r>
      <w:r>
        <w:rPr>
          <w:rFonts w:hint="eastAsia" w:ascii="宋体" w:hAnsi="宋体" w:cs="宋体"/>
          <w:color w:val="auto"/>
          <w:szCs w:val="21"/>
          <w:highlight w:val="none"/>
        </w:rPr>
        <w:t>（售后不退），在递交竞标文件时支付比选文件费用，售后不退。</w:t>
      </w:r>
    </w:p>
    <w:p w14:paraId="13764E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4.3.2潜在竞标人将《比选文件发售登记表》（加盖竞标人公章）扫描后发送至</w:t>
      </w:r>
      <w:r>
        <w:rPr>
          <w:rFonts w:hint="eastAsia" w:ascii="宋体" w:hAnsi="宋体"/>
          <w:color w:val="auto"/>
          <w:szCs w:val="21"/>
          <w:highlight w:val="none"/>
        </w:rPr>
        <w:t>2450444027@qq.com</w:t>
      </w:r>
      <w:r>
        <w:rPr>
          <w:rFonts w:hint="eastAsia" w:ascii="宋体" w:hAnsi="宋体" w:cs="宋体"/>
          <w:color w:val="auto"/>
          <w:szCs w:val="21"/>
          <w:highlight w:val="none"/>
        </w:rPr>
        <w:t>邮箱进行报名。</w:t>
      </w:r>
    </w:p>
    <w:p w14:paraId="73C9DB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注：比选申请人须满足以下要求，其竞标文件才被接受：</w:t>
      </w:r>
    </w:p>
    <w:p w14:paraId="761DC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（1）按时报名；</w:t>
      </w:r>
    </w:p>
    <w:p w14:paraId="24625E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（2）按时签到并递交竞标文件。</w:t>
      </w:r>
    </w:p>
    <w:p w14:paraId="0AE9F0CA">
      <w:pPr>
        <w:pStyle w:val="3"/>
        <w:spacing w:before="100" w:after="100" w:line="460" w:lineRule="exact"/>
        <w:rPr>
          <w:rFonts w:ascii="宋体" w:hAnsi="宋体"/>
          <w:snapToGrid w:val="0"/>
          <w:color w:val="auto"/>
          <w:sz w:val="28"/>
          <w:szCs w:val="28"/>
          <w:highlight w:val="none"/>
        </w:rPr>
      </w:pPr>
      <w:bookmarkStart w:id="70" w:name="_Toc8176"/>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文件的递交</w:t>
      </w:r>
      <w:bookmarkEnd w:id="61"/>
      <w:bookmarkEnd w:id="62"/>
      <w:bookmarkEnd w:id="63"/>
      <w:bookmarkEnd w:id="64"/>
      <w:bookmarkEnd w:id="65"/>
      <w:bookmarkEnd w:id="66"/>
      <w:bookmarkEnd w:id="67"/>
      <w:bookmarkEnd w:id="68"/>
      <w:bookmarkEnd w:id="69"/>
      <w:bookmarkEnd w:id="70"/>
    </w:p>
    <w:p w14:paraId="50A228E5">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文件递交的截止时间（</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截止时间，下同）为</w:t>
      </w:r>
      <w:r>
        <w:rPr>
          <w:rFonts w:hint="eastAsia" w:ascii="宋体" w:hAnsi="宋体"/>
          <w:snapToGrid w:val="0"/>
          <w:color w:val="auto"/>
          <w:kern w:val="0"/>
          <w:szCs w:val="21"/>
          <w:highlight w:val="none"/>
          <w:u w:val="single"/>
        </w:rPr>
        <w:t xml:space="preserve"> 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10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17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14</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w:t>
      </w:r>
      <w:r>
        <w:rPr>
          <w:rFonts w:hint="eastAsia" w:ascii="宋体" w:hAnsi="宋体"/>
          <w:snapToGrid w:val="0"/>
          <w:color w:val="auto"/>
          <w:kern w:val="0"/>
          <w:szCs w:val="21"/>
          <w:highlight w:val="none"/>
          <w:u w:val="single"/>
        </w:rPr>
        <w:t>0</w:t>
      </w:r>
      <w:r>
        <w:rPr>
          <w:rFonts w:ascii="宋体" w:hAnsi="宋体"/>
          <w:snapToGrid w:val="0"/>
          <w:color w:val="auto"/>
          <w:kern w:val="0"/>
          <w:szCs w:val="21"/>
          <w:highlight w:val="none"/>
        </w:rPr>
        <w:t>分，地点为</w:t>
      </w:r>
      <w:r>
        <w:rPr>
          <w:rFonts w:hint="eastAsia" w:ascii="宋体" w:hAnsi="宋体" w:cs="宋体"/>
          <w:b/>
          <w:snapToGrid w:val="0"/>
          <w:color w:val="auto"/>
          <w:kern w:val="0"/>
          <w:highlight w:val="none"/>
          <w:u w:val="single"/>
          <w:lang w:val="en-US" w:eastAsia="zh-CN"/>
        </w:rPr>
        <w:t>南岸区公共资源交易平台（汇南公司）（地址：重庆市南岸区茶园新区广福大道12号行政中心B区2号楼4楼）</w:t>
      </w:r>
      <w:r>
        <w:rPr>
          <w:rFonts w:ascii="宋体" w:hAnsi="宋体"/>
          <w:snapToGrid w:val="0"/>
          <w:color w:val="auto"/>
          <w:kern w:val="0"/>
          <w:szCs w:val="21"/>
          <w:highlight w:val="none"/>
        </w:rPr>
        <w:t>。</w:t>
      </w:r>
    </w:p>
    <w:p w14:paraId="2E722D87">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rPr>
        <w:t>竞标文件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人不予受理。</w:t>
      </w:r>
      <w:r>
        <w:rPr>
          <w:rFonts w:hint="eastAsia" w:ascii="宋体" w:hAnsi="宋体"/>
          <w:snapToGrid w:val="0"/>
          <w:color w:val="auto"/>
          <w:kern w:val="0"/>
          <w:szCs w:val="21"/>
          <w:highlight w:val="none"/>
        </w:rPr>
        <w:t xml:space="preserve"> </w:t>
      </w:r>
    </w:p>
    <w:p w14:paraId="26E7B146">
      <w:pPr>
        <w:pStyle w:val="3"/>
        <w:spacing w:before="100" w:after="100" w:line="460" w:lineRule="exact"/>
        <w:rPr>
          <w:rFonts w:ascii="宋体" w:hAnsi="宋体"/>
          <w:snapToGrid w:val="0"/>
          <w:color w:val="auto"/>
          <w:sz w:val="28"/>
          <w:szCs w:val="28"/>
          <w:highlight w:val="none"/>
        </w:rPr>
      </w:pPr>
      <w:bookmarkStart w:id="71" w:name="_Toc4671"/>
      <w:bookmarkStart w:id="72" w:name="_Toc200359243"/>
      <w:bookmarkStart w:id="73" w:name="_Toc200359432"/>
      <w:bookmarkStart w:id="74" w:name="_Toc287607733"/>
      <w:bookmarkStart w:id="75" w:name="_Toc430530421"/>
      <w:bookmarkStart w:id="76" w:name="_Toc8166"/>
      <w:bookmarkStart w:id="77" w:name="_Toc277082541"/>
      <w:bookmarkStart w:id="78" w:name="_Toc509218697"/>
      <w:bookmarkStart w:id="79" w:name="_Toc287620672"/>
      <w:bookmarkStart w:id="80" w:name="_Toc224103304"/>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1"/>
      <w:bookmarkEnd w:id="72"/>
      <w:bookmarkEnd w:id="73"/>
      <w:bookmarkEnd w:id="74"/>
      <w:bookmarkEnd w:id="75"/>
      <w:bookmarkEnd w:id="76"/>
      <w:bookmarkEnd w:id="77"/>
      <w:bookmarkEnd w:id="78"/>
      <w:bookmarkEnd w:id="79"/>
      <w:bookmarkEnd w:id="80"/>
    </w:p>
    <w:p w14:paraId="3ADBAB00">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本次公告同时在</w:t>
      </w:r>
      <w:r>
        <w:rPr>
          <w:rFonts w:hint="eastAsia" w:ascii="宋体" w:hAnsi="宋体"/>
          <w:snapToGrid w:val="0"/>
          <w:color w:val="auto"/>
          <w:kern w:val="0"/>
          <w:szCs w:val="21"/>
          <w:highlight w:val="none"/>
          <w:u w:val="single"/>
        </w:rPr>
        <w:t xml:space="preserve"> 行采家（https://www.gec123.com/）</w:t>
      </w:r>
      <w:r>
        <w:rPr>
          <w:rFonts w:ascii="宋体" w:hAnsi="宋体"/>
          <w:snapToGrid w:val="0"/>
          <w:color w:val="auto"/>
          <w:kern w:val="0"/>
          <w:szCs w:val="21"/>
          <w:highlight w:val="none"/>
        </w:rPr>
        <w:t>上发布。</w:t>
      </w:r>
    </w:p>
    <w:p w14:paraId="601D8FB9">
      <w:pPr>
        <w:pStyle w:val="3"/>
        <w:spacing w:before="100" w:after="100" w:line="460" w:lineRule="exact"/>
        <w:rPr>
          <w:rFonts w:ascii="宋体" w:hAnsi="宋体"/>
          <w:snapToGrid w:val="0"/>
          <w:color w:val="auto"/>
          <w:sz w:val="28"/>
          <w:szCs w:val="28"/>
          <w:highlight w:val="none"/>
        </w:rPr>
      </w:pPr>
      <w:bookmarkStart w:id="81" w:name="_Toc31352"/>
      <w:bookmarkStart w:id="82" w:name="_Toc14240"/>
      <w:bookmarkStart w:id="83" w:name="_Toc277082542"/>
      <w:bookmarkStart w:id="84" w:name="_Toc287607734"/>
      <w:bookmarkStart w:id="85" w:name="_Toc509218698"/>
      <w:bookmarkStart w:id="86" w:name="_Toc10191"/>
      <w:bookmarkStart w:id="87" w:name="_Toc430530422"/>
      <w:bookmarkStart w:id="88" w:name="_Toc224103305"/>
      <w:bookmarkStart w:id="89" w:name="_Toc287620673"/>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1"/>
      <w:bookmarkEnd w:id="82"/>
      <w:bookmarkStart w:id="90" w:name="_Toc589"/>
      <w:r>
        <w:rPr>
          <w:rFonts w:ascii="宋体" w:hAnsi="宋体"/>
          <w:snapToGrid w:val="0"/>
          <w:color w:val="auto"/>
          <w:sz w:val="28"/>
          <w:szCs w:val="28"/>
          <w:highlight w:val="none"/>
        </w:rPr>
        <w:t>联系方式</w:t>
      </w:r>
      <w:bookmarkEnd w:id="83"/>
      <w:bookmarkEnd w:id="84"/>
      <w:bookmarkEnd w:id="85"/>
      <w:bookmarkEnd w:id="86"/>
      <w:bookmarkEnd w:id="87"/>
      <w:bookmarkEnd w:id="88"/>
      <w:bookmarkEnd w:id="89"/>
      <w:bookmarkEnd w:id="90"/>
    </w:p>
    <w:p w14:paraId="017B6959">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比选人：</w:t>
      </w:r>
      <w:r>
        <w:rPr>
          <w:rFonts w:hint="eastAsia" w:ascii="宋体"/>
          <w:color w:val="auto"/>
          <w:szCs w:val="21"/>
          <w:highlight w:val="none"/>
          <w:lang w:eastAsia="zh-CN"/>
        </w:rPr>
        <w:t>重庆市江南城市建设发展(集团)有限公司</w:t>
      </w:r>
    </w:p>
    <w:p w14:paraId="131921E3">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地址：</w:t>
      </w:r>
      <w:r>
        <w:rPr>
          <w:rFonts w:hint="eastAsia" w:ascii="宋体" w:hAnsi="宋体"/>
          <w:color w:val="auto"/>
          <w:kern w:val="0"/>
          <w:highlight w:val="none"/>
        </w:rPr>
        <w:t>重庆市南岸区茶园花街二期A栋(长生桥地铁站东)</w:t>
      </w:r>
    </w:p>
    <w:p w14:paraId="2A659377">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联系人：赵老师</w:t>
      </w:r>
    </w:p>
    <w:p w14:paraId="1072BADA">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联系电话：</w:t>
      </w:r>
      <w:r>
        <w:rPr>
          <w:rFonts w:hint="eastAsia" w:ascii="宋体" w:hAnsi="宋体"/>
          <w:color w:val="auto"/>
          <w:kern w:val="0"/>
          <w:highlight w:val="none"/>
        </w:rPr>
        <w:t>023-62820331</w:t>
      </w:r>
    </w:p>
    <w:p w14:paraId="66C2022B">
      <w:pPr>
        <w:tabs>
          <w:tab w:val="left" w:pos="1425"/>
        </w:tabs>
        <w:spacing w:line="360" w:lineRule="auto"/>
        <w:ind w:left="5985" w:leftChars="200" w:hanging="5565" w:hangingChars="2650"/>
        <w:rPr>
          <w:rFonts w:hint="eastAsia" w:ascii="宋体" w:eastAsia="宋体"/>
          <w:color w:val="auto"/>
          <w:szCs w:val="21"/>
          <w:highlight w:val="none"/>
          <w:lang w:eastAsia="zh-CN"/>
        </w:rPr>
      </w:pPr>
      <w:r>
        <w:rPr>
          <w:rFonts w:hint="eastAsia" w:ascii="宋体"/>
          <w:color w:val="auto"/>
          <w:szCs w:val="21"/>
          <w:highlight w:val="none"/>
          <w:lang w:val="en-US" w:eastAsia="zh-CN"/>
        </w:rPr>
        <w:t>比选</w:t>
      </w:r>
      <w:r>
        <w:rPr>
          <w:rFonts w:hint="eastAsia" w:ascii="宋体"/>
          <w:color w:val="auto"/>
          <w:szCs w:val="21"/>
          <w:highlight w:val="none"/>
        </w:rPr>
        <w:t>代理机构：</w:t>
      </w:r>
      <w:r>
        <w:rPr>
          <w:rFonts w:hint="eastAsia" w:ascii="宋体" w:hAnsi="宋体"/>
          <w:color w:val="auto"/>
          <w:kern w:val="0"/>
          <w:szCs w:val="21"/>
          <w:highlight w:val="none"/>
          <w:lang w:eastAsia="zh-CN"/>
        </w:rPr>
        <w:t>重庆修为工程咨询有限公司</w:t>
      </w:r>
    </w:p>
    <w:p w14:paraId="2128103F">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地址：</w:t>
      </w:r>
      <w:r>
        <w:rPr>
          <w:rFonts w:hint="eastAsia" w:ascii="宋体"/>
          <w:color w:val="auto"/>
          <w:szCs w:val="21"/>
          <w:highlight w:val="none"/>
          <w:lang w:val="en-US" w:eastAsia="zh-CN"/>
        </w:rPr>
        <w:t>重庆市两江新区天宫殿街道财富中心A座28-7</w:t>
      </w:r>
    </w:p>
    <w:p w14:paraId="14350FC6">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联系人：</w:t>
      </w:r>
      <w:r>
        <w:rPr>
          <w:rFonts w:hint="eastAsia" w:ascii="宋体"/>
          <w:color w:val="auto"/>
          <w:szCs w:val="21"/>
          <w:highlight w:val="none"/>
          <w:lang w:val="en-US" w:eastAsia="zh-CN"/>
        </w:rPr>
        <w:t>冉</w:t>
      </w:r>
      <w:r>
        <w:rPr>
          <w:rFonts w:hint="eastAsia" w:ascii="宋体" w:cs="宋体"/>
          <w:snapToGrid w:val="0"/>
          <w:color w:val="auto"/>
          <w:szCs w:val="21"/>
          <w:highlight w:val="none"/>
        </w:rPr>
        <w:t>老师</w:t>
      </w:r>
    </w:p>
    <w:p w14:paraId="2876A455">
      <w:pPr>
        <w:tabs>
          <w:tab w:val="left" w:pos="1425"/>
        </w:tabs>
        <w:spacing w:line="360" w:lineRule="auto"/>
        <w:ind w:left="5985" w:leftChars="200" w:hanging="5565" w:hangingChars="2650"/>
        <w:rPr>
          <w:rFonts w:ascii="宋体" w:hAnsi="宋体"/>
          <w:snapToGrid w:val="0"/>
          <w:color w:val="auto"/>
          <w:kern w:val="0"/>
          <w:szCs w:val="21"/>
          <w:highlight w:val="none"/>
          <w:u w:val="single"/>
        </w:rPr>
      </w:pPr>
      <w:r>
        <w:rPr>
          <w:rFonts w:hint="eastAsia" w:ascii="宋体"/>
          <w:color w:val="auto"/>
          <w:szCs w:val="21"/>
          <w:highlight w:val="none"/>
        </w:rPr>
        <w:t>联系电话：</w:t>
      </w:r>
      <w:r>
        <w:rPr>
          <w:rFonts w:hint="eastAsia" w:ascii="宋体"/>
          <w:color w:val="auto"/>
          <w:szCs w:val="21"/>
          <w:highlight w:val="none"/>
          <w:lang w:val="en-US" w:eastAsia="zh-CN"/>
        </w:rPr>
        <w:t>13618301214</w:t>
      </w:r>
    </w:p>
    <w:p w14:paraId="17181528">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10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13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680C5260">
      <w:pPr>
        <w:pStyle w:val="2"/>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91" w:name="_Toc430530423"/>
      <w:bookmarkStart w:id="92" w:name="_Toc287620674"/>
      <w:bookmarkStart w:id="93" w:name="_Toc287607735"/>
      <w:bookmarkStart w:id="94" w:name="_Toc224103306"/>
    </w:p>
    <w:bookmarkEnd w:id="91"/>
    <w:bookmarkEnd w:id="92"/>
    <w:bookmarkEnd w:id="93"/>
    <w:bookmarkEnd w:id="94"/>
    <w:p w14:paraId="1A0A5777">
      <w:pPr>
        <w:pStyle w:val="2"/>
        <w:spacing w:line="360" w:lineRule="auto"/>
        <w:jc w:val="center"/>
        <w:rPr>
          <w:rFonts w:ascii="宋体" w:hAnsi="宋体"/>
          <w:bCs w:val="0"/>
          <w:snapToGrid w:val="0"/>
          <w:color w:val="auto"/>
          <w:kern w:val="0"/>
          <w:highlight w:val="none"/>
        </w:rPr>
      </w:pPr>
      <w:bookmarkStart w:id="95" w:name="_Toc32148"/>
      <w:bookmarkStart w:id="96" w:name="_Toc29973"/>
      <w:bookmarkStart w:id="97" w:name="_Toc287607744"/>
      <w:bookmarkStart w:id="98" w:name="_Toc287620683"/>
      <w:bookmarkStart w:id="99" w:name="_Toc430530432"/>
      <w:bookmarkStart w:id="100" w:name="_Toc224103315"/>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bookmarkEnd w:id="95"/>
      <w:bookmarkEnd w:id="96"/>
      <w:bookmarkEnd w:id="97"/>
      <w:bookmarkEnd w:id="98"/>
      <w:bookmarkEnd w:id="99"/>
      <w:bookmarkEnd w:id="100"/>
      <w:bookmarkStart w:id="101" w:name="_Toc287620684"/>
      <w:bookmarkStart w:id="102" w:name="_Toc287607745"/>
      <w:bookmarkStart w:id="103" w:name="_Toc430530433"/>
      <w:bookmarkStart w:id="104" w:name="_Toc224103316"/>
      <w:bookmarkStart w:id="105" w:name="_Toc277082551"/>
    </w:p>
    <w:p w14:paraId="20B22C17">
      <w:pPr>
        <w:pStyle w:val="3"/>
        <w:spacing w:before="100" w:after="100" w:line="360" w:lineRule="auto"/>
        <w:rPr>
          <w:rFonts w:ascii="宋体" w:hAnsi="宋体"/>
          <w:color w:val="auto"/>
          <w:highlight w:val="none"/>
        </w:rPr>
      </w:pPr>
      <w:bookmarkStart w:id="106" w:name="_Toc10513"/>
      <w:bookmarkStart w:id="107" w:name="_Toc8005"/>
      <w:bookmarkStart w:id="108" w:name="_Toc509218708"/>
      <w:r>
        <w:rPr>
          <w:rFonts w:hint="eastAsia" w:ascii="宋体" w:hAnsi="宋体"/>
          <w:color w:val="auto"/>
          <w:highlight w:val="none"/>
        </w:rPr>
        <w:t>竞标人须知前附表</w:t>
      </w:r>
      <w:bookmarkEnd w:id="101"/>
      <w:bookmarkEnd w:id="102"/>
      <w:bookmarkEnd w:id="103"/>
      <w:bookmarkEnd w:id="104"/>
      <w:bookmarkEnd w:id="105"/>
      <w:bookmarkEnd w:id="106"/>
      <w:bookmarkEnd w:id="107"/>
      <w:bookmarkEnd w:id="108"/>
    </w:p>
    <w:p w14:paraId="342E1A94">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竞标人</w:t>
      </w:r>
      <w:r>
        <w:rPr>
          <w:rFonts w:ascii="宋体" w:hAnsi="宋体"/>
          <w:color w:val="auto"/>
          <w:szCs w:val="21"/>
          <w:highlight w:val="none"/>
        </w:rPr>
        <w:t>须知前附表与正文不一致的地方，以</w:t>
      </w:r>
      <w:r>
        <w:rPr>
          <w:rFonts w:hint="eastAsia" w:ascii="宋体" w:hAnsi="宋体"/>
          <w:color w:val="auto"/>
          <w:szCs w:val="21"/>
          <w:highlight w:val="none"/>
        </w:rPr>
        <w:t>竞标人</w:t>
      </w:r>
      <w:r>
        <w:rPr>
          <w:rFonts w:ascii="宋体" w:hAnsi="宋体"/>
          <w:color w:val="auto"/>
          <w:szCs w:val="21"/>
          <w:highlight w:val="none"/>
        </w:rPr>
        <w:t>须知前附表为准。</w:t>
      </w:r>
    </w:p>
    <w:tbl>
      <w:tblPr>
        <w:tblStyle w:val="48"/>
        <w:tblW w:w="98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919"/>
      </w:tblGrid>
      <w:tr w14:paraId="33EA7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A22503F">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47C477B8">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919" w:type="dxa"/>
            <w:vAlign w:val="center"/>
          </w:tcPr>
          <w:p w14:paraId="4B57862A">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09977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75C1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1F93CF8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p>
        </w:tc>
        <w:tc>
          <w:tcPr>
            <w:tcW w:w="6919" w:type="dxa"/>
            <w:vAlign w:val="center"/>
          </w:tcPr>
          <w:p w14:paraId="30F5E63D">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名称：</w:t>
            </w:r>
            <w:r>
              <w:rPr>
                <w:rFonts w:hint="eastAsia" w:ascii="宋体" w:hAnsi="宋体"/>
                <w:color w:val="auto"/>
                <w:kern w:val="0"/>
                <w:szCs w:val="21"/>
                <w:highlight w:val="none"/>
                <w:lang w:eastAsia="zh-CN"/>
              </w:rPr>
              <w:t>重庆市江南城市建设发展(集团)有限公司</w:t>
            </w:r>
          </w:p>
          <w:p w14:paraId="714DEADA">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地址：：重庆市南岸区茶园花街二期A栋(长生桥地铁站东)</w:t>
            </w:r>
          </w:p>
          <w:p w14:paraId="243802F3">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联系人：赵老师</w:t>
            </w:r>
          </w:p>
          <w:p w14:paraId="32783CC1">
            <w:pPr>
              <w:snapToGrid w:val="0"/>
              <w:spacing w:line="400" w:lineRule="exact"/>
              <w:rPr>
                <w:rFonts w:ascii="宋体" w:hAnsi="宋体"/>
                <w:color w:val="auto"/>
                <w:kern w:val="0"/>
                <w:szCs w:val="21"/>
                <w:highlight w:val="none"/>
              </w:rPr>
            </w:pPr>
            <w:r>
              <w:rPr>
                <w:rFonts w:hint="eastAsia" w:ascii="宋体" w:hAnsi="宋体" w:eastAsia="宋体"/>
                <w:color w:val="auto"/>
                <w:kern w:val="0"/>
                <w:szCs w:val="21"/>
                <w:highlight w:val="none"/>
                <w:lang w:eastAsia="zh-CN"/>
              </w:rPr>
              <w:t>联系电话：023-62820331</w:t>
            </w:r>
          </w:p>
        </w:tc>
      </w:tr>
      <w:tr w14:paraId="6F166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FF8C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72DAB03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代理机构</w:t>
            </w:r>
          </w:p>
        </w:tc>
        <w:tc>
          <w:tcPr>
            <w:tcW w:w="6919" w:type="dxa"/>
            <w:vAlign w:val="center"/>
          </w:tcPr>
          <w:p w14:paraId="02870D0D">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比选代理机构：</w:t>
            </w:r>
            <w:r>
              <w:rPr>
                <w:rFonts w:hint="eastAsia" w:ascii="宋体" w:hAnsi="宋体"/>
                <w:color w:val="auto"/>
                <w:kern w:val="0"/>
                <w:szCs w:val="21"/>
                <w:highlight w:val="none"/>
                <w:lang w:eastAsia="zh-CN"/>
              </w:rPr>
              <w:t>重庆修为工程咨询有限公司</w:t>
            </w:r>
          </w:p>
          <w:p w14:paraId="1E7C514A">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地址：</w:t>
            </w:r>
            <w:r>
              <w:rPr>
                <w:rFonts w:hint="eastAsia" w:ascii="宋体" w:hAnsi="宋体"/>
                <w:color w:val="auto"/>
                <w:kern w:val="0"/>
                <w:szCs w:val="21"/>
                <w:highlight w:val="none"/>
                <w:lang w:val="en-US" w:eastAsia="zh-CN"/>
              </w:rPr>
              <w:t>重庆市两江新区天宫殿街道财富中心A座28-7</w:t>
            </w:r>
            <w:r>
              <w:rPr>
                <w:rFonts w:hint="eastAsia" w:ascii="宋体" w:hAnsi="宋体"/>
                <w:color w:val="auto"/>
                <w:kern w:val="0"/>
                <w:szCs w:val="21"/>
                <w:highlight w:val="none"/>
              </w:rPr>
              <w:t xml:space="preserve"> </w:t>
            </w:r>
          </w:p>
          <w:p w14:paraId="6A5CC8FC">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联系人：</w:t>
            </w:r>
            <w:r>
              <w:rPr>
                <w:rFonts w:hint="eastAsia" w:ascii="宋体" w:hAnsi="宋体"/>
                <w:color w:val="auto"/>
                <w:kern w:val="0"/>
                <w:szCs w:val="21"/>
                <w:highlight w:val="none"/>
                <w:lang w:val="en-US" w:eastAsia="zh-CN"/>
              </w:rPr>
              <w:t>冉</w:t>
            </w:r>
            <w:r>
              <w:rPr>
                <w:rFonts w:hint="eastAsia" w:ascii="宋体" w:hAnsi="宋体"/>
                <w:color w:val="auto"/>
                <w:kern w:val="0"/>
                <w:szCs w:val="21"/>
                <w:highlight w:val="none"/>
              </w:rPr>
              <w:t>老师</w:t>
            </w:r>
            <w:r>
              <w:rPr>
                <w:rFonts w:hint="eastAsia" w:ascii="宋体" w:hAnsi="宋体"/>
                <w:color w:val="auto"/>
                <w:kern w:val="0"/>
                <w:szCs w:val="21"/>
                <w:highlight w:val="none"/>
                <w:lang w:val="en-US" w:eastAsia="zh-CN"/>
              </w:rPr>
              <w:t xml:space="preserve"> </w:t>
            </w:r>
          </w:p>
          <w:p w14:paraId="24229B87">
            <w:pPr>
              <w:snapToGrid w:val="0"/>
              <w:spacing w:line="400" w:lineRule="exac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13618301214</w:t>
            </w:r>
          </w:p>
        </w:tc>
      </w:tr>
      <w:tr w14:paraId="68BC9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A9039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66F6773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919" w:type="dxa"/>
            <w:vAlign w:val="center"/>
          </w:tcPr>
          <w:p w14:paraId="20F18BEE">
            <w:pPr>
              <w:snapToGrid w:val="0"/>
              <w:spacing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重庆市南岸区二贸片区老旧小区综合改造工程</w:t>
            </w:r>
            <w:r>
              <w:rPr>
                <w:rFonts w:hint="eastAsia" w:ascii="宋体"/>
                <w:kern w:val="0"/>
                <w:sz w:val="24"/>
                <w:highlight w:val="none"/>
                <w:lang w:eastAsia="zh-CN"/>
              </w:rPr>
              <w:t>（一期工程）设计</w:t>
            </w:r>
          </w:p>
        </w:tc>
      </w:tr>
      <w:tr w14:paraId="499DF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70B00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799F5A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919" w:type="dxa"/>
            <w:vAlign w:val="center"/>
          </w:tcPr>
          <w:p w14:paraId="1681C503">
            <w:pPr>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南岸区。</w:t>
            </w:r>
          </w:p>
        </w:tc>
      </w:tr>
      <w:tr w14:paraId="1A483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A58CF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1EBD1E4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919" w:type="dxa"/>
            <w:vAlign w:val="center"/>
          </w:tcPr>
          <w:p w14:paraId="03848DE8">
            <w:pPr>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包括配套道路铺装改造、线缆规整、人行道地面基层整治改造及铺装、街区环境整治</w:t>
            </w:r>
            <w:r>
              <w:rPr>
                <w:rFonts w:hint="eastAsia" w:ascii="宋体" w:hAnsi="宋体"/>
                <w:snapToGrid w:val="0"/>
                <w:color w:val="auto"/>
                <w:kern w:val="0"/>
                <w:szCs w:val="21"/>
                <w:highlight w:val="none"/>
                <w:lang w:val="en-US" w:eastAsia="zh-CN"/>
              </w:rPr>
              <w:t>等</w:t>
            </w:r>
          </w:p>
        </w:tc>
      </w:tr>
      <w:tr w14:paraId="1BF3F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749DA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632299C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919" w:type="dxa"/>
            <w:vAlign w:val="center"/>
          </w:tcPr>
          <w:p w14:paraId="49309579">
            <w:pPr>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自筹资金</w:t>
            </w:r>
          </w:p>
        </w:tc>
      </w:tr>
      <w:tr w14:paraId="0C475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D7842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1EF3E9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919" w:type="dxa"/>
            <w:vAlign w:val="center"/>
          </w:tcPr>
          <w:p w14:paraId="396960A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55A21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7C430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2B8C6B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919" w:type="dxa"/>
            <w:vAlign w:val="center"/>
          </w:tcPr>
          <w:p w14:paraId="3FB8922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12347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FE225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52168F4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范围</w:t>
            </w:r>
          </w:p>
        </w:tc>
        <w:tc>
          <w:tcPr>
            <w:tcW w:w="6919" w:type="dxa"/>
            <w:vAlign w:val="center"/>
          </w:tcPr>
          <w:p w14:paraId="0B630B68">
            <w:pPr>
              <w:snapToGrid w:val="0"/>
              <w:spacing w:line="400" w:lineRule="exact"/>
              <w:ind w:firstLine="420" w:firstLineChars="200"/>
              <w:jc w:val="left"/>
              <w:rPr>
                <w:rFonts w:hint="default" w:ascii="宋体" w:hAnsi="宋体" w:eastAsia="宋体"/>
                <w:i/>
                <w:color w:val="auto"/>
                <w:szCs w:val="21"/>
                <w:highlight w:val="none"/>
                <w:u w:val="none"/>
                <w:lang w:val="en-US" w:eastAsia="zh-CN"/>
              </w:rPr>
            </w:pPr>
            <w:r>
              <w:rPr>
                <w:rFonts w:hint="eastAsia" w:ascii="宋体" w:hAnsi="宋体"/>
                <w:snapToGrid w:val="0"/>
                <w:color w:val="auto"/>
                <w:kern w:val="0"/>
                <w:szCs w:val="21"/>
                <w:highlight w:val="none"/>
              </w:rPr>
              <w:t>包括配套道路铺装改造、线缆规整、人行道地面基层整治改造及铺装街区环境整治、老旧建筑外立面更新、屋面防水整治、设施设备更新以及相关配套管网改造等</w:t>
            </w:r>
            <w:r>
              <w:rPr>
                <w:rFonts w:hint="eastAsia" w:ascii="宋体" w:hAnsi="宋体"/>
                <w:snapToGrid w:val="0"/>
                <w:color w:val="auto"/>
                <w:kern w:val="0"/>
                <w:szCs w:val="21"/>
                <w:highlight w:val="none"/>
                <w:lang w:eastAsia="zh-CN"/>
              </w:rPr>
              <w:t>。</w:t>
            </w:r>
          </w:p>
        </w:tc>
      </w:tr>
      <w:tr w14:paraId="310F4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85BC2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0360887A">
            <w:pPr>
              <w:spacing w:line="400" w:lineRule="exact"/>
              <w:jc w:val="center"/>
              <w:rPr>
                <w:rFonts w:ascii="宋体" w:hAnsi="宋体"/>
                <w:color w:val="auto"/>
                <w:kern w:val="0"/>
                <w:szCs w:val="21"/>
                <w:highlight w:val="none"/>
              </w:rPr>
            </w:pPr>
            <w:r>
              <w:rPr>
                <w:rFonts w:hint="eastAsia" w:cs="宋体" w:asciiTheme="minorEastAsia" w:hAnsiTheme="minorEastAsia" w:eastAsiaTheme="minorEastAsia"/>
                <w:color w:val="auto"/>
                <w:szCs w:val="21"/>
                <w:highlight w:val="none"/>
              </w:rPr>
              <w:t>服务期限</w:t>
            </w:r>
          </w:p>
        </w:tc>
        <w:tc>
          <w:tcPr>
            <w:tcW w:w="6919" w:type="dxa"/>
            <w:vAlign w:val="center"/>
          </w:tcPr>
          <w:p w14:paraId="1A52784D">
            <w:pPr>
              <w:snapToGrid w:val="0"/>
              <w:spacing w:line="400" w:lineRule="exact"/>
              <w:ind w:firstLine="420" w:firstLineChars="200"/>
              <w:rPr>
                <w:rFonts w:hint="eastAsia" w:cs="宋体" w:asciiTheme="minorEastAsia" w:hAnsiTheme="minorEastAsia" w:eastAsiaTheme="minorEastAsia"/>
                <w:color w:val="auto"/>
                <w:szCs w:val="21"/>
                <w:highlight w:val="none"/>
                <w:u w:val="none"/>
                <w:lang w:val="en-US" w:eastAsia="zh-CN"/>
              </w:rPr>
            </w:pPr>
            <w:r>
              <w:rPr>
                <w:rFonts w:hint="eastAsia" w:ascii="宋体" w:hAnsi="宋体"/>
                <w:snapToGrid w:val="0"/>
                <w:color w:val="auto"/>
                <w:kern w:val="0"/>
                <w:szCs w:val="21"/>
                <w:highlight w:val="none"/>
                <w:lang w:val="en-US" w:eastAsia="zh-CN"/>
              </w:rPr>
              <w:t>签订合同后 90日历天。</w:t>
            </w:r>
          </w:p>
        </w:tc>
      </w:tr>
      <w:tr w14:paraId="72364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0021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2EE620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919" w:type="dxa"/>
            <w:vAlign w:val="center"/>
          </w:tcPr>
          <w:p w14:paraId="32AA5650">
            <w:pPr>
              <w:snapToGrid w:val="0"/>
              <w:spacing w:line="400" w:lineRule="exact"/>
              <w:ind w:firstLine="420" w:firstLineChars="200"/>
              <w:rPr>
                <w:rFonts w:hint="default" w:cs="宋体" w:asciiTheme="minorEastAsia" w:hAnsiTheme="minorEastAsia" w:eastAsiaTheme="minorEastAsia"/>
                <w:color w:val="auto"/>
                <w:szCs w:val="21"/>
                <w:highlight w:val="none"/>
                <w:u w:val="none"/>
                <w:lang w:val="en-US" w:eastAsia="zh-CN"/>
              </w:rPr>
            </w:pPr>
            <w:r>
              <w:rPr>
                <w:rFonts w:hint="eastAsia" w:cs="宋体" w:asciiTheme="minorEastAsia" w:hAnsiTheme="minorEastAsia" w:eastAsiaTheme="minorEastAsia"/>
                <w:color w:val="auto"/>
                <w:szCs w:val="21"/>
                <w:highlight w:val="none"/>
                <w:u w:val="none"/>
                <w:lang w:val="en-US" w:eastAsia="zh-CN"/>
              </w:rPr>
              <w:t>咨询成果达到国家现行规范及验收合格标准，应符合国家及地方有关规定及上位规划等有关规定,还须满足招标深度要求，并通过比选人的审查合格。</w:t>
            </w:r>
          </w:p>
        </w:tc>
      </w:tr>
      <w:tr w14:paraId="0600E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335" w:type="dxa"/>
            <w:vAlign w:val="center"/>
          </w:tcPr>
          <w:p w14:paraId="497498B9">
            <w:pPr>
              <w:snapToGrid w:val="0"/>
              <w:spacing w:line="400" w:lineRule="exact"/>
              <w:jc w:val="center"/>
              <w:rPr>
                <w:rFonts w:ascii="宋体" w:hAnsi="宋体"/>
                <w:color w:val="auto"/>
                <w:kern w:val="0"/>
                <w:szCs w:val="21"/>
                <w:highlight w:val="none"/>
              </w:rPr>
            </w:pPr>
          </w:p>
          <w:p w14:paraId="2A88FB78">
            <w:pPr>
              <w:snapToGrid w:val="0"/>
              <w:spacing w:line="400" w:lineRule="exact"/>
              <w:jc w:val="center"/>
              <w:rPr>
                <w:rFonts w:ascii="宋体" w:hAnsi="宋体"/>
                <w:color w:val="auto"/>
                <w:kern w:val="0"/>
                <w:szCs w:val="21"/>
                <w:highlight w:val="none"/>
              </w:rPr>
            </w:pPr>
          </w:p>
          <w:p w14:paraId="04619F96">
            <w:pPr>
              <w:snapToGrid w:val="0"/>
              <w:spacing w:line="400" w:lineRule="exact"/>
              <w:jc w:val="center"/>
              <w:rPr>
                <w:rFonts w:ascii="宋体" w:hAnsi="宋体"/>
                <w:color w:val="auto"/>
                <w:kern w:val="0"/>
                <w:szCs w:val="21"/>
                <w:highlight w:val="none"/>
              </w:rPr>
            </w:pPr>
          </w:p>
          <w:p w14:paraId="06495C08">
            <w:pPr>
              <w:snapToGrid w:val="0"/>
              <w:spacing w:line="400" w:lineRule="exact"/>
              <w:jc w:val="center"/>
              <w:rPr>
                <w:rFonts w:ascii="宋体" w:hAnsi="宋体"/>
                <w:color w:val="auto"/>
                <w:kern w:val="0"/>
                <w:szCs w:val="21"/>
                <w:highlight w:val="none"/>
              </w:rPr>
            </w:pPr>
          </w:p>
          <w:p w14:paraId="115921A6">
            <w:pPr>
              <w:snapToGrid w:val="0"/>
              <w:spacing w:line="400" w:lineRule="exact"/>
              <w:jc w:val="center"/>
              <w:rPr>
                <w:rFonts w:ascii="宋体" w:hAnsi="宋体"/>
                <w:color w:val="auto"/>
                <w:kern w:val="0"/>
                <w:szCs w:val="21"/>
                <w:highlight w:val="none"/>
              </w:rPr>
            </w:pPr>
          </w:p>
          <w:p w14:paraId="305154CF">
            <w:pPr>
              <w:snapToGrid w:val="0"/>
              <w:spacing w:line="400" w:lineRule="exact"/>
              <w:jc w:val="center"/>
              <w:rPr>
                <w:rFonts w:ascii="宋体" w:hAnsi="宋体"/>
                <w:color w:val="auto"/>
                <w:kern w:val="0"/>
                <w:szCs w:val="21"/>
                <w:highlight w:val="none"/>
              </w:rPr>
            </w:pPr>
          </w:p>
          <w:p w14:paraId="5B16421E">
            <w:pPr>
              <w:snapToGrid w:val="0"/>
              <w:spacing w:line="400" w:lineRule="exact"/>
              <w:jc w:val="center"/>
              <w:rPr>
                <w:rFonts w:ascii="宋体" w:hAnsi="宋体"/>
                <w:color w:val="auto"/>
                <w:kern w:val="0"/>
                <w:szCs w:val="21"/>
                <w:highlight w:val="none"/>
              </w:rPr>
            </w:pPr>
          </w:p>
          <w:p w14:paraId="12729C06">
            <w:pPr>
              <w:snapToGrid w:val="0"/>
              <w:spacing w:line="400" w:lineRule="exact"/>
              <w:jc w:val="center"/>
              <w:rPr>
                <w:rFonts w:ascii="宋体" w:hAnsi="宋体"/>
                <w:color w:val="auto"/>
                <w:kern w:val="0"/>
                <w:szCs w:val="21"/>
                <w:highlight w:val="none"/>
              </w:rPr>
            </w:pPr>
          </w:p>
          <w:p w14:paraId="2E2DEE59">
            <w:pPr>
              <w:snapToGrid w:val="0"/>
              <w:spacing w:line="400" w:lineRule="exact"/>
              <w:jc w:val="center"/>
              <w:rPr>
                <w:rFonts w:ascii="宋体" w:hAnsi="宋体"/>
                <w:color w:val="auto"/>
                <w:kern w:val="0"/>
                <w:szCs w:val="21"/>
                <w:highlight w:val="none"/>
              </w:rPr>
            </w:pPr>
          </w:p>
          <w:p w14:paraId="7903CA20">
            <w:pPr>
              <w:snapToGrid w:val="0"/>
              <w:spacing w:line="400" w:lineRule="exact"/>
              <w:jc w:val="center"/>
              <w:rPr>
                <w:rFonts w:ascii="宋体" w:hAnsi="宋体"/>
                <w:color w:val="auto"/>
                <w:kern w:val="0"/>
                <w:szCs w:val="21"/>
                <w:highlight w:val="none"/>
              </w:rPr>
            </w:pPr>
          </w:p>
          <w:p w14:paraId="688A1D83">
            <w:pPr>
              <w:snapToGrid w:val="0"/>
              <w:spacing w:line="400" w:lineRule="exact"/>
              <w:jc w:val="center"/>
              <w:rPr>
                <w:rFonts w:ascii="宋体" w:hAnsi="宋体"/>
                <w:color w:val="auto"/>
                <w:kern w:val="0"/>
                <w:szCs w:val="21"/>
                <w:highlight w:val="none"/>
              </w:rPr>
            </w:pPr>
          </w:p>
          <w:p w14:paraId="51DFAA17">
            <w:pPr>
              <w:snapToGrid w:val="0"/>
              <w:spacing w:line="400" w:lineRule="exact"/>
              <w:jc w:val="center"/>
              <w:rPr>
                <w:rFonts w:ascii="宋体" w:hAnsi="宋体"/>
                <w:color w:val="auto"/>
                <w:kern w:val="0"/>
                <w:szCs w:val="21"/>
                <w:highlight w:val="none"/>
              </w:rPr>
            </w:pPr>
          </w:p>
          <w:p w14:paraId="735DB324">
            <w:pPr>
              <w:snapToGrid w:val="0"/>
              <w:spacing w:line="400" w:lineRule="exact"/>
              <w:jc w:val="center"/>
              <w:rPr>
                <w:rFonts w:ascii="宋体" w:hAnsi="宋体"/>
                <w:color w:val="auto"/>
                <w:kern w:val="0"/>
                <w:szCs w:val="21"/>
                <w:highlight w:val="none"/>
              </w:rPr>
            </w:pPr>
          </w:p>
          <w:p w14:paraId="3C39AC79">
            <w:pPr>
              <w:snapToGrid w:val="0"/>
              <w:spacing w:line="400" w:lineRule="exact"/>
              <w:jc w:val="center"/>
              <w:rPr>
                <w:rFonts w:ascii="宋体" w:hAnsi="宋体"/>
                <w:color w:val="auto"/>
                <w:kern w:val="0"/>
                <w:szCs w:val="21"/>
                <w:highlight w:val="none"/>
              </w:rPr>
            </w:pPr>
          </w:p>
          <w:p w14:paraId="51F5DC37">
            <w:pPr>
              <w:snapToGrid w:val="0"/>
              <w:spacing w:line="400" w:lineRule="exact"/>
              <w:jc w:val="center"/>
              <w:rPr>
                <w:rFonts w:ascii="宋体" w:hAnsi="宋体"/>
                <w:color w:val="auto"/>
                <w:kern w:val="0"/>
                <w:szCs w:val="21"/>
                <w:highlight w:val="none"/>
              </w:rPr>
            </w:pPr>
          </w:p>
          <w:p w14:paraId="515F1E2E">
            <w:pPr>
              <w:snapToGrid w:val="0"/>
              <w:spacing w:line="400" w:lineRule="exact"/>
              <w:jc w:val="center"/>
              <w:rPr>
                <w:rFonts w:ascii="宋体" w:hAnsi="宋体"/>
                <w:color w:val="auto"/>
                <w:kern w:val="0"/>
                <w:szCs w:val="21"/>
                <w:highlight w:val="none"/>
              </w:rPr>
            </w:pPr>
          </w:p>
          <w:p w14:paraId="22949B7E">
            <w:pPr>
              <w:snapToGrid w:val="0"/>
              <w:spacing w:line="400" w:lineRule="exact"/>
              <w:jc w:val="center"/>
              <w:rPr>
                <w:rFonts w:ascii="宋体" w:hAnsi="宋体"/>
                <w:color w:val="auto"/>
                <w:kern w:val="0"/>
                <w:szCs w:val="21"/>
                <w:highlight w:val="none"/>
              </w:rPr>
            </w:pPr>
          </w:p>
          <w:p w14:paraId="6FDFA7E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73768C3E">
            <w:pPr>
              <w:snapToGrid w:val="0"/>
              <w:spacing w:line="400" w:lineRule="exact"/>
              <w:jc w:val="center"/>
              <w:rPr>
                <w:rFonts w:ascii="宋体" w:hAnsi="宋体"/>
                <w:color w:val="auto"/>
                <w:kern w:val="0"/>
                <w:szCs w:val="21"/>
                <w:highlight w:val="none"/>
              </w:rPr>
            </w:pPr>
          </w:p>
          <w:p w14:paraId="0F9D3D0B">
            <w:pPr>
              <w:snapToGrid w:val="0"/>
              <w:spacing w:line="400" w:lineRule="exact"/>
              <w:jc w:val="center"/>
              <w:rPr>
                <w:rFonts w:ascii="宋体" w:hAnsi="宋体"/>
                <w:color w:val="auto"/>
                <w:kern w:val="0"/>
                <w:szCs w:val="21"/>
                <w:highlight w:val="none"/>
              </w:rPr>
            </w:pPr>
          </w:p>
          <w:p w14:paraId="7BBCD593">
            <w:pPr>
              <w:snapToGrid w:val="0"/>
              <w:spacing w:line="400" w:lineRule="exact"/>
              <w:jc w:val="center"/>
              <w:rPr>
                <w:rFonts w:ascii="宋体" w:hAnsi="宋体"/>
                <w:color w:val="auto"/>
                <w:kern w:val="0"/>
                <w:szCs w:val="21"/>
                <w:highlight w:val="none"/>
              </w:rPr>
            </w:pPr>
          </w:p>
          <w:p w14:paraId="12FD40A3">
            <w:pPr>
              <w:snapToGrid w:val="0"/>
              <w:spacing w:line="400" w:lineRule="exact"/>
              <w:jc w:val="center"/>
              <w:rPr>
                <w:rFonts w:ascii="宋体" w:hAnsi="宋体"/>
                <w:color w:val="auto"/>
                <w:kern w:val="0"/>
                <w:szCs w:val="21"/>
                <w:highlight w:val="none"/>
              </w:rPr>
            </w:pPr>
          </w:p>
          <w:p w14:paraId="3F29DA89">
            <w:pPr>
              <w:snapToGrid w:val="0"/>
              <w:spacing w:line="400" w:lineRule="exact"/>
              <w:jc w:val="center"/>
              <w:rPr>
                <w:rFonts w:ascii="宋体" w:hAnsi="宋体"/>
                <w:color w:val="auto"/>
                <w:kern w:val="0"/>
                <w:szCs w:val="21"/>
                <w:highlight w:val="none"/>
              </w:rPr>
            </w:pPr>
          </w:p>
          <w:p w14:paraId="52E62DC0">
            <w:pPr>
              <w:snapToGrid w:val="0"/>
              <w:spacing w:line="400" w:lineRule="exact"/>
              <w:jc w:val="center"/>
              <w:rPr>
                <w:rFonts w:ascii="宋体" w:hAnsi="宋体"/>
                <w:color w:val="auto"/>
                <w:kern w:val="0"/>
                <w:szCs w:val="21"/>
                <w:highlight w:val="none"/>
              </w:rPr>
            </w:pPr>
          </w:p>
          <w:p w14:paraId="6C6F7141">
            <w:pPr>
              <w:snapToGrid w:val="0"/>
              <w:spacing w:line="400" w:lineRule="exact"/>
              <w:jc w:val="center"/>
              <w:rPr>
                <w:rFonts w:ascii="宋体" w:hAnsi="宋体"/>
                <w:color w:val="auto"/>
                <w:kern w:val="0"/>
                <w:szCs w:val="21"/>
                <w:highlight w:val="none"/>
              </w:rPr>
            </w:pPr>
          </w:p>
          <w:p w14:paraId="76FE56C1">
            <w:pPr>
              <w:snapToGrid w:val="0"/>
              <w:spacing w:line="400" w:lineRule="exact"/>
              <w:jc w:val="center"/>
              <w:rPr>
                <w:rFonts w:ascii="宋体" w:hAnsi="宋体"/>
                <w:color w:val="auto"/>
                <w:kern w:val="0"/>
                <w:szCs w:val="21"/>
                <w:highlight w:val="none"/>
              </w:rPr>
            </w:pPr>
          </w:p>
          <w:p w14:paraId="5B3DAE22">
            <w:pPr>
              <w:snapToGrid w:val="0"/>
              <w:spacing w:line="400" w:lineRule="exact"/>
              <w:jc w:val="center"/>
              <w:rPr>
                <w:rFonts w:ascii="宋体" w:hAnsi="宋体"/>
                <w:color w:val="auto"/>
                <w:kern w:val="0"/>
                <w:szCs w:val="21"/>
                <w:highlight w:val="none"/>
              </w:rPr>
            </w:pPr>
          </w:p>
          <w:p w14:paraId="3A4F469E">
            <w:pPr>
              <w:snapToGrid w:val="0"/>
              <w:spacing w:line="400" w:lineRule="exact"/>
              <w:jc w:val="center"/>
              <w:rPr>
                <w:rFonts w:ascii="宋体" w:hAnsi="宋体"/>
                <w:color w:val="auto"/>
                <w:kern w:val="0"/>
                <w:szCs w:val="21"/>
                <w:highlight w:val="none"/>
              </w:rPr>
            </w:pPr>
          </w:p>
          <w:p w14:paraId="4B4AA771">
            <w:pPr>
              <w:snapToGrid w:val="0"/>
              <w:spacing w:line="400" w:lineRule="exact"/>
              <w:jc w:val="center"/>
              <w:rPr>
                <w:rFonts w:ascii="宋体" w:hAnsi="宋体"/>
                <w:color w:val="auto"/>
                <w:kern w:val="0"/>
                <w:szCs w:val="21"/>
                <w:highlight w:val="none"/>
              </w:rPr>
            </w:pPr>
          </w:p>
          <w:p w14:paraId="11801FCD">
            <w:pPr>
              <w:snapToGrid w:val="0"/>
              <w:spacing w:line="400" w:lineRule="exact"/>
              <w:jc w:val="center"/>
              <w:rPr>
                <w:rFonts w:ascii="宋体" w:hAnsi="宋体"/>
                <w:color w:val="auto"/>
                <w:kern w:val="0"/>
                <w:szCs w:val="21"/>
                <w:highlight w:val="none"/>
              </w:rPr>
            </w:pPr>
          </w:p>
          <w:p w14:paraId="49AABB77">
            <w:pPr>
              <w:snapToGrid w:val="0"/>
              <w:spacing w:line="400" w:lineRule="exact"/>
              <w:jc w:val="center"/>
              <w:rPr>
                <w:rFonts w:ascii="宋体" w:hAnsi="宋体"/>
                <w:color w:val="auto"/>
                <w:kern w:val="0"/>
                <w:szCs w:val="21"/>
                <w:highlight w:val="none"/>
              </w:rPr>
            </w:pPr>
          </w:p>
          <w:p w14:paraId="3182C6B6">
            <w:pPr>
              <w:snapToGrid w:val="0"/>
              <w:spacing w:line="400" w:lineRule="exact"/>
              <w:jc w:val="center"/>
              <w:rPr>
                <w:rFonts w:ascii="宋体" w:hAnsi="宋体"/>
                <w:color w:val="auto"/>
                <w:kern w:val="0"/>
                <w:szCs w:val="21"/>
                <w:highlight w:val="none"/>
              </w:rPr>
            </w:pPr>
          </w:p>
          <w:p w14:paraId="33720799">
            <w:pPr>
              <w:snapToGrid w:val="0"/>
              <w:spacing w:line="400" w:lineRule="exact"/>
              <w:jc w:val="center"/>
              <w:rPr>
                <w:rFonts w:ascii="宋体" w:hAnsi="宋体"/>
                <w:color w:val="auto"/>
                <w:kern w:val="0"/>
                <w:szCs w:val="21"/>
                <w:highlight w:val="none"/>
              </w:rPr>
            </w:pPr>
          </w:p>
          <w:p w14:paraId="62A6C655">
            <w:pPr>
              <w:snapToGrid w:val="0"/>
              <w:spacing w:line="400" w:lineRule="exact"/>
              <w:jc w:val="center"/>
              <w:rPr>
                <w:rFonts w:ascii="宋体" w:hAnsi="宋体"/>
                <w:color w:val="auto"/>
                <w:kern w:val="0"/>
                <w:szCs w:val="21"/>
                <w:highlight w:val="none"/>
              </w:rPr>
            </w:pPr>
          </w:p>
          <w:p w14:paraId="2200492E">
            <w:pPr>
              <w:snapToGrid w:val="0"/>
              <w:spacing w:line="400" w:lineRule="exact"/>
              <w:jc w:val="center"/>
              <w:rPr>
                <w:rFonts w:ascii="宋体" w:hAnsi="宋体"/>
                <w:color w:val="auto"/>
                <w:kern w:val="0"/>
                <w:szCs w:val="21"/>
                <w:highlight w:val="none"/>
              </w:rPr>
            </w:pPr>
          </w:p>
          <w:p w14:paraId="7E2145D7">
            <w:pPr>
              <w:snapToGrid w:val="0"/>
              <w:spacing w:line="400" w:lineRule="exact"/>
              <w:jc w:val="center"/>
              <w:rPr>
                <w:rFonts w:ascii="宋体" w:hAnsi="宋体"/>
                <w:color w:val="auto"/>
                <w:kern w:val="0"/>
                <w:szCs w:val="21"/>
                <w:highlight w:val="none"/>
              </w:rPr>
            </w:pPr>
          </w:p>
          <w:p w14:paraId="7B71A0E0">
            <w:pPr>
              <w:snapToGrid w:val="0"/>
              <w:spacing w:line="400" w:lineRule="exact"/>
              <w:jc w:val="center"/>
              <w:rPr>
                <w:rFonts w:ascii="宋体" w:hAnsi="宋体"/>
                <w:color w:val="auto"/>
                <w:kern w:val="0"/>
                <w:szCs w:val="21"/>
                <w:highlight w:val="none"/>
              </w:rPr>
            </w:pPr>
          </w:p>
          <w:p w14:paraId="42395990">
            <w:pPr>
              <w:snapToGrid w:val="0"/>
              <w:spacing w:line="400" w:lineRule="exact"/>
              <w:jc w:val="center"/>
              <w:rPr>
                <w:rFonts w:ascii="宋体" w:hAnsi="宋体"/>
                <w:color w:val="auto"/>
                <w:kern w:val="0"/>
                <w:szCs w:val="21"/>
                <w:highlight w:val="none"/>
              </w:rPr>
            </w:pPr>
          </w:p>
          <w:p w14:paraId="0C126FCF">
            <w:pPr>
              <w:snapToGrid w:val="0"/>
              <w:spacing w:line="400" w:lineRule="exact"/>
              <w:jc w:val="center"/>
              <w:rPr>
                <w:rFonts w:ascii="宋体" w:hAnsi="宋体"/>
                <w:color w:val="auto"/>
                <w:kern w:val="0"/>
                <w:szCs w:val="21"/>
                <w:highlight w:val="none"/>
              </w:rPr>
            </w:pPr>
          </w:p>
          <w:p w14:paraId="32879915">
            <w:pPr>
              <w:snapToGrid w:val="0"/>
              <w:spacing w:line="400" w:lineRule="exact"/>
              <w:jc w:val="center"/>
              <w:rPr>
                <w:rFonts w:ascii="宋体" w:hAnsi="宋体"/>
                <w:color w:val="auto"/>
                <w:kern w:val="0"/>
                <w:szCs w:val="21"/>
                <w:highlight w:val="none"/>
              </w:rPr>
            </w:pPr>
          </w:p>
          <w:p w14:paraId="0113C1E6">
            <w:pPr>
              <w:snapToGrid w:val="0"/>
              <w:spacing w:line="400" w:lineRule="exact"/>
              <w:jc w:val="center"/>
              <w:rPr>
                <w:rFonts w:ascii="宋体" w:hAnsi="宋体"/>
                <w:color w:val="auto"/>
                <w:kern w:val="0"/>
                <w:szCs w:val="21"/>
                <w:highlight w:val="none"/>
              </w:rPr>
            </w:pPr>
          </w:p>
          <w:p w14:paraId="28A7D994">
            <w:pPr>
              <w:snapToGrid w:val="0"/>
              <w:spacing w:line="400" w:lineRule="exact"/>
              <w:jc w:val="center"/>
              <w:rPr>
                <w:rFonts w:ascii="宋体" w:hAnsi="宋体"/>
                <w:color w:val="auto"/>
                <w:kern w:val="0"/>
                <w:szCs w:val="21"/>
                <w:highlight w:val="none"/>
              </w:rPr>
            </w:pPr>
          </w:p>
          <w:p w14:paraId="29C9F608">
            <w:pPr>
              <w:snapToGrid w:val="0"/>
              <w:spacing w:line="400" w:lineRule="exact"/>
              <w:jc w:val="center"/>
              <w:rPr>
                <w:rFonts w:ascii="宋体" w:hAnsi="宋体"/>
                <w:color w:val="auto"/>
                <w:kern w:val="0"/>
                <w:szCs w:val="21"/>
                <w:highlight w:val="none"/>
              </w:rPr>
            </w:pPr>
          </w:p>
          <w:p w14:paraId="1313848D">
            <w:pPr>
              <w:snapToGrid w:val="0"/>
              <w:spacing w:line="400" w:lineRule="exact"/>
              <w:jc w:val="center"/>
              <w:rPr>
                <w:rFonts w:ascii="宋体" w:hAnsi="宋体"/>
                <w:color w:val="auto"/>
                <w:kern w:val="0"/>
                <w:szCs w:val="21"/>
                <w:highlight w:val="none"/>
              </w:rPr>
            </w:pPr>
          </w:p>
          <w:p w14:paraId="7BC8BED1">
            <w:pPr>
              <w:snapToGrid w:val="0"/>
              <w:spacing w:line="400" w:lineRule="exact"/>
              <w:jc w:val="center"/>
              <w:rPr>
                <w:rFonts w:ascii="宋体" w:hAnsi="宋体"/>
                <w:color w:val="auto"/>
                <w:kern w:val="0"/>
                <w:szCs w:val="21"/>
                <w:highlight w:val="none"/>
              </w:rPr>
            </w:pPr>
          </w:p>
          <w:p w14:paraId="1E1112B9">
            <w:pPr>
              <w:snapToGrid w:val="0"/>
              <w:spacing w:line="400" w:lineRule="exact"/>
              <w:jc w:val="center"/>
              <w:rPr>
                <w:rFonts w:ascii="宋体" w:hAnsi="宋体"/>
                <w:color w:val="auto"/>
                <w:kern w:val="0"/>
                <w:szCs w:val="21"/>
                <w:highlight w:val="none"/>
              </w:rPr>
            </w:pPr>
          </w:p>
          <w:p w14:paraId="50AB81E2">
            <w:pPr>
              <w:snapToGrid w:val="0"/>
              <w:spacing w:line="400" w:lineRule="exact"/>
              <w:jc w:val="center"/>
              <w:rPr>
                <w:rFonts w:ascii="宋体" w:hAnsi="宋体"/>
                <w:color w:val="auto"/>
                <w:kern w:val="0"/>
                <w:szCs w:val="21"/>
                <w:highlight w:val="none"/>
              </w:rPr>
            </w:pPr>
          </w:p>
          <w:p w14:paraId="4437F500">
            <w:pPr>
              <w:snapToGrid w:val="0"/>
              <w:spacing w:line="400" w:lineRule="exact"/>
              <w:jc w:val="center"/>
              <w:rPr>
                <w:rFonts w:ascii="宋体" w:hAnsi="宋体"/>
                <w:color w:val="auto"/>
                <w:kern w:val="0"/>
                <w:szCs w:val="21"/>
                <w:highlight w:val="none"/>
              </w:rPr>
            </w:pPr>
          </w:p>
          <w:p w14:paraId="13D201FC">
            <w:pPr>
              <w:snapToGrid w:val="0"/>
              <w:spacing w:line="400" w:lineRule="exact"/>
              <w:jc w:val="center"/>
              <w:rPr>
                <w:rFonts w:ascii="宋体" w:hAnsi="宋体"/>
                <w:color w:val="auto"/>
                <w:kern w:val="0"/>
                <w:szCs w:val="21"/>
                <w:highlight w:val="none"/>
              </w:rPr>
            </w:pPr>
          </w:p>
          <w:p w14:paraId="310C7FA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6C0AAB48">
            <w:pPr>
              <w:snapToGrid w:val="0"/>
              <w:spacing w:line="400" w:lineRule="exact"/>
              <w:jc w:val="center"/>
              <w:rPr>
                <w:rFonts w:ascii="宋体" w:hAnsi="宋体"/>
                <w:color w:val="auto"/>
                <w:kern w:val="0"/>
                <w:szCs w:val="21"/>
                <w:highlight w:val="none"/>
              </w:rPr>
            </w:pPr>
          </w:p>
          <w:p w14:paraId="309875BA">
            <w:pPr>
              <w:snapToGrid w:val="0"/>
              <w:spacing w:line="400" w:lineRule="exact"/>
              <w:jc w:val="center"/>
              <w:rPr>
                <w:rFonts w:ascii="宋体" w:hAnsi="宋体"/>
                <w:color w:val="auto"/>
                <w:kern w:val="0"/>
                <w:szCs w:val="21"/>
                <w:highlight w:val="none"/>
              </w:rPr>
            </w:pPr>
          </w:p>
          <w:p w14:paraId="7AE0C13E">
            <w:pPr>
              <w:snapToGrid w:val="0"/>
              <w:spacing w:line="400" w:lineRule="exact"/>
              <w:jc w:val="center"/>
              <w:rPr>
                <w:rFonts w:ascii="宋体" w:hAnsi="宋体"/>
                <w:color w:val="auto"/>
                <w:kern w:val="0"/>
                <w:szCs w:val="21"/>
                <w:highlight w:val="none"/>
              </w:rPr>
            </w:pPr>
          </w:p>
          <w:p w14:paraId="15D7AA24">
            <w:pPr>
              <w:snapToGrid w:val="0"/>
              <w:spacing w:line="400" w:lineRule="exact"/>
              <w:jc w:val="center"/>
              <w:rPr>
                <w:rFonts w:ascii="宋体" w:hAnsi="宋体"/>
                <w:color w:val="auto"/>
                <w:kern w:val="0"/>
                <w:szCs w:val="21"/>
                <w:highlight w:val="none"/>
              </w:rPr>
            </w:pPr>
          </w:p>
          <w:p w14:paraId="544C8EC2">
            <w:pPr>
              <w:snapToGrid w:val="0"/>
              <w:spacing w:line="400" w:lineRule="exact"/>
              <w:jc w:val="center"/>
              <w:rPr>
                <w:rFonts w:ascii="宋体" w:hAnsi="宋体"/>
                <w:color w:val="auto"/>
                <w:kern w:val="0"/>
                <w:szCs w:val="21"/>
                <w:highlight w:val="none"/>
              </w:rPr>
            </w:pPr>
          </w:p>
          <w:p w14:paraId="6FE1F2AC">
            <w:pPr>
              <w:snapToGrid w:val="0"/>
              <w:spacing w:line="400" w:lineRule="exact"/>
              <w:jc w:val="center"/>
              <w:rPr>
                <w:rFonts w:ascii="宋体" w:hAnsi="宋体"/>
                <w:color w:val="auto"/>
                <w:kern w:val="0"/>
                <w:szCs w:val="21"/>
                <w:highlight w:val="none"/>
              </w:rPr>
            </w:pPr>
          </w:p>
          <w:p w14:paraId="6F7F80EB">
            <w:pPr>
              <w:snapToGrid w:val="0"/>
              <w:spacing w:line="400" w:lineRule="exact"/>
              <w:jc w:val="center"/>
              <w:rPr>
                <w:rFonts w:ascii="宋体" w:hAnsi="宋体"/>
                <w:color w:val="auto"/>
                <w:kern w:val="0"/>
                <w:szCs w:val="21"/>
                <w:highlight w:val="none"/>
              </w:rPr>
            </w:pPr>
          </w:p>
          <w:p w14:paraId="6936E8A9">
            <w:pPr>
              <w:snapToGrid w:val="0"/>
              <w:spacing w:line="400" w:lineRule="exact"/>
              <w:jc w:val="center"/>
              <w:rPr>
                <w:rFonts w:ascii="宋体" w:hAnsi="宋体"/>
                <w:color w:val="auto"/>
                <w:kern w:val="0"/>
                <w:szCs w:val="21"/>
                <w:highlight w:val="none"/>
              </w:rPr>
            </w:pPr>
          </w:p>
          <w:p w14:paraId="34C3BC0F">
            <w:pPr>
              <w:snapToGrid w:val="0"/>
              <w:spacing w:line="400" w:lineRule="exact"/>
              <w:jc w:val="center"/>
              <w:rPr>
                <w:rFonts w:ascii="宋体" w:hAnsi="宋体"/>
                <w:color w:val="auto"/>
                <w:kern w:val="0"/>
                <w:szCs w:val="21"/>
                <w:highlight w:val="none"/>
              </w:rPr>
            </w:pPr>
          </w:p>
          <w:p w14:paraId="10FF3858">
            <w:pPr>
              <w:snapToGrid w:val="0"/>
              <w:spacing w:line="400" w:lineRule="exact"/>
              <w:jc w:val="center"/>
              <w:rPr>
                <w:rFonts w:ascii="宋体" w:hAnsi="宋体"/>
                <w:color w:val="auto"/>
                <w:kern w:val="0"/>
                <w:szCs w:val="21"/>
                <w:highlight w:val="none"/>
              </w:rPr>
            </w:pPr>
          </w:p>
          <w:p w14:paraId="7C36F8B4">
            <w:pPr>
              <w:snapToGrid w:val="0"/>
              <w:spacing w:line="400" w:lineRule="exact"/>
              <w:jc w:val="center"/>
              <w:rPr>
                <w:rFonts w:ascii="宋体" w:hAnsi="宋体"/>
                <w:color w:val="auto"/>
                <w:kern w:val="0"/>
                <w:szCs w:val="21"/>
                <w:highlight w:val="none"/>
              </w:rPr>
            </w:pPr>
          </w:p>
          <w:p w14:paraId="56285941">
            <w:pPr>
              <w:snapToGrid w:val="0"/>
              <w:spacing w:line="400" w:lineRule="exact"/>
              <w:jc w:val="center"/>
              <w:rPr>
                <w:rFonts w:ascii="宋体" w:hAnsi="宋体"/>
                <w:color w:val="auto"/>
                <w:kern w:val="0"/>
                <w:szCs w:val="21"/>
                <w:highlight w:val="none"/>
              </w:rPr>
            </w:pPr>
          </w:p>
          <w:p w14:paraId="5A0A933E">
            <w:pPr>
              <w:snapToGrid w:val="0"/>
              <w:spacing w:line="400" w:lineRule="exact"/>
              <w:jc w:val="center"/>
              <w:rPr>
                <w:rFonts w:ascii="宋体" w:hAnsi="宋体"/>
                <w:color w:val="auto"/>
                <w:kern w:val="0"/>
                <w:szCs w:val="21"/>
                <w:highlight w:val="none"/>
              </w:rPr>
            </w:pPr>
          </w:p>
          <w:p w14:paraId="0880BA89">
            <w:pPr>
              <w:snapToGrid w:val="0"/>
              <w:spacing w:line="400" w:lineRule="exact"/>
              <w:jc w:val="center"/>
              <w:rPr>
                <w:rFonts w:ascii="宋体" w:hAnsi="宋体"/>
                <w:color w:val="auto"/>
                <w:kern w:val="0"/>
                <w:szCs w:val="21"/>
                <w:highlight w:val="none"/>
              </w:rPr>
            </w:pPr>
          </w:p>
          <w:p w14:paraId="21859C17">
            <w:pPr>
              <w:snapToGrid w:val="0"/>
              <w:spacing w:line="400" w:lineRule="exact"/>
              <w:jc w:val="center"/>
              <w:rPr>
                <w:rFonts w:ascii="宋体" w:hAnsi="宋体"/>
                <w:color w:val="auto"/>
                <w:kern w:val="0"/>
                <w:szCs w:val="21"/>
                <w:highlight w:val="none"/>
              </w:rPr>
            </w:pPr>
          </w:p>
          <w:p w14:paraId="587BC506">
            <w:pPr>
              <w:snapToGrid w:val="0"/>
              <w:spacing w:line="400" w:lineRule="exact"/>
              <w:jc w:val="both"/>
              <w:rPr>
                <w:rFonts w:ascii="宋体" w:hAnsi="宋体"/>
                <w:color w:val="auto"/>
                <w:kern w:val="0"/>
                <w:szCs w:val="21"/>
                <w:highlight w:val="none"/>
              </w:rPr>
            </w:pPr>
          </w:p>
          <w:p w14:paraId="547CB88A">
            <w:pPr>
              <w:snapToGrid w:val="0"/>
              <w:spacing w:line="400" w:lineRule="exact"/>
              <w:jc w:val="center"/>
              <w:rPr>
                <w:rFonts w:ascii="宋体" w:hAnsi="宋体"/>
                <w:color w:val="auto"/>
                <w:kern w:val="0"/>
                <w:szCs w:val="21"/>
                <w:highlight w:val="none"/>
              </w:rPr>
            </w:pPr>
          </w:p>
        </w:tc>
        <w:tc>
          <w:tcPr>
            <w:tcW w:w="1644" w:type="dxa"/>
            <w:vAlign w:val="center"/>
          </w:tcPr>
          <w:p w14:paraId="55901948">
            <w:pPr>
              <w:snapToGrid w:val="0"/>
              <w:spacing w:line="400" w:lineRule="exact"/>
              <w:jc w:val="center"/>
              <w:rPr>
                <w:rFonts w:ascii="宋体" w:hAnsi="宋体"/>
                <w:color w:val="auto"/>
                <w:kern w:val="0"/>
                <w:szCs w:val="21"/>
                <w:highlight w:val="none"/>
              </w:rPr>
            </w:pPr>
          </w:p>
          <w:p w14:paraId="71F64D1E">
            <w:pPr>
              <w:snapToGrid w:val="0"/>
              <w:spacing w:line="400" w:lineRule="exact"/>
              <w:jc w:val="center"/>
              <w:rPr>
                <w:rFonts w:ascii="宋体" w:hAnsi="宋体"/>
                <w:color w:val="auto"/>
                <w:kern w:val="0"/>
                <w:szCs w:val="21"/>
                <w:highlight w:val="none"/>
              </w:rPr>
            </w:pPr>
          </w:p>
          <w:p w14:paraId="71169402">
            <w:pPr>
              <w:snapToGrid w:val="0"/>
              <w:spacing w:line="400" w:lineRule="exact"/>
              <w:jc w:val="center"/>
              <w:rPr>
                <w:rFonts w:ascii="宋体" w:hAnsi="宋体"/>
                <w:color w:val="auto"/>
                <w:kern w:val="0"/>
                <w:szCs w:val="21"/>
                <w:highlight w:val="none"/>
              </w:rPr>
            </w:pPr>
          </w:p>
          <w:p w14:paraId="01897E9E">
            <w:pPr>
              <w:snapToGrid w:val="0"/>
              <w:spacing w:line="400" w:lineRule="exact"/>
              <w:jc w:val="center"/>
              <w:rPr>
                <w:rFonts w:ascii="宋体" w:hAnsi="宋体"/>
                <w:color w:val="auto"/>
                <w:kern w:val="0"/>
                <w:szCs w:val="21"/>
                <w:highlight w:val="none"/>
              </w:rPr>
            </w:pPr>
          </w:p>
          <w:p w14:paraId="7F56161A">
            <w:pPr>
              <w:snapToGrid w:val="0"/>
              <w:spacing w:line="400" w:lineRule="exact"/>
              <w:jc w:val="center"/>
              <w:rPr>
                <w:rFonts w:ascii="宋体" w:hAnsi="宋体"/>
                <w:color w:val="auto"/>
                <w:kern w:val="0"/>
                <w:szCs w:val="21"/>
                <w:highlight w:val="none"/>
              </w:rPr>
            </w:pPr>
          </w:p>
          <w:p w14:paraId="79BFAE3A">
            <w:pPr>
              <w:snapToGrid w:val="0"/>
              <w:spacing w:line="400" w:lineRule="exact"/>
              <w:jc w:val="center"/>
              <w:rPr>
                <w:rFonts w:ascii="宋体" w:hAnsi="宋体"/>
                <w:color w:val="auto"/>
                <w:kern w:val="0"/>
                <w:szCs w:val="21"/>
                <w:highlight w:val="none"/>
              </w:rPr>
            </w:pPr>
          </w:p>
          <w:p w14:paraId="355566AF">
            <w:pPr>
              <w:snapToGrid w:val="0"/>
              <w:spacing w:line="400" w:lineRule="exact"/>
              <w:jc w:val="center"/>
              <w:rPr>
                <w:rFonts w:ascii="宋体" w:hAnsi="宋体"/>
                <w:color w:val="auto"/>
                <w:kern w:val="0"/>
                <w:szCs w:val="21"/>
                <w:highlight w:val="none"/>
              </w:rPr>
            </w:pPr>
          </w:p>
          <w:p w14:paraId="140A15EF">
            <w:pPr>
              <w:snapToGrid w:val="0"/>
              <w:spacing w:line="400" w:lineRule="exact"/>
              <w:jc w:val="center"/>
              <w:rPr>
                <w:rFonts w:ascii="宋体" w:hAnsi="宋体"/>
                <w:color w:val="auto"/>
                <w:kern w:val="0"/>
                <w:szCs w:val="21"/>
                <w:highlight w:val="none"/>
              </w:rPr>
            </w:pPr>
          </w:p>
          <w:p w14:paraId="29EEE018">
            <w:pPr>
              <w:snapToGrid w:val="0"/>
              <w:spacing w:line="400" w:lineRule="exact"/>
              <w:jc w:val="center"/>
              <w:rPr>
                <w:rFonts w:ascii="宋体" w:hAnsi="宋体"/>
                <w:color w:val="auto"/>
                <w:kern w:val="0"/>
                <w:szCs w:val="21"/>
                <w:highlight w:val="none"/>
              </w:rPr>
            </w:pPr>
          </w:p>
          <w:p w14:paraId="4A790A07">
            <w:pPr>
              <w:snapToGrid w:val="0"/>
              <w:spacing w:line="400" w:lineRule="exact"/>
              <w:jc w:val="center"/>
              <w:rPr>
                <w:rFonts w:ascii="宋体" w:hAnsi="宋体"/>
                <w:color w:val="auto"/>
                <w:kern w:val="0"/>
                <w:szCs w:val="21"/>
                <w:highlight w:val="none"/>
              </w:rPr>
            </w:pPr>
          </w:p>
          <w:p w14:paraId="385FEDD4">
            <w:pPr>
              <w:snapToGrid w:val="0"/>
              <w:spacing w:line="400" w:lineRule="exact"/>
              <w:jc w:val="center"/>
              <w:rPr>
                <w:rFonts w:ascii="宋体" w:hAnsi="宋体"/>
                <w:color w:val="auto"/>
                <w:kern w:val="0"/>
                <w:szCs w:val="21"/>
                <w:highlight w:val="none"/>
              </w:rPr>
            </w:pPr>
          </w:p>
          <w:p w14:paraId="786285BA">
            <w:pPr>
              <w:snapToGrid w:val="0"/>
              <w:spacing w:line="400" w:lineRule="exact"/>
              <w:jc w:val="center"/>
              <w:rPr>
                <w:rFonts w:ascii="宋体" w:hAnsi="宋体"/>
                <w:color w:val="auto"/>
                <w:kern w:val="0"/>
                <w:szCs w:val="21"/>
                <w:highlight w:val="none"/>
              </w:rPr>
            </w:pPr>
          </w:p>
          <w:p w14:paraId="19DB0FA8">
            <w:pPr>
              <w:snapToGrid w:val="0"/>
              <w:spacing w:line="400" w:lineRule="exact"/>
              <w:jc w:val="center"/>
              <w:rPr>
                <w:rFonts w:ascii="宋体" w:hAnsi="宋体"/>
                <w:color w:val="auto"/>
                <w:kern w:val="0"/>
                <w:szCs w:val="21"/>
                <w:highlight w:val="none"/>
              </w:rPr>
            </w:pPr>
          </w:p>
          <w:p w14:paraId="356E4491">
            <w:pPr>
              <w:snapToGrid w:val="0"/>
              <w:spacing w:line="400" w:lineRule="exact"/>
              <w:jc w:val="center"/>
              <w:rPr>
                <w:rFonts w:ascii="宋体" w:hAnsi="宋体"/>
                <w:color w:val="auto"/>
                <w:kern w:val="0"/>
                <w:szCs w:val="21"/>
                <w:highlight w:val="none"/>
              </w:rPr>
            </w:pPr>
          </w:p>
          <w:p w14:paraId="65C2EFBC">
            <w:pPr>
              <w:snapToGrid w:val="0"/>
              <w:spacing w:line="400" w:lineRule="exact"/>
              <w:jc w:val="center"/>
              <w:rPr>
                <w:rFonts w:ascii="宋体" w:hAnsi="宋体"/>
                <w:color w:val="auto"/>
                <w:kern w:val="0"/>
                <w:szCs w:val="21"/>
                <w:highlight w:val="none"/>
              </w:rPr>
            </w:pPr>
          </w:p>
          <w:p w14:paraId="4626AF90">
            <w:pPr>
              <w:snapToGrid w:val="0"/>
              <w:spacing w:line="400" w:lineRule="exact"/>
              <w:jc w:val="center"/>
              <w:rPr>
                <w:rFonts w:ascii="宋体" w:hAnsi="宋体"/>
                <w:color w:val="auto"/>
                <w:kern w:val="0"/>
                <w:szCs w:val="21"/>
                <w:highlight w:val="none"/>
              </w:rPr>
            </w:pPr>
          </w:p>
          <w:p w14:paraId="1B788336">
            <w:pPr>
              <w:snapToGrid w:val="0"/>
              <w:spacing w:line="400" w:lineRule="exact"/>
              <w:jc w:val="center"/>
              <w:rPr>
                <w:rFonts w:ascii="宋体" w:hAnsi="宋体"/>
                <w:color w:val="auto"/>
                <w:kern w:val="0"/>
                <w:szCs w:val="21"/>
                <w:highlight w:val="none"/>
              </w:rPr>
            </w:pPr>
          </w:p>
          <w:p w14:paraId="4B8F060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2AD6AE08">
            <w:pPr>
              <w:snapToGrid w:val="0"/>
              <w:spacing w:line="400" w:lineRule="exact"/>
              <w:jc w:val="center"/>
              <w:rPr>
                <w:rFonts w:ascii="宋体" w:hAnsi="宋体"/>
                <w:color w:val="auto"/>
                <w:kern w:val="0"/>
                <w:szCs w:val="21"/>
                <w:highlight w:val="none"/>
              </w:rPr>
            </w:pPr>
          </w:p>
          <w:p w14:paraId="1E5ED567">
            <w:pPr>
              <w:snapToGrid w:val="0"/>
              <w:spacing w:line="400" w:lineRule="exact"/>
              <w:jc w:val="center"/>
              <w:rPr>
                <w:rFonts w:ascii="宋体" w:hAnsi="宋体"/>
                <w:color w:val="auto"/>
                <w:kern w:val="0"/>
                <w:szCs w:val="21"/>
                <w:highlight w:val="none"/>
              </w:rPr>
            </w:pPr>
          </w:p>
          <w:p w14:paraId="471633C0">
            <w:pPr>
              <w:snapToGrid w:val="0"/>
              <w:spacing w:line="400" w:lineRule="exact"/>
              <w:jc w:val="center"/>
              <w:rPr>
                <w:rFonts w:ascii="宋体" w:hAnsi="宋体"/>
                <w:color w:val="auto"/>
                <w:kern w:val="0"/>
                <w:szCs w:val="21"/>
                <w:highlight w:val="none"/>
              </w:rPr>
            </w:pPr>
          </w:p>
          <w:p w14:paraId="2BF60E04">
            <w:pPr>
              <w:snapToGrid w:val="0"/>
              <w:spacing w:line="400" w:lineRule="exact"/>
              <w:jc w:val="center"/>
              <w:rPr>
                <w:rFonts w:ascii="宋体" w:hAnsi="宋体"/>
                <w:color w:val="auto"/>
                <w:kern w:val="0"/>
                <w:szCs w:val="21"/>
                <w:highlight w:val="none"/>
              </w:rPr>
            </w:pPr>
          </w:p>
          <w:p w14:paraId="697D4CFD">
            <w:pPr>
              <w:snapToGrid w:val="0"/>
              <w:spacing w:line="400" w:lineRule="exact"/>
              <w:jc w:val="center"/>
              <w:rPr>
                <w:rFonts w:ascii="宋体" w:hAnsi="宋体"/>
                <w:color w:val="auto"/>
                <w:kern w:val="0"/>
                <w:szCs w:val="21"/>
                <w:highlight w:val="none"/>
              </w:rPr>
            </w:pPr>
          </w:p>
          <w:p w14:paraId="24EE42FF">
            <w:pPr>
              <w:snapToGrid w:val="0"/>
              <w:spacing w:line="400" w:lineRule="exact"/>
              <w:jc w:val="center"/>
              <w:rPr>
                <w:rFonts w:ascii="宋体" w:hAnsi="宋体"/>
                <w:color w:val="auto"/>
                <w:kern w:val="0"/>
                <w:szCs w:val="21"/>
                <w:highlight w:val="none"/>
              </w:rPr>
            </w:pPr>
          </w:p>
          <w:p w14:paraId="08369AC5">
            <w:pPr>
              <w:snapToGrid w:val="0"/>
              <w:spacing w:line="400" w:lineRule="exact"/>
              <w:jc w:val="center"/>
              <w:rPr>
                <w:rFonts w:ascii="宋体" w:hAnsi="宋体"/>
                <w:color w:val="auto"/>
                <w:kern w:val="0"/>
                <w:szCs w:val="21"/>
                <w:highlight w:val="none"/>
              </w:rPr>
            </w:pPr>
          </w:p>
          <w:p w14:paraId="180FC480">
            <w:pPr>
              <w:snapToGrid w:val="0"/>
              <w:spacing w:line="400" w:lineRule="exact"/>
              <w:jc w:val="center"/>
              <w:rPr>
                <w:rFonts w:ascii="宋体" w:hAnsi="宋体"/>
                <w:color w:val="auto"/>
                <w:kern w:val="0"/>
                <w:szCs w:val="21"/>
                <w:highlight w:val="none"/>
              </w:rPr>
            </w:pPr>
          </w:p>
          <w:p w14:paraId="6B67EE28">
            <w:pPr>
              <w:snapToGrid w:val="0"/>
              <w:spacing w:line="400" w:lineRule="exact"/>
              <w:jc w:val="center"/>
              <w:rPr>
                <w:rFonts w:ascii="宋体" w:hAnsi="宋体"/>
                <w:color w:val="auto"/>
                <w:kern w:val="0"/>
                <w:szCs w:val="21"/>
                <w:highlight w:val="none"/>
              </w:rPr>
            </w:pPr>
          </w:p>
          <w:p w14:paraId="6DD5CAC7">
            <w:pPr>
              <w:snapToGrid w:val="0"/>
              <w:spacing w:line="400" w:lineRule="exact"/>
              <w:jc w:val="center"/>
              <w:rPr>
                <w:rFonts w:ascii="宋体" w:hAnsi="宋体"/>
                <w:color w:val="auto"/>
                <w:kern w:val="0"/>
                <w:szCs w:val="21"/>
                <w:highlight w:val="none"/>
              </w:rPr>
            </w:pPr>
          </w:p>
          <w:p w14:paraId="0C8FA32E">
            <w:pPr>
              <w:snapToGrid w:val="0"/>
              <w:spacing w:line="400" w:lineRule="exact"/>
              <w:jc w:val="center"/>
              <w:rPr>
                <w:rFonts w:ascii="宋体" w:hAnsi="宋体"/>
                <w:color w:val="auto"/>
                <w:kern w:val="0"/>
                <w:szCs w:val="21"/>
                <w:highlight w:val="none"/>
              </w:rPr>
            </w:pPr>
          </w:p>
          <w:p w14:paraId="1BB5CD92">
            <w:pPr>
              <w:snapToGrid w:val="0"/>
              <w:spacing w:line="400" w:lineRule="exact"/>
              <w:jc w:val="center"/>
              <w:rPr>
                <w:rFonts w:ascii="宋体" w:hAnsi="宋体"/>
                <w:color w:val="auto"/>
                <w:kern w:val="0"/>
                <w:szCs w:val="21"/>
                <w:highlight w:val="none"/>
              </w:rPr>
            </w:pPr>
          </w:p>
          <w:p w14:paraId="427740EE">
            <w:pPr>
              <w:snapToGrid w:val="0"/>
              <w:spacing w:line="400" w:lineRule="exact"/>
              <w:jc w:val="center"/>
              <w:rPr>
                <w:rFonts w:ascii="宋体" w:hAnsi="宋体"/>
                <w:color w:val="auto"/>
                <w:kern w:val="0"/>
                <w:szCs w:val="21"/>
                <w:highlight w:val="none"/>
              </w:rPr>
            </w:pPr>
          </w:p>
          <w:p w14:paraId="1B013269">
            <w:pPr>
              <w:snapToGrid w:val="0"/>
              <w:spacing w:line="400" w:lineRule="exact"/>
              <w:jc w:val="center"/>
              <w:rPr>
                <w:rFonts w:ascii="宋体" w:hAnsi="宋体"/>
                <w:color w:val="auto"/>
                <w:kern w:val="0"/>
                <w:szCs w:val="21"/>
                <w:highlight w:val="none"/>
              </w:rPr>
            </w:pPr>
          </w:p>
          <w:p w14:paraId="7C98090B">
            <w:pPr>
              <w:snapToGrid w:val="0"/>
              <w:spacing w:line="400" w:lineRule="exact"/>
              <w:jc w:val="center"/>
              <w:rPr>
                <w:rFonts w:ascii="宋体" w:hAnsi="宋体"/>
                <w:color w:val="auto"/>
                <w:kern w:val="0"/>
                <w:szCs w:val="21"/>
                <w:highlight w:val="none"/>
              </w:rPr>
            </w:pPr>
          </w:p>
          <w:p w14:paraId="569B1E98">
            <w:pPr>
              <w:snapToGrid w:val="0"/>
              <w:spacing w:line="400" w:lineRule="exact"/>
              <w:jc w:val="center"/>
              <w:rPr>
                <w:rFonts w:ascii="宋体" w:hAnsi="宋体"/>
                <w:color w:val="auto"/>
                <w:kern w:val="0"/>
                <w:szCs w:val="21"/>
                <w:highlight w:val="none"/>
              </w:rPr>
            </w:pPr>
          </w:p>
          <w:p w14:paraId="0D9EC109">
            <w:pPr>
              <w:snapToGrid w:val="0"/>
              <w:spacing w:line="400" w:lineRule="exact"/>
              <w:jc w:val="center"/>
              <w:rPr>
                <w:rFonts w:ascii="宋体" w:hAnsi="宋体"/>
                <w:color w:val="auto"/>
                <w:kern w:val="0"/>
                <w:szCs w:val="21"/>
                <w:highlight w:val="none"/>
              </w:rPr>
            </w:pPr>
          </w:p>
          <w:p w14:paraId="5EBC9D30">
            <w:pPr>
              <w:snapToGrid w:val="0"/>
              <w:spacing w:line="400" w:lineRule="exact"/>
              <w:jc w:val="center"/>
              <w:rPr>
                <w:rFonts w:ascii="宋体" w:hAnsi="宋体"/>
                <w:color w:val="auto"/>
                <w:kern w:val="0"/>
                <w:szCs w:val="21"/>
                <w:highlight w:val="none"/>
              </w:rPr>
            </w:pPr>
          </w:p>
          <w:p w14:paraId="66F4C105">
            <w:pPr>
              <w:snapToGrid w:val="0"/>
              <w:spacing w:line="400" w:lineRule="exact"/>
              <w:jc w:val="center"/>
              <w:rPr>
                <w:rFonts w:ascii="宋体" w:hAnsi="宋体"/>
                <w:color w:val="auto"/>
                <w:kern w:val="0"/>
                <w:szCs w:val="21"/>
                <w:highlight w:val="none"/>
              </w:rPr>
            </w:pPr>
          </w:p>
          <w:p w14:paraId="01AEC3E3">
            <w:pPr>
              <w:snapToGrid w:val="0"/>
              <w:spacing w:line="400" w:lineRule="exact"/>
              <w:jc w:val="center"/>
              <w:rPr>
                <w:rFonts w:ascii="宋体" w:hAnsi="宋体"/>
                <w:color w:val="auto"/>
                <w:kern w:val="0"/>
                <w:szCs w:val="21"/>
                <w:highlight w:val="none"/>
              </w:rPr>
            </w:pPr>
          </w:p>
          <w:p w14:paraId="6FFA46E0">
            <w:pPr>
              <w:snapToGrid w:val="0"/>
              <w:spacing w:line="400" w:lineRule="exact"/>
              <w:jc w:val="center"/>
              <w:rPr>
                <w:rFonts w:ascii="宋体" w:hAnsi="宋体"/>
                <w:color w:val="auto"/>
                <w:kern w:val="0"/>
                <w:szCs w:val="21"/>
                <w:highlight w:val="none"/>
              </w:rPr>
            </w:pPr>
          </w:p>
          <w:p w14:paraId="053985EC">
            <w:pPr>
              <w:snapToGrid w:val="0"/>
              <w:spacing w:line="400" w:lineRule="exact"/>
              <w:jc w:val="center"/>
              <w:rPr>
                <w:rFonts w:ascii="宋体" w:hAnsi="宋体"/>
                <w:color w:val="auto"/>
                <w:kern w:val="0"/>
                <w:szCs w:val="21"/>
                <w:highlight w:val="none"/>
              </w:rPr>
            </w:pPr>
          </w:p>
          <w:p w14:paraId="1A9E9D37">
            <w:pPr>
              <w:snapToGrid w:val="0"/>
              <w:spacing w:line="400" w:lineRule="exact"/>
              <w:jc w:val="center"/>
              <w:rPr>
                <w:rFonts w:ascii="宋体" w:hAnsi="宋体"/>
                <w:color w:val="auto"/>
                <w:kern w:val="0"/>
                <w:szCs w:val="21"/>
                <w:highlight w:val="none"/>
              </w:rPr>
            </w:pPr>
          </w:p>
          <w:p w14:paraId="380BCB49">
            <w:pPr>
              <w:snapToGrid w:val="0"/>
              <w:spacing w:line="400" w:lineRule="exact"/>
              <w:jc w:val="center"/>
              <w:rPr>
                <w:rFonts w:ascii="宋体" w:hAnsi="宋体"/>
                <w:color w:val="auto"/>
                <w:kern w:val="0"/>
                <w:szCs w:val="21"/>
                <w:highlight w:val="none"/>
              </w:rPr>
            </w:pPr>
          </w:p>
          <w:p w14:paraId="48A13777">
            <w:pPr>
              <w:snapToGrid w:val="0"/>
              <w:spacing w:line="400" w:lineRule="exact"/>
              <w:jc w:val="center"/>
              <w:rPr>
                <w:rFonts w:ascii="宋体" w:hAnsi="宋体"/>
                <w:color w:val="auto"/>
                <w:kern w:val="0"/>
                <w:szCs w:val="21"/>
                <w:highlight w:val="none"/>
              </w:rPr>
            </w:pPr>
          </w:p>
          <w:p w14:paraId="6DD67F4D">
            <w:pPr>
              <w:snapToGrid w:val="0"/>
              <w:spacing w:line="400" w:lineRule="exact"/>
              <w:jc w:val="center"/>
              <w:rPr>
                <w:rFonts w:ascii="宋体" w:hAnsi="宋体"/>
                <w:color w:val="auto"/>
                <w:kern w:val="0"/>
                <w:szCs w:val="21"/>
                <w:highlight w:val="none"/>
              </w:rPr>
            </w:pPr>
          </w:p>
          <w:p w14:paraId="6522C7E0">
            <w:pPr>
              <w:snapToGrid w:val="0"/>
              <w:spacing w:line="400" w:lineRule="exact"/>
              <w:jc w:val="center"/>
              <w:rPr>
                <w:rFonts w:ascii="宋体" w:hAnsi="宋体"/>
                <w:color w:val="auto"/>
                <w:kern w:val="0"/>
                <w:szCs w:val="21"/>
                <w:highlight w:val="none"/>
              </w:rPr>
            </w:pPr>
          </w:p>
          <w:p w14:paraId="2140510E">
            <w:pPr>
              <w:snapToGrid w:val="0"/>
              <w:spacing w:line="400" w:lineRule="exact"/>
              <w:jc w:val="center"/>
              <w:rPr>
                <w:rFonts w:ascii="宋体" w:hAnsi="宋体"/>
                <w:color w:val="auto"/>
                <w:kern w:val="0"/>
                <w:szCs w:val="21"/>
                <w:highlight w:val="none"/>
              </w:rPr>
            </w:pPr>
          </w:p>
          <w:p w14:paraId="7FD156B7">
            <w:pPr>
              <w:snapToGrid w:val="0"/>
              <w:spacing w:line="400" w:lineRule="exact"/>
              <w:jc w:val="center"/>
              <w:rPr>
                <w:rFonts w:ascii="宋体" w:hAnsi="宋体"/>
                <w:color w:val="auto"/>
                <w:kern w:val="0"/>
                <w:szCs w:val="21"/>
                <w:highlight w:val="none"/>
              </w:rPr>
            </w:pPr>
          </w:p>
          <w:p w14:paraId="7493178E">
            <w:pPr>
              <w:snapToGrid w:val="0"/>
              <w:spacing w:line="400" w:lineRule="exact"/>
              <w:jc w:val="center"/>
              <w:rPr>
                <w:rFonts w:ascii="宋体" w:hAnsi="宋体"/>
                <w:color w:val="auto"/>
                <w:kern w:val="0"/>
                <w:szCs w:val="21"/>
                <w:highlight w:val="none"/>
              </w:rPr>
            </w:pPr>
          </w:p>
          <w:p w14:paraId="004E91C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65A27F4B">
            <w:pPr>
              <w:snapToGrid w:val="0"/>
              <w:spacing w:line="400" w:lineRule="exact"/>
              <w:jc w:val="center"/>
              <w:rPr>
                <w:rFonts w:ascii="宋体" w:hAnsi="宋体"/>
                <w:color w:val="auto"/>
                <w:kern w:val="0"/>
                <w:szCs w:val="21"/>
                <w:highlight w:val="none"/>
              </w:rPr>
            </w:pPr>
          </w:p>
          <w:p w14:paraId="572E17C9">
            <w:pPr>
              <w:snapToGrid w:val="0"/>
              <w:spacing w:line="400" w:lineRule="exact"/>
              <w:jc w:val="center"/>
              <w:rPr>
                <w:rFonts w:ascii="宋体" w:hAnsi="宋体"/>
                <w:color w:val="auto"/>
                <w:kern w:val="0"/>
                <w:szCs w:val="21"/>
                <w:highlight w:val="none"/>
              </w:rPr>
            </w:pPr>
          </w:p>
          <w:p w14:paraId="20923419">
            <w:pPr>
              <w:snapToGrid w:val="0"/>
              <w:spacing w:line="400" w:lineRule="exact"/>
              <w:jc w:val="center"/>
              <w:rPr>
                <w:rFonts w:ascii="宋体" w:hAnsi="宋体"/>
                <w:color w:val="auto"/>
                <w:kern w:val="0"/>
                <w:szCs w:val="21"/>
                <w:highlight w:val="none"/>
              </w:rPr>
            </w:pPr>
          </w:p>
          <w:p w14:paraId="47194F4E">
            <w:pPr>
              <w:snapToGrid w:val="0"/>
              <w:spacing w:line="400" w:lineRule="exact"/>
              <w:jc w:val="center"/>
              <w:rPr>
                <w:rFonts w:ascii="宋体" w:hAnsi="宋体"/>
                <w:color w:val="auto"/>
                <w:kern w:val="0"/>
                <w:szCs w:val="21"/>
                <w:highlight w:val="none"/>
              </w:rPr>
            </w:pPr>
          </w:p>
          <w:p w14:paraId="19670014">
            <w:pPr>
              <w:snapToGrid w:val="0"/>
              <w:spacing w:line="400" w:lineRule="exact"/>
              <w:jc w:val="center"/>
              <w:rPr>
                <w:rFonts w:ascii="宋体" w:hAnsi="宋体"/>
                <w:color w:val="auto"/>
                <w:kern w:val="0"/>
                <w:szCs w:val="21"/>
                <w:highlight w:val="none"/>
              </w:rPr>
            </w:pPr>
          </w:p>
          <w:p w14:paraId="208A4765">
            <w:pPr>
              <w:snapToGrid w:val="0"/>
              <w:spacing w:line="400" w:lineRule="exact"/>
              <w:jc w:val="center"/>
              <w:rPr>
                <w:rFonts w:ascii="宋体" w:hAnsi="宋体"/>
                <w:color w:val="auto"/>
                <w:kern w:val="0"/>
                <w:szCs w:val="21"/>
                <w:highlight w:val="none"/>
              </w:rPr>
            </w:pPr>
          </w:p>
          <w:p w14:paraId="67BF3031">
            <w:pPr>
              <w:snapToGrid w:val="0"/>
              <w:spacing w:line="400" w:lineRule="exact"/>
              <w:jc w:val="center"/>
              <w:rPr>
                <w:rFonts w:ascii="宋体" w:hAnsi="宋体"/>
                <w:color w:val="auto"/>
                <w:kern w:val="0"/>
                <w:szCs w:val="21"/>
                <w:highlight w:val="none"/>
              </w:rPr>
            </w:pPr>
          </w:p>
          <w:p w14:paraId="7A5130E8">
            <w:pPr>
              <w:snapToGrid w:val="0"/>
              <w:spacing w:line="400" w:lineRule="exact"/>
              <w:jc w:val="center"/>
              <w:rPr>
                <w:rFonts w:ascii="宋体" w:hAnsi="宋体"/>
                <w:color w:val="auto"/>
                <w:kern w:val="0"/>
                <w:szCs w:val="21"/>
                <w:highlight w:val="none"/>
              </w:rPr>
            </w:pPr>
          </w:p>
          <w:p w14:paraId="6DEF7AAB">
            <w:pPr>
              <w:snapToGrid w:val="0"/>
              <w:spacing w:line="400" w:lineRule="exact"/>
              <w:jc w:val="center"/>
              <w:rPr>
                <w:rFonts w:ascii="宋体" w:hAnsi="宋体"/>
                <w:color w:val="auto"/>
                <w:kern w:val="0"/>
                <w:szCs w:val="21"/>
                <w:highlight w:val="none"/>
              </w:rPr>
            </w:pPr>
          </w:p>
          <w:p w14:paraId="268B0BFD">
            <w:pPr>
              <w:snapToGrid w:val="0"/>
              <w:spacing w:line="400" w:lineRule="exact"/>
              <w:jc w:val="center"/>
              <w:rPr>
                <w:rFonts w:ascii="宋体" w:hAnsi="宋体"/>
                <w:color w:val="auto"/>
                <w:kern w:val="0"/>
                <w:szCs w:val="21"/>
                <w:highlight w:val="none"/>
              </w:rPr>
            </w:pPr>
          </w:p>
          <w:p w14:paraId="133F4CFC">
            <w:pPr>
              <w:snapToGrid w:val="0"/>
              <w:spacing w:line="400" w:lineRule="exact"/>
              <w:jc w:val="center"/>
              <w:rPr>
                <w:rFonts w:ascii="宋体" w:hAnsi="宋体"/>
                <w:color w:val="auto"/>
                <w:kern w:val="0"/>
                <w:szCs w:val="21"/>
                <w:highlight w:val="none"/>
              </w:rPr>
            </w:pPr>
          </w:p>
          <w:p w14:paraId="30CC9E42">
            <w:pPr>
              <w:snapToGrid w:val="0"/>
              <w:spacing w:line="400" w:lineRule="exact"/>
              <w:jc w:val="center"/>
              <w:rPr>
                <w:rFonts w:ascii="宋体" w:hAnsi="宋体"/>
                <w:color w:val="auto"/>
                <w:kern w:val="0"/>
                <w:szCs w:val="21"/>
                <w:highlight w:val="none"/>
              </w:rPr>
            </w:pPr>
          </w:p>
          <w:p w14:paraId="6741D66A">
            <w:pPr>
              <w:snapToGrid w:val="0"/>
              <w:spacing w:line="400" w:lineRule="exact"/>
              <w:jc w:val="center"/>
              <w:rPr>
                <w:rFonts w:ascii="宋体" w:hAnsi="宋体"/>
                <w:color w:val="auto"/>
                <w:kern w:val="0"/>
                <w:szCs w:val="21"/>
                <w:highlight w:val="none"/>
              </w:rPr>
            </w:pPr>
          </w:p>
          <w:p w14:paraId="736F7081">
            <w:pPr>
              <w:snapToGrid w:val="0"/>
              <w:spacing w:line="400" w:lineRule="exact"/>
              <w:jc w:val="center"/>
              <w:rPr>
                <w:rFonts w:ascii="宋体" w:hAnsi="宋体"/>
                <w:color w:val="auto"/>
                <w:kern w:val="0"/>
                <w:szCs w:val="21"/>
                <w:highlight w:val="none"/>
              </w:rPr>
            </w:pPr>
          </w:p>
          <w:p w14:paraId="5DDEAB4D">
            <w:pPr>
              <w:snapToGrid w:val="0"/>
              <w:spacing w:line="400" w:lineRule="exact"/>
              <w:jc w:val="center"/>
              <w:rPr>
                <w:rFonts w:ascii="宋体" w:hAnsi="宋体"/>
                <w:color w:val="auto"/>
                <w:kern w:val="0"/>
                <w:szCs w:val="21"/>
                <w:highlight w:val="none"/>
              </w:rPr>
            </w:pPr>
          </w:p>
          <w:p w14:paraId="349BF73B">
            <w:pPr>
              <w:snapToGrid w:val="0"/>
              <w:spacing w:line="400" w:lineRule="exact"/>
              <w:jc w:val="center"/>
              <w:rPr>
                <w:rFonts w:ascii="宋体" w:hAnsi="宋体"/>
                <w:color w:val="auto"/>
                <w:kern w:val="0"/>
                <w:szCs w:val="21"/>
                <w:highlight w:val="none"/>
              </w:rPr>
            </w:pPr>
          </w:p>
        </w:tc>
        <w:tc>
          <w:tcPr>
            <w:tcW w:w="6919" w:type="dxa"/>
            <w:vAlign w:val="center"/>
          </w:tcPr>
          <w:p w14:paraId="0FBE201C">
            <w:pPr>
              <w:autoSpaceDE w:val="0"/>
              <w:autoSpaceDN w:val="0"/>
              <w:adjustRightInd w:val="0"/>
              <w:snapToGrid w:val="0"/>
              <w:spacing w:line="400" w:lineRule="exact"/>
              <w:ind w:firstLine="420" w:firstLineChars="200"/>
              <w:rPr>
                <w:rFonts w:ascii="宋体" w:hAnsi="宋体"/>
                <w:color w:val="auto"/>
                <w:szCs w:val="21"/>
                <w:highlight w:val="none"/>
              </w:rPr>
            </w:pPr>
            <w:bookmarkStart w:id="109" w:name="OLE_LINK1"/>
            <w:r>
              <w:rPr>
                <w:rFonts w:ascii="宋体" w:hAnsi="宋体"/>
                <w:color w:val="auto"/>
                <w:szCs w:val="21"/>
                <w:highlight w:val="none"/>
              </w:rPr>
              <w:t>本</w:t>
            </w:r>
            <w:r>
              <w:rPr>
                <w:rFonts w:hint="eastAsia" w:ascii="宋体" w:hAnsi="宋体"/>
                <w:color w:val="auto"/>
                <w:szCs w:val="21"/>
                <w:highlight w:val="none"/>
              </w:rPr>
              <w:t>次比选</w:t>
            </w:r>
            <w:r>
              <w:rPr>
                <w:rFonts w:ascii="宋体" w:hAnsi="宋体"/>
                <w:color w:val="auto"/>
                <w:szCs w:val="21"/>
                <w:highlight w:val="none"/>
              </w:rPr>
              <w:t>实行资格后审，</w:t>
            </w:r>
            <w:r>
              <w:rPr>
                <w:rFonts w:hint="eastAsia" w:ascii="宋体" w:hAnsi="宋体"/>
                <w:color w:val="auto"/>
                <w:szCs w:val="21"/>
                <w:highlight w:val="none"/>
              </w:rPr>
              <w:t>竞标人</w:t>
            </w:r>
            <w:r>
              <w:rPr>
                <w:rFonts w:ascii="宋体" w:hAnsi="宋体"/>
                <w:color w:val="auto"/>
                <w:szCs w:val="21"/>
                <w:highlight w:val="none"/>
              </w:rPr>
              <w:t>应</w:t>
            </w:r>
            <w:bookmarkStart w:id="110" w:name="一是"/>
            <w:bookmarkEnd w:id="110"/>
            <w:r>
              <w:rPr>
                <w:rFonts w:ascii="宋体" w:hAnsi="宋体"/>
                <w:color w:val="auto"/>
                <w:szCs w:val="21"/>
                <w:highlight w:val="none"/>
              </w:rPr>
              <w:t>具备以下资格条件：</w:t>
            </w:r>
          </w:p>
          <w:bookmarkEnd w:id="109"/>
          <w:p w14:paraId="3D3760CE">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w:t>
            </w:r>
          </w:p>
          <w:p w14:paraId="6AF5ABF3">
            <w:pPr>
              <w:spacing w:line="360" w:lineRule="auto"/>
              <w:ind w:firstLine="420" w:firstLineChars="200"/>
              <w:jc w:val="left"/>
              <w:rPr>
                <w:rFonts w:hint="eastAsia" w:ascii="宋体" w:eastAsia="宋体"/>
                <w:szCs w:val="21"/>
                <w:highlight w:val="none"/>
                <w:lang w:eastAsia="zh-CN"/>
              </w:rPr>
            </w:pPr>
            <w:r>
              <w:rPr>
                <w:rFonts w:hint="eastAsia" w:ascii="宋体" w:eastAsia="宋体"/>
                <w:szCs w:val="21"/>
                <w:highlight w:val="none"/>
              </w:rPr>
              <w:t>（1）</w:t>
            </w:r>
            <w:r>
              <w:rPr>
                <w:rFonts w:hint="eastAsia" w:ascii="宋体" w:eastAsia="宋体"/>
                <w:szCs w:val="21"/>
                <w:highlight w:val="none"/>
                <w:lang w:val="en-US" w:eastAsia="zh-CN"/>
              </w:rPr>
              <w:t>比选申请人</w:t>
            </w:r>
            <w:r>
              <w:rPr>
                <w:rFonts w:hint="eastAsia" w:ascii="宋体" w:eastAsia="宋体"/>
                <w:szCs w:val="21"/>
                <w:highlight w:val="none"/>
              </w:rPr>
              <w:t>应具备建设行政主管部门颁发的以下资质之一：</w:t>
            </w:r>
            <w:r>
              <w:rPr>
                <w:rFonts w:hint="eastAsia" w:ascii="宋体" w:eastAsia="宋体"/>
                <w:szCs w:val="21"/>
                <w:highlight w:val="none"/>
                <w:lang w:eastAsia="zh-CN"/>
              </w:rPr>
              <w:t>：</w:t>
            </w:r>
          </w:p>
          <w:p w14:paraId="6EE8911F">
            <w:pPr>
              <w:spacing w:line="360" w:lineRule="auto"/>
              <w:ind w:firstLine="420" w:firstLineChars="200"/>
              <w:jc w:val="left"/>
              <w:rPr>
                <w:rFonts w:hint="eastAsia" w:ascii="宋体" w:eastAsia="宋体"/>
                <w:szCs w:val="21"/>
                <w:highlight w:val="none"/>
              </w:rPr>
            </w:pPr>
            <w:r>
              <w:rPr>
                <w:rFonts w:hint="eastAsia" w:ascii="宋体" w:eastAsia="宋体"/>
                <w:szCs w:val="21"/>
                <w:highlight w:val="none"/>
              </w:rPr>
              <w:t>①工程设计综合甲级资质；</w:t>
            </w:r>
          </w:p>
          <w:p w14:paraId="55C2066E">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eastAsia="宋体"/>
                <w:szCs w:val="21"/>
                <w:highlight w:val="none"/>
                <w:lang w:val="en-US" w:eastAsia="zh-CN"/>
              </w:rPr>
              <w:t>②</w:t>
            </w:r>
            <w:r>
              <w:rPr>
                <w:rFonts w:hint="eastAsia" w:ascii="宋体" w:eastAsia="宋体"/>
                <w:szCs w:val="21"/>
                <w:highlight w:val="none"/>
              </w:rPr>
              <w:t>工程设计市政行业（道路工程、桥梁工程、给水工程、排水工程）专业乙级及以上资质和建筑行业（建筑工程）专业乙级及以上资质</w:t>
            </w:r>
            <w:r>
              <w:rPr>
                <w:rFonts w:hint="eastAsia" w:ascii="宋体" w:eastAsia="宋体"/>
                <w:szCs w:val="21"/>
                <w:highlight w:val="none"/>
                <w:lang w:eastAsia="zh-CN"/>
              </w:rPr>
              <w:t>。</w:t>
            </w:r>
          </w:p>
          <w:p w14:paraId="4ACFBC14">
            <w:pPr>
              <w:snapToGrid w:val="0"/>
              <w:spacing w:line="400" w:lineRule="exact"/>
              <w:ind w:firstLine="420" w:firstLineChars="200"/>
              <w:rPr>
                <w:rFonts w:hint="eastAsia" w:asciiTheme="minorEastAsia" w:hAnsiTheme="minorEastAsia" w:eastAsiaTheme="minorEastAsia"/>
                <w:strike/>
                <w:color w:val="auto"/>
                <w:szCs w:val="21"/>
                <w:highlight w:val="none"/>
              </w:rPr>
            </w:pPr>
            <w:r>
              <w:rPr>
                <w:rFonts w:hint="eastAsia" w:asciiTheme="minorEastAsia" w:hAnsiTheme="minorEastAsia" w:eastAsiaTheme="minorEastAsia"/>
                <w:color w:val="auto"/>
                <w:szCs w:val="21"/>
                <w:highlight w:val="none"/>
              </w:rPr>
              <w:t>竞标人须在竞标文件资格审查部分提供有效的资质证书复印件。</w:t>
            </w:r>
          </w:p>
          <w:p w14:paraId="0A830C6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14:paraId="199D48BA">
            <w:pPr>
              <w:autoSpaceDE w:val="0"/>
              <w:autoSpaceDN w:val="0"/>
              <w:adjustRightInd w:val="0"/>
              <w:snapToGrid w:val="0"/>
              <w:spacing w:line="400" w:lineRule="exact"/>
              <w:ind w:firstLine="420" w:firstLineChars="200"/>
              <w:rPr>
                <w:strike/>
                <w:color w:val="auto"/>
                <w:highlight w:val="none"/>
              </w:rPr>
            </w:pPr>
            <w:r>
              <w:rPr>
                <w:rFonts w:hint="eastAsia" w:ascii="宋体" w:hAnsi="宋体"/>
                <w:color w:val="auto"/>
                <w:szCs w:val="21"/>
                <w:highlight w:val="none"/>
              </w:rPr>
              <w:t>竞标人</w:t>
            </w:r>
            <w:r>
              <w:rPr>
                <w:rFonts w:ascii="宋体" w:hAnsi="宋体"/>
                <w:color w:val="auto"/>
                <w:szCs w:val="21"/>
                <w:highlight w:val="none"/>
              </w:rPr>
              <w:t>须</w:t>
            </w:r>
            <w:r>
              <w:rPr>
                <w:rFonts w:hint="eastAsia" w:ascii="宋体" w:hAnsi="宋体"/>
                <w:color w:val="auto"/>
                <w:szCs w:val="21"/>
                <w:highlight w:val="none"/>
              </w:rPr>
              <w:t>在竞标文件资格审查部分</w:t>
            </w:r>
            <w:r>
              <w:rPr>
                <w:rFonts w:ascii="宋体" w:hAnsi="宋体"/>
                <w:color w:val="auto"/>
                <w:szCs w:val="21"/>
                <w:highlight w:val="none"/>
              </w:rPr>
              <w:t>提供有效的营业执照复印件。</w:t>
            </w:r>
          </w:p>
          <w:p w14:paraId="54680039">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竞标</w:t>
            </w:r>
            <w:r>
              <w:rPr>
                <w:rFonts w:ascii="宋体" w:hAnsi="宋体"/>
                <w:b/>
                <w:color w:val="auto"/>
                <w:szCs w:val="21"/>
                <w:highlight w:val="none"/>
              </w:rPr>
              <w:t>截止日</w:t>
            </w:r>
            <w:r>
              <w:rPr>
                <w:rFonts w:hint="eastAsia" w:ascii="宋体" w:hAnsi="宋体"/>
                <w:b/>
                <w:color w:val="auto"/>
                <w:szCs w:val="21"/>
                <w:highlight w:val="none"/>
              </w:rPr>
              <w:t>竞标</w:t>
            </w:r>
            <w:r>
              <w:rPr>
                <w:rFonts w:ascii="宋体" w:hAnsi="宋体"/>
                <w:b/>
                <w:color w:val="auto"/>
                <w:szCs w:val="21"/>
                <w:highlight w:val="none"/>
              </w:rPr>
              <w:t>资格情况</w:t>
            </w:r>
          </w:p>
          <w:p w14:paraId="6162F8F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竞标人自行承诺（格式见第六章竞标文件格式）不得存在下列情形之一：</w:t>
            </w:r>
          </w:p>
          <w:p w14:paraId="5CC15BB4">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48F29D7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4FD54BB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1C66F51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08BD179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7827C73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竞标人须在竞标文件资格审查部分提供承诺。</w:t>
            </w:r>
          </w:p>
          <w:p w14:paraId="2F372A7F">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项目负责人的资格要求</w:t>
            </w:r>
          </w:p>
          <w:p w14:paraId="10A11630">
            <w:pPr>
              <w:snapToGrid w:val="0"/>
              <w:spacing w:line="400" w:lineRule="exact"/>
              <w:ind w:firstLine="420" w:firstLineChars="200"/>
              <w:rPr>
                <w:rFonts w:hint="eastAsia" w:ascii="宋体" w:hAnsi="宋体" w:eastAsia="宋体"/>
                <w:color w:val="auto"/>
                <w:szCs w:val="21"/>
                <w:highlight w:val="none"/>
                <w:lang w:eastAsia="zh-CN"/>
              </w:rPr>
            </w:pPr>
            <w:r>
              <w:rPr>
                <w:rFonts w:hint="eastAsia"/>
                <w:color w:val="auto"/>
                <w:szCs w:val="21"/>
                <w:highlight w:val="none"/>
              </w:rPr>
              <w:t>4.1竞标人拟派的</w:t>
            </w:r>
            <w:r>
              <w:rPr>
                <w:color w:val="auto"/>
                <w:szCs w:val="21"/>
                <w:highlight w:val="none"/>
              </w:rPr>
              <w:t>项目</w:t>
            </w:r>
            <w:r>
              <w:rPr>
                <w:rFonts w:hint="eastAsia"/>
                <w:color w:val="auto"/>
                <w:szCs w:val="21"/>
                <w:highlight w:val="none"/>
              </w:rPr>
              <w:t>负责人必须是竞标人本单位人员</w:t>
            </w:r>
            <w:r>
              <w:rPr>
                <w:rFonts w:hint="eastAsia" w:ascii="宋体" w:hAnsi="宋体"/>
                <w:strike w:val="0"/>
                <w:color w:val="auto"/>
                <w:szCs w:val="21"/>
                <w:highlight w:val="none"/>
                <w:lang w:eastAsia="zh-CN"/>
              </w:rPr>
              <w:t>，须</w:t>
            </w:r>
            <w:r>
              <w:rPr>
                <w:rFonts w:hint="eastAsia" w:ascii="宋体" w:hAnsi="宋体"/>
                <w:strike w:val="0"/>
                <w:color w:val="auto"/>
                <w:szCs w:val="21"/>
                <w:highlight w:val="none"/>
                <w:lang w:val="en-US" w:eastAsia="zh-CN"/>
              </w:rPr>
              <w:t>同时</w:t>
            </w:r>
            <w:r>
              <w:rPr>
                <w:rFonts w:hint="eastAsia" w:ascii="宋体" w:hAnsi="宋体"/>
                <w:strike w:val="0"/>
                <w:color w:val="auto"/>
                <w:szCs w:val="21"/>
                <w:highlight w:val="none"/>
                <w:lang w:eastAsia="zh-CN"/>
              </w:rPr>
              <w:t>具有</w:t>
            </w:r>
            <w:r>
              <w:rPr>
                <w:rFonts w:hint="eastAsia" w:ascii="宋体" w:hAnsi="宋体"/>
                <w:strike w:val="0"/>
                <w:color w:val="auto"/>
                <w:szCs w:val="21"/>
                <w:highlight w:val="none"/>
                <w:lang w:val="en-US" w:eastAsia="zh-CN"/>
              </w:rPr>
              <w:t>工程类高</w:t>
            </w:r>
            <w:r>
              <w:rPr>
                <w:rFonts w:hint="eastAsia" w:ascii="宋体" w:hAnsi="宋体"/>
                <w:strike w:val="0"/>
                <w:color w:val="auto"/>
                <w:szCs w:val="21"/>
                <w:highlight w:val="none"/>
                <w:lang w:eastAsia="zh-CN"/>
              </w:rPr>
              <w:t>级及以上技术职称‌。</w:t>
            </w:r>
          </w:p>
          <w:p w14:paraId="7E4E9D6F">
            <w:pPr>
              <w:snapToGrid w:val="0"/>
              <w:spacing w:line="400" w:lineRule="exact"/>
              <w:ind w:firstLine="420" w:firstLineChars="200"/>
              <w:rPr>
                <w:rFonts w:ascii="宋体" w:hAnsi="宋体"/>
                <w:color w:val="auto"/>
                <w:szCs w:val="21"/>
                <w:highlight w:val="none"/>
              </w:rPr>
            </w:pPr>
            <w:r>
              <w:rPr>
                <w:rFonts w:hint="eastAsia"/>
                <w:color w:val="auto"/>
                <w:szCs w:val="21"/>
                <w:highlight w:val="none"/>
              </w:rPr>
              <w:t>竞标</w:t>
            </w:r>
            <w:r>
              <w:rPr>
                <w:rFonts w:hint="eastAsia" w:ascii="宋体" w:hAnsi="宋体"/>
                <w:color w:val="auto"/>
                <w:kern w:val="0"/>
                <w:szCs w:val="21"/>
                <w:highlight w:val="none"/>
              </w:rPr>
              <w:t>人须在投标文件资格审查部分提供在有效期内的拟派项目负责人身份证、</w:t>
            </w:r>
            <w:r>
              <w:rPr>
                <w:rFonts w:hint="eastAsia" w:ascii="宋体" w:hAnsi="宋体"/>
                <w:color w:val="auto"/>
                <w:szCs w:val="21"/>
                <w:highlight w:val="none"/>
              </w:rPr>
              <w:t>☑</w:t>
            </w:r>
            <w:r>
              <w:rPr>
                <w:rFonts w:hint="eastAsia" w:ascii="宋体" w:hAnsi="宋体"/>
                <w:color w:val="auto"/>
                <w:kern w:val="0"/>
                <w:szCs w:val="21"/>
                <w:highlight w:val="none"/>
              </w:rPr>
              <w:t>职称证（职称证书无法体现专业的，可以提供学历证书或注册证书）、</w:t>
            </w:r>
            <w:r>
              <w:rPr>
                <w:rFonts w:hint="eastAsia"/>
                <w:color w:val="auto"/>
                <w:szCs w:val="21"/>
                <w:highlight w:val="none"/>
              </w:rPr>
              <w:t>竞标</w:t>
            </w:r>
            <w:r>
              <w:rPr>
                <w:rFonts w:hint="eastAsia" w:ascii="宋体" w:hAnsi="宋体"/>
                <w:color w:val="auto"/>
                <w:kern w:val="0"/>
                <w:szCs w:val="21"/>
                <w:highlight w:val="none"/>
              </w:rPr>
              <w:t>人为其缴纳的养老保险证明材料。</w:t>
            </w:r>
          </w:p>
          <w:p w14:paraId="7A3A41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w:t>
            </w:r>
            <w:r>
              <w:rPr>
                <w:rFonts w:hint="eastAsia"/>
                <w:color w:val="auto"/>
                <w:szCs w:val="21"/>
                <w:highlight w:val="none"/>
              </w:rPr>
              <w:t>竞标</w:t>
            </w:r>
            <w:r>
              <w:rPr>
                <w:rFonts w:hint="eastAsia" w:ascii="宋体" w:hAnsi="宋体"/>
                <w:color w:val="auto"/>
                <w:szCs w:val="21"/>
                <w:highlight w:val="none"/>
              </w:rPr>
              <w:t>人须承诺拟派项目负责人履职和未被禁止参与投标。</w:t>
            </w:r>
          </w:p>
          <w:p w14:paraId="47D3A18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4.2.1履职承诺要求：承诺拟派项目负责人中标后在本项目履职，签订合同时拟派的项目负责人必须与</w:t>
            </w:r>
            <w:r>
              <w:rPr>
                <w:rFonts w:hint="eastAsia"/>
                <w:color w:val="auto"/>
                <w:szCs w:val="21"/>
                <w:highlight w:val="none"/>
              </w:rPr>
              <w:t>竞标</w:t>
            </w:r>
            <w:r>
              <w:rPr>
                <w:rFonts w:hint="eastAsia" w:ascii="宋体" w:hAnsi="宋体"/>
                <w:color w:val="auto"/>
                <w:szCs w:val="21"/>
                <w:highlight w:val="none"/>
              </w:rPr>
              <w:t>文件中的项目负责人一致，并满足办理相关手续的要求。不能按承诺履职的，按合同相关条款处罚并上报行政主管部门，给招标人造成损失的，</w:t>
            </w:r>
            <w:r>
              <w:rPr>
                <w:rFonts w:hint="eastAsia"/>
                <w:color w:val="auto"/>
                <w:szCs w:val="21"/>
                <w:highlight w:val="none"/>
              </w:rPr>
              <w:t>竞标</w:t>
            </w:r>
            <w:r>
              <w:rPr>
                <w:rFonts w:hint="eastAsia" w:ascii="宋体" w:hAnsi="宋体"/>
                <w:color w:val="auto"/>
                <w:szCs w:val="21"/>
                <w:highlight w:val="none"/>
              </w:rPr>
              <w:t>人依法承担违约赔偿责任。拟派项目负责人中标后不得随意更换。</w:t>
            </w:r>
          </w:p>
          <w:p w14:paraId="294B50B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4.2.2未被禁止参与投标承诺要求：承诺拟派项目负责人未被重庆市市级有关行业主管部门暂停在渝承揽新业务。若被暂停在渝承揽新业务但仍参加投标，将被否决投标；已取得中标候选人资格或中标资格的，招标人有权取消其中标候选人资格或中标资格；给招标人造成损失的，投标人依法承担赔偿责任或违约责任。</w:t>
            </w:r>
          </w:p>
          <w:p w14:paraId="55588F6A">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4.2.</w:t>
            </w:r>
            <w:r>
              <w:rPr>
                <w:rFonts w:ascii="宋体" w:hAnsi="宋体"/>
                <w:color w:val="auto"/>
                <w:szCs w:val="21"/>
                <w:highlight w:val="none"/>
              </w:rPr>
              <w:t>3</w:t>
            </w:r>
            <w:r>
              <w:rPr>
                <w:rFonts w:hint="eastAsia" w:ascii="宋体" w:hAnsi="宋体"/>
                <w:color w:val="auto"/>
                <w:szCs w:val="21"/>
                <w:highlight w:val="none"/>
              </w:rPr>
              <w:t>未提供上述承诺或承诺内容不符合要求的，由评标委员会作否决投标处理。以上承诺同时作为合同的附件。</w:t>
            </w:r>
          </w:p>
          <w:p w14:paraId="511F0FA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投标人须在投标文件资格审查部分提供拟派项目负责人履职和未被禁止参与投标的承诺（承诺格式见第六章投标文件格式）。</w:t>
            </w:r>
          </w:p>
          <w:p w14:paraId="425E6DBC">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.其他要求</w:t>
            </w:r>
          </w:p>
          <w:p w14:paraId="64C0E1F8">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w:t>
            </w:r>
            <w:r>
              <w:rPr>
                <w:rFonts w:hint="eastAsia" w:ascii="宋体" w:hAnsi="宋体"/>
                <w:color w:val="auto"/>
                <w:kern w:val="0"/>
                <w:szCs w:val="21"/>
                <w:highlight w:val="none"/>
              </w:rPr>
              <w:t>其他主要管理人员</w:t>
            </w:r>
            <w:r>
              <w:rPr>
                <w:rFonts w:ascii="宋体" w:hAnsi="宋体"/>
                <w:color w:val="auto"/>
                <w:szCs w:val="21"/>
                <w:highlight w:val="none"/>
              </w:rPr>
              <w:t>：</w:t>
            </w:r>
          </w:p>
          <w:p w14:paraId="59FCD2BB">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szCs w:val="21"/>
                <w:highlight w:val="none"/>
              </w:rPr>
              <w:t>比选申请人自行承诺中选后在签订合同之前</w:t>
            </w:r>
            <w:r>
              <w:rPr>
                <w:rFonts w:hint="eastAsia" w:ascii="宋体" w:hAnsi="宋体"/>
                <w:color w:val="auto"/>
                <w:szCs w:val="21"/>
                <w:highlight w:val="none"/>
                <w:lang w:eastAsia="zh-CN"/>
              </w:rPr>
              <w:t>，</w:t>
            </w:r>
            <w:r>
              <w:rPr>
                <w:rFonts w:hint="eastAsia" w:ascii="宋体" w:hAnsi="宋体"/>
                <w:color w:val="auto"/>
                <w:szCs w:val="21"/>
                <w:highlight w:val="none"/>
              </w:rPr>
              <w:t>按照比选文件要求配备满足服务要求的服务人员，出具任命文件。任命文件应当明确项目班子人员的职责、岗位设置、人员配备，并书面通知建设单位。相关人员应持有注册职业资格证或岗位证书，并提供本单位为其缴纳的养老保险证明材料。</w:t>
            </w:r>
          </w:p>
          <w:p w14:paraId="4FFE2526">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57750576">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上述要求须提交的相关证明材料复印件均应加盖竞标单位法人章并装入竞标文件资格审查部分中。上述要求</w:t>
            </w:r>
            <w:r>
              <w:rPr>
                <w:rFonts w:hint="eastAsia" w:ascii="宋体" w:hAnsi="宋体" w:cs="宋体"/>
                <w:color w:val="auto"/>
                <w:kern w:val="0"/>
                <w:szCs w:val="21"/>
                <w:highlight w:val="none"/>
              </w:rPr>
              <w:t>，有一条不满足则竞标文件由评标委员会</w:t>
            </w:r>
            <w:r>
              <w:rPr>
                <w:rFonts w:hint="eastAsia" w:ascii="宋体" w:hAnsi="宋体" w:cs="宋体"/>
                <w:color w:val="auto"/>
                <w:szCs w:val="21"/>
                <w:highlight w:val="none"/>
              </w:rPr>
              <w:t>作否决竞标处理</w:t>
            </w:r>
            <w:r>
              <w:rPr>
                <w:rFonts w:hint="eastAsia" w:ascii="宋体" w:hAnsi="宋体" w:cs="宋体"/>
                <w:color w:val="auto"/>
                <w:kern w:val="0"/>
                <w:szCs w:val="21"/>
                <w:highlight w:val="none"/>
              </w:rPr>
              <w:t>。</w:t>
            </w:r>
          </w:p>
          <w:p w14:paraId="70042CDD">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竞标人须自行承诺其提供的上述相关证明材料真实有效，不存在弄虚作假情形（格式见第六章投标文件格式）。比选人在合同签订前均有权对投标人提供的资料进行核实，若发现弄虚作假，按相关规定取消其中标资格，并按相关法律法规报招标投标监督部门，其投标保证金不予退还，投标人承担因此造成的相关责任并赔偿相应损失。</w:t>
            </w:r>
          </w:p>
          <w:p w14:paraId="3C782649">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rPr>
              <w:t>竞争性比选文件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14B30E36">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32C5F825">
            <w:pPr>
              <w:spacing w:line="400" w:lineRule="exact"/>
              <w:ind w:firstLine="420" w:firstLineChars="200"/>
              <w:rPr>
                <w:rFonts w:ascii="宋体" w:hAnsi="宋体"/>
                <w:bCs/>
                <w:snapToGrid w:val="0"/>
                <w:color w:val="auto"/>
                <w:kern w:val="0"/>
                <w:szCs w:val="21"/>
                <w:highlight w:val="none"/>
              </w:rPr>
            </w:pPr>
            <w:r>
              <w:rPr>
                <w:rFonts w:hint="eastAsia" w:ascii="宋体" w:hAnsi="宋体"/>
                <w:bCs/>
                <w:color w:val="auto"/>
                <w:kern w:val="0"/>
                <w:szCs w:val="21"/>
                <w:highlight w:val="none"/>
              </w:rPr>
              <w:t>②项目负责人的连续养老保险证明期限须包含202</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年</w:t>
            </w:r>
            <w:r>
              <w:rPr>
                <w:rFonts w:hint="eastAsia" w:ascii="宋体" w:hAnsi="宋体"/>
                <w:bCs/>
                <w:color w:val="auto"/>
                <w:kern w:val="0"/>
                <w:szCs w:val="21"/>
                <w:highlight w:val="none"/>
                <w:lang w:val="en-US" w:eastAsia="zh-CN"/>
              </w:rPr>
              <w:t>4</w:t>
            </w:r>
            <w:r>
              <w:rPr>
                <w:rFonts w:hint="eastAsia" w:ascii="宋体" w:hAnsi="宋体"/>
                <w:bCs/>
                <w:color w:val="auto"/>
                <w:kern w:val="0"/>
                <w:szCs w:val="21"/>
                <w:highlight w:val="none"/>
              </w:rPr>
              <w:t>月至2025年</w:t>
            </w:r>
            <w:r>
              <w:rPr>
                <w:rFonts w:hint="eastAsia" w:ascii="宋体" w:hAnsi="宋体"/>
                <w:bCs/>
                <w:color w:val="auto"/>
                <w:kern w:val="0"/>
                <w:szCs w:val="21"/>
                <w:highlight w:val="none"/>
                <w:lang w:val="en-US" w:eastAsia="zh-CN"/>
              </w:rPr>
              <w:t>9</w:t>
            </w:r>
            <w:r>
              <w:rPr>
                <w:rFonts w:hint="eastAsia" w:ascii="宋体" w:hAnsi="宋体"/>
                <w:bCs/>
                <w:color w:val="auto"/>
                <w:kern w:val="0"/>
                <w:szCs w:val="21"/>
                <w:highlight w:val="none"/>
              </w:rPr>
              <w:t>月。提供的养老保险参保证明须体现上述人员的姓名、身份证号（或社保号）、单位名称、本单位参保时间（或起始参保时间），并带有社保部门公章或社保部门的有效电子印章。</w:t>
            </w:r>
          </w:p>
        </w:tc>
      </w:tr>
      <w:tr w14:paraId="62B16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EC934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6278F14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w:t>
            </w:r>
            <w:r>
              <w:rPr>
                <w:rFonts w:hint="eastAsia" w:ascii="宋体" w:hAnsi="宋体"/>
                <w:color w:val="auto"/>
                <w:kern w:val="0"/>
                <w:szCs w:val="21"/>
                <w:highlight w:val="none"/>
              </w:rPr>
              <w:t>竞标</w:t>
            </w:r>
          </w:p>
        </w:tc>
        <w:tc>
          <w:tcPr>
            <w:tcW w:w="6919" w:type="dxa"/>
            <w:vAlign w:val="center"/>
          </w:tcPr>
          <w:p w14:paraId="2BC39AB0">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w:t>
            </w:r>
            <w:r>
              <w:rPr>
                <w:rFonts w:ascii="宋体" w:hAnsi="宋体"/>
                <w:color w:val="auto"/>
                <w:kern w:val="0"/>
                <w:szCs w:val="21"/>
                <w:highlight w:val="none"/>
              </w:rPr>
              <w:t>不</w:t>
            </w:r>
            <w:r>
              <w:rPr>
                <w:rFonts w:hint="eastAsia" w:ascii="宋体" w:hAnsi="宋体"/>
                <w:color w:val="auto"/>
                <w:kern w:val="0"/>
                <w:szCs w:val="21"/>
                <w:highlight w:val="none"/>
                <w:lang w:val="en-US" w:eastAsia="zh-CN"/>
              </w:rPr>
              <w:t>接受</w:t>
            </w:r>
          </w:p>
        </w:tc>
      </w:tr>
      <w:tr w14:paraId="572AD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5058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2E305EF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919" w:type="dxa"/>
            <w:vAlign w:val="center"/>
          </w:tcPr>
          <w:p w14:paraId="724D6CC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不组织</w:t>
            </w:r>
          </w:p>
        </w:tc>
      </w:tr>
      <w:tr w14:paraId="63454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A1A67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564F454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预备会</w:t>
            </w:r>
          </w:p>
        </w:tc>
        <w:tc>
          <w:tcPr>
            <w:tcW w:w="6919" w:type="dxa"/>
            <w:vAlign w:val="center"/>
          </w:tcPr>
          <w:p w14:paraId="6AC57AD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不召开</w:t>
            </w:r>
          </w:p>
        </w:tc>
      </w:tr>
      <w:tr w14:paraId="326D4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1B7ED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2688939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919" w:type="dxa"/>
            <w:vAlign w:val="center"/>
          </w:tcPr>
          <w:p w14:paraId="5AE12D64">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不允许</w:t>
            </w:r>
          </w:p>
        </w:tc>
      </w:tr>
      <w:tr w14:paraId="7DA42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7E50A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4E5DE08B">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竞争性比选文件</w:t>
            </w:r>
            <w:r>
              <w:rPr>
                <w:rFonts w:ascii="宋体" w:hAnsi="宋体"/>
                <w:color w:val="auto"/>
                <w:kern w:val="0"/>
                <w:szCs w:val="21"/>
                <w:highlight w:val="none"/>
              </w:rPr>
              <w:t>的其他材料</w:t>
            </w:r>
          </w:p>
        </w:tc>
        <w:tc>
          <w:tcPr>
            <w:tcW w:w="6919" w:type="dxa"/>
            <w:vAlign w:val="center"/>
          </w:tcPr>
          <w:p w14:paraId="1062543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C35D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7A16F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981B44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对</w:t>
            </w:r>
            <w:r>
              <w:rPr>
                <w:rFonts w:hint="eastAsia" w:ascii="宋体" w:hAnsi="宋体"/>
                <w:color w:val="auto"/>
                <w:kern w:val="0"/>
                <w:szCs w:val="21"/>
                <w:highlight w:val="none"/>
              </w:rPr>
              <w:t>竞争性比选文件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919" w:type="dxa"/>
            <w:vAlign w:val="center"/>
          </w:tcPr>
          <w:p w14:paraId="1CB871B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竞选人在收到比选文件后，应仔细检查比选文件的所有内容，如有残缺或文字表述不清，图纸尺寸标注不明以及存在错、碰、漏、缺、概念模糊和有可能出现歧义或理解上的偏差的内容，清单工程量等应在</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10</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15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：00 前</w:t>
            </w:r>
            <w:r>
              <w:rPr>
                <w:rFonts w:hint="eastAsia" w:ascii="宋体" w:hAnsi="宋体"/>
                <w:color w:val="auto"/>
                <w:kern w:val="0"/>
                <w:szCs w:val="21"/>
                <w:highlight w:val="none"/>
              </w:rPr>
              <w:t>通过书面的形式向比选人提出疑问</w:t>
            </w:r>
            <w:r>
              <w:rPr>
                <w:rFonts w:ascii="宋体" w:hAnsi="宋体"/>
                <w:color w:val="auto"/>
                <w:kern w:val="0"/>
                <w:szCs w:val="21"/>
                <w:highlight w:val="none"/>
              </w:rPr>
              <w:t>。</w:t>
            </w:r>
          </w:p>
        </w:tc>
      </w:tr>
      <w:tr w14:paraId="22664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B73B33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3732358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对</w:t>
            </w:r>
            <w:r>
              <w:rPr>
                <w:rFonts w:hint="eastAsia" w:ascii="宋体" w:hAnsi="宋体"/>
                <w:color w:val="auto"/>
                <w:kern w:val="0"/>
                <w:szCs w:val="21"/>
                <w:highlight w:val="none"/>
              </w:rPr>
              <w:t>竞争性比选文件澄清</w:t>
            </w:r>
            <w:r>
              <w:rPr>
                <w:rFonts w:ascii="宋体" w:hAnsi="宋体"/>
                <w:color w:val="auto"/>
                <w:kern w:val="0"/>
                <w:szCs w:val="21"/>
                <w:highlight w:val="none"/>
              </w:rPr>
              <w:t>的截止时间</w:t>
            </w:r>
          </w:p>
        </w:tc>
        <w:tc>
          <w:tcPr>
            <w:tcW w:w="6919" w:type="dxa"/>
            <w:vAlign w:val="center"/>
          </w:tcPr>
          <w:p w14:paraId="2B05C817">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比选人应在</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16</w:t>
            </w:r>
            <w:bookmarkStart w:id="505" w:name="_GoBack"/>
            <w:bookmarkEnd w:id="505"/>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：00 </w:t>
            </w:r>
            <w:r>
              <w:rPr>
                <w:rFonts w:hint="eastAsia" w:ascii="宋体" w:hAnsi="宋体" w:cs="宋体"/>
                <w:color w:val="auto"/>
                <w:szCs w:val="21"/>
                <w:highlight w:val="none"/>
              </w:rPr>
              <w:t>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“行采家”网站（https://www.gec123.com/）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2D32B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740DF56F">
            <w:pPr>
              <w:snapToGrid w:val="0"/>
              <w:spacing w:line="400" w:lineRule="exact"/>
              <w:jc w:val="center"/>
              <w:rPr>
                <w:rFonts w:ascii="宋体" w:hAnsi="宋体"/>
                <w:color w:val="auto"/>
                <w:kern w:val="0"/>
                <w:szCs w:val="21"/>
                <w:highlight w:val="none"/>
              </w:rPr>
            </w:pPr>
          </w:p>
        </w:tc>
        <w:tc>
          <w:tcPr>
            <w:tcW w:w="1644" w:type="dxa"/>
            <w:vAlign w:val="center"/>
          </w:tcPr>
          <w:p w14:paraId="4F52485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竞标截止时间</w:t>
            </w:r>
          </w:p>
        </w:tc>
        <w:tc>
          <w:tcPr>
            <w:tcW w:w="6919" w:type="dxa"/>
            <w:vAlign w:val="center"/>
          </w:tcPr>
          <w:p w14:paraId="42540C41">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详见比选公告规定的竞标截止时间。</w:t>
            </w:r>
          </w:p>
        </w:tc>
      </w:tr>
      <w:tr w14:paraId="52D39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2FF21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0990ABFB">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竞标文件</w:t>
            </w:r>
            <w:r>
              <w:rPr>
                <w:rFonts w:ascii="宋体" w:hAnsi="宋体"/>
                <w:color w:val="auto"/>
                <w:kern w:val="0"/>
                <w:szCs w:val="21"/>
                <w:highlight w:val="none"/>
              </w:rPr>
              <w:t>的其他材料</w:t>
            </w:r>
          </w:p>
        </w:tc>
        <w:tc>
          <w:tcPr>
            <w:tcW w:w="6919" w:type="dxa"/>
            <w:vAlign w:val="center"/>
          </w:tcPr>
          <w:p w14:paraId="619643F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w:t>
            </w:r>
            <w:r>
              <w:rPr>
                <w:rFonts w:ascii="宋体" w:hAnsi="宋体"/>
                <w:color w:val="auto"/>
                <w:szCs w:val="21"/>
                <w:highlight w:val="none"/>
              </w:rPr>
              <w:t>的书面澄清、说明和补正（但不得改变</w:t>
            </w:r>
            <w:r>
              <w:rPr>
                <w:rFonts w:hint="eastAsia" w:ascii="宋体" w:hAnsi="宋体"/>
                <w:color w:val="auto"/>
                <w:szCs w:val="21"/>
                <w:highlight w:val="none"/>
              </w:rPr>
              <w:t>竞标文件</w:t>
            </w:r>
            <w:r>
              <w:rPr>
                <w:rFonts w:ascii="宋体" w:hAnsi="宋体"/>
                <w:color w:val="auto"/>
                <w:szCs w:val="21"/>
                <w:highlight w:val="none"/>
              </w:rPr>
              <w:t>的实质性内容）</w:t>
            </w:r>
          </w:p>
        </w:tc>
      </w:tr>
      <w:tr w14:paraId="7B953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01EAB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.2.1</w:t>
            </w:r>
          </w:p>
        </w:tc>
        <w:tc>
          <w:tcPr>
            <w:tcW w:w="1644" w:type="dxa"/>
            <w:vAlign w:val="center"/>
          </w:tcPr>
          <w:p w14:paraId="23B51D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增值税税金的计算方法</w:t>
            </w:r>
          </w:p>
        </w:tc>
        <w:tc>
          <w:tcPr>
            <w:tcW w:w="6919" w:type="dxa"/>
            <w:vAlign w:val="center"/>
          </w:tcPr>
          <w:p w14:paraId="79C3626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一般计税法</w:t>
            </w:r>
          </w:p>
        </w:tc>
      </w:tr>
      <w:tr w14:paraId="10706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C0F9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r>
              <w:rPr>
                <w:rFonts w:hint="eastAsia" w:ascii="宋体" w:hAnsi="宋体"/>
                <w:color w:val="auto"/>
                <w:kern w:val="0"/>
                <w:szCs w:val="21"/>
                <w:highlight w:val="none"/>
              </w:rPr>
              <w:t>.3</w:t>
            </w:r>
          </w:p>
        </w:tc>
        <w:tc>
          <w:tcPr>
            <w:tcW w:w="1644" w:type="dxa"/>
            <w:vAlign w:val="center"/>
          </w:tcPr>
          <w:p w14:paraId="09D0874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报价</w:t>
            </w:r>
          </w:p>
        </w:tc>
        <w:tc>
          <w:tcPr>
            <w:tcW w:w="6919" w:type="dxa"/>
            <w:vAlign w:val="center"/>
          </w:tcPr>
          <w:p w14:paraId="09F47A47">
            <w:pPr>
              <w:snapToGrid w:val="0"/>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报价方式：固定总价。</w:t>
            </w:r>
          </w:p>
          <w:p w14:paraId="3C75F15F">
            <w:pPr>
              <w:pStyle w:val="18"/>
              <w:tabs>
                <w:tab w:val="left" w:pos="546"/>
                <w:tab w:val="left" w:pos="711"/>
              </w:tabs>
              <w:snapToGrid w:val="0"/>
              <w:spacing w:after="0" w:line="400" w:lineRule="exact"/>
              <w:ind w:firstLine="420" w:firstLineChars="200"/>
              <w:rPr>
                <w:rFonts w:hint="eastAsia"/>
                <w:color w:val="auto"/>
                <w:highlight w:val="none"/>
              </w:rPr>
            </w:pPr>
            <w:r>
              <w:rPr>
                <w:rFonts w:hint="eastAsia"/>
                <w:color w:val="auto"/>
                <w:highlight w:val="none"/>
              </w:rPr>
              <w:t>1、本次报价须为人民币报价，报价为比选申请人对比选申请文件所确定的全部工作内容包干总价，报价包括但不限于：人员工资、社会保险费、福利费、加班费、咨询费、安全措施费、利润、税金等合同明示或暗示的所有一切风险、完成相应任务所发生的费用、责任和义务等一切应由乙方支付的费用。比选人除此外不支付其他费用。因比选申请人自身原因造成漏报、少报皆由中</w:t>
            </w:r>
            <w:r>
              <w:rPr>
                <w:rFonts w:hint="eastAsia"/>
                <w:color w:val="auto"/>
                <w:highlight w:val="none"/>
                <w:lang w:val="en-US" w:eastAsia="zh-CN"/>
              </w:rPr>
              <w:t>选</w:t>
            </w:r>
            <w:r>
              <w:rPr>
                <w:rFonts w:hint="eastAsia"/>
                <w:color w:val="auto"/>
                <w:highlight w:val="none"/>
              </w:rPr>
              <w:t>人自行承担，比选人不再补偿。</w:t>
            </w:r>
          </w:p>
          <w:p w14:paraId="616D49BC">
            <w:pPr>
              <w:pStyle w:val="18"/>
              <w:tabs>
                <w:tab w:val="left" w:pos="546"/>
                <w:tab w:val="left" w:pos="711"/>
              </w:tabs>
              <w:snapToGrid w:val="0"/>
              <w:spacing w:after="0" w:line="400" w:lineRule="exact"/>
              <w:ind w:firstLine="420" w:firstLineChars="200"/>
              <w:rPr>
                <w:rFonts w:hint="eastAsia"/>
                <w:color w:val="auto"/>
                <w:highlight w:val="none"/>
              </w:rPr>
            </w:pPr>
            <w:r>
              <w:rPr>
                <w:rFonts w:hint="eastAsia"/>
                <w:color w:val="auto"/>
                <w:highlight w:val="none"/>
              </w:rPr>
              <w:t>2、费用构成由比选申请根据本项目的实际情况与自身现实情况，并充分考虑不确定性因素可能导致的风险自行填报。若因比选申请人原因造成的漏报、错报而导致本项目无法履行的，由比选申请人负责，比选人不会承担任何费用。</w:t>
            </w:r>
          </w:p>
          <w:p w14:paraId="6144153A">
            <w:pPr>
              <w:pStyle w:val="18"/>
              <w:tabs>
                <w:tab w:val="left" w:pos="546"/>
                <w:tab w:val="left" w:pos="711"/>
              </w:tabs>
              <w:snapToGrid w:val="0"/>
              <w:spacing w:after="0" w:line="400" w:lineRule="exact"/>
              <w:ind w:firstLine="420" w:firstLineChars="200"/>
              <w:rPr>
                <w:color w:val="auto"/>
                <w:highlight w:val="none"/>
              </w:rPr>
            </w:pPr>
            <w:r>
              <w:rPr>
                <w:rFonts w:hint="eastAsia"/>
                <w:color w:val="auto"/>
                <w:highlight w:val="none"/>
              </w:rPr>
              <w:t>3、</w:t>
            </w:r>
            <w:r>
              <w:rPr>
                <w:rFonts w:hint="eastAsia"/>
                <w:color w:val="auto"/>
                <w:highlight w:val="none"/>
                <w:lang w:val="en-US" w:eastAsia="zh-CN"/>
              </w:rPr>
              <w:t>本项目比选申请总报价最高限价为780000元，比选申请人在报价时不得超过本项目最高限价，否则评审小组作否决比选申请处理。</w:t>
            </w:r>
          </w:p>
        </w:tc>
      </w:tr>
      <w:tr w14:paraId="1A6FE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CA34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6F42623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有效期</w:t>
            </w:r>
          </w:p>
        </w:tc>
        <w:tc>
          <w:tcPr>
            <w:tcW w:w="6919" w:type="dxa"/>
            <w:vAlign w:val="center"/>
          </w:tcPr>
          <w:p w14:paraId="23EBF110">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rPr>
              <w:t>竞标文件</w:t>
            </w:r>
            <w:r>
              <w:rPr>
                <w:rFonts w:ascii="宋体" w:hAnsi="宋体"/>
                <w:color w:val="auto"/>
                <w:szCs w:val="21"/>
                <w:highlight w:val="none"/>
              </w:rPr>
              <w:t>截止日起计算）</w:t>
            </w:r>
          </w:p>
        </w:tc>
      </w:tr>
      <w:tr w14:paraId="3CFED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3B6AC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353DC1F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保证金</w:t>
            </w:r>
          </w:p>
        </w:tc>
        <w:tc>
          <w:tcPr>
            <w:tcW w:w="6919" w:type="dxa"/>
            <w:vAlign w:val="center"/>
          </w:tcPr>
          <w:p w14:paraId="78822E48">
            <w:pPr>
              <w:widowControl w:val="0"/>
              <w:spacing w:line="360" w:lineRule="auto"/>
              <w:ind w:firstLine="420" w:firstLineChars="200"/>
              <w:jc w:val="left"/>
              <w:rPr>
                <w:rFonts w:hint="eastAsia" w:eastAsia="宋体"/>
                <w:color w:val="auto"/>
                <w:highlight w:val="none"/>
                <w:lang w:eastAsia="zh-CN"/>
              </w:rPr>
            </w:pPr>
            <w:r>
              <w:rPr>
                <w:rFonts w:hint="eastAsia" w:ascii="宋体" w:hAnsi="宋体" w:cs="宋体"/>
                <w:color w:val="auto"/>
                <w:highlight w:val="none"/>
                <w:lang w:val="en-US" w:eastAsia="zh-CN"/>
              </w:rPr>
              <w:t>无</w:t>
            </w:r>
          </w:p>
        </w:tc>
      </w:tr>
      <w:tr w14:paraId="20A7C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083AC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631E35F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68CAD245">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w:t>
            </w:r>
            <w:r>
              <w:rPr>
                <w:rFonts w:hint="eastAsia" w:ascii="宋体" w:hAnsi="宋体"/>
                <w:color w:val="auto"/>
                <w:kern w:val="0"/>
                <w:szCs w:val="21"/>
                <w:highlight w:val="none"/>
              </w:rPr>
              <w:t>竞标</w:t>
            </w:r>
            <w:r>
              <w:rPr>
                <w:rFonts w:ascii="宋体" w:hAnsi="宋体"/>
                <w:color w:val="auto"/>
                <w:kern w:val="0"/>
                <w:szCs w:val="21"/>
                <w:highlight w:val="none"/>
              </w:rPr>
              <w:t>方案</w:t>
            </w:r>
          </w:p>
        </w:tc>
        <w:tc>
          <w:tcPr>
            <w:tcW w:w="6919" w:type="dxa"/>
            <w:vAlign w:val="center"/>
          </w:tcPr>
          <w:p w14:paraId="34D8E8C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428E4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D4FFC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7F743F70">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竞标文件格式要求</w:t>
            </w:r>
          </w:p>
        </w:tc>
        <w:tc>
          <w:tcPr>
            <w:tcW w:w="6919" w:type="dxa"/>
            <w:vAlign w:val="center"/>
          </w:tcPr>
          <w:p w14:paraId="7C9466B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65331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5D197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2CD02A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919" w:type="dxa"/>
            <w:vAlign w:val="center"/>
          </w:tcPr>
          <w:p w14:paraId="4EF2016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文件应用不褪色的材料书写或打印，并由竞标人的法定代表人或其委托代理人在竞争性比选文件规定的位置按竞争性比选文件要求签名或盖章、盖单位法人章。委托代理人签名的，竞标文件应附法定代表人签署的授权委托书。竞标文件应尽量避免涂改、行间插字或删除。如果出现上述情况，改动之处应加盖单位法人章或由竞标人的法定代表人或其授权的代理人签名确认。</w:t>
            </w:r>
          </w:p>
          <w:p w14:paraId="44AF4411">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5CBCB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18626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6346C32C">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的份数</w:t>
            </w:r>
          </w:p>
        </w:tc>
        <w:tc>
          <w:tcPr>
            <w:tcW w:w="6919" w:type="dxa"/>
            <w:vAlign w:val="center"/>
          </w:tcPr>
          <w:p w14:paraId="21EDDFF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w:t>
            </w:r>
            <w:r>
              <w:rPr>
                <w:rFonts w:hint="eastAsia" w:ascii="宋体" w:hAnsi="宋体"/>
                <w:color w:val="auto"/>
                <w:kern w:val="0"/>
                <w:szCs w:val="21"/>
                <w:highlight w:val="none"/>
                <w:lang w:val="en-US" w:eastAsia="zh-CN"/>
              </w:rPr>
              <w:t>包含所有</w:t>
            </w:r>
            <w:r>
              <w:rPr>
                <w:rFonts w:hint="eastAsia" w:ascii="宋体" w:hAnsi="宋体"/>
                <w:color w:val="auto"/>
                <w:kern w:val="0"/>
                <w:szCs w:val="21"/>
                <w:highlight w:val="none"/>
              </w:rPr>
              <w:t>竞标文件</w:t>
            </w:r>
            <w:r>
              <w:rPr>
                <w:rFonts w:hint="eastAsia" w:ascii="宋体" w:hAnsi="宋体"/>
                <w:color w:val="auto"/>
                <w:kern w:val="0"/>
                <w:szCs w:val="21"/>
                <w:highlight w:val="none"/>
                <w:lang w:val="en-US" w:eastAsia="zh-CN"/>
              </w:rPr>
              <w:t>签字盖章后的扫描件</w:t>
            </w:r>
            <w:r>
              <w:rPr>
                <w:rFonts w:hint="eastAsia" w:ascii="宋体" w:hAnsi="宋体"/>
                <w:color w:val="auto"/>
                <w:kern w:val="0"/>
                <w:szCs w:val="21"/>
                <w:highlight w:val="none"/>
              </w:rPr>
              <w:t>）U盘1份。当副本和正本不一致时，以正本为准。否则由评标委员会作否决竞标处理。</w:t>
            </w:r>
          </w:p>
        </w:tc>
      </w:tr>
      <w:tr w14:paraId="4190D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12392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shd w:val="clear" w:color="auto" w:fill="auto"/>
            <w:vAlign w:val="center"/>
          </w:tcPr>
          <w:p w14:paraId="287E9A7E">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装订要求</w:t>
            </w:r>
          </w:p>
        </w:tc>
        <w:tc>
          <w:tcPr>
            <w:tcW w:w="6919" w:type="dxa"/>
            <w:shd w:val="clear" w:color="auto" w:fill="auto"/>
            <w:vAlign w:val="center"/>
          </w:tcPr>
          <w:p w14:paraId="68C1EA5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本工程技术部分采用明标评审，应将</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资格审查部分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含商务部分</w:t>
            </w:r>
            <w:r>
              <w:rPr>
                <w:rFonts w:hint="eastAsia" w:ascii="宋体" w:hAnsi="宋体"/>
                <w:color w:val="auto"/>
                <w:kern w:val="0"/>
                <w:szCs w:val="21"/>
                <w:highlight w:val="none"/>
                <w:lang w:eastAsia="zh-CN"/>
              </w:rPr>
              <w:t>）</w:t>
            </w:r>
            <w:r>
              <w:rPr>
                <w:rFonts w:ascii="宋体" w:hAnsi="宋体"/>
                <w:color w:val="auto"/>
                <w:szCs w:val="21"/>
                <w:highlight w:val="none"/>
              </w:rPr>
              <w:t>各自分别装订成册。</w:t>
            </w:r>
          </w:p>
          <w:p w14:paraId="654C1DB8">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14:paraId="53D2F01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函部分的装订要求</w:t>
            </w:r>
          </w:p>
          <w:p w14:paraId="397D7E7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6035564F">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）技术部分</w:t>
            </w:r>
            <w:r>
              <w:rPr>
                <w:rFonts w:hint="eastAsia" w:ascii="宋体" w:hAnsi="宋体"/>
                <w:color w:val="auto"/>
                <w:szCs w:val="21"/>
                <w:highlight w:val="none"/>
              </w:rPr>
              <w:t>（如有）</w:t>
            </w:r>
            <w:r>
              <w:rPr>
                <w:rFonts w:ascii="宋体" w:hAnsi="宋体"/>
                <w:color w:val="auto"/>
                <w:szCs w:val="21"/>
                <w:highlight w:val="none"/>
              </w:rPr>
              <w:t>的装订要求</w:t>
            </w:r>
          </w:p>
          <w:p w14:paraId="3BB3D7B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，逐页标注页码。</w:t>
            </w:r>
            <w:r>
              <w:rPr>
                <w:rFonts w:hint="eastAsia" w:ascii="宋体" w:hAnsi="宋体"/>
                <w:color w:val="auto"/>
                <w:szCs w:val="21"/>
                <w:highlight w:val="none"/>
              </w:rPr>
              <w:t>注：技术部分采用明标评审时，不因形式评审的问题（包括但不限于封面、页码、目录、字体、格式等）而被否决竞标。</w:t>
            </w:r>
          </w:p>
          <w:p w14:paraId="676AA9D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200 </w:t>
            </w:r>
            <w:r>
              <w:rPr>
                <w:rFonts w:hint="eastAsia" w:ascii="宋体" w:hAnsi="宋体"/>
                <w:color w:val="auto"/>
                <w:szCs w:val="21"/>
                <w:highlight w:val="none"/>
              </w:rPr>
              <w:t>页。）</w:t>
            </w:r>
          </w:p>
          <w:p w14:paraId="22567A56">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kern w:val="0"/>
                <w:szCs w:val="21"/>
                <w:highlight w:val="none"/>
              </w:rPr>
              <w:t>资格审查部分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含商务部分</w:t>
            </w:r>
            <w:r>
              <w:rPr>
                <w:rFonts w:hint="eastAsia" w:ascii="宋体" w:hAnsi="宋体"/>
                <w:color w:val="auto"/>
                <w:kern w:val="0"/>
                <w:szCs w:val="21"/>
                <w:highlight w:val="none"/>
                <w:lang w:eastAsia="zh-CN"/>
              </w:rPr>
              <w:t>）</w:t>
            </w:r>
            <w:r>
              <w:rPr>
                <w:rFonts w:ascii="宋体" w:hAnsi="宋体"/>
                <w:color w:val="auto"/>
                <w:kern w:val="0"/>
                <w:szCs w:val="21"/>
                <w:highlight w:val="none"/>
              </w:rPr>
              <w:t>的装订要求</w:t>
            </w:r>
          </w:p>
          <w:p w14:paraId="6DE0B5AE">
            <w:pPr>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w:t>
            </w:r>
            <w:r>
              <w:rPr>
                <w:rFonts w:ascii="宋体" w:hAnsi="宋体"/>
                <w:color w:val="auto"/>
                <w:kern w:val="0"/>
                <w:szCs w:val="21"/>
                <w:highlight w:val="none"/>
              </w:rPr>
              <w:t>码。</w:t>
            </w:r>
          </w:p>
        </w:tc>
      </w:tr>
      <w:tr w14:paraId="62454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4162F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shd w:val="clear" w:color="auto" w:fill="auto"/>
            <w:vAlign w:val="center"/>
          </w:tcPr>
          <w:p w14:paraId="2065397B">
            <w:pPr>
              <w:snapToGrid w:val="0"/>
              <w:spacing w:line="400" w:lineRule="exact"/>
              <w:jc w:val="center"/>
              <w:rPr>
                <w:rFonts w:ascii="宋体" w:hAnsi="宋体" w:eastAsia="宋体" w:cs="Times New Roman"/>
                <w:color w:val="auto"/>
                <w:spacing w:val="-6"/>
                <w:kern w:val="0"/>
                <w:sz w:val="21"/>
                <w:szCs w:val="21"/>
                <w:highlight w:val="none"/>
                <w:lang w:val="en-US" w:eastAsia="zh-CN" w:bidi="ar-SA"/>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的密封</w:t>
            </w:r>
          </w:p>
        </w:tc>
        <w:tc>
          <w:tcPr>
            <w:tcW w:w="6919" w:type="dxa"/>
            <w:shd w:val="clear" w:color="auto" w:fill="auto"/>
            <w:vAlign w:val="center"/>
          </w:tcPr>
          <w:p w14:paraId="3D6EBA9F">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竞标</w:t>
            </w:r>
            <w:r>
              <w:rPr>
                <w:rFonts w:ascii="宋体" w:hAnsi="宋体"/>
                <w:color w:val="auto"/>
                <w:szCs w:val="21"/>
                <w:highlight w:val="none"/>
              </w:rPr>
              <w:t>文件袋使用“</w:t>
            </w:r>
            <w:r>
              <w:rPr>
                <w:rFonts w:hint="eastAsia" w:ascii="宋体" w:hAnsi="宋体"/>
                <w:color w:val="auto"/>
                <w:szCs w:val="21"/>
                <w:highlight w:val="none"/>
              </w:rPr>
              <w:t>竞标</w:t>
            </w:r>
            <w:r>
              <w:rPr>
                <w:rFonts w:ascii="宋体" w:hAnsi="宋体"/>
                <w:color w:val="auto"/>
                <w:szCs w:val="21"/>
                <w:highlight w:val="none"/>
              </w:rPr>
              <w:t>函部分”袋、“技术部分”袋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竞标</w:t>
            </w:r>
            <w:r>
              <w:rPr>
                <w:rFonts w:ascii="宋体" w:hAnsi="宋体"/>
                <w:color w:val="auto"/>
                <w:szCs w:val="21"/>
                <w:highlight w:val="none"/>
              </w:rPr>
              <w:t>文件”大袋。</w:t>
            </w:r>
          </w:p>
          <w:p w14:paraId="569595D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竞标</w:t>
            </w:r>
            <w:r>
              <w:rPr>
                <w:rFonts w:ascii="宋体" w:hAnsi="宋体"/>
                <w:color w:val="auto"/>
                <w:szCs w:val="21"/>
                <w:highlight w:val="none"/>
              </w:rPr>
              <w:t>函部分</w:t>
            </w:r>
            <w:r>
              <w:rPr>
                <w:rFonts w:hint="eastAsia" w:ascii="宋体" w:hAnsi="宋体"/>
                <w:color w:val="auto"/>
                <w:szCs w:val="21"/>
                <w:highlight w:val="none"/>
              </w:rPr>
              <w:t>和电子版形式（</w:t>
            </w:r>
            <w:r>
              <w:rPr>
                <w:rFonts w:hint="eastAsia" w:ascii="宋体" w:hAnsi="宋体"/>
                <w:color w:val="auto"/>
                <w:kern w:val="0"/>
                <w:szCs w:val="21"/>
                <w:highlight w:val="none"/>
              </w:rPr>
              <w:t>U盘</w:t>
            </w:r>
            <w:r>
              <w:rPr>
                <w:rFonts w:hint="eastAsia" w:ascii="宋体" w:hAnsi="宋体"/>
                <w:color w:val="auto"/>
                <w:szCs w:val="21"/>
                <w:highlight w:val="none"/>
              </w:rPr>
              <w:t>）</w:t>
            </w:r>
            <w:r>
              <w:rPr>
                <w:rFonts w:ascii="宋体" w:hAnsi="宋体"/>
                <w:color w:val="auto"/>
                <w:szCs w:val="21"/>
                <w:highlight w:val="none"/>
              </w:rPr>
              <w:t>装入“</w:t>
            </w:r>
            <w:r>
              <w:rPr>
                <w:rFonts w:hint="eastAsia" w:ascii="宋体" w:hAnsi="宋体"/>
                <w:color w:val="auto"/>
                <w:szCs w:val="21"/>
                <w:highlight w:val="none"/>
              </w:rPr>
              <w:t>竞标</w:t>
            </w:r>
            <w:r>
              <w:rPr>
                <w:rFonts w:ascii="宋体" w:hAnsi="宋体"/>
                <w:color w:val="auto"/>
                <w:szCs w:val="21"/>
                <w:highlight w:val="none"/>
              </w:rPr>
              <w:t>函部分”袋中，密封并在袋上加盖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6F9C09A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30DF640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 资格审查部分装入“资格审查部分”袋中，密封并在袋上加盖竞标人单位法人章。</w:t>
            </w:r>
          </w:p>
          <w:p w14:paraId="38B9BEA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（如有）、“资格审查部分”</w:t>
            </w:r>
            <w:r>
              <w:rPr>
                <w:rFonts w:ascii="宋体" w:hAnsi="宋体"/>
                <w:color w:val="auto"/>
                <w:szCs w:val="21"/>
                <w:highlight w:val="none"/>
              </w:rPr>
              <w:t>等小袋装入“</w:t>
            </w:r>
            <w:r>
              <w:rPr>
                <w:rFonts w:hint="eastAsia" w:ascii="宋体" w:hAnsi="宋体"/>
                <w:color w:val="auto"/>
                <w:szCs w:val="21"/>
                <w:highlight w:val="none"/>
              </w:rPr>
              <w:t>竞标</w:t>
            </w:r>
            <w:r>
              <w:rPr>
                <w:rFonts w:ascii="宋体" w:hAnsi="宋体"/>
                <w:color w:val="auto"/>
                <w:szCs w:val="21"/>
                <w:highlight w:val="none"/>
              </w:rPr>
              <w:t>文件”大袋中，密封并在大袋上加盖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竞标</w:t>
            </w:r>
            <w:r>
              <w:rPr>
                <w:rFonts w:ascii="宋体" w:hAnsi="宋体"/>
                <w:color w:val="auto"/>
                <w:szCs w:val="21"/>
                <w:highlight w:val="none"/>
              </w:rPr>
              <w:t>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14:paraId="58CE9472">
            <w:pPr>
              <w:adjustRightInd w:val="0"/>
              <w:snapToGrid w:val="0"/>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注：“竞标函部分”袋、“技术部分”袋（如有）、“资格审查部分”袋只为方便竞标文件分装，不作为判定密封合格与否的条件。但为了方便开标，请各竞标人主动配合，按要求分装。</w:t>
            </w:r>
          </w:p>
        </w:tc>
      </w:tr>
      <w:tr w14:paraId="522D4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8A94C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4BF6413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919" w:type="dxa"/>
            <w:vAlign w:val="center"/>
          </w:tcPr>
          <w:p w14:paraId="7AEAC4AA">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竞标文件</w:t>
            </w:r>
            <w:r>
              <w:rPr>
                <w:rFonts w:ascii="宋体" w:hAnsi="宋体"/>
                <w:color w:val="auto"/>
                <w:kern w:val="0"/>
                <w:szCs w:val="21"/>
                <w:highlight w:val="none"/>
              </w:rPr>
              <w:t>”大袋封套上写明如下内容：</w:t>
            </w:r>
          </w:p>
          <w:p w14:paraId="12B0193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24E2A61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竞标人名称：</w:t>
            </w:r>
            <w:r>
              <w:rPr>
                <w:rFonts w:hint="eastAsia" w:ascii="宋体" w:hAnsi="宋体"/>
                <w:color w:val="auto"/>
                <w:kern w:val="0"/>
                <w:szCs w:val="21"/>
                <w:highlight w:val="none"/>
                <w:u w:val="single"/>
              </w:rPr>
              <w:t xml:space="preserve">            </w:t>
            </w:r>
          </w:p>
          <w:p w14:paraId="0BBD166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rPr>
              <w:t>竞标文件</w:t>
            </w:r>
          </w:p>
          <w:p w14:paraId="74CC1AD1">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37636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7638B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3B1F9EA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竞标文件</w:t>
            </w:r>
            <w:r>
              <w:rPr>
                <w:rFonts w:ascii="宋体" w:hAnsi="宋体"/>
                <w:color w:val="auto"/>
                <w:kern w:val="0"/>
                <w:szCs w:val="21"/>
                <w:highlight w:val="none"/>
              </w:rPr>
              <w:t>地点</w:t>
            </w:r>
          </w:p>
        </w:tc>
        <w:tc>
          <w:tcPr>
            <w:tcW w:w="6919" w:type="dxa"/>
            <w:vAlign w:val="center"/>
          </w:tcPr>
          <w:p w14:paraId="6C13BF3A">
            <w:pPr>
              <w:snapToGrid w:val="0"/>
              <w:spacing w:line="400" w:lineRule="exact"/>
              <w:ind w:firstLine="422" w:firstLineChars="200"/>
              <w:rPr>
                <w:rFonts w:ascii="宋体" w:hAnsi="宋体"/>
                <w:bCs/>
                <w:i/>
                <w:color w:val="auto"/>
                <w:szCs w:val="21"/>
                <w:highlight w:val="none"/>
              </w:rPr>
            </w:pPr>
            <w:r>
              <w:rPr>
                <w:rFonts w:hint="eastAsia" w:ascii="宋体" w:hAnsi="宋体" w:cs="宋体"/>
                <w:b/>
                <w:snapToGrid w:val="0"/>
                <w:color w:val="auto"/>
                <w:kern w:val="0"/>
                <w:highlight w:val="none"/>
                <w:u w:val="single"/>
                <w:lang w:eastAsia="zh-CN"/>
              </w:rPr>
              <w:t>线下指定开标地点：南岸区公共资源交易平台（汇南公司）（地址：重庆市南岸区茶园新区广福大道12号行政中心B区2号楼4楼）</w:t>
            </w:r>
          </w:p>
        </w:tc>
      </w:tr>
      <w:tr w14:paraId="64549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2E2A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69612EA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竞标文件</w:t>
            </w:r>
          </w:p>
        </w:tc>
        <w:tc>
          <w:tcPr>
            <w:tcW w:w="6919" w:type="dxa"/>
            <w:vAlign w:val="center"/>
          </w:tcPr>
          <w:p w14:paraId="7397628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2446F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8765C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7B2804B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7056F77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919" w:type="dxa"/>
            <w:vAlign w:val="center"/>
          </w:tcPr>
          <w:p w14:paraId="383B62B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w:t>
            </w:r>
            <w:r>
              <w:rPr>
                <w:rFonts w:hint="eastAsia" w:ascii="宋体" w:hAnsi="宋体"/>
                <w:color w:val="auto"/>
                <w:kern w:val="0"/>
                <w:szCs w:val="21"/>
                <w:highlight w:val="none"/>
              </w:rPr>
              <w:t>竞标</w:t>
            </w:r>
            <w:r>
              <w:rPr>
                <w:rFonts w:ascii="宋体" w:hAnsi="宋体"/>
                <w:color w:val="auto"/>
                <w:kern w:val="0"/>
                <w:szCs w:val="21"/>
                <w:highlight w:val="none"/>
              </w:rPr>
              <w:t>截止时间</w:t>
            </w:r>
          </w:p>
          <w:p w14:paraId="2D7DC35B">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s="宋体"/>
                <w:b/>
                <w:snapToGrid w:val="0"/>
                <w:color w:val="auto"/>
                <w:kern w:val="0"/>
                <w:highlight w:val="none"/>
                <w:u w:val="single"/>
                <w:lang w:eastAsia="zh-CN"/>
              </w:rPr>
              <w:t>南岸区公共资源交易平台（汇南公司）（地址：重庆市南岸区茶园新区广福大道12号行政中心B区2号楼4楼）</w:t>
            </w:r>
          </w:p>
        </w:tc>
      </w:tr>
      <w:tr w14:paraId="0366C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6296F9">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7441F2B">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919" w:type="dxa"/>
            <w:vAlign w:val="center"/>
          </w:tcPr>
          <w:p w14:paraId="79DA02E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022FAE7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rPr>
              <w:t>竞标人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w:t>
            </w:r>
            <w:r>
              <w:rPr>
                <w:rFonts w:hint="eastAsia" w:ascii="宋体" w:hAnsi="宋体"/>
                <w:color w:val="auto"/>
                <w:szCs w:val="21"/>
                <w:highlight w:val="none"/>
                <w:lang w:val="en-US" w:eastAsia="zh-CN"/>
              </w:rPr>
              <w:t>书</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6310C4C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0786735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423C59B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w:t>
            </w:r>
            <w:r>
              <w:rPr>
                <w:rFonts w:hint="eastAsia" w:ascii="宋体" w:hAnsi="宋体"/>
                <w:color w:val="auto"/>
                <w:szCs w:val="21"/>
                <w:highlight w:val="none"/>
              </w:rPr>
              <w:t>竞标</w:t>
            </w:r>
            <w:r>
              <w:rPr>
                <w:rFonts w:ascii="宋体" w:hAnsi="宋体"/>
                <w:color w:val="auto"/>
                <w:szCs w:val="21"/>
                <w:highlight w:val="none"/>
              </w:rPr>
              <w:t>截止时间前递交</w:t>
            </w:r>
            <w:r>
              <w:rPr>
                <w:rFonts w:hint="eastAsia" w:ascii="宋体" w:hAnsi="宋体"/>
                <w:color w:val="auto"/>
                <w:szCs w:val="21"/>
                <w:highlight w:val="none"/>
              </w:rPr>
              <w:t>竞标文件</w:t>
            </w:r>
            <w:r>
              <w:rPr>
                <w:rFonts w:ascii="宋体" w:hAnsi="宋体"/>
                <w:color w:val="auto"/>
                <w:szCs w:val="21"/>
                <w:highlight w:val="none"/>
              </w:rPr>
              <w:t>的</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w:t>
            </w:r>
          </w:p>
          <w:p w14:paraId="00092EC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竞标文件的密封检查：竞标人可对自己的竞标文件封装情况进行检查，以确认其竞标文件密封完好。</w:t>
            </w:r>
          </w:p>
          <w:p w14:paraId="1221921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汇总竞标保证金交纳情况</w:t>
            </w:r>
          </w:p>
          <w:p w14:paraId="24671BE0">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rPr>
              <w:t>6.1 打印所有竞标人的竞标保证金交纳情況，并由比选人代表、监标人、记录人签名确认。</w:t>
            </w:r>
          </w:p>
          <w:p w14:paraId="6B65D5E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387BD1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竞标文件</w:t>
            </w:r>
            <w:r>
              <w:rPr>
                <w:rFonts w:ascii="宋体" w:hAnsi="宋体"/>
                <w:color w:val="auto"/>
                <w:szCs w:val="21"/>
                <w:highlight w:val="none"/>
              </w:rPr>
              <w:t>。开启</w:t>
            </w:r>
            <w:r>
              <w:rPr>
                <w:rFonts w:hint="eastAsia" w:ascii="宋体" w:hAnsi="宋体"/>
                <w:color w:val="auto"/>
                <w:szCs w:val="21"/>
                <w:highlight w:val="none"/>
              </w:rPr>
              <w:t>竞标文件</w:t>
            </w:r>
            <w:r>
              <w:rPr>
                <w:rFonts w:ascii="宋体" w:hAnsi="宋体"/>
                <w:color w:val="auto"/>
                <w:szCs w:val="21"/>
                <w:highlight w:val="none"/>
              </w:rPr>
              <w:t>大袋及</w:t>
            </w:r>
            <w:r>
              <w:rPr>
                <w:rFonts w:hint="eastAsia" w:ascii="宋体" w:hAnsi="宋体"/>
                <w:color w:val="auto"/>
                <w:szCs w:val="21"/>
                <w:highlight w:val="none"/>
              </w:rPr>
              <w:t>竞标函</w:t>
            </w:r>
            <w:r>
              <w:rPr>
                <w:rFonts w:ascii="宋体" w:hAnsi="宋体"/>
                <w:color w:val="auto"/>
                <w:szCs w:val="21"/>
                <w:highlight w:val="none"/>
              </w:rPr>
              <w:t>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（如有）、资格审查部分袋</w:t>
            </w:r>
            <w:r>
              <w:rPr>
                <w:rFonts w:ascii="宋体" w:hAnsi="宋体"/>
                <w:color w:val="auto"/>
                <w:szCs w:val="21"/>
                <w:highlight w:val="none"/>
              </w:rPr>
              <w:t>；公布</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竞标</w:t>
            </w:r>
            <w:r>
              <w:rPr>
                <w:rFonts w:ascii="宋体" w:hAnsi="宋体"/>
                <w:color w:val="auto"/>
                <w:szCs w:val="21"/>
                <w:highlight w:val="none"/>
              </w:rPr>
              <w:t>报价、质量要求、工期及其他内容并记录在案</w:t>
            </w:r>
            <w:r>
              <w:rPr>
                <w:rFonts w:hint="eastAsia" w:ascii="宋体" w:hAnsi="宋体"/>
                <w:color w:val="auto"/>
                <w:szCs w:val="21"/>
                <w:highlight w:val="none"/>
              </w:rPr>
              <w:t>。</w:t>
            </w:r>
          </w:p>
          <w:p w14:paraId="7E27DB3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 竞标人对开标有异议的，应当场提出，由比选人或代理机构当场答复，并记录到开标记录表中。异议处理完毕后，汇总开标情况，打印开标记录表。</w:t>
            </w:r>
          </w:p>
          <w:p w14:paraId="5BC49A50">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 xml:space="preserve">. </w:t>
            </w:r>
            <w:r>
              <w:rPr>
                <w:rFonts w:hint="eastAsia" w:ascii="宋体" w:hAnsi="宋体"/>
                <w:color w:val="auto"/>
                <w:szCs w:val="21"/>
                <w:highlight w:val="none"/>
              </w:rPr>
              <w:t>竞标人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79C6F02F">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竞标保证金递交情况一览表、开标记录表、竞标人信用情况汇总表一并交由评标委员会评审。</w:t>
            </w:r>
          </w:p>
          <w:p w14:paraId="0037A89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 开标结束。</w:t>
            </w:r>
          </w:p>
        </w:tc>
      </w:tr>
      <w:tr w14:paraId="078F7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62D2A7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7DCCDD5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919" w:type="dxa"/>
            <w:vAlign w:val="center"/>
          </w:tcPr>
          <w:p w14:paraId="1EFDF5D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由比选人按法律法规及相关规定依法组建评标委员会。</w:t>
            </w:r>
          </w:p>
        </w:tc>
      </w:tr>
      <w:tr w14:paraId="27DF1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8ABF52">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6.2.5</w:t>
            </w:r>
          </w:p>
        </w:tc>
        <w:tc>
          <w:tcPr>
            <w:tcW w:w="1644" w:type="dxa"/>
            <w:vAlign w:val="center"/>
          </w:tcPr>
          <w:p w14:paraId="4D324EAD">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w:t>
            </w:r>
          </w:p>
          <w:p w14:paraId="605D2260">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三人的处理</w:t>
            </w:r>
          </w:p>
        </w:tc>
        <w:tc>
          <w:tcPr>
            <w:tcW w:w="6919" w:type="dxa"/>
            <w:vAlign w:val="center"/>
          </w:tcPr>
          <w:p w14:paraId="79DC80EE">
            <w:pPr>
              <w:pStyle w:val="151"/>
              <w:spacing w:line="360" w:lineRule="auto"/>
              <w:ind w:firstLine="420" w:firstLineChars="200"/>
              <w:rPr>
                <w:rFonts w:ascii="宋体" w:hAnsi="宋体" w:cs="Times New Roman"/>
                <w:color w:val="auto"/>
                <w:sz w:val="21"/>
                <w:szCs w:val="21"/>
                <w:highlight w:val="none"/>
              </w:rPr>
            </w:pPr>
            <w:r>
              <w:rPr>
                <w:rFonts w:ascii="宋体" w:hAnsi="宋体" w:cs="Times New Roman"/>
                <w:color w:val="auto"/>
                <w:sz w:val="21"/>
                <w:szCs w:val="21"/>
                <w:highlight w:val="none"/>
              </w:rPr>
              <w:t>因评标委员会认定为</w:t>
            </w:r>
            <w:r>
              <w:rPr>
                <w:rFonts w:hint="eastAsia" w:ascii="宋体" w:hAnsi="宋体" w:cs="Times New Roman"/>
                <w:color w:val="auto"/>
                <w:sz w:val="21"/>
                <w:szCs w:val="21"/>
                <w:highlight w:val="none"/>
              </w:rPr>
              <w:t>否决竞标</w:t>
            </w:r>
            <w:r>
              <w:rPr>
                <w:rFonts w:ascii="宋体" w:hAnsi="宋体" w:cs="Times New Roman"/>
                <w:color w:val="auto"/>
                <w:sz w:val="21"/>
                <w:szCs w:val="21"/>
                <w:highlight w:val="none"/>
              </w:rPr>
              <w:t>导致有效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不足三人时，</w:t>
            </w:r>
            <w:r>
              <w:rPr>
                <w:rFonts w:hint="eastAsia" w:ascii="宋体" w:hAnsi="宋体" w:cs="Times New Roman"/>
                <w:color w:val="auto"/>
                <w:sz w:val="21"/>
                <w:szCs w:val="21"/>
                <w:highlight w:val="none"/>
              </w:rPr>
              <w:t>如果有效竞标人的经济、技术等指标仍然具有市场竞争力，能够</w:t>
            </w:r>
            <w:r>
              <w:rPr>
                <w:rFonts w:ascii="宋体" w:hAnsi="宋体" w:cs="Times New Roman"/>
                <w:color w:val="auto"/>
                <w:sz w:val="21"/>
                <w:szCs w:val="21"/>
                <w:highlight w:val="none"/>
              </w:rPr>
              <w:t>满足</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的要求</w:t>
            </w:r>
            <w:r>
              <w:rPr>
                <w:rFonts w:hint="eastAsia" w:ascii="宋体" w:hAnsi="宋体" w:cs="Times New Roman"/>
                <w:color w:val="auto"/>
                <w:sz w:val="21"/>
                <w:szCs w:val="21"/>
                <w:highlight w:val="none"/>
              </w:rPr>
              <w:t>，评标委员会可以继续</w:t>
            </w:r>
            <w:r>
              <w:rPr>
                <w:rFonts w:ascii="宋体" w:hAnsi="宋体" w:cs="Times New Roman"/>
                <w:color w:val="auto"/>
                <w:sz w:val="21"/>
                <w:szCs w:val="21"/>
                <w:highlight w:val="none"/>
              </w:rPr>
              <w:t>按</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规定的程序评标，推荐</w:t>
            </w:r>
            <w:r>
              <w:rPr>
                <w:rFonts w:hint="eastAsia" w:ascii="宋体" w:hAnsi="宋体" w:cs="Times New Roman"/>
                <w:color w:val="auto"/>
                <w:sz w:val="21"/>
                <w:szCs w:val="21"/>
                <w:highlight w:val="none"/>
              </w:rPr>
              <w:t>中选</w:t>
            </w:r>
            <w:r>
              <w:rPr>
                <w:rFonts w:ascii="宋体" w:hAnsi="宋体" w:cs="Times New Roman"/>
                <w:color w:val="auto"/>
                <w:sz w:val="21"/>
                <w:szCs w:val="21"/>
                <w:highlight w:val="none"/>
              </w:rPr>
              <w:t>候选人。</w:t>
            </w:r>
          </w:p>
        </w:tc>
      </w:tr>
      <w:tr w14:paraId="55726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811D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5238154A">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w:t>
            </w:r>
            <w:r>
              <w:rPr>
                <w:rFonts w:hint="eastAsia" w:ascii="宋体" w:hAnsi="宋体"/>
                <w:color w:val="auto"/>
                <w:kern w:val="0"/>
                <w:szCs w:val="21"/>
                <w:highlight w:val="none"/>
              </w:rPr>
              <w:t>中选</w:t>
            </w:r>
            <w:r>
              <w:rPr>
                <w:rFonts w:ascii="宋体" w:hAnsi="宋体"/>
                <w:color w:val="auto"/>
                <w:kern w:val="0"/>
                <w:szCs w:val="21"/>
                <w:highlight w:val="none"/>
              </w:rPr>
              <w:t>人</w:t>
            </w:r>
          </w:p>
        </w:tc>
        <w:tc>
          <w:tcPr>
            <w:tcW w:w="6919" w:type="dxa"/>
            <w:vAlign w:val="center"/>
          </w:tcPr>
          <w:p w14:paraId="5C4C3C04">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7F8CB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77A5A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1FEE3C7B">
            <w:pPr>
              <w:snapToGrid w:val="0"/>
              <w:spacing w:after="62" w:afterLines="20" w:line="400" w:lineRule="exact"/>
              <w:jc w:val="center"/>
              <w:rPr>
                <w:rFonts w:ascii="宋体" w:hAnsi="宋体"/>
                <w:color w:val="auto"/>
                <w:kern w:val="0"/>
                <w:szCs w:val="21"/>
                <w:highlight w:val="none"/>
              </w:rPr>
            </w:pPr>
            <w:r>
              <w:rPr>
                <w:rFonts w:hint="eastAsia" w:ascii="宋体" w:hAnsi="宋体"/>
                <w:color w:val="auto"/>
                <w:kern w:val="0"/>
                <w:szCs w:val="21"/>
                <w:highlight w:val="none"/>
              </w:rPr>
              <w:t>中选</w:t>
            </w:r>
            <w:r>
              <w:rPr>
                <w:rFonts w:ascii="宋体" w:hAnsi="宋体"/>
                <w:color w:val="auto"/>
                <w:kern w:val="0"/>
                <w:szCs w:val="21"/>
                <w:highlight w:val="none"/>
              </w:rPr>
              <w:t>公示</w:t>
            </w:r>
          </w:p>
        </w:tc>
        <w:tc>
          <w:tcPr>
            <w:tcW w:w="6919" w:type="dxa"/>
            <w:vAlign w:val="center"/>
          </w:tcPr>
          <w:p w14:paraId="650EE2CE">
            <w:pPr>
              <w:snapToGrid w:val="0"/>
              <w:spacing w:line="400" w:lineRule="exact"/>
              <w:ind w:firstLine="420" w:firstLineChars="200"/>
              <w:rPr>
                <w:rFonts w:ascii="宋体" w:hAnsi="宋体" w:cs="宋体"/>
                <w:color w:val="auto"/>
                <w:szCs w:val="21"/>
                <w:highlight w:val="none"/>
              </w:rPr>
            </w:pPr>
            <w:r>
              <w:rPr>
                <w:rFonts w:hint="eastAsia" w:asciiTheme="minorEastAsia" w:hAnsiTheme="minorEastAsia" w:eastAsiaTheme="minorEastAsia" w:cstheme="minorEastAsia"/>
                <w:color w:val="auto"/>
                <w:highlight w:val="none"/>
              </w:rPr>
              <w:t>比选人在收到评标报告后3日内将评标结果在</w:t>
            </w:r>
            <w:r>
              <w:rPr>
                <w:rFonts w:hint="eastAsia" w:asciiTheme="minorEastAsia" w:hAnsiTheme="minorEastAsia" w:eastAsiaTheme="minorEastAsia" w:cstheme="minorEastAsia"/>
                <w:color w:val="auto"/>
                <w:kern w:val="0"/>
                <w:highlight w:val="none"/>
                <w:u w:val="single"/>
              </w:rPr>
              <w:t>行采家（https://www.gec123.com/）</w:t>
            </w:r>
            <w:r>
              <w:rPr>
                <w:rFonts w:hint="eastAsia" w:asciiTheme="minorEastAsia" w:hAnsiTheme="minorEastAsia" w:eastAsiaTheme="minorEastAsia" w:cstheme="minorEastAsia"/>
                <w:color w:val="auto"/>
                <w:highlight w:val="none"/>
              </w:rPr>
              <w:t>上进行公示，公示期为3日。</w:t>
            </w:r>
          </w:p>
        </w:tc>
      </w:tr>
      <w:tr w14:paraId="11AFF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3A925B72">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7.3.1</w:t>
            </w:r>
          </w:p>
        </w:tc>
        <w:tc>
          <w:tcPr>
            <w:tcW w:w="1644" w:type="dxa"/>
            <w:shd w:val="clear" w:color="auto" w:fill="auto"/>
            <w:vAlign w:val="center"/>
          </w:tcPr>
          <w:p w14:paraId="380A65F3">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履约担保</w:t>
            </w:r>
          </w:p>
        </w:tc>
        <w:tc>
          <w:tcPr>
            <w:tcW w:w="6919" w:type="dxa"/>
            <w:shd w:val="clear" w:color="auto" w:fill="auto"/>
            <w:vAlign w:val="center"/>
          </w:tcPr>
          <w:p w14:paraId="41BBD908">
            <w:pPr>
              <w:snapToGrid w:val="0"/>
              <w:spacing w:after="62" w:afterLines="20" w:line="400" w:lineRule="exact"/>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w:t>
            </w:r>
          </w:p>
        </w:tc>
      </w:tr>
      <w:tr w14:paraId="55D28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76EF1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57AA46B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919" w:type="dxa"/>
            <w:vAlign w:val="center"/>
          </w:tcPr>
          <w:p w14:paraId="5E4FD027">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一）比选人应当自中选通知书发出之日起三十日内，按照比选文件和中选人竞标文件的约定，与中选人签订书面合同。因中选人的缘故不能按期签订合同，则扣除全部履约保证金并视为放弃中选资格。所签订的合同不得对比选文件和中选人的竞标文件作实质性修改。</w:t>
            </w:r>
          </w:p>
          <w:p w14:paraId="4BBBB6AF">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（二）比选文件、中选人的竞标文件及澄清文件等，均为签订合同的依据。</w:t>
            </w:r>
          </w:p>
          <w:p w14:paraId="7FDD499C">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（三）合同生效条款由双方约定，法律、行政法规规定应当办理批准、登记等手续后生效的合同，依照其规定。</w:t>
            </w:r>
          </w:p>
          <w:p w14:paraId="65A83138">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（四）合同原则上应按照《本项目合同条款》签订，相关单位要求适用合同通用格式版本的，应按其要求另行签订其他合同。</w:t>
            </w:r>
          </w:p>
        </w:tc>
      </w:tr>
      <w:tr w14:paraId="50749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A47B5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8.1</w:t>
            </w:r>
          </w:p>
        </w:tc>
        <w:tc>
          <w:tcPr>
            <w:tcW w:w="1644" w:type="dxa"/>
            <w:vAlign w:val="center"/>
          </w:tcPr>
          <w:p w14:paraId="7F4883F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重新比选的情形</w:t>
            </w:r>
          </w:p>
        </w:tc>
        <w:tc>
          <w:tcPr>
            <w:tcW w:w="6919" w:type="dxa"/>
            <w:vAlign w:val="center"/>
          </w:tcPr>
          <w:p w14:paraId="695AA236">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1.按竞标人须知第8.1（1）执行；</w:t>
            </w:r>
          </w:p>
          <w:p w14:paraId="50811078">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2.按竞标人须知第8.1（2）执行；</w:t>
            </w:r>
          </w:p>
          <w:p w14:paraId="4CFD344E">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3.按竞标人须知第8.1（3）执行；</w:t>
            </w:r>
          </w:p>
          <w:p w14:paraId="369CD622">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4.按竞标人须知第8.1（4）执行；</w:t>
            </w:r>
          </w:p>
          <w:p w14:paraId="2212DEF6">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注：本款只适用于首次比选。</w:t>
            </w:r>
          </w:p>
        </w:tc>
      </w:tr>
      <w:tr w14:paraId="488ED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CD8AE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6F65E3A8">
            <w:pPr>
              <w:snapToGrid w:val="0"/>
              <w:spacing w:line="400" w:lineRule="exact"/>
              <w:jc w:val="center"/>
              <w:rPr>
                <w:color w:val="auto"/>
                <w:highlight w:val="none"/>
              </w:rPr>
            </w:pPr>
            <w:bookmarkStart w:id="111" w:name="_Toc509218709"/>
            <w:bookmarkStart w:id="112" w:name="_Toc536628250"/>
            <w:bookmarkStart w:id="113" w:name="_Toc13210670"/>
            <w:bookmarkStart w:id="114" w:name="_Toc430530434"/>
            <w:bookmarkStart w:id="115" w:name="_Toc16930431"/>
            <w:r>
              <w:rPr>
                <w:rFonts w:hint="eastAsia" w:ascii="宋体" w:hAnsi="宋体"/>
                <w:color w:val="auto"/>
                <w:kern w:val="0"/>
                <w:szCs w:val="21"/>
                <w:highlight w:val="none"/>
              </w:rPr>
              <w:t>重新比选</w:t>
            </w:r>
            <w:r>
              <w:rPr>
                <w:rFonts w:ascii="宋体" w:hAnsi="宋体"/>
                <w:color w:val="auto"/>
                <w:kern w:val="0"/>
                <w:szCs w:val="21"/>
                <w:highlight w:val="none"/>
              </w:rPr>
              <w:t>和不再</w:t>
            </w:r>
            <w:bookmarkEnd w:id="111"/>
            <w:bookmarkEnd w:id="112"/>
            <w:bookmarkEnd w:id="113"/>
            <w:bookmarkEnd w:id="114"/>
            <w:bookmarkEnd w:id="115"/>
            <w:r>
              <w:rPr>
                <w:rFonts w:hint="eastAsia" w:ascii="宋体" w:hAnsi="宋体"/>
                <w:color w:val="auto"/>
                <w:kern w:val="0"/>
                <w:szCs w:val="21"/>
                <w:highlight w:val="none"/>
              </w:rPr>
              <w:t>比选</w:t>
            </w:r>
          </w:p>
        </w:tc>
        <w:tc>
          <w:tcPr>
            <w:tcW w:w="6919" w:type="dxa"/>
            <w:vAlign w:val="center"/>
          </w:tcPr>
          <w:p w14:paraId="73DF092D">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重新公开竞争性比选后竞标人仍少于3个，按法定程序开标和评标，确定中选人。经评审无合格竞标人，经监督部门批准可以不再比选。</w:t>
            </w:r>
          </w:p>
        </w:tc>
      </w:tr>
      <w:tr w14:paraId="595B2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46AC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563" w:type="dxa"/>
            <w:gridSpan w:val="2"/>
            <w:vAlign w:val="center"/>
          </w:tcPr>
          <w:p w14:paraId="3FC86DC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4EA26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815A3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r>
              <w:rPr>
                <w:rFonts w:hint="eastAsia" w:ascii="宋体" w:hAnsi="宋体"/>
                <w:color w:val="auto"/>
                <w:kern w:val="0"/>
                <w:szCs w:val="21"/>
                <w:highlight w:val="none"/>
              </w:rPr>
              <w:t>.1</w:t>
            </w:r>
          </w:p>
        </w:tc>
        <w:tc>
          <w:tcPr>
            <w:tcW w:w="1644" w:type="dxa"/>
            <w:vAlign w:val="center"/>
          </w:tcPr>
          <w:p w14:paraId="4072787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919" w:type="dxa"/>
            <w:vAlign w:val="center"/>
          </w:tcPr>
          <w:p w14:paraId="7FBFE558">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竞标人</w:t>
            </w:r>
            <w:r>
              <w:rPr>
                <w:rFonts w:ascii="宋体" w:hAnsi="宋体"/>
                <w:color w:val="auto"/>
                <w:kern w:val="0"/>
                <w:szCs w:val="21"/>
                <w:highlight w:val="none"/>
              </w:rPr>
              <w:t>或者其他利害关系人就本项目的</w:t>
            </w:r>
            <w:r>
              <w:rPr>
                <w:rFonts w:hint="eastAsia" w:ascii="宋体" w:hAnsi="宋体"/>
                <w:color w:val="auto"/>
                <w:kern w:val="0"/>
                <w:szCs w:val="21"/>
                <w:highlight w:val="none"/>
              </w:rPr>
              <w:t>竞争性比选文件（含澄清修改）、开标情况、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rPr>
              <w:t>比选人</w:t>
            </w:r>
            <w:r>
              <w:rPr>
                <w:rFonts w:ascii="宋体" w:hAnsi="宋体"/>
                <w:color w:val="auto"/>
                <w:kern w:val="0"/>
                <w:szCs w:val="21"/>
                <w:highlight w:val="none"/>
              </w:rPr>
              <w:t>提出异议；</w:t>
            </w:r>
            <w:r>
              <w:rPr>
                <w:rFonts w:hint="eastAsia" w:ascii="宋体" w:hAnsi="宋体"/>
                <w:color w:val="auto"/>
                <w:kern w:val="0"/>
                <w:szCs w:val="21"/>
                <w:highlight w:val="none"/>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rPr>
              <w:t>比选人</w:t>
            </w:r>
            <w:r>
              <w:rPr>
                <w:rFonts w:ascii="宋体" w:hAnsi="宋体"/>
                <w:color w:val="auto"/>
                <w:kern w:val="0"/>
                <w:szCs w:val="21"/>
                <w:highlight w:val="none"/>
              </w:rPr>
              <w:t>的答复不满意，可向行政监督部门投诉。</w:t>
            </w:r>
          </w:p>
          <w:p w14:paraId="339DDAE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74EE2753">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（1）异议人或投诉人的名称、地址及有效联系方式；</w:t>
            </w:r>
          </w:p>
          <w:p w14:paraId="610111B4">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（2）被异议人或被投诉人的名称、地址及有效联系方式；</w:t>
            </w:r>
          </w:p>
          <w:p w14:paraId="1138649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71EEDAD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5C495F73">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27BED109">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3B76C3D">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3DE1F9E8">
            <w:pPr>
              <w:snapToGrid w:val="0"/>
              <w:spacing w:after="124" w:afterLines="4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根据《重庆市工程建设领域招标投标信用管理暂行办法》的规定，竞标人捏造事实、伪造材料，或者以非法手段获取证明材料进行质疑或者投诉的，将被列入黑名单管理；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p w14:paraId="4975FF41">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w:t>
            </w:r>
            <w:r>
              <w:rPr>
                <w:rFonts w:hint="eastAsia" w:ascii="宋体" w:hAnsi="宋体"/>
                <w:color w:val="auto"/>
                <w:kern w:val="0"/>
                <w:szCs w:val="21"/>
                <w:highlight w:val="none"/>
                <w:lang w:eastAsia="zh-CN"/>
              </w:rPr>
              <w:t>重庆市江南城市建设发展(集团)有限公司</w:t>
            </w:r>
          </w:p>
          <w:p w14:paraId="132E543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联系电话：</w:t>
            </w:r>
            <w:r>
              <w:rPr>
                <w:rFonts w:hint="eastAsia" w:ascii="宋体" w:hAnsi="宋体"/>
                <w:color w:val="auto"/>
                <w:kern w:val="0"/>
                <w:highlight w:val="none"/>
              </w:rPr>
              <w:t>023-62820331</w:t>
            </w:r>
          </w:p>
        </w:tc>
      </w:tr>
      <w:tr w14:paraId="1661F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6F2F3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10.2</w:t>
            </w:r>
          </w:p>
        </w:tc>
        <w:tc>
          <w:tcPr>
            <w:tcW w:w="1644" w:type="dxa"/>
            <w:vAlign w:val="center"/>
          </w:tcPr>
          <w:p w14:paraId="0ECD2D4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关于对竞争性比选文件及竞标争议的解释</w:t>
            </w:r>
          </w:p>
        </w:tc>
        <w:tc>
          <w:tcPr>
            <w:tcW w:w="6919" w:type="dxa"/>
            <w:vAlign w:val="center"/>
          </w:tcPr>
          <w:p w14:paraId="67503D9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对资格预审文件或者竞争性比选文件的评标标准和方法，以及资格审查和否决竞标条款理解有争议的，应当作出不利于比选人的解释，但违背国家利益、社会公共利益的除外。</w:t>
            </w:r>
          </w:p>
          <w:p w14:paraId="66FCF1B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对竞标文件理解有争议的，应当作出不利于提交该竞标文件的竞标人的解释。</w:t>
            </w:r>
          </w:p>
        </w:tc>
      </w:tr>
      <w:tr w14:paraId="3A8D7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4FD11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10.3</w:t>
            </w:r>
          </w:p>
        </w:tc>
        <w:tc>
          <w:tcPr>
            <w:tcW w:w="1644" w:type="dxa"/>
            <w:vAlign w:val="center"/>
          </w:tcPr>
          <w:p w14:paraId="64C4307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交易服务费及代理服务费</w:t>
            </w:r>
          </w:p>
        </w:tc>
        <w:tc>
          <w:tcPr>
            <w:tcW w:w="6919" w:type="dxa"/>
            <w:vAlign w:val="center"/>
          </w:tcPr>
          <w:p w14:paraId="49C98166">
            <w:pPr>
              <w:numPr>
                <w:ilvl w:val="0"/>
                <w:numId w:val="1"/>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交易服务费：竞选人中标后向“重庆市汇南城市建设开发有限公司”缴纳交易服务费，服务费的收取标准按南岸发改【2025】130号执行，由中标人支付，该费用由中标人综合考虑在竞选总报价中。</w:t>
            </w:r>
          </w:p>
          <w:p w14:paraId="6ACF64A8">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收款单位：重庆市汇南城市建设开发有限公司</w:t>
            </w:r>
          </w:p>
          <w:p w14:paraId="763FDBC0">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开户银行：重庆农村商业银行股份有限公司南岸支行南坪分理处</w:t>
            </w:r>
          </w:p>
          <w:p w14:paraId="1148D2C9">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银行账号：0601110120010023958</w:t>
            </w:r>
          </w:p>
          <w:p w14:paraId="476336BB">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银行行号：314653000222</w:t>
            </w:r>
          </w:p>
          <w:p w14:paraId="06173503">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（咨询：何老师，电话：023-62948872）</w:t>
            </w:r>
          </w:p>
          <w:p w14:paraId="2AF9908F">
            <w:pPr>
              <w:numPr>
                <w:ilvl w:val="0"/>
                <w:numId w:val="0"/>
              </w:numPr>
              <w:snapToGrid w:val="0"/>
              <w:spacing w:line="400" w:lineRule="exact"/>
              <w:ind w:firstLine="420" w:firstLineChars="200"/>
              <w:jc w:val="left"/>
              <w:rPr>
                <w:color w:val="auto"/>
                <w:highlight w:val="none"/>
              </w:rPr>
            </w:pP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代理服务费：根据国家现行取费政策，按照以下计算方法确定招标代理服务费金额：以中标金额作为取费基数，参照</w:t>
            </w:r>
            <w:r>
              <w:rPr>
                <w:rFonts w:hint="eastAsia" w:ascii="宋体" w:hAnsi="宋体"/>
                <w:color w:val="auto"/>
                <w:kern w:val="0"/>
                <w:szCs w:val="21"/>
                <w:highlight w:val="none"/>
                <w:lang w:val="en-US" w:eastAsia="zh-CN"/>
              </w:rPr>
              <w:t>招标代理服务费</w:t>
            </w:r>
            <w:r>
              <w:rPr>
                <w:rFonts w:hint="eastAsia" w:ascii="宋体" w:hAnsi="宋体"/>
                <w:color w:val="auto"/>
                <w:kern w:val="0"/>
                <w:szCs w:val="21"/>
                <w:highlight w:val="none"/>
              </w:rPr>
              <w:t>（计价格[2002]1980）文件收费标准计取。</w:t>
            </w:r>
            <w:r>
              <w:rPr>
                <w:rFonts w:hint="eastAsia" w:ascii="宋体" w:hAnsi="宋体"/>
                <w:color w:val="auto"/>
                <w:kern w:val="0"/>
                <w:szCs w:val="21"/>
                <w:highlight w:val="none"/>
                <w:lang w:val="en-US" w:eastAsia="zh-CN"/>
              </w:rPr>
              <w:t>由中标人在</w:t>
            </w:r>
            <w:r>
              <w:rPr>
                <w:rFonts w:hint="eastAsia" w:ascii="宋体" w:hAnsi="宋体" w:cs="Times New Roman"/>
                <w:color w:val="auto"/>
                <w:kern w:val="0"/>
                <w:szCs w:val="21"/>
                <w:highlight w:val="none"/>
                <w:lang w:val="en-US" w:eastAsia="zh-CN"/>
              </w:rPr>
              <w:t>领取中标通知书时一次性向代理机构支付。</w:t>
            </w:r>
          </w:p>
        </w:tc>
      </w:tr>
      <w:tr w14:paraId="1B91F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A6799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10.4</w:t>
            </w:r>
          </w:p>
        </w:tc>
        <w:tc>
          <w:tcPr>
            <w:tcW w:w="1644" w:type="dxa"/>
            <w:vAlign w:val="center"/>
          </w:tcPr>
          <w:p w14:paraId="437AA5A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特别说明</w:t>
            </w:r>
          </w:p>
        </w:tc>
        <w:tc>
          <w:tcPr>
            <w:tcW w:w="6919" w:type="dxa"/>
            <w:vAlign w:val="center"/>
          </w:tcPr>
          <w:p w14:paraId="49CADCA4">
            <w:pPr>
              <w:snapToGrid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比选人有权在评标结束后对竞标人的竞标文件进行清标。若发现竞标人的竞标文件存在不完全响应竞争性比选文件（含竞争性比选文件补遗、答疑、澄清）实质性要求，经复核未响应竞争选比选文件实质性要求，则其竞标文件按否决竞标处理。</w:t>
            </w:r>
          </w:p>
        </w:tc>
      </w:tr>
    </w:tbl>
    <w:p w14:paraId="0759767C">
      <w:pPr>
        <w:pStyle w:val="3"/>
        <w:spacing w:before="0" w:after="0" w:line="20" w:lineRule="exact"/>
        <w:rPr>
          <w:rFonts w:ascii="宋体" w:hAnsi="宋体"/>
          <w:b w:val="0"/>
          <w:snapToGrid w:val="0"/>
          <w:color w:val="auto"/>
          <w:highlight w:val="none"/>
        </w:rPr>
      </w:pPr>
      <w:bookmarkStart w:id="116" w:name="_Toc287620685"/>
      <w:bookmarkStart w:id="117" w:name="_Toc277082552"/>
      <w:bookmarkStart w:id="118" w:name="_Toc430530435"/>
      <w:bookmarkStart w:id="119" w:name="_Toc200513126"/>
      <w:bookmarkStart w:id="120" w:name="_Toc224103317"/>
      <w:bookmarkStart w:id="121" w:name="_Toc287607746"/>
    </w:p>
    <w:bookmarkEnd w:id="116"/>
    <w:bookmarkEnd w:id="117"/>
    <w:bookmarkEnd w:id="118"/>
    <w:bookmarkEnd w:id="119"/>
    <w:bookmarkEnd w:id="120"/>
    <w:bookmarkEnd w:id="121"/>
    <w:p w14:paraId="7D6A9A5F">
      <w:pPr>
        <w:rPr>
          <w:rFonts w:hint="eastAsia" w:asciiTheme="minorEastAsia" w:hAnsiTheme="minorEastAsia" w:eastAsiaTheme="minorEastAsia"/>
          <w:b/>
          <w:snapToGrid w:val="0"/>
          <w:color w:val="auto"/>
          <w:highlight w:val="none"/>
        </w:rPr>
      </w:pPr>
      <w:bookmarkStart w:id="122" w:name="A6"/>
      <w:bookmarkStart w:id="123" w:name="_Toc20466"/>
      <w:r>
        <w:rPr>
          <w:rFonts w:hint="eastAsia" w:asciiTheme="minorEastAsia" w:hAnsiTheme="minorEastAsia" w:eastAsiaTheme="minorEastAsia"/>
          <w:b/>
          <w:snapToGrid w:val="0"/>
          <w:color w:val="auto"/>
          <w:highlight w:val="none"/>
        </w:rPr>
        <w:br w:type="page"/>
      </w:r>
    </w:p>
    <w:p w14:paraId="2610FF83">
      <w:pPr>
        <w:widowControl/>
        <w:jc w:val="left"/>
        <w:rPr>
          <w:rFonts w:asciiTheme="minorEastAsia" w:hAnsiTheme="minorEastAsia" w:eastAsiaTheme="minorEastAsia"/>
          <w:b/>
          <w:snapToGrid w:val="0"/>
          <w:color w:val="auto"/>
          <w:highlight w:val="none"/>
        </w:rPr>
      </w:pPr>
      <w:r>
        <w:rPr>
          <w:rFonts w:hint="eastAsia" w:asciiTheme="minorEastAsia" w:hAnsiTheme="minorEastAsia" w:eastAsiaTheme="minorEastAsia"/>
          <w:b/>
          <w:snapToGrid w:val="0"/>
          <w:color w:val="auto"/>
          <w:highlight w:val="none"/>
        </w:rPr>
        <w:t>1.  总则</w:t>
      </w:r>
    </w:p>
    <w:p w14:paraId="02755DE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4" w:name="_Toc200513127"/>
      <w:bookmarkStart w:id="125" w:name="_Toc224103318"/>
      <w:r>
        <w:rPr>
          <w:rFonts w:hint="eastAsia" w:cs="宋体" w:asciiTheme="minorEastAsia" w:hAnsiTheme="minorEastAsia" w:eastAsiaTheme="minorEastAsia"/>
          <w:snapToGrid w:val="0"/>
          <w:color w:val="auto"/>
          <w:szCs w:val="21"/>
          <w:highlight w:val="none"/>
        </w:rPr>
        <w:t>1.1  项目概况</w:t>
      </w:r>
      <w:bookmarkEnd w:id="124"/>
      <w:bookmarkEnd w:id="125"/>
    </w:p>
    <w:p w14:paraId="1FD80048">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1.1.1  根据《中华人民共和国招标投标法》等有关法律、法规和规章的规定，本比选项目已具备比选条件，现对本项目进行比选。</w:t>
      </w:r>
    </w:p>
    <w:p w14:paraId="71D8CA6C">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1.1.2  本比选项目比选人：见竞选人须知前附表。</w:t>
      </w:r>
    </w:p>
    <w:p w14:paraId="180B10FD">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1.1.3  本比选代理机构：见竞选人须知前附表。</w:t>
      </w:r>
    </w:p>
    <w:p w14:paraId="34912D96">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1.1.4  本比选项目名称：见竞选人须知前附表。</w:t>
      </w:r>
    </w:p>
    <w:p w14:paraId="2A2D4DC1">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1.1.5  本项目建设地点：见竞选人须知前附表。</w:t>
      </w:r>
    </w:p>
    <w:p w14:paraId="1C5745B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6" w:name="_Toc224103319"/>
      <w:bookmarkStart w:id="127" w:name="_Toc200513128"/>
      <w:r>
        <w:rPr>
          <w:rFonts w:hint="eastAsia" w:cs="宋体" w:asciiTheme="minorEastAsia" w:hAnsiTheme="minorEastAsia" w:eastAsiaTheme="minorEastAsia"/>
          <w:snapToGrid w:val="0"/>
          <w:color w:val="auto"/>
          <w:szCs w:val="21"/>
          <w:highlight w:val="none"/>
        </w:rPr>
        <w:t>1.2  资金来源和落实情况</w:t>
      </w:r>
      <w:bookmarkEnd w:id="126"/>
      <w:bookmarkEnd w:id="127"/>
    </w:p>
    <w:p w14:paraId="680584F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1.2.1  本比选项目的资金来源：见竞选人须知前附表。</w:t>
      </w:r>
    </w:p>
    <w:p w14:paraId="271C02BE">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1.2.2  本比选项目的出资比例：见竞选人须知前附表。</w:t>
      </w:r>
    </w:p>
    <w:p w14:paraId="3FE153B0">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1.2.3  本比选项目的资金落实情况：见竞选人须知前附表。</w:t>
      </w:r>
    </w:p>
    <w:p w14:paraId="1A919B87">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8" w:name="_Toc200513129"/>
      <w:bookmarkStart w:id="129" w:name="_Toc224103320"/>
      <w:r>
        <w:rPr>
          <w:rFonts w:hint="eastAsia" w:cs="宋体" w:asciiTheme="minorEastAsia" w:hAnsiTheme="minorEastAsia" w:eastAsiaTheme="minorEastAsia"/>
          <w:snapToGrid w:val="0"/>
          <w:color w:val="auto"/>
          <w:szCs w:val="21"/>
          <w:highlight w:val="none"/>
        </w:rPr>
        <w:t>1.3  比选范围、计划工期和质量要求</w:t>
      </w:r>
      <w:bookmarkEnd w:id="128"/>
      <w:bookmarkEnd w:id="129"/>
    </w:p>
    <w:p w14:paraId="1F5C7B56">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1.3.1  本次比选范围：见竞选人须知前附表。</w:t>
      </w:r>
    </w:p>
    <w:p w14:paraId="3EAB20DB">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1.3.2  本项目的工期：见竞选人须知前附表。</w:t>
      </w:r>
    </w:p>
    <w:p w14:paraId="26144063">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1.3.3  本项目的质量要求：见竞选人须知前附表。</w:t>
      </w:r>
    </w:p>
    <w:p w14:paraId="0BB5D42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0" w:name="_Toc200513131"/>
      <w:bookmarkStart w:id="131" w:name="_Toc224103322"/>
      <w:r>
        <w:rPr>
          <w:rFonts w:hint="eastAsia" w:cs="宋体" w:asciiTheme="minorEastAsia" w:hAnsiTheme="minorEastAsia" w:eastAsiaTheme="minorEastAsia"/>
          <w:snapToGrid w:val="0"/>
          <w:color w:val="auto"/>
          <w:szCs w:val="21"/>
          <w:highlight w:val="none"/>
        </w:rPr>
        <w:t>1.4  竞选人资格要求</w:t>
      </w:r>
      <w:bookmarkEnd w:id="130"/>
      <w:bookmarkEnd w:id="131"/>
    </w:p>
    <w:p w14:paraId="32B7368D">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1.4.1 竞选人应具备承担本项目的资质条件、能力和信誉。</w:t>
      </w:r>
    </w:p>
    <w:p w14:paraId="2AD0A42A">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（1）资质条件：按比选文件要求；</w:t>
      </w:r>
    </w:p>
    <w:p w14:paraId="260F3ADB">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2</w:t>
      </w:r>
      <w:r>
        <w:rPr>
          <w:rFonts w:hint="eastAsia" w:cs="宋体" w:asciiTheme="minorEastAsia" w:hAnsiTheme="minorEastAsia" w:eastAsiaTheme="minorEastAsia"/>
          <w:snapToGrid w:val="0"/>
          <w:color w:val="auto"/>
          <w:kern w:val="0"/>
          <w:szCs w:val="21"/>
          <w:highlight w:val="none"/>
        </w:rPr>
        <w:t>）竞选截止日竞选资格情况：按比选文件要求；</w:t>
      </w:r>
    </w:p>
    <w:p w14:paraId="565C446C">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3</w:t>
      </w:r>
      <w:r>
        <w:rPr>
          <w:rFonts w:hint="eastAsia" w:cs="宋体" w:asciiTheme="minorEastAsia" w:hAnsiTheme="minorEastAsia" w:eastAsiaTheme="minorEastAsia"/>
          <w:snapToGrid w:val="0"/>
          <w:color w:val="auto"/>
          <w:kern w:val="0"/>
          <w:szCs w:val="21"/>
          <w:highlight w:val="none"/>
        </w:rPr>
        <w:t>）其他要求：按比选文件要求。</w:t>
      </w:r>
    </w:p>
    <w:p w14:paraId="3C649C8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1.4.2  竞选人须知前附表规定接受联合体竞选的，除应符合本章第1.4.1项和竞选人须知前附表的要求外，还应遵守以下规定：</w:t>
      </w:r>
    </w:p>
    <w:p w14:paraId="72A00B33">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（1）联合体各方应按比选文件提供的格式签订联合体协议书，明确联合体牵头人和各方权利义务；</w:t>
      </w:r>
    </w:p>
    <w:p w14:paraId="5F0454F6">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（2）由同一专业的单位组成的联合体，按照资质等级较低的单位确定资质等级；</w:t>
      </w:r>
    </w:p>
    <w:p w14:paraId="27C146C4">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（3）联合体各方不得再以自己名义单独或参加其他联合体在同一标段中竞选。</w:t>
      </w:r>
    </w:p>
    <w:p w14:paraId="21E6327E">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1.4.3  竞选人不得存在下列情形之一：</w:t>
      </w:r>
    </w:p>
    <w:p w14:paraId="074F9D12">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（1）与比选人存在利害关系可能影响比选公正性的法人、其他组织或者个人；</w:t>
      </w:r>
    </w:p>
    <w:p w14:paraId="418E942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2</w:t>
      </w:r>
      <w:r>
        <w:rPr>
          <w:rFonts w:hint="eastAsia" w:cs="宋体" w:asciiTheme="minorEastAsia" w:hAnsiTheme="minorEastAsia" w:eastAsiaTheme="minorEastAsia"/>
          <w:snapToGrid w:val="0"/>
          <w:color w:val="auto"/>
          <w:kern w:val="0"/>
          <w:szCs w:val="21"/>
          <w:highlight w:val="none"/>
        </w:rPr>
        <w:t>）为本项目的监理人；</w:t>
      </w:r>
    </w:p>
    <w:p w14:paraId="0C5764D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3</w:t>
      </w:r>
      <w:r>
        <w:rPr>
          <w:rFonts w:hint="eastAsia" w:cs="宋体" w:asciiTheme="minorEastAsia" w:hAnsiTheme="minorEastAsia" w:eastAsiaTheme="minorEastAsia"/>
          <w:snapToGrid w:val="0"/>
          <w:color w:val="auto"/>
          <w:kern w:val="0"/>
          <w:szCs w:val="21"/>
          <w:highlight w:val="none"/>
        </w:rPr>
        <w:t>）为本项目的代建人；</w:t>
      </w:r>
    </w:p>
    <w:p w14:paraId="1CA96D4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4</w:t>
      </w:r>
      <w:r>
        <w:rPr>
          <w:rFonts w:hint="eastAsia" w:cs="宋体" w:asciiTheme="minorEastAsia" w:hAnsiTheme="minorEastAsia" w:eastAsiaTheme="minorEastAsia"/>
          <w:snapToGrid w:val="0"/>
          <w:color w:val="auto"/>
          <w:kern w:val="0"/>
          <w:szCs w:val="21"/>
          <w:highlight w:val="none"/>
        </w:rPr>
        <w:t>）为本项目提供比选代理服务的；</w:t>
      </w:r>
    </w:p>
    <w:p w14:paraId="1BFED92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5</w:t>
      </w:r>
      <w:r>
        <w:rPr>
          <w:rFonts w:hint="eastAsia" w:cs="宋体" w:asciiTheme="minorEastAsia" w:hAnsiTheme="minorEastAsia" w:eastAsiaTheme="minorEastAsia"/>
          <w:snapToGrid w:val="0"/>
          <w:color w:val="auto"/>
          <w:kern w:val="0"/>
          <w:szCs w:val="21"/>
          <w:highlight w:val="none"/>
        </w:rPr>
        <w:t>）与本项目的监理人或代建人或比选代理机构同为一个法定代表人的；</w:t>
      </w:r>
    </w:p>
    <w:p w14:paraId="54CAFD4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6</w:t>
      </w:r>
      <w:r>
        <w:rPr>
          <w:rFonts w:hint="eastAsia" w:cs="宋体" w:asciiTheme="minorEastAsia" w:hAnsiTheme="minorEastAsia" w:eastAsiaTheme="minorEastAsia"/>
          <w:snapToGrid w:val="0"/>
          <w:color w:val="auto"/>
          <w:kern w:val="0"/>
          <w:szCs w:val="21"/>
          <w:highlight w:val="none"/>
        </w:rPr>
        <w:t>）与本项目的监理人或代建人或比选代理机构相互控股或参股的；</w:t>
      </w:r>
    </w:p>
    <w:p w14:paraId="39A7585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7</w:t>
      </w:r>
      <w:r>
        <w:rPr>
          <w:rFonts w:hint="eastAsia" w:cs="宋体" w:asciiTheme="minorEastAsia" w:hAnsiTheme="minorEastAsia" w:eastAsiaTheme="minorEastAsia"/>
          <w:snapToGrid w:val="0"/>
          <w:color w:val="auto"/>
          <w:kern w:val="0"/>
          <w:szCs w:val="21"/>
          <w:highlight w:val="none"/>
        </w:rPr>
        <w:t>）与本项目的监理人或代建人或比选代理机构相互任职或工作的；</w:t>
      </w:r>
    </w:p>
    <w:p w14:paraId="3E8B5D4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8</w:t>
      </w:r>
      <w:r>
        <w:rPr>
          <w:rFonts w:hint="eastAsia" w:cs="宋体" w:asciiTheme="minorEastAsia" w:hAnsiTheme="minorEastAsia" w:eastAsiaTheme="minorEastAsia"/>
          <w:snapToGrid w:val="0"/>
          <w:color w:val="auto"/>
          <w:kern w:val="0"/>
          <w:szCs w:val="21"/>
          <w:highlight w:val="none"/>
        </w:rPr>
        <w:t>）被责令停业的；</w:t>
      </w:r>
    </w:p>
    <w:p w14:paraId="31B6E98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8</w:t>
      </w:r>
      <w:r>
        <w:rPr>
          <w:rFonts w:hint="eastAsia" w:cs="宋体" w:asciiTheme="minorEastAsia" w:hAnsiTheme="minorEastAsia" w:eastAsiaTheme="minorEastAsia"/>
          <w:snapToGrid w:val="0"/>
          <w:color w:val="auto"/>
          <w:kern w:val="0"/>
          <w:szCs w:val="21"/>
          <w:highlight w:val="none"/>
        </w:rPr>
        <w:t>）被暂停或取消竞选人资格的；</w:t>
      </w:r>
    </w:p>
    <w:p w14:paraId="0F04E7D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10</w:t>
      </w:r>
      <w:r>
        <w:rPr>
          <w:rFonts w:hint="eastAsia" w:cs="宋体" w:asciiTheme="minorEastAsia" w:hAnsiTheme="minorEastAsia" w:eastAsiaTheme="minorEastAsia"/>
          <w:snapToGrid w:val="0"/>
          <w:color w:val="auto"/>
          <w:kern w:val="0"/>
          <w:szCs w:val="21"/>
          <w:highlight w:val="none"/>
        </w:rPr>
        <w:t>）财产被接管或冻结的；</w:t>
      </w:r>
    </w:p>
    <w:p w14:paraId="133F3D36">
      <w:pPr>
        <w:autoSpaceDE w:val="0"/>
        <w:autoSpaceDN w:val="0"/>
        <w:adjustRightInd w:val="0"/>
        <w:snapToGrid w:val="0"/>
        <w:spacing w:line="45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11</w:t>
      </w:r>
      <w:r>
        <w:rPr>
          <w:rFonts w:hint="eastAsia" w:cs="宋体" w:asciiTheme="minorEastAsia" w:hAnsiTheme="minorEastAsia" w:eastAsiaTheme="minorEastAsia"/>
          <w:snapToGrid w:val="0"/>
          <w:color w:val="auto"/>
          <w:kern w:val="0"/>
          <w:szCs w:val="21"/>
          <w:highlight w:val="none"/>
        </w:rPr>
        <w:t>）单位负责人为同一人或者存在控股、管理关系的不同单位，不得在同一标段中同时竞选。</w:t>
      </w:r>
    </w:p>
    <w:p w14:paraId="2C2827F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2" w:name="_Toc200513132"/>
      <w:bookmarkStart w:id="133" w:name="_Toc224103323"/>
      <w:r>
        <w:rPr>
          <w:rFonts w:hint="eastAsia" w:cs="宋体" w:asciiTheme="minorEastAsia" w:hAnsiTheme="minorEastAsia" w:eastAsiaTheme="minorEastAsia"/>
          <w:snapToGrid w:val="0"/>
          <w:color w:val="auto"/>
          <w:szCs w:val="21"/>
          <w:highlight w:val="none"/>
        </w:rPr>
        <w:t>1.5  费用承担</w:t>
      </w:r>
      <w:bookmarkEnd w:id="132"/>
      <w:bookmarkEnd w:id="133"/>
    </w:p>
    <w:p w14:paraId="64B7F6E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竞选人准备和参加竞选活动发生的费用自理。</w:t>
      </w:r>
    </w:p>
    <w:p w14:paraId="6CF0CCE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4" w:name="_Toc224103324"/>
      <w:bookmarkStart w:id="135" w:name="_Toc200513133"/>
      <w:r>
        <w:rPr>
          <w:rFonts w:hint="eastAsia" w:cs="宋体" w:asciiTheme="minorEastAsia" w:hAnsiTheme="minorEastAsia" w:eastAsiaTheme="minorEastAsia"/>
          <w:snapToGrid w:val="0"/>
          <w:color w:val="auto"/>
          <w:szCs w:val="21"/>
          <w:highlight w:val="none"/>
        </w:rPr>
        <w:t>1.6  保密</w:t>
      </w:r>
      <w:bookmarkEnd w:id="134"/>
      <w:bookmarkEnd w:id="135"/>
    </w:p>
    <w:p w14:paraId="5148782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参与比选竞选活动的各方应对比选文件和竞选文件中的商业和技术等秘密保密，未经比选人书面同意而违反保密义务的，违者应对由此造成的后果承担法律责任。</w:t>
      </w:r>
    </w:p>
    <w:p w14:paraId="35B49DA6">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6" w:name="_Toc200513134"/>
      <w:bookmarkStart w:id="137" w:name="_Toc224103325"/>
      <w:r>
        <w:rPr>
          <w:rFonts w:hint="eastAsia" w:cs="宋体" w:asciiTheme="minorEastAsia" w:hAnsiTheme="minorEastAsia" w:eastAsiaTheme="minorEastAsia"/>
          <w:snapToGrid w:val="0"/>
          <w:color w:val="auto"/>
          <w:szCs w:val="21"/>
          <w:highlight w:val="none"/>
        </w:rPr>
        <w:t>1.7  语言文字</w:t>
      </w:r>
      <w:bookmarkEnd w:id="136"/>
      <w:bookmarkEnd w:id="137"/>
    </w:p>
    <w:p w14:paraId="47554D6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除专用术语外，与比选竞选有关的语言均使用中文。必要时专用术语应附有中文注释，且内容以中文版本为准。</w:t>
      </w:r>
    </w:p>
    <w:p w14:paraId="3727178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8" w:name="_Toc200513135"/>
      <w:bookmarkStart w:id="139" w:name="_Toc224103326"/>
      <w:r>
        <w:rPr>
          <w:rFonts w:hint="eastAsia" w:cs="宋体" w:asciiTheme="minorEastAsia" w:hAnsiTheme="minorEastAsia" w:eastAsiaTheme="minorEastAsia"/>
          <w:snapToGrid w:val="0"/>
          <w:color w:val="auto"/>
          <w:szCs w:val="21"/>
          <w:highlight w:val="none"/>
        </w:rPr>
        <w:t>1.8  计量单位</w:t>
      </w:r>
      <w:bookmarkEnd w:id="138"/>
      <w:bookmarkEnd w:id="139"/>
    </w:p>
    <w:p w14:paraId="60E880E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所有计量均采用中华人民共和国法定计量单位。</w:t>
      </w:r>
    </w:p>
    <w:p w14:paraId="6698986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0" w:name="_Toc224103327"/>
      <w:bookmarkStart w:id="141" w:name="_Toc200513136"/>
      <w:r>
        <w:rPr>
          <w:rFonts w:hint="eastAsia" w:cs="宋体" w:asciiTheme="minorEastAsia" w:hAnsiTheme="minorEastAsia" w:eastAsiaTheme="minorEastAsia"/>
          <w:snapToGrid w:val="0"/>
          <w:color w:val="auto"/>
          <w:szCs w:val="21"/>
          <w:highlight w:val="none"/>
        </w:rPr>
        <w:t>1.9  踏勘现场</w:t>
      </w:r>
      <w:bookmarkEnd w:id="140"/>
      <w:bookmarkEnd w:id="141"/>
    </w:p>
    <w:p w14:paraId="4F621F4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108FE35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2" w:name="_Toc224103328"/>
      <w:bookmarkStart w:id="143" w:name="_Toc200513137"/>
      <w:r>
        <w:rPr>
          <w:rFonts w:hint="eastAsia" w:cs="宋体" w:asciiTheme="minorEastAsia" w:hAnsiTheme="minorEastAsia" w:eastAsiaTheme="minorEastAsia"/>
          <w:snapToGrid w:val="0"/>
          <w:color w:val="auto"/>
          <w:szCs w:val="21"/>
          <w:highlight w:val="none"/>
        </w:rPr>
        <w:t>1.10  竞选预备会</w:t>
      </w:r>
      <w:bookmarkEnd w:id="142"/>
      <w:bookmarkEnd w:id="143"/>
    </w:p>
    <w:p w14:paraId="76B6B42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7807AE0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4" w:name="_Toc224103330"/>
      <w:bookmarkStart w:id="145" w:name="_Toc200513139"/>
      <w:r>
        <w:rPr>
          <w:rFonts w:hint="eastAsia" w:cs="宋体" w:asciiTheme="minorEastAsia" w:hAnsiTheme="minorEastAsia" w:eastAsiaTheme="minorEastAsia"/>
          <w:snapToGrid w:val="0"/>
          <w:color w:val="auto"/>
          <w:szCs w:val="21"/>
          <w:highlight w:val="none"/>
        </w:rPr>
        <w:t>1.11  偏离</w:t>
      </w:r>
      <w:bookmarkEnd w:id="144"/>
      <w:bookmarkEnd w:id="145"/>
    </w:p>
    <w:p w14:paraId="4EB56FC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竞选人须知前附表允许竞选文件偏离比选文件某些要求的，偏离应当符合比选文件规定的偏离范围和幅度。</w:t>
      </w:r>
    </w:p>
    <w:p w14:paraId="16A77FE0">
      <w:pPr>
        <w:pStyle w:val="42"/>
        <w:rPr>
          <w:rFonts w:asciiTheme="minorEastAsia" w:hAnsiTheme="minorEastAsia" w:eastAsiaTheme="minorEastAsia"/>
          <w:b/>
          <w:snapToGrid w:val="0"/>
          <w:color w:val="auto"/>
          <w:highlight w:val="none"/>
        </w:rPr>
      </w:pPr>
      <w:bookmarkStart w:id="146" w:name="_Toc200513140"/>
      <w:bookmarkStart w:id="147" w:name="_Toc224103331"/>
      <w:r>
        <w:rPr>
          <w:rFonts w:hint="eastAsia" w:asciiTheme="minorEastAsia" w:hAnsiTheme="minorEastAsia" w:eastAsiaTheme="minorEastAsia"/>
          <w:b/>
          <w:snapToGrid w:val="0"/>
          <w:color w:val="auto"/>
          <w:highlight w:val="none"/>
        </w:rPr>
        <w:t>2.  比选文件</w:t>
      </w:r>
      <w:bookmarkEnd w:id="146"/>
      <w:bookmarkEnd w:id="147"/>
    </w:p>
    <w:p w14:paraId="74F8118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8" w:name="_Toc200513141"/>
      <w:bookmarkStart w:id="149" w:name="_Toc224103332"/>
      <w:r>
        <w:rPr>
          <w:rFonts w:hint="eastAsia" w:cs="宋体" w:asciiTheme="minorEastAsia" w:hAnsiTheme="minorEastAsia" w:eastAsiaTheme="minorEastAsia"/>
          <w:snapToGrid w:val="0"/>
          <w:color w:val="auto"/>
          <w:szCs w:val="21"/>
          <w:highlight w:val="none"/>
        </w:rPr>
        <w:t>2.1  比选文件的组成</w:t>
      </w:r>
      <w:bookmarkEnd w:id="148"/>
      <w:bookmarkEnd w:id="149"/>
    </w:p>
    <w:p w14:paraId="08C8BA69">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本比选文件包括：</w:t>
      </w:r>
    </w:p>
    <w:p w14:paraId="30734FA1">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（1）比选公告；</w:t>
      </w:r>
    </w:p>
    <w:p w14:paraId="1AB6D0AC">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（2）竞选人须知；</w:t>
      </w:r>
    </w:p>
    <w:p w14:paraId="767B8F0E">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（3）评选办法；</w:t>
      </w:r>
    </w:p>
    <w:p w14:paraId="6DF85CF2">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（4）合同条款；</w:t>
      </w:r>
    </w:p>
    <w:p w14:paraId="3C12EE68">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（5）技术标准和要求；</w:t>
      </w:r>
    </w:p>
    <w:p w14:paraId="27A7AE65">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（6）竞选文件格式；</w:t>
      </w:r>
    </w:p>
    <w:p w14:paraId="52224F35">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（7）竞选人须知前附表规定的其他材料。</w:t>
      </w:r>
    </w:p>
    <w:p w14:paraId="5E0CDB44">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根据本章第1.10款、第2.2款和第2.3款对比选文件所作的澄清、修改，构成比选文件的组成部分。</w:t>
      </w:r>
    </w:p>
    <w:p w14:paraId="56D24C58">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0" w:name="_Toc200513142"/>
      <w:bookmarkStart w:id="151" w:name="_Toc224103333"/>
      <w:r>
        <w:rPr>
          <w:rFonts w:hint="eastAsia" w:cs="宋体" w:asciiTheme="minorEastAsia" w:hAnsiTheme="minorEastAsia" w:eastAsiaTheme="minorEastAsia"/>
          <w:snapToGrid w:val="0"/>
          <w:color w:val="auto"/>
          <w:szCs w:val="21"/>
          <w:highlight w:val="none"/>
        </w:rPr>
        <w:t>2.2  比选文件的澄清</w:t>
      </w:r>
      <w:bookmarkEnd w:id="150"/>
      <w:bookmarkEnd w:id="151"/>
    </w:p>
    <w:p w14:paraId="34C8F82F">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2.2.1  竞选人应仔细阅读和检查比选文件的全部内容。如发现缺页或附件不全，应及时向比选人提出，以便补齐。如有疑问，应在竞选人须知前附表规定的时间前以书面形式（包括信函、电报、传真等可以有形地表现所载内容的形式，下同），要求比选人对比选文件予以澄清。</w:t>
      </w:r>
    </w:p>
    <w:p w14:paraId="3FB35FA5">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2.2.2  比选文件的澄清将在竞选人须知前附表规定的竞选截止时间前以书面形式发给所有购买比选文件的竞选人，但不指明澄清问题的来源。</w:t>
      </w:r>
    </w:p>
    <w:p w14:paraId="6BF4521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2.2.3  竞选人在收到澄清后，应在竞选人须知前附表规定的时间内以书面形式通知比选人</w:t>
      </w:r>
      <w:r>
        <w:rPr>
          <w:rFonts w:hint="eastAsia" w:cs="宋体" w:asciiTheme="minorEastAsia" w:hAnsiTheme="minorEastAsia" w:eastAsiaTheme="minorEastAsia"/>
          <w:snapToGrid w:val="0"/>
          <w:color w:val="auto"/>
          <w:kern w:val="0"/>
          <w:szCs w:val="21"/>
          <w:highlight w:val="none"/>
        </w:rPr>
        <w:t>，确认已收到该澄清。</w:t>
      </w:r>
    </w:p>
    <w:p w14:paraId="3EF6ABC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2" w:name="_Toc224103334"/>
      <w:bookmarkStart w:id="153" w:name="_Toc200513143"/>
      <w:r>
        <w:rPr>
          <w:rFonts w:hint="eastAsia" w:cs="宋体" w:asciiTheme="minorEastAsia" w:hAnsiTheme="minorEastAsia" w:eastAsiaTheme="minorEastAsia"/>
          <w:snapToGrid w:val="0"/>
          <w:color w:val="auto"/>
          <w:szCs w:val="21"/>
          <w:highlight w:val="none"/>
        </w:rPr>
        <w:t>2.3  比选文件的修改</w:t>
      </w:r>
      <w:bookmarkEnd w:id="152"/>
      <w:bookmarkEnd w:id="153"/>
    </w:p>
    <w:p w14:paraId="44DA7F6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2.3.1  在竞选截止时间前，比选人可以书面形式修改比选文件，并通知所有已购买比选文件的竞选人。</w:t>
      </w:r>
    </w:p>
    <w:p w14:paraId="2DBF58A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2.3.2  竞选人收到修改内容后，应在竞选人须知前附表规定的时间内以书面形式通知比选人，确认已收到该修改。</w:t>
      </w:r>
    </w:p>
    <w:p w14:paraId="4B71066A">
      <w:pPr>
        <w:spacing w:line="450" w:lineRule="exact"/>
        <w:ind w:firstLine="422" w:firstLineChars="200"/>
        <w:rPr>
          <w:rFonts w:cs="宋体" w:asciiTheme="minorEastAsia" w:hAnsiTheme="minorEastAsia" w:eastAsiaTheme="minorEastAsia"/>
          <w:b/>
          <w:snapToGrid w:val="0"/>
          <w:color w:val="auto"/>
          <w:szCs w:val="21"/>
          <w:highlight w:val="none"/>
        </w:rPr>
      </w:pPr>
      <w:bookmarkStart w:id="154" w:name="_Toc224103335"/>
      <w:bookmarkStart w:id="155" w:name="_Toc200513144"/>
      <w:r>
        <w:rPr>
          <w:rFonts w:hint="eastAsia" w:cs="宋体" w:asciiTheme="minorEastAsia" w:hAnsiTheme="minorEastAsia" w:eastAsiaTheme="minorEastAsia"/>
          <w:b/>
          <w:snapToGrid w:val="0"/>
          <w:color w:val="auto"/>
          <w:szCs w:val="21"/>
          <w:highlight w:val="none"/>
        </w:rPr>
        <w:t>3.  竞选文件</w:t>
      </w:r>
      <w:bookmarkEnd w:id="154"/>
      <w:bookmarkEnd w:id="155"/>
    </w:p>
    <w:p w14:paraId="13440C2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6" w:name="_Toc224103336"/>
      <w:bookmarkStart w:id="157" w:name="_Toc200513145"/>
      <w:r>
        <w:rPr>
          <w:rFonts w:hint="eastAsia" w:cs="宋体" w:asciiTheme="minorEastAsia" w:hAnsiTheme="minorEastAsia" w:eastAsiaTheme="minorEastAsia"/>
          <w:snapToGrid w:val="0"/>
          <w:color w:val="auto"/>
          <w:szCs w:val="21"/>
          <w:highlight w:val="none"/>
        </w:rPr>
        <w:t>3.1  竞选文件的组成</w:t>
      </w:r>
      <w:bookmarkEnd w:id="156"/>
      <w:bookmarkEnd w:id="157"/>
    </w:p>
    <w:p w14:paraId="0088D9B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竞选文件由“竞选函部分和资格审查资料部分”和“技术部分”组成。</w:t>
      </w:r>
    </w:p>
    <w:p w14:paraId="5D88B05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3.1.1“竞选函部分和资格审查资料部分”应包括下列内容：</w:t>
      </w:r>
    </w:p>
    <w:p w14:paraId="5126306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（1）竞选函</w:t>
      </w:r>
    </w:p>
    <w:p w14:paraId="77A1D6D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（2）法定代表人授权书</w:t>
      </w:r>
    </w:p>
    <w:p w14:paraId="3A6705D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（3）法人身份证明</w:t>
      </w:r>
    </w:p>
    <w:p w14:paraId="2C28784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（4）全套资格后审申请资料</w:t>
      </w:r>
    </w:p>
    <w:p w14:paraId="6914FCD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（5）其他资料</w:t>
      </w:r>
    </w:p>
    <w:p w14:paraId="1A953AB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3.1.2技术部分应包括下列内容：</w:t>
      </w:r>
    </w:p>
    <w:p w14:paraId="36566D1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（1）方案文本文件：</w:t>
      </w:r>
      <w:r>
        <w:rPr>
          <w:rFonts w:cs="宋体" w:asciiTheme="minorEastAsia" w:hAnsiTheme="minorEastAsia" w:eastAsiaTheme="minorEastAsia"/>
          <w:snapToGrid w:val="0"/>
          <w:color w:val="auto"/>
          <w:kern w:val="0"/>
          <w:szCs w:val="21"/>
          <w:highlight w:val="none"/>
        </w:rPr>
        <w:t xml:space="preserve"> </w:t>
      </w:r>
    </w:p>
    <w:p w14:paraId="5B6D725B">
      <w:pPr>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bookmarkStart w:id="158" w:name="_Toc200513146"/>
      <w:bookmarkStart w:id="159" w:name="_Toc224103337"/>
      <w:r>
        <w:rPr>
          <w:rFonts w:hint="eastAsia" w:cs="宋体" w:asciiTheme="minorEastAsia" w:hAnsiTheme="minorEastAsia" w:eastAsiaTheme="minorEastAsia"/>
          <w:snapToGrid w:val="0"/>
          <w:color w:val="auto"/>
          <w:szCs w:val="21"/>
          <w:highlight w:val="none"/>
        </w:rPr>
        <w:t>3.2  竞选报价</w:t>
      </w:r>
      <w:bookmarkEnd w:id="158"/>
      <w:bookmarkEnd w:id="159"/>
      <w:r>
        <w:rPr>
          <w:rFonts w:hint="eastAsia" w:cs="宋体" w:asciiTheme="minorEastAsia" w:hAnsiTheme="minorEastAsia" w:eastAsiaTheme="minorEastAsia"/>
          <w:snapToGrid w:val="0"/>
          <w:color w:val="auto"/>
          <w:szCs w:val="21"/>
          <w:highlight w:val="none"/>
        </w:rPr>
        <w:t>：</w:t>
      </w:r>
      <w:r>
        <w:rPr>
          <w:rFonts w:hint="eastAsia" w:cs="宋体" w:asciiTheme="minorEastAsia" w:hAnsiTheme="minorEastAsia" w:eastAsiaTheme="minorEastAsia"/>
          <w:snapToGrid w:val="0"/>
          <w:color w:val="auto"/>
          <w:kern w:val="0"/>
          <w:szCs w:val="21"/>
          <w:highlight w:val="none"/>
        </w:rPr>
        <w:t>见竞选人须知前附表。</w:t>
      </w:r>
    </w:p>
    <w:p w14:paraId="200A528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0" w:name="_Toc200513147"/>
      <w:bookmarkStart w:id="161" w:name="_Toc224103338"/>
      <w:r>
        <w:rPr>
          <w:rFonts w:hint="eastAsia" w:cs="宋体" w:asciiTheme="minorEastAsia" w:hAnsiTheme="minorEastAsia" w:eastAsiaTheme="minorEastAsia"/>
          <w:snapToGrid w:val="0"/>
          <w:color w:val="auto"/>
          <w:szCs w:val="21"/>
          <w:highlight w:val="none"/>
        </w:rPr>
        <w:t>3.3  竞选有效期</w:t>
      </w:r>
      <w:bookmarkEnd w:id="160"/>
      <w:bookmarkEnd w:id="161"/>
    </w:p>
    <w:p w14:paraId="210517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3.3.1  在竞选人须知前附表规定的竞选有效期内，竞选人不得要求撤销或修改其竞选文件。</w:t>
      </w:r>
    </w:p>
    <w:p w14:paraId="13325780">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3.3.2  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12BA6E2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2" w:name="_Toc224103339"/>
      <w:bookmarkStart w:id="163" w:name="_Toc200513148"/>
      <w:r>
        <w:rPr>
          <w:rFonts w:hint="eastAsia" w:cs="宋体" w:asciiTheme="minorEastAsia" w:hAnsiTheme="minorEastAsia" w:eastAsiaTheme="minorEastAsia"/>
          <w:snapToGrid w:val="0"/>
          <w:color w:val="auto"/>
          <w:szCs w:val="21"/>
          <w:highlight w:val="none"/>
        </w:rPr>
        <w:t>3.4  竞选保证金</w:t>
      </w:r>
      <w:bookmarkEnd w:id="162"/>
      <w:bookmarkEnd w:id="163"/>
    </w:p>
    <w:p w14:paraId="0C07386A">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3.4.1  竞选人在递交竞选文件的同时，应按竞选人须知前附表规定的金额、担保形式递交竞选保证金，并作为其竞选文件的组成部分。</w:t>
      </w:r>
    </w:p>
    <w:p w14:paraId="2E32B93A">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3.4.2  竞选人不按本章第 3.4.1 项要求提交竞选保证金的，其竞选文件作否决竞选处理。</w:t>
      </w:r>
    </w:p>
    <w:p w14:paraId="58DA5484">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3.4.3  比选人与中选人签订合同后5日内，向未中选的竞选人和中选人退还竞选</w:t>
      </w:r>
      <w:r>
        <w:rPr>
          <w:rFonts w:hint="eastAsia" w:cs="宋体" w:asciiTheme="minorEastAsia" w:hAnsiTheme="minorEastAsia" w:eastAsiaTheme="minorEastAsia"/>
          <w:snapToGrid w:val="0"/>
          <w:color w:val="auto"/>
          <w:kern w:val="0"/>
          <w:position w:val="-2"/>
          <w:szCs w:val="21"/>
          <w:highlight w:val="none"/>
        </w:rPr>
        <w:t>保证金。</w:t>
      </w:r>
    </w:p>
    <w:p w14:paraId="058BE46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3.4.4  有下列情形之一的，竞选保证金将不予退还：</w:t>
      </w:r>
    </w:p>
    <w:p w14:paraId="1ECCF3F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（1）竞选人在规定的竞选有效期内撤销或修改其竞选文件；</w:t>
      </w:r>
    </w:p>
    <w:p w14:paraId="41A42053">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（2）中选人在收到中选通知书后，无正当理由拒签合同协议书或未按比选文件规定提交履约担保。</w:t>
      </w:r>
    </w:p>
    <w:p w14:paraId="44E962A1">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（3）法律法规和比选文件规定的其他情形。</w:t>
      </w:r>
    </w:p>
    <w:p w14:paraId="2A32B4D6">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4" w:name="_Toc224103341"/>
      <w:bookmarkStart w:id="165" w:name="_Toc200513150"/>
      <w:r>
        <w:rPr>
          <w:rFonts w:hint="eastAsia" w:cs="宋体" w:asciiTheme="minorEastAsia" w:hAnsiTheme="minorEastAsia" w:eastAsiaTheme="minorEastAsia"/>
          <w:snapToGrid w:val="0"/>
          <w:color w:val="auto"/>
          <w:szCs w:val="21"/>
          <w:highlight w:val="none"/>
        </w:rPr>
        <w:t>3.5  资格审查资料</w:t>
      </w:r>
      <w:bookmarkEnd w:id="164"/>
      <w:bookmarkEnd w:id="165"/>
    </w:p>
    <w:p w14:paraId="5C791F6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按竞选人须知前附表执行。</w:t>
      </w:r>
    </w:p>
    <w:p w14:paraId="251B655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6" w:name="_Toc200513151"/>
      <w:bookmarkStart w:id="167" w:name="_Toc224103342"/>
      <w:r>
        <w:rPr>
          <w:rFonts w:hint="eastAsia" w:cs="宋体" w:asciiTheme="minorEastAsia" w:hAnsiTheme="minorEastAsia" w:eastAsiaTheme="minorEastAsia"/>
          <w:snapToGrid w:val="0"/>
          <w:color w:val="auto"/>
          <w:szCs w:val="21"/>
          <w:highlight w:val="none"/>
        </w:rPr>
        <w:t>3.6  备选竞选方案</w:t>
      </w:r>
      <w:bookmarkEnd w:id="166"/>
      <w:bookmarkEnd w:id="167"/>
    </w:p>
    <w:p w14:paraId="23315D89">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竞选人须知前附表另有规定外，竞选人不得递交备选竞选方案。允许竞选人递交备选竞选方案的，只有中选人所递交的备选竞选方案方可予以考虑。评选委员会认为中选人的备选竞选方案优于其按照比选文件要求编制的竞选方案的，比选人可以接受该备选竞选方案。</w:t>
      </w:r>
    </w:p>
    <w:p w14:paraId="58CD77A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8" w:name="_Toc200513152"/>
      <w:bookmarkStart w:id="169" w:name="_Toc224103343"/>
      <w:r>
        <w:rPr>
          <w:rFonts w:hint="eastAsia" w:cs="宋体" w:asciiTheme="minorEastAsia" w:hAnsiTheme="minorEastAsia" w:eastAsiaTheme="minorEastAsia"/>
          <w:snapToGrid w:val="0"/>
          <w:color w:val="auto"/>
          <w:szCs w:val="21"/>
          <w:highlight w:val="none"/>
        </w:rPr>
        <w:t>3.7  竞选文件的编制</w:t>
      </w:r>
      <w:bookmarkEnd w:id="168"/>
      <w:bookmarkEnd w:id="169"/>
    </w:p>
    <w:p w14:paraId="6E3A49C1">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3.7.1  竞选文件应按第六章“竞选文件格式”进行编写，如有必要，可以增加附页，作为竞选文件的组成部分。</w:t>
      </w:r>
    </w:p>
    <w:p w14:paraId="3B55350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3.7.2  竞选文件应当对比选文件有关工期、竞选有效期、质量要求、技术标准和要求、 比选范围等实质性内容做出响应。</w:t>
      </w:r>
    </w:p>
    <w:p w14:paraId="7B39896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3.7.3  竞选文件应用不褪色的材料书写或打印，并由竞选人的法定代表人或其委托代理</w:t>
      </w:r>
      <w:r>
        <w:rPr>
          <w:rFonts w:hint="eastAsia" w:cs="宋体" w:asciiTheme="minorEastAsia" w:hAnsiTheme="minorEastAsia" w:eastAsiaTheme="minorEastAsia"/>
          <w:snapToGrid w:val="0"/>
          <w:color w:val="auto"/>
          <w:kern w:val="0"/>
          <w:szCs w:val="21"/>
          <w:highlight w:val="none"/>
        </w:rPr>
        <w:t>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14:paraId="32BD2D94">
      <w:pPr>
        <w:autoSpaceDE w:val="0"/>
        <w:autoSpaceDN w:val="0"/>
        <w:adjustRightInd w:val="0"/>
        <w:snapToGrid w:val="0"/>
        <w:spacing w:line="450" w:lineRule="exact"/>
        <w:ind w:right="-164"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3.7.4  竞选文件正本一份，副本份数见竞选人须知前附表。正本和副本的封面上应清楚地标记“正本”或“副本”的字样。当副本和正本不一致时，以正本为准。</w:t>
      </w:r>
    </w:p>
    <w:p w14:paraId="1677565B">
      <w:pPr>
        <w:autoSpaceDE w:val="0"/>
        <w:autoSpaceDN w:val="0"/>
        <w:adjustRightInd w:val="0"/>
        <w:snapToGrid w:val="0"/>
        <w:spacing w:line="450" w:lineRule="exact"/>
        <w:ind w:right="-109"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3.7.5  竞选文件的正本与副本应分别装订成册，并编制目录，具体装订要求见竞选人须知前附表规定。</w:t>
      </w:r>
    </w:p>
    <w:p w14:paraId="24558331">
      <w:pPr>
        <w:spacing w:line="450" w:lineRule="exact"/>
        <w:ind w:firstLine="422" w:firstLineChars="200"/>
        <w:rPr>
          <w:rFonts w:cs="宋体" w:asciiTheme="minorEastAsia" w:hAnsiTheme="minorEastAsia" w:eastAsiaTheme="minorEastAsia"/>
          <w:b/>
          <w:snapToGrid w:val="0"/>
          <w:color w:val="auto"/>
          <w:szCs w:val="21"/>
          <w:highlight w:val="none"/>
        </w:rPr>
      </w:pPr>
      <w:bookmarkStart w:id="170" w:name="_Toc224103344"/>
      <w:bookmarkStart w:id="171" w:name="_Toc200513153"/>
      <w:r>
        <w:rPr>
          <w:rFonts w:hint="eastAsia" w:cs="宋体" w:asciiTheme="minorEastAsia" w:hAnsiTheme="minorEastAsia" w:eastAsiaTheme="minorEastAsia"/>
          <w:b/>
          <w:snapToGrid w:val="0"/>
          <w:color w:val="auto"/>
          <w:szCs w:val="21"/>
          <w:highlight w:val="none"/>
        </w:rPr>
        <w:t xml:space="preserve">4.  </w:t>
      </w:r>
      <w:bookmarkEnd w:id="170"/>
      <w:bookmarkEnd w:id="171"/>
      <w:r>
        <w:rPr>
          <w:rFonts w:hint="eastAsia" w:cs="宋体" w:asciiTheme="minorEastAsia" w:hAnsiTheme="minorEastAsia" w:eastAsiaTheme="minorEastAsia"/>
          <w:b/>
          <w:snapToGrid w:val="0"/>
          <w:color w:val="auto"/>
          <w:szCs w:val="21"/>
          <w:highlight w:val="none"/>
        </w:rPr>
        <w:t>竞选</w:t>
      </w:r>
    </w:p>
    <w:p w14:paraId="14986CDA">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2" w:name="_Toc200513154"/>
      <w:bookmarkStart w:id="173" w:name="_Toc224103345"/>
      <w:r>
        <w:rPr>
          <w:rFonts w:hint="eastAsia" w:cs="宋体" w:asciiTheme="minorEastAsia" w:hAnsiTheme="minorEastAsia" w:eastAsiaTheme="minorEastAsia"/>
          <w:snapToGrid w:val="0"/>
          <w:color w:val="auto"/>
          <w:szCs w:val="21"/>
          <w:highlight w:val="none"/>
        </w:rPr>
        <w:t>4.1  竞选文件的密封和标记</w:t>
      </w:r>
      <w:bookmarkEnd w:id="172"/>
      <w:bookmarkEnd w:id="173"/>
    </w:p>
    <w:p w14:paraId="2A7248F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174" w:name="_Toc200513155"/>
      <w:r>
        <w:rPr>
          <w:rFonts w:hint="eastAsia" w:cs="宋体" w:asciiTheme="minorEastAsia" w:hAnsiTheme="minorEastAsia" w:eastAsiaTheme="minorEastAsia"/>
          <w:snapToGrid w:val="0"/>
          <w:color w:val="auto"/>
          <w:kern w:val="0"/>
          <w:szCs w:val="21"/>
          <w:highlight w:val="none"/>
        </w:rPr>
        <w:t>4.1.1  竞选文件的正本与副本密封见竞选人须知前附表。</w:t>
      </w:r>
    </w:p>
    <w:p w14:paraId="0211655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4.1.2  竞选文件的封套上应写明的内容见竞选人须知前附表。</w:t>
      </w:r>
    </w:p>
    <w:p w14:paraId="44B8E6CD">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4.1.3  未按本章第 4.1.1 项或第 4.1.2 项要求密封和加写标记的竞选文件，比选人不予受理。</w:t>
      </w:r>
    </w:p>
    <w:p w14:paraId="7435C22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5" w:name="_Toc224103346"/>
      <w:r>
        <w:rPr>
          <w:rFonts w:hint="eastAsia" w:cs="宋体" w:asciiTheme="minorEastAsia" w:hAnsiTheme="minorEastAsia" w:eastAsiaTheme="minorEastAsia"/>
          <w:snapToGrid w:val="0"/>
          <w:color w:val="auto"/>
          <w:szCs w:val="21"/>
          <w:highlight w:val="none"/>
        </w:rPr>
        <w:t>4.2  竞选文件的递交</w:t>
      </w:r>
      <w:bookmarkEnd w:id="174"/>
      <w:bookmarkEnd w:id="175"/>
    </w:p>
    <w:p w14:paraId="16904FE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4.2.1  竞选人应在本章第 2.2.2 项规定的竞选截止时间前递交竞选文件。</w:t>
      </w:r>
    </w:p>
    <w:p w14:paraId="43CCAAD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4.2.2  竞选人递交竞选文件的地点：见竞选人须知前附表。</w:t>
      </w:r>
    </w:p>
    <w:p w14:paraId="710813B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4.2.3  除竞选人须知前附表另有规定外，竞选人所递交的竞选文件不予退还。</w:t>
      </w:r>
    </w:p>
    <w:p w14:paraId="5DFBF12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4.2.4  比选人收到竞选文件后，向竞选人出具签收凭证。</w:t>
      </w:r>
    </w:p>
    <w:p w14:paraId="757BAC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4.2.5  逾期送达的或者未送达指定地点的竞选文件，比选人不予受理。</w:t>
      </w:r>
    </w:p>
    <w:p w14:paraId="32293C5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6" w:name="_Toc224103347"/>
      <w:bookmarkStart w:id="177" w:name="_Toc200513156"/>
      <w:r>
        <w:rPr>
          <w:rFonts w:hint="eastAsia" w:cs="宋体" w:asciiTheme="minorEastAsia" w:hAnsiTheme="minorEastAsia" w:eastAsiaTheme="minorEastAsia"/>
          <w:snapToGrid w:val="0"/>
          <w:color w:val="auto"/>
          <w:szCs w:val="21"/>
          <w:highlight w:val="none"/>
        </w:rPr>
        <w:t>4.3  竞选文件的修改与撤回</w:t>
      </w:r>
      <w:bookmarkEnd w:id="176"/>
      <w:bookmarkEnd w:id="177"/>
    </w:p>
    <w:p w14:paraId="3113AF3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4.3.1  在本章第2.2.2项规定的竞选截止时间前，竞选人可以修改或撤回已递交的竞选文件，但应以书面形式通知比选人。</w:t>
      </w:r>
    </w:p>
    <w:p w14:paraId="6F951CB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4.3.2  竞选人修改或撤回已递交竞选文件的书面通知应按照本章第3.7.3项的要求签字或盖章。比选人收到书面通知后，向竞选人出具签收凭证。</w:t>
      </w:r>
    </w:p>
    <w:p w14:paraId="2962D7C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4.3.3  修改的内容为竞选文件的组成部分。修改的竞选文件应按照本章第3条、第4条规定进行编制、密封、标记和递交，并标明“修改”字样。</w:t>
      </w:r>
    </w:p>
    <w:p w14:paraId="0A8DE574">
      <w:pPr>
        <w:spacing w:line="450" w:lineRule="exact"/>
        <w:ind w:firstLine="422" w:firstLineChars="200"/>
        <w:rPr>
          <w:rFonts w:cs="宋体" w:asciiTheme="minorEastAsia" w:hAnsiTheme="minorEastAsia" w:eastAsiaTheme="minorEastAsia"/>
          <w:b/>
          <w:snapToGrid w:val="0"/>
          <w:color w:val="auto"/>
          <w:szCs w:val="21"/>
          <w:highlight w:val="none"/>
        </w:rPr>
      </w:pPr>
      <w:bookmarkStart w:id="178" w:name="_Toc200513157"/>
      <w:bookmarkStart w:id="179" w:name="_Toc224103348"/>
      <w:r>
        <w:rPr>
          <w:rFonts w:hint="eastAsia" w:cs="宋体" w:asciiTheme="minorEastAsia" w:hAnsiTheme="minorEastAsia" w:eastAsiaTheme="minorEastAsia"/>
          <w:b/>
          <w:snapToGrid w:val="0"/>
          <w:color w:val="auto"/>
          <w:szCs w:val="21"/>
          <w:highlight w:val="none"/>
        </w:rPr>
        <w:t>5.  开标</w:t>
      </w:r>
      <w:bookmarkEnd w:id="178"/>
      <w:bookmarkEnd w:id="179"/>
    </w:p>
    <w:p w14:paraId="25134AF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0" w:name="_Toc224103349"/>
      <w:bookmarkStart w:id="181" w:name="_Toc200513158"/>
      <w:r>
        <w:rPr>
          <w:rFonts w:hint="eastAsia" w:cs="宋体" w:asciiTheme="minorEastAsia" w:hAnsiTheme="minorEastAsia" w:eastAsiaTheme="minorEastAsia"/>
          <w:snapToGrid w:val="0"/>
          <w:color w:val="auto"/>
          <w:szCs w:val="21"/>
          <w:highlight w:val="none"/>
        </w:rPr>
        <w:t>5.1  开标时间和地点</w:t>
      </w:r>
      <w:bookmarkEnd w:id="180"/>
      <w:bookmarkEnd w:id="181"/>
    </w:p>
    <w:p w14:paraId="4AF0DF3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比选人在本章第 2.2.2 项规定的竞选截止时间（开标时间）和竞选人须知前附表规定的地点公开开标，并邀请所有竞选人的法定代表人或其委托代理人准时参加。</w:t>
      </w:r>
    </w:p>
    <w:p w14:paraId="541B45D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2" w:name="_Toc200513159"/>
      <w:bookmarkStart w:id="183" w:name="_Toc224103350"/>
      <w:r>
        <w:rPr>
          <w:rFonts w:hint="eastAsia" w:cs="宋体" w:asciiTheme="minorEastAsia" w:hAnsiTheme="minorEastAsia" w:eastAsiaTheme="minorEastAsia"/>
          <w:snapToGrid w:val="0"/>
          <w:color w:val="auto"/>
          <w:szCs w:val="21"/>
          <w:highlight w:val="none"/>
        </w:rPr>
        <w:t>5.2  开标程序</w:t>
      </w:r>
      <w:bookmarkEnd w:id="182"/>
      <w:bookmarkEnd w:id="183"/>
    </w:p>
    <w:p w14:paraId="56243818">
      <w:pPr>
        <w:autoSpaceDE w:val="0"/>
        <w:autoSpaceDN w:val="0"/>
        <w:adjustRightInd w:val="0"/>
        <w:snapToGrid w:val="0"/>
        <w:spacing w:line="450" w:lineRule="exact"/>
        <w:ind w:left="4" w:leftChars="2"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同竞选人须知前附表。</w:t>
      </w:r>
    </w:p>
    <w:p w14:paraId="2818F74D">
      <w:pPr>
        <w:spacing w:line="450" w:lineRule="exact"/>
        <w:ind w:firstLine="422" w:firstLineChars="200"/>
        <w:rPr>
          <w:rFonts w:cs="宋体" w:asciiTheme="minorEastAsia" w:hAnsiTheme="minorEastAsia" w:eastAsiaTheme="minorEastAsia"/>
          <w:b/>
          <w:snapToGrid w:val="0"/>
          <w:color w:val="auto"/>
          <w:szCs w:val="21"/>
          <w:highlight w:val="none"/>
        </w:rPr>
      </w:pPr>
      <w:bookmarkStart w:id="184" w:name="_Toc200513160"/>
      <w:bookmarkStart w:id="185" w:name="_Toc224103351"/>
      <w:r>
        <w:rPr>
          <w:rFonts w:hint="eastAsia" w:cs="宋体" w:asciiTheme="minorEastAsia" w:hAnsiTheme="minorEastAsia" w:eastAsiaTheme="minorEastAsia"/>
          <w:b/>
          <w:snapToGrid w:val="0"/>
          <w:color w:val="auto"/>
          <w:szCs w:val="21"/>
          <w:highlight w:val="none"/>
        </w:rPr>
        <w:t xml:space="preserve">6.  </w:t>
      </w:r>
      <w:bookmarkEnd w:id="184"/>
      <w:bookmarkEnd w:id="185"/>
      <w:r>
        <w:rPr>
          <w:rFonts w:hint="eastAsia" w:cs="宋体" w:asciiTheme="minorEastAsia" w:hAnsiTheme="minorEastAsia" w:eastAsiaTheme="minorEastAsia"/>
          <w:b/>
          <w:snapToGrid w:val="0"/>
          <w:color w:val="auto"/>
          <w:szCs w:val="21"/>
          <w:highlight w:val="none"/>
        </w:rPr>
        <w:t>评选</w:t>
      </w:r>
    </w:p>
    <w:p w14:paraId="4B89441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6" w:name="_Toc224103352"/>
      <w:bookmarkStart w:id="187" w:name="_Toc200513161"/>
      <w:r>
        <w:rPr>
          <w:rFonts w:hint="eastAsia" w:cs="宋体" w:asciiTheme="minorEastAsia" w:hAnsiTheme="minorEastAsia" w:eastAsiaTheme="minorEastAsia"/>
          <w:snapToGrid w:val="0"/>
          <w:color w:val="auto"/>
          <w:szCs w:val="21"/>
          <w:highlight w:val="none"/>
        </w:rPr>
        <w:t>6.1  评选委员会</w:t>
      </w:r>
      <w:bookmarkEnd w:id="186"/>
      <w:bookmarkEnd w:id="187"/>
    </w:p>
    <w:p w14:paraId="5611A025">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6.1.1  评选由比选人依法组建的评选委员会负责。评选委员会由比选人或其委托的比选代理机构熟悉相关业务的代表，以及有关技术、经济等方面的专家组成。评选委员会成员人数以及技术、经济等方面专家的确定方式见竞选人须知前附表。</w:t>
      </w:r>
    </w:p>
    <w:p w14:paraId="3B9BEF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6.1.2  评选委员会成员有下列情形之一的，应当回避：</w:t>
      </w:r>
    </w:p>
    <w:p w14:paraId="34D5ECB6">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（1）比选人或竞选人的主要负责人的近亲属；</w:t>
      </w:r>
    </w:p>
    <w:p w14:paraId="71B56961">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（2）项目主管部门或者行政监督部门的人员；</w:t>
      </w:r>
    </w:p>
    <w:p w14:paraId="54F664CB">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（3）与竞选人有经济利益关系，可能影响对竞选公正评审的；</w:t>
      </w:r>
    </w:p>
    <w:p w14:paraId="3895009A">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（4）曾因在比选、评选以及其他与比选竞选有关活动中从事违法行为而受过行政处罚或刑事处罚的。</w:t>
      </w:r>
    </w:p>
    <w:p w14:paraId="2D84B18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8" w:name="_Toc200513162"/>
      <w:bookmarkStart w:id="189" w:name="_Toc224103353"/>
      <w:r>
        <w:rPr>
          <w:rFonts w:hint="eastAsia" w:cs="宋体" w:asciiTheme="minorEastAsia" w:hAnsiTheme="minorEastAsia" w:eastAsiaTheme="minorEastAsia"/>
          <w:snapToGrid w:val="0"/>
          <w:color w:val="auto"/>
          <w:szCs w:val="21"/>
          <w:highlight w:val="none"/>
        </w:rPr>
        <w:t>6.2  评选原则</w:t>
      </w:r>
      <w:bookmarkEnd w:id="188"/>
      <w:bookmarkEnd w:id="189"/>
    </w:p>
    <w:p w14:paraId="19FE24E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评选活动遵循公平、公正、科学和择优的原则。</w:t>
      </w:r>
    </w:p>
    <w:p w14:paraId="49F73161">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0" w:name="_Toc224103354"/>
      <w:bookmarkStart w:id="191" w:name="_Toc200513163"/>
      <w:r>
        <w:rPr>
          <w:rFonts w:hint="eastAsia" w:cs="宋体" w:asciiTheme="minorEastAsia" w:hAnsiTheme="minorEastAsia" w:eastAsiaTheme="minorEastAsia"/>
          <w:snapToGrid w:val="0"/>
          <w:color w:val="auto"/>
          <w:szCs w:val="21"/>
          <w:highlight w:val="none"/>
        </w:rPr>
        <w:t xml:space="preserve">6.3  </w:t>
      </w:r>
      <w:bookmarkEnd w:id="190"/>
      <w:bookmarkEnd w:id="191"/>
      <w:r>
        <w:rPr>
          <w:rFonts w:hint="eastAsia" w:cs="宋体" w:asciiTheme="minorEastAsia" w:hAnsiTheme="minorEastAsia" w:eastAsiaTheme="minorEastAsia"/>
          <w:snapToGrid w:val="0"/>
          <w:color w:val="auto"/>
          <w:szCs w:val="21"/>
          <w:highlight w:val="none"/>
        </w:rPr>
        <w:t>评选</w:t>
      </w:r>
    </w:p>
    <w:p w14:paraId="29F5E56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评选委员会按照第三章“评选办法”规定的方法、评审因素、标准和程序对竞选文件进行评审。第三章“评选办法”没有规定的方法、评审因素和标准，不作为评选依据。</w:t>
      </w:r>
    </w:p>
    <w:p w14:paraId="648F3E52">
      <w:pPr>
        <w:spacing w:line="450" w:lineRule="exact"/>
        <w:ind w:firstLine="422" w:firstLineChars="200"/>
        <w:rPr>
          <w:rFonts w:cs="宋体" w:asciiTheme="minorEastAsia" w:hAnsiTheme="minorEastAsia" w:eastAsiaTheme="minorEastAsia"/>
          <w:b/>
          <w:snapToGrid w:val="0"/>
          <w:color w:val="auto"/>
          <w:szCs w:val="21"/>
          <w:highlight w:val="none"/>
        </w:rPr>
      </w:pPr>
      <w:bookmarkStart w:id="192" w:name="_Toc224103355"/>
      <w:bookmarkStart w:id="193" w:name="_Toc200513164"/>
      <w:r>
        <w:rPr>
          <w:rFonts w:hint="eastAsia" w:cs="宋体" w:asciiTheme="minorEastAsia" w:hAnsiTheme="minorEastAsia" w:eastAsiaTheme="minorEastAsia"/>
          <w:b/>
          <w:snapToGrid w:val="0"/>
          <w:color w:val="auto"/>
          <w:szCs w:val="21"/>
          <w:highlight w:val="none"/>
        </w:rPr>
        <w:t>7.  合同授予</w:t>
      </w:r>
      <w:bookmarkEnd w:id="192"/>
      <w:bookmarkEnd w:id="193"/>
    </w:p>
    <w:p w14:paraId="6961DD2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4" w:name="_Toc224103356"/>
      <w:bookmarkStart w:id="195" w:name="_Toc200513165"/>
      <w:r>
        <w:rPr>
          <w:rFonts w:hint="eastAsia" w:cs="宋体" w:asciiTheme="minorEastAsia" w:hAnsiTheme="minorEastAsia" w:eastAsiaTheme="minorEastAsia"/>
          <w:snapToGrid w:val="0"/>
          <w:color w:val="auto"/>
          <w:szCs w:val="21"/>
          <w:highlight w:val="none"/>
        </w:rPr>
        <w:t>7.1  定标方式</w:t>
      </w:r>
      <w:bookmarkEnd w:id="194"/>
      <w:bookmarkEnd w:id="195"/>
    </w:p>
    <w:p w14:paraId="54A72AF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除竞选人须知前附表规定评选委员会直接确定中选人外，比选人依据评选委员会推荐的 中选候选人确定中选人，评选委员会推荐中选候选人的人数见竞选人须知前附表。</w:t>
      </w:r>
    </w:p>
    <w:p w14:paraId="613A84F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6" w:name="_Toc224103357"/>
      <w:bookmarkStart w:id="197" w:name="_Toc200513166"/>
      <w:r>
        <w:rPr>
          <w:rFonts w:hint="eastAsia" w:cs="宋体" w:asciiTheme="minorEastAsia" w:hAnsiTheme="minorEastAsia" w:eastAsiaTheme="minorEastAsia"/>
          <w:snapToGrid w:val="0"/>
          <w:color w:val="auto"/>
          <w:szCs w:val="21"/>
          <w:highlight w:val="none"/>
        </w:rPr>
        <w:t>7.2  中选通知</w:t>
      </w:r>
      <w:bookmarkEnd w:id="196"/>
      <w:bookmarkEnd w:id="197"/>
    </w:p>
    <w:p w14:paraId="24E77EC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在本章第 3.3 款规定的竞选有效期内，比选人以书面形式向中选人发出中选通知书，同 时将中选结果通知未中选的竞选人。</w:t>
      </w:r>
    </w:p>
    <w:p w14:paraId="094C6F85">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8" w:name="_Toc224103359"/>
      <w:bookmarkStart w:id="199" w:name="_Toc200513168"/>
      <w:r>
        <w:rPr>
          <w:rFonts w:hint="eastAsia" w:cs="宋体" w:asciiTheme="minorEastAsia" w:hAnsiTheme="minorEastAsia" w:eastAsiaTheme="minorEastAsia"/>
          <w:snapToGrid w:val="0"/>
          <w:color w:val="auto"/>
          <w:szCs w:val="21"/>
          <w:highlight w:val="none"/>
        </w:rPr>
        <w:t>7.4  签订合同</w:t>
      </w:r>
      <w:bookmarkEnd w:id="198"/>
      <w:bookmarkEnd w:id="199"/>
    </w:p>
    <w:p w14:paraId="3647384F">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7.4.1 比选人和中选人应当在中选通知书约定的时间内签订合同，根据比选文件和中选人的竞选文件订立书面合同。中选人无正当理由拒签合同的，比选人取消其中选资格，其竞选保证金不予退还；给比选人造成的损失超过竞选保证金数额的，中选人还应当对超过部分予以赔偿。</w:t>
      </w:r>
    </w:p>
    <w:p w14:paraId="0E9BEAC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7.4.2  发出中选通知书后，比选人无正当理由拒签合同的，比选人向中选人退还竞选保证金；给中选人造成损失的，还应当赔偿损失。</w:t>
      </w:r>
    </w:p>
    <w:p w14:paraId="283065A2">
      <w:pPr>
        <w:autoSpaceDE w:val="0"/>
        <w:autoSpaceDN w:val="0"/>
        <w:adjustRightInd w:val="0"/>
        <w:snapToGrid w:val="0"/>
        <w:spacing w:line="450" w:lineRule="exact"/>
        <w:ind w:firstLine="422" w:firstLineChars="200"/>
        <w:jc w:val="left"/>
        <w:rPr>
          <w:rFonts w:cs="宋体" w:asciiTheme="minorEastAsia" w:hAnsiTheme="minorEastAsia" w:eastAsiaTheme="minorEastAsia"/>
          <w:b/>
          <w:snapToGrid w:val="0"/>
          <w:color w:val="auto"/>
          <w:kern w:val="0"/>
          <w:szCs w:val="21"/>
          <w:highlight w:val="none"/>
        </w:rPr>
      </w:pPr>
      <w:bookmarkStart w:id="200" w:name="_Toc224103360"/>
      <w:bookmarkStart w:id="201" w:name="_Toc200513169"/>
      <w:r>
        <w:rPr>
          <w:rFonts w:hint="eastAsia" w:cs="宋体" w:asciiTheme="minorEastAsia" w:hAnsiTheme="minorEastAsia" w:eastAsiaTheme="minorEastAsia"/>
          <w:b/>
          <w:snapToGrid w:val="0"/>
          <w:color w:val="auto"/>
          <w:kern w:val="0"/>
          <w:szCs w:val="21"/>
          <w:highlight w:val="none"/>
        </w:rPr>
        <w:t>8.  重新比选和不再</w:t>
      </w:r>
      <w:bookmarkEnd w:id="200"/>
      <w:bookmarkEnd w:id="201"/>
      <w:r>
        <w:rPr>
          <w:rFonts w:hint="eastAsia" w:cs="宋体" w:asciiTheme="minorEastAsia" w:hAnsiTheme="minorEastAsia" w:eastAsiaTheme="minorEastAsia"/>
          <w:b/>
          <w:snapToGrid w:val="0"/>
          <w:color w:val="auto"/>
          <w:kern w:val="0"/>
          <w:szCs w:val="21"/>
          <w:highlight w:val="none"/>
        </w:rPr>
        <w:t>比选</w:t>
      </w:r>
    </w:p>
    <w:p w14:paraId="2957190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202" w:name="_Toc347847820"/>
      <w:bookmarkStart w:id="203" w:name="_Toc287607790"/>
      <w:bookmarkStart w:id="204" w:name="_Toc277082596"/>
      <w:bookmarkStart w:id="205" w:name="_Toc224103361"/>
      <w:bookmarkStart w:id="206" w:name="_Toc200513170"/>
      <w:r>
        <w:rPr>
          <w:rFonts w:hint="eastAsia" w:cs="宋体" w:asciiTheme="minorEastAsia" w:hAnsiTheme="minorEastAsia" w:eastAsiaTheme="minorEastAsia"/>
          <w:snapToGrid w:val="0"/>
          <w:color w:val="auto"/>
          <w:kern w:val="0"/>
          <w:szCs w:val="21"/>
          <w:highlight w:val="none"/>
        </w:rPr>
        <w:t>8.1  重新</w:t>
      </w:r>
      <w:bookmarkEnd w:id="202"/>
      <w:bookmarkEnd w:id="203"/>
      <w:bookmarkEnd w:id="204"/>
      <w:r>
        <w:rPr>
          <w:rFonts w:hint="eastAsia" w:cs="宋体" w:asciiTheme="minorEastAsia" w:hAnsiTheme="minorEastAsia" w:eastAsiaTheme="minorEastAsia"/>
          <w:snapToGrid w:val="0"/>
          <w:color w:val="auto"/>
          <w:kern w:val="0"/>
          <w:szCs w:val="21"/>
          <w:highlight w:val="none"/>
        </w:rPr>
        <w:t>比选</w:t>
      </w:r>
      <w:bookmarkStart w:id="207" w:name="_Toc347847821"/>
      <w:bookmarkStart w:id="208" w:name="_Toc277082597"/>
      <w:bookmarkStart w:id="209" w:name="_Toc287607791"/>
      <w:r>
        <w:rPr>
          <w:rFonts w:hint="eastAsia" w:cs="宋体" w:asciiTheme="minorEastAsia" w:hAnsiTheme="minorEastAsia" w:eastAsiaTheme="minorEastAsia"/>
          <w:snapToGrid w:val="0"/>
          <w:color w:val="auto"/>
          <w:kern w:val="0"/>
          <w:szCs w:val="21"/>
          <w:highlight w:val="none"/>
        </w:rPr>
        <w:t>：</w:t>
      </w:r>
    </w:p>
    <w:p w14:paraId="144EC34B">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有下列情形之一的，比选人将重新比选：</w:t>
      </w:r>
    </w:p>
    <w:p w14:paraId="7A15ADAE">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（1）截止时间止，竞选人少于3个的；</w:t>
      </w:r>
    </w:p>
    <w:p w14:paraId="46381E6D">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（2）经评选委员会评审后否决所有竞选的；</w:t>
      </w:r>
    </w:p>
    <w:p w14:paraId="3DB2B996">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（3）经评审后，如合格的竞选人少于三个的，且明显缺乏竞争的，评选委员会可以否决全部竞选，比选人将重新组织比选。</w:t>
      </w:r>
    </w:p>
    <w:p w14:paraId="5328EC52">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8.2  二次比选和不再</w:t>
      </w:r>
      <w:bookmarkEnd w:id="207"/>
      <w:bookmarkEnd w:id="208"/>
      <w:bookmarkEnd w:id="209"/>
      <w:r>
        <w:rPr>
          <w:rFonts w:hint="eastAsia" w:cs="宋体" w:asciiTheme="minorEastAsia" w:hAnsiTheme="minorEastAsia" w:eastAsiaTheme="minorEastAsia"/>
          <w:snapToGrid w:val="0"/>
          <w:color w:val="auto"/>
          <w:kern w:val="0"/>
          <w:szCs w:val="21"/>
          <w:highlight w:val="none"/>
        </w:rPr>
        <w:t>比选</w:t>
      </w:r>
    </w:p>
    <w:p w14:paraId="2A7844A7">
      <w:pPr>
        <w:snapToGrid w:val="0"/>
        <w:spacing w:line="450" w:lineRule="exact"/>
        <w:ind w:firstLine="420" w:firstLineChars="200"/>
        <w:rPr>
          <w:rFonts w:cs="宋体" w:asciiTheme="minorEastAsia" w:hAnsiTheme="minorEastAsia" w:eastAsiaTheme="minorEastAsia"/>
          <w:b/>
          <w:snapToGrid w:val="0"/>
          <w:color w:val="auto"/>
          <w:szCs w:val="21"/>
          <w:highlight w:val="none"/>
        </w:rPr>
      </w:pPr>
      <w:r>
        <w:rPr>
          <w:rFonts w:hint="eastAsia" w:cs="宋体" w:asciiTheme="minorEastAsia" w:hAnsiTheme="minorEastAsia" w:eastAsiaTheme="minorEastAsia"/>
          <w:color w:val="auto"/>
          <w:kern w:val="0"/>
          <w:szCs w:val="21"/>
          <w:highlight w:val="none"/>
        </w:rPr>
        <w:t>重新比选后竞选人仍少于3个，按法定程序开标和评选，确定中选人。经评审无合格竞选人，属于必须审批或核准的工程建设项目，经原审批或核准部门批准后不再进行比选。</w:t>
      </w:r>
    </w:p>
    <w:bookmarkEnd w:id="205"/>
    <w:bookmarkEnd w:id="206"/>
    <w:p w14:paraId="3492A580">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0" w:name="_Toc224103363"/>
      <w:bookmarkStart w:id="211" w:name="_Toc200513172"/>
      <w:r>
        <w:rPr>
          <w:rFonts w:hint="eastAsia" w:cs="宋体" w:asciiTheme="minorEastAsia" w:hAnsiTheme="minorEastAsia" w:eastAsiaTheme="minorEastAsia"/>
          <w:b/>
          <w:snapToGrid w:val="0"/>
          <w:color w:val="auto"/>
          <w:szCs w:val="21"/>
          <w:highlight w:val="none"/>
        </w:rPr>
        <w:t>9.  纪律和监督</w:t>
      </w:r>
      <w:bookmarkEnd w:id="210"/>
      <w:bookmarkEnd w:id="211"/>
    </w:p>
    <w:p w14:paraId="4E130476">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2" w:name="_Toc224103364"/>
      <w:bookmarkStart w:id="213" w:name="_Toc200513173"/>
      <w:r>
        <w:rPr>
          <w:rFonts w:hint="eastAsia" w:cs="宋体" w:asciiTheme="minorEastAsia" w:hAnsiTheme="minorEastAsia" w:eastAsiaTheme="minorEastAsia"/>
          <w:b/>
          <w:snapToGrid w:val="0"/>
          <w:color w:val="auto"/>
          <w:szCs w:val="21"/>
          <w:highlight w:val="none"/>
        </w:rPr>
        <w:t>9.1  对比选人的纪律要求</w:t>
      </w:r>
      <w:bookmarkEnd w:id="212"/>
      <w:bookmarkEnd w:id="213"/>
    </w:p>
    <w:p w14:paraId="3B21716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比选人不得泄漏比选竞选活动中应当保密的情况和资料，不得与竞选人串通损害国家利益、社会公共利益或者他人合法权益。</w:t>
      </w:r>
    </w:p>
    <w:p w14:paraId="69D2F36F">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4" w:name="_Toc200513174"/>
      <w:bookmarkStart w:id="215" w:name="_Toc224103365"/>
      <w:r>
        <w:rPr>
          <w:rFonts w:hint="eastAsia" w:cs="宋体" w:asciiTheme="minorEastAsia" w:hAnsiTheme="minorEastAsia" w:eastAsiaTheme="minorEastAsia"/>
          <w:b/>
          <w:snapToGrid w:val="0"/>
          <w:color w:val="auto"/>
          <w:szCs w:val="21"/>
          <w:highlight w:val="none"/>
        </w:rPr>
        <w:t>9.2  对竞选人的纪律要求</w:t>
      </w:r>
      <w:bookmarkEnd w:id="214"/>
      <w:bookmarkEnd w:id="215"/>
    </w:p>
    <w:p w14:paraId="06B2C3F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竞选人不得相互串通竞选或者与比选人串通竞选，不得向比选人或者评选委员会成员行贿谋取中选，不得以他人名义竞选或者以其他方式弄虚作假骗取中选；竞选人不得以任何方式干扰、影响评选工作。</w:t>
      </w:r>
    </w:p>
    <w:p w14:paraId="5012B7F6">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有下列情形之一的，属于竞选人相互串通竞选：</w:t>
      </w:r>
    </w:p>
    <w:p w14:paraId="14725C1C">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（1）竞选人之间协商竞选报价等竞选文件的实质性内容；</w:t>
      </w:r>
    </w:p>
    <w:p w14:paraId="121DAE91">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（2）竞选人之间约定中选人；</w:t>
      </w:r>
    </w:p>
    <w:p w14:paraId="5A98A6E5">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（3）竞选人之间约定部分竞选人放弃竞选或者中选；</w:t>
      </w:r>
    </w:p>
    <w:p w14:paraId="5EE7846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（4）属于同一集团、协会、商会等组织成员的竞选人按照该组织要求协同竞选；</w:t>
      </w:r>
    </w:p>
    <w:p w14:paraId="1B27BFB7">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（5）竞选人之间为谋取中选或者排斥特定竞选人而采取的其他联合行动。</w:t>
      </w:r>
    </w:p>
    <w:p w14:paraId="3B209A7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有下列情形之一的，视为竞选人相互串通竞选：</w:t>
      </w:r>
    </w:p>
    <w:p w14:paraId="1EEB5F3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（1）不同竞选人的竞选文件由同一单位或者个人编制；</w:t>
      </w:r>
    </w:p>
    <w:p w14:paraId="1CC40A5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（2）不同竞选人委托同一单位或者个人办理竞选事宜；</w:t>
      </w:r>
    </w:p>
    <w:p w14:paraId="26B9521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（3）不同竞选人的竞选文件载明的项目管理成员为同一人；</w:t>
      </w:r>
    </w:p>
    <w:p w14:paraId="27A9E659">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（4）不同竞选人的竞选文件异常一致或者竞选报价呈规律性差异；</w:t>
      </w:r>
    </w:p>
    <w:p w14:paraId="104EA3A6">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（5）不同竞选人的竞选文件相互混装；</w:t>
      </w:r>
    </w:p>
    <w:p w14:paraId="567BB884">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（6）不同竞选人的竞选保证金从同一单位或者个人的账户转出。</w:t>
      </w:r>
    </w:p>
    <w:p w14:paraId="2043C8C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使用通过受让或者租借等方式获取的资格、资质证书竞选的，属于以他人名义竞选。</w:t>
      </w:r>
    </w:p>
    <w:p w14:paraId="71F9D3D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竞选人有下列情形之一的，属于以其他方式弄虚作假的行为：</w:t>
      </w:r>
    </w:p>
    <w:p w14:paraId="26922369">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（1）使用伪造、变造的许可证件；</w:t>
      </w:r>
    </w:p>
    <w:p w14:paraId="2B79968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（2）提供虚假的财务状况或者业绩；</w:t>
      </w:r>
    </w:p>
    <w:p w14:paraId="236622B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（3）提供虚假的项目负责人或者主要技术人员简历、劳动关系证明；</w:t>
      </w:r>
    </w:p>
    <w:p w14:paraId="38493B6C">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（4）提供虚假的信用状况；</w:t>
      </w:r>
    </w:p>
    <w:p w14:paraId="5C21F2D7">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（5）其他弄虚作假的行为。</w:t>
      </w:r>
    </w:p>
    <w:p w14:paraId="3A3E9F2A">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6" w:name="_Toc200513175"/>
      <w:bookmarkStart w:id="217" w:name="_Toc224103366"/>
      <w:r>
        <w:rPr>
          <w:rFonts w:hint="eastAsia" w:cs="宋体" w:asciiTheme="minorEastAsia" w:hAnsiTheme="minorEastAsia" w:eastAsiaTheme="minorEastAsia"/>
          <w:b/>
          <w:snapToGrid w:val="0"/>
          <w:color w:val="auto"/>
          <w:szCs w:val="21"/>
          <w:highlight w:val="none"/>
        </w:rPr>
        <w:t>9.3  对评选委员会成员的纪律要求</w:t>
      </w:r>
      <w:bookmarkEnd w:id="216"/>
      <w:bookmarkEnd w:id="217"/>
    </w:p>
    <w:p w14:paraId="56B5430D">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评选委员会成员不得收受他人的财物或者其他好处，不得向他人透漏对竞选文件的评审 和比较、中选候选人的推荐情况以及评选有关的其他情况。在评选活动中，评选委员会成员不得擅离职守，影响评选程序正常进行，不得使用第三章“评选办法”没有规定的评审因素和标准进行评选。</w:t>
      </w:r>
    </w:p>
    <w:p w14:paraId="4D835731">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8" w:name="_Toc224103367"/>
      <w:bookmarkStart w:id="219" w:name="_Toc200513176"/>
      <w:r>
        <w:rPr>
          <w:rFonts w:hint="eastAsia" w:cs="宋体" w:asciiTheme="minorEastAsia" w:hAnsiTheme="minorEastAsia" w:eastAsiaTheme="minorEastAsia"/>
          <w:b/>
          <w:snapToGrid w:val="0"/>
          <w:color w:val="auto"/>
          <w:szCs w:val="21"/>
          <w:highlight w:val="none"/>
        </w:rPr>
        <w:t>9.4  对与评选活动有关的工作人员的纪律要求</w:t>
      </w:r>
      <w:bookmarkEnd w:id="218"/>
      <w:bookmarkEnd w:id="219"/>
    </w:p>
    <w:p w14:paraId="4E904F27">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与评选活动有关的工作人员不得收受他人的财物或者其他好处，不得向他人透漏对竞选文件的评审和比较、中选候选人的推荐情况以及评选有关的其他情况。在评选活动中，与评选活动有关的工作人员不得擅离职守，影响评选程序正常进行。</w:t>
      </w:r>
    </w:p>
    <w:p w14:paraId="1B842248">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20" w:name="_Toc224103368"/>
      <w:bookmarkStart w:id="221" w:name="_Toc200513177"/>
      <w:r>
        <w:rPr>
          <w:rFonts w:hint="eastAsia" w:cs="宋体" w:asciiTheme="minorEastAsia" w:hAnsiTheme="minorEastAsia" w:eastAsiaTheme="minorEastAsia"/>
          <w:b/>
          <w:snapToGrid w:val="0"/>
          <w:color w:val="auto"/>
          <w:szCs w:val="21"/>
          <w:highlight w:val="none"/>
        </w:rPr>
        <w:t>9.5  投诉</w:t>
      </w:r>
      <w:bookmarkEnd w:id="220"/>
      <w:bookmarkEnd w:id="221"/>
    </w:p>
    <w:p w14:paraId="0FD169F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竞选人和其他利害关系人认为本次比选活动违反法律、法规和规章规定的，有权向有关 行政监督部门投诉。</w:t>
      </w:r>
    </w:p>
    <w:p w14:paraId="0C20CDF2">
      <w:pPr>
        <w:spacing w:line="450" w:lineRule="exact"/>
        <w:ind w:firstLine="422" w:firstLineChars="200"/>
        <w:rPr>
          <w:rFonts w:cs="宋体" w:asciiTheme="minorEastAsia" w:hAnsiTheme="minorEastAsia" w:eastAsiaTheme="minorEastAsia"/>
          <w:b/>
          <w:snapToGrid w:val="0"/>
          <w:color w:val="auto"/>
          <w:szCs w:val="21"/>
          <w:highlight w:val="none"/>
        </w:rPr>
      </w:pPr>
      <w:bookmarkStart w:id="222" w:name="_Toc200513178"/>
      <w:bookmarkStart w:id="223" w:name="_Toc224103369"/>
      <w:r>
        <w:rPr>
          <w:rFonts w:hint="eastAsia" w:cs="宋体" w:asciiTheme="minorEastAsia" w:hAnsiTheme="minorEastAsia" w:eastAsiaTheme="minorEastAsia"/>
          <w:b/>
          <w:snapToGrid w:val="0"/>
          <w:color w:val="auto"/>
          <w:szCs w:val="21"/>
          <w:highlight w:val="none"/>
        </w:rPr>
        <w:t>10.  需要补充的其他内容</w:t>
      </w:r>
      <w:bookmarkEnd w:id="222"/>
      <w:bookmarkEnd w:id="223"/>
    </w:p>
    <w:p w14:paraId="6220361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 w:val="24"/>
          <w:highlight w:val="none"/>
        </w:rPr>
      </w:pPr>
      <w:r>
        <w:rPr>
          <w:rFonts w:hint="eastAsia" w:cs="宋体" w:asciiTheme="minorEastAsia" w:hAnsiTheme="minorEastAsia" w:eastAsiaTheme="minorEastAsia"/>
          <w:snapToGrid w:val="0"/>
          <w:color w:val="auto"/>
          <w:kern w:val="0"/>
          <w:szCs w:val="21"/>
          <w:highlight w:val="none"/>
        </w:rPr>
        <w:t>需要补充的其他内容：见竞选人须知前附表。</w:t>
      </w:r>
      <w:bookmarkEnd w:id="122"/>
    </w:p>
    <w:p w14:paraId="784A9A5A">
      <w:pPr>
        <w:widowControl/>
        <w:spacing w:line="500" w:lineRule="exact"/>
        <w:jc w:val="left"/>
        <w:rPr>
          <w:rFonts w:cs="宋体" w:asciiTheme="minorEastAsia" w:hAnsiTheme="minorEastAsia" w:eastAsiaTheme="minorEastAsia"/>
          <w:b/>
          <w:bCs/>
          <w:color w:val="auto"/>
          <w:kern w:val="44"/>
          <w:sz w:val="24"/>
          <w:highlight w:val="none"/>
        </w:rPr>
        <w:sectPr>
          <w:footerReference r:id="rId5" w:type="default"/>
          <w:pgSz w:w="11906" w:h="16838"/>
          <w:pgMar w:top="1418" w:right="1134" w:bottom="1134" w:left="1418" w:header="851" w:footer="520" w:gutter="0"/>
          <w:cols w:space="720" w:num="1"/>
          <w:docGrid w:type="lines" w:linePitch="312" w:charSpace="0"/>
        </w:sectPr>
      </w:pPr>
    </w:p>
    <w:p w14:paraId="21ECBE6D">
      <w:pPr>
        <w:pStyle w:val="2"/>
        <w:spacing w:line="360" w:lineRule="auto"/>
        <w:jc w:val="center"/>
        <w:rPr>
          <w:rFonts w:ascii="宋体" w:hAnsi="宋体"/>
          <w:snapToGrid w:val="0"/>
          <w:color w:val="auto"/>
          <w:kern w:val="0"/>
          <w:highlight w:val="none"/>
        </w:rPr>
      </w:pPr>
      <w:bookmarkStart w:id="224" w:name="_Toc10400"/>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bookmarkEnd w:id="123"/>
      <w:bookmarkEnd w:id="224"/>
    </w:p>
    <w:p w14:paraId="0C5DE15E">
      <w:pPr>
        <w:keepNext/>
        <w:keepLines/>
        <w:spacing w:before="100" w:after="100" w:line="360" w:lineRule="auto"/>
        <w:outlineLvl w:val="1"/>
        <w:rPr>
          <w:rFonts w:ascii="宋体" w:hAnsi="宋体"/>
          <w:b/>
          <w:color w:val="auto"/>
          <w:sz w:val="32"/>
          <w:szCs w:val="32"/>
          <w:highlight w:val="none"/>
        </w:rPr>
      </w:pPr>
      <w:bookmarkStart w:id="225" w:name="_Toc19098"/>
      <w:bookmarkStart w:id="226" w:name="_Toc14792"/>
      <w:r>
        <w:rPr>
          <w:rFonts w:hint="eastAsia" w:ascii="宋体" w:hAnsi="宋体"/>
          <w:b/>
          <w:color w:val="auto"/>
          <w:sz w:val="32"/>
          <w:szCs w:val="32"/>
          <w:highlight w:val="none"/>
        </w:rPr>
        <w:t>评标办法前附表</w:t>
      </w:r>
      <w:bookmarkEnd w:id="225"/>
      <w:bookmarkEnd w:id="226"/>
    </w:p>
    <w:p w14:paraId="4B80FCBB">
      <w:pPr>
        <w:spacing w:line="360" w:lineRule="auto"/>
        <w:ind w:firstLine="420" w:firstLineChars="200"/>
        <w:rPr>
          <w:color w:val="auto"/>
          <w:szCs w:val="21"/>
          <w:highlight w:val="none"/>
        </w:rPr>
      </w:pPr>
      <w:bookmarkStart w:id="227" w:name="_Toc27750"/>
      <w:r>
        <w:rPr>
          <w:color w:val="auto"/>
          <w:szCs w:val="21"/>
          <w:highlight w:val="none"/>
        </w:rPr>
        <w:t>评标办法中的评审内容必须和</w:t>
      </w:r>
      <w:r>
        <w:rPr>
          <w:rFonts w:hint="eastAsia"/>
          <w:color w:val="auto"/>
          <w:szCs w:val="21"/>
          <w:highlight w:val="none"/>
        </w:rPr>
        <w:t>竞标人须知</w:t>
      </w:r>
      <w:r>
        <w:rPr>
          <w:color w:val="auto"/>
          <w:szCs w:val="21"/>
          <w:highlight w:val="none"/>
        </w:rPr>
        <w:t>中的对应内容一致，若</w:t>
      </w:r>
      <w:r>
        <w:rPr>
          <w:rFonts w:hint="eastAsia"/>
          <w:color w:val="auto"/>
          <w:szCs w:val="21"/>
          <w:highlight w:val="none"/>
        </w:rPr>
        <w:t>竞标人须知</w:t>
      </w:r>
      <w:r>
        <w:rPr>
          <w:color w:val="auto"/>
          <w:szCs w:val="21"/>
          <w:highlight w:val="none"/>
        </w:rPr>
        <w:t>中未作要求的内容，不得列入评标办法作为评定依据。</w:t>
      </w:r>
    </w:p>
    <w:tbl>
      <w:tblPr>
        <w:tblStyle w:val="48"/>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59"/>
        <w:gridCol w:w="567"/>
        <w:gridCol w:w="975"/>
        <w:gridCol w:w="40"/>
        <w:gridCol w:w="1642"/>
        <w:gridCol w:w="5395"/>
      </w:tblGrid>
      <w:tr w14:paraId="571749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C1AF99F">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7C8DACAF">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CCE9DAB">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240E1C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2DA2CBFD">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2B38D979">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A365390">
            <w:pPr>
              <w:spacing w:line="400" w:lineRule="exact"/>
              <w:ind w:firstLine="420" w:firstLineChars="200"/>
              <w:jc w:val="left"/>
              <w:rPr>
                <w:rFonts w:ascii="宋体" w:hAnsi="宋体"/>
                <w:color w:val="auto"/>
                <w:kern w:val="0"/>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w:t>
            </w:r>
            <w:r>
              <w:rPr>
                <w:rFonts w:hint="eastAsia" w:ascii="宋体" w:hAnsi="宋体"/>
                <w:color w:val="auto"/>
                <w:kern w:val="0"/>
                <w:szCs w:val="21"/>
                <w:highlight w:val="none"/>
              </w:rPr>
              <w:t>竞标</w:t>
            </w:r>
            <w:r>
              <w:rPr>
                <w:rFonts w:ascii="宋体" w:hAnsi="宋体"/>
                <w:color w:val="auto"/>
                <w:kern w:val="0"/>
                <w:szCs w:val="21"/>
                <w:highlight w:val="none"/>
              </w:rPr>
              <w:t>报价低的优先；</w:t>
            </w:r>
            <w:r>
              <w:rPr>
                <w:rFonts w:hint="eastAsia" w:ascii="宋体" w:hAnsi="宋体"/>
                <w:color w:val="auto"/>
                <w:kern w:val="0"/>
                <w:szCs w:val="21"/>
                <w:highlight w:val="none"/>
              </w:rPr>
              <w:t>竞标</w:t>
            </w:r>
            <w:r>
              <w:rPr>
                <w:rFonts w:ascii="宋体" w:hAnsi="宋体"/>
                <w:color w:val="auto"/>
                <w:kern w:val="0"/>
                <w:szCs w:val="21"/>
                <w:highlight w:val="none"/>
              </w:rPr>
              <w:t>报价相等的</w:t>
            </w:r>
            <w:r>
              <w:rPr>
                <w:rFonts w:hint="eastAsia" w:ascii="宋体" w:hAnsi="宋体"/>
                <w:color w:val="auto"/>
                <w:kern w:val="0"/>
                <w:szCs w:val="21"/>
                <w:highlight w:val="none"/>
              </w:rPr>
              <w:t>，由评标委员会按照</w:t>
            </w:r>
            <w:r>
              <w:rPr>
                <w:rFonts w:hint="eastAsia" w:ascii="宋体" w:hAnsi="宋体"/>
                <w:color w:val="auto"/>
                <w:kern w:val="0"/>
                <w:szCs w:val="21"/>
                <w:highlight w:val="none"/>
                <w:u w:val="single"/>
              </w:rPr>
              <w:t xml:space="preserve"> 技术部分得分高的优先 </w:t>
            </w:r>
            <w:r>
              <w:rPr>
                <w:rFonts w:hint="eastAsia" w:ascii="宋体" w:hAnsi="宋体"/>
                <w:color w:val="auto"/>
                <w:kern w:val="0"/>
                <w:szCs w:val="21"/>
                <w:highlight w:val="none"/>
              </w:rPr>
              <w:t>原则排序。</w:t>
            </w:r>
          </w:p>
        </w:tc>
      </w:tr>
      <w:tr w14:paraId="03C526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57D2549D">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7B3E94DA">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0477E573">
            <w:pPr>
              <w:spacing w:line="400" w:lineRule="exact"/>
              <w:jc w:val="left"/>
              <w:rPr>
                <w:rFonts w:ascii="宋体" w:hAnsi="宋体"/>
                <w:color w:val="auto"/>
                <w:kern w:val="0"/>
                <w:highlight w:val="none"/>
              </w:rPr>
            </w:pPr>
            <w:r>
              <w:rPr>
                <w:rFonts w:hint="eastAsia" w:ascii="宋体" w:hAnsi="宋体"/>
                <w:color w:val="auto"/>
                <w:kern w:val="0"/>
                <w:highlight w:val="none"/>
              </w:rPr>
              <w:t>资质条件</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6805553">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205FB9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386E6B1C">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167B7AA4">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tcPr>
          <w:p w14:paraId="7D7AEDAD">
            <w:pPr>
              <w:spacing w:line="400" w:lineRule="exact"/>
              <w:jc w:val="left"/>
              <w:rPr>
                <w:rFonts w:ascii="宋体" w:hAnsi="宋体"/>
                <w:color w:val="auto"/>
                <w:kern w:val="0"/>
                <w:highlight w:val="none"/>
              </w:rPr>
            </w:pPr>
            <w:r>
              <w:rPr>
                <w:rFonts w:hint="eastAsia" w:ascii="宋体" w:hAnsi="宋体"/>
                <w:color w:val="auto"/>
                <w:kern w:val="0"/>
                <w:highlight w:val="none"/>
              </w:rPr>
              <w:t>营业执照</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B5AAE08">
            <w:pPr>
              <w:autoSpaceDE w:val="0"/>
              <w:autoSpaceDN w:val="0"/>
              <w:adjustRightIn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41CB28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38E5BF8B">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694CE0C2">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8988DA0">
            <w:pPr>
              <w:spacing w:line="400" w:lineRule="exact"/>
              <w:jc w:val="left"/>
              <w:rPr>
                <w:rFonts w:ascii="宋体" w:hAnsi="宋体"/>
                <w:color w:val="auto"/>
                <w:kern w:val="0"/>
                <w:highlight w:val="none"/>
              </w:rPr>
            </w:pPr>
            <w:r>
              <w:rPr>
                <w:rFonts w:ascii="宋体" w:hAnsi="宋体"/>
                <w:color w:val="auto"/>
                <w:kern w:val="0"/>
                <w:highlight w:val="none"/>
              </w:rPr>
              <w:t>财务</w:t>
            </w:r>
            <w:r>
              <w:rPr>
                <w:rFonts w:hint="eastAsia" w:ascii="宋体" w:hAnsi="宋体"/>
                <w:color w:val="auto"/>
                <w:kern w:val="0"/>
                <w:highlight w:val="none"/>
              </w:rPr>
              <w:t>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CF9250D">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3F71B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45C23453">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44AEA70B">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tcPr>
          <w:p w14:paraId="649C7BB0">
            <w:pPr>
              <w:spacing w:line="400" w:lineRule="exact"/>
              <w:jc w:val="left"/>
              <w:rPr>
                <w:rFonts w:ascii="宋体" w:hAnsi="宋体"/>
                <w:color w:val="auto"/>
                <w:kern w:val="0"/>
                <w:highlight w:val="none"/>
              </w:rPr>
            </w:pPr>
            <w:r>
              <w:rPr>
                <w:rFonts w:hint="eastAsia" w:ascii="宋体" w:hAnsi="宋体" w:cs="宋体"/>
                <w:color w:val="auto"/>
                <w:kern w:val="0"/>
                <w:highlight w:val="none"/>
              </w:rPr>
              <w:t>竞标</w:t>
            </w:r>
            <w:r>
              <w:rPr>
                <w:rFonts w:ascii="宋体" w:hAnsi="宋体"/>
                <w:color w:val="auto"/>
                <w:szCs w:val="21"/>
                <w:highlight w:val="none"/>
              </w:rPr>
              <w:t>截止日</w:t>
            </w:r>
            <w:r>
              <w:rPr>
                <w:rFonts w:hint="eastAsia" w:ascii="宋体" w:hAnsi="宋体"/>
                <w:color w:val="auto"/>
                <w:szCs w:val="21"/>
                <w:highlight w:val="none"/>
              </w:rPr>
              <w:t>竞标</w:t>
            </w:r>
            <w:r>
              <w:rPr>
                <w:rFonts w:ascii="宋体" w:hAnsi="宋体"/>
                <w:color w:val="auto"/>
                <w:szCs w:val="21"/>
                <w:highlight w:val="none"/>
              </w:rPr>
              <w:t>资格情况</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109CC78">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18D879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77896105">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F74FFD9">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tcPr>
          <w:p w14:paraId="6CB98A9E">
            <w:pPr>
              <w:spacing w:line="400" w:lineRule="exact"/>
              <w:jc w:val="left"/>
              <w:rPr>
                <w:rFonts w:ascii="宋体" w:hAnsi="宋体"/>
                <w:color w:val="auto"/>
                <w:szCs w:val="21"/>
                <w:highlight w:val="none"/>
              </w:rPr>
            </w:pPr>
            <w:r>
              <w:rPr>
                <w:rFonts w:ascii="宋体" w:hAnsi="宋体"/>
                <w:color w:val="auto"/>
                <w:kern w:val="0"/>
                <w:highlight w:val="none"/>
              </w:rPr>
              <w:t>项目</w:t>
            </w:r>
            <w:r>
              <w:rPr>
                <w:rFonts w:hint="eastAsia" w:ascii="宋体" w:hAnsi="宋体"/>
                <w:color w:val="auto"/>
                <w:kern w:val="0"/>
                <w:highlight w:val="none"/>
              </w:rPr>
              <w:t>负责人的</w:t>
            </w:r>
            <w:r>
              <w:rPr>
                <w:rFonts w:ascii="宋体" w:hAnsi="宋体"/>
                <w:color w:val="auto"/>
                <w:kern w:val="0"/>
                <w:highlight w:val="none"/>
              </w:rPr>
              <w:t>资格</w:t>
            </w:r>
            <w:r>
              <w:rPr>
                <w:rFonts w:hint="eastAsia" w:ascii="宋体" w:hAnsi="宋体"/>
                <w:color w:val="auto"/>
                <w:kern w:val="0"/>
                <w:highlight w:val="none"/>
              </w:rPr>
              <w:t>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329EE0C">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符合第二章“竞标人须知”第1.4.1项规定</w:t>
            </w:r>
          </w:p>
        </w:tc>
      </w:tr>
      <w:tr w14:paraId="19A38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3DAF6185">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3E27B15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top"/>
          </w:tcPr>
          <w:p w14:paraId="5F5B8DDA">
            <w:pPr>
              <w:spacing w:line="400" w:lineRule="exact"/>
              <w:jc w:val="left"/>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其他要求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393C91C">
            <w:pPr>
              <w:spacing w:line="400" w:lineRule="exact"/>
              <w:ind w:firstLine="420" w:firstLineChars="200"/>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206701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6BCA24BF">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23E0A00F">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3D8D66E5">
            <w:pPr>
              <w:spacing w:line="400" w:lineRule="exact"/>
              <w:jc w:val="left"/>
              <w:rPr>
                <w:rFonts w:ascii="宋体" w:hAnsi="宋体" w:cs="宋体"/>
                <w:color w:val="auto"/>
                <w:kern w:val="0"/>
                <w:highlight w:val="none"/>
              </w:rPr>
            </w:pPr>
            <w:r>
              <w:rPr>
                <w:rFonts w:ascii="宋体" w:hAnsi="宋体"/>
                <w:color w:val="auto"/>
                <w:kern w:val="0"/>
                <w:highlight w:val="none"/>
              </w:rPr>
              <w:t>竞标人名称</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3FAB783">
            <w:pPr>
              <w:spacing w:line="400" w:lineRule="exact"/>
              <w:ind w:firstLine="420" w:firstLineChars="200"/>
              <w:rPr>
                <w:rFonts w:ascii="宋体" w:hAnsi="宋体" w:cs="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2A725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0446BA98">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252C820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7FC2C86">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竞标文件格式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AFB70E2">
            <w:pPr>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符合第二章“竞标人须知”第3.7款的要求。</w:t>
            </w:r>
          </w:p>
        </w:tc>
      </w:tr>
      <w:tr w14:paraId="46EE57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4854EE52">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35238B2C">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70C6E5C">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竞标文件份数</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0BBA09B">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符合第二章“竞标人须知”第3.7.4项规定。</w:t>
            </w:r>
          </w:p>
        </w:tc>
      </w:tr>
      <w:tr w14:paraId="5EF3A4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5FD2A5B7">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6496AB5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3717B702">
            <w:pPr>
              <w:spacing w:line="400" w:lineRule="exact"/>
              <w:jc w:val="left"/>
              <w:rPr>
                <w:rFonts w:hint="eastAsia" w:ascii="宋体" w:hAnsi="宋体" w:cs="宋体"/>
                <w:color w:val="auto"/>
                <w:kern w:val="0"/>
                <w:highlight w:val="none"/>
              </w:rPr>
            </w:pPr>
            <w:r>
              <w:rPr>
                <w:rFonts w:ascii="宋体" w:hAnsi="宋体"/>
                <w:color w:val="auto"/>
                <w:kern w:val="0"/>
                <w:highlight w:val="none"/>
              </w:rPr>
              <w:t>报价唯一</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96FC8DA">
            <w:pPr>
              <w:spacing w:line="400" w:lineRule="exact"/>
              <w:ind w:firstLine="420" w:firstLineChars="200"/>
              <w:rPr>
                <w:rFonts w:hint="eastAsia" w:ascii="宋体" w:hAnsi="宋体" w:cs="宋体"/>
                <w:color w:val="auto"/>
                <w:kern w:val="0"/>
                <w:highlight w:val="none"/>
              </w:rPr>
            </w:pPr>
            <w:r>
              <w:rPr>
                <w:rFonts w:ascii="宋体" w:hAnsi="宋体"/>
                <w:color w:val="auto"/>
                <w:kern w:val="0"/>
                <w:highlight w:val="none"/>
              </w:rPr>
              <w:t>只能有一个有效报价，在</w:t>
            </w:r>
            <w:r>
              <w:rPr>
                <w:rFonts w:hint="eastAsia" w:ascii="宋体" w:hAnsi="宋体"/>
                <w:color w:val="auto"/>
                <w:kern w:val="0"/>
                <w:highlight w:val="none"/>
                <w:lang w:val="en-US" w:eastAsia="zh-CN"/>
              </w:rPr>
              <w:t>比选</w:t>
            </w:r>
            <w:r>
              <w:rPr>
                <w:rFonts w:ascii="宋体" w:hAnsi="宋体"/>
                <w:color w:val="auto"/>
                <w:kern w:val="0"/>
                <w:highlight w:val="none"/>
              </w:rPr>
              <w:t>文件没有规定的情况下，不得提交选择性报价。</w:t>
            </w:r>
          </w:p>
        </w:tc>
      </w:tr>
      <w:tr w14:paraId="236B79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21F85C8D">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3FFCF84">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9C1D8C6">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竞标文件的签署</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D896F9B">
            <w:pPr>
              <w:numPr>
                <w:ilvl w:val="0"/>
                <w:numId w:val="2"/>
              </w:numPr>
              <w:autoSpaceDE w:val="0"/>
              <w:autoSpaceDN w:val="0"/>
              <w:adjustRightInd w:val="0"/>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竞标文件格式要求法定代表人或其委托代理人签名（或盖章）的须齐全。</w:t>
            </w:r>
          </w:p>
        </w:tc>
      </w:tr>
      <w:tr w14:paraId="336ABB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1C3E486C">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38D76CAD">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430B625">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CBAEF5A">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竞标人法定代表人的委托代理人有法定代表人签署的授权委托书和竞标人为其缴纳的养老保险。</w:t>
            </w:r>
          </w:p>
        </w:tc>
      </w:tr>
      <w:tr w14:paraId="44ADF5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46612413">
            <w:pPr>
              <w:spacing w:line="400" w:lineRule="exact"/>
              <w:jc w:val="center"/>
              <w:rPr>
                <w:rFonts w:ascii="宋体" w:hAnsi="宋体"/>
                <w:color w:val="auto"/>
                <w:highlight w:val="none"/>
              </w:rPr>
            </w:pPr>
            <w:r>
              <w:rPr>
                <w:rFonts w:ascii="宋体" w:hAnsi="宋体"/>
                <w:color w:val="auto"/>
                <w:kern w:val="0"/>
                <w:highlight w:val="none"/>
              </w:rPr>
              <w:t>2.1.3</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5C082697">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AF759C7">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竞标总报价</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13B5D9A">
            <w:pPr>
              <w:snapToGrid w:val="0"/>
              <w:spacing w:line="400" w:lineRule="exact"/>
              <w:rPr>
                <w:rFonts w:ascii="宋体" w:hAnsi="宋体" w:cs="宋体"/>
                <w:bCs/>
                <w:color w:val="auto"/>
                <w:szCs w:val="21"/>
                <w:highlight w:val="none"/>
              </w:rPr>
            </w:pPr>
            <w:r>
              <w:rPr>
                <w:rFonts w:hint="eastAsia" w:ascii="宋体" w:hAnsi="宋体" w:cs="宋体"/>
                <w:color w:val="auto"/>
                <w:szCs w:val="21"/>
                <w:highlight w:val="none"/>
              </w:rPr>
              <w:t>竞标总报价不得高于比选人公布的竞标总报价最高限价。</w:t>
            </w:r>
          </w:p>
        </w:tc>
      </w:tr>
      <w:tr w14:paraId="186EDB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1CDC994C">
            <w:pPr>
              <w:spacing w:line="400" w:lineRule="exact"/>
              <w:jc w:val="center"/>
              <w:rPr>
                <w:rFonts w:ascii="宋体" w:hAnsi="宋体"/>
                <w:color w:val="auto"/>
                <w:kern w:val="0"/>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extDirection w:val="tbRlV"/>
            <w:vAlign w:val="center"/>
          </w:tcPr>
          <w:p w14:paraId="61D426FD">
            <w:pPr>
              <w:spacing w:line="400" w:lineRule="exact"/>
              <w:jc w:val="center"/>
              <w:rPr>
                <w:rFonts w:ascii="宋体" w:hAnsi="宋体"/>
                <w:color w:val="auto"/>
                <w:kern w:val="0"/>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837329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竞标内容</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DE7DD72">
            <w:pPr>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符合第二章“竞标人须知”第1.3.1项规定</w:t>
            </w:r>
          </w:p>
        </w:tc>
      </w:tr>
      <w:tr w14:paraId="21DA10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658DF415">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5674B35">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32D458E9">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4532003">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符合第二章“竞标人须知”第1.3.2项规定</w:t>
            </w:r>
          </w:p>
        </w:tc>
      </w:tr>
      <w:tr w14:paraId="0D65E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0468CB4C">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120A2DF7">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CC3870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16201BB">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符合第二章“竞标人须知”第1.3.3项规定</w:t>
            </w:r>
          </w:p>
        </w:tc>
      </w:tr>
      <w:tr w14:paraId="7F93DA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69DA3A86">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1E23E6C2">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C80276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竞标有效期</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9EE1034">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符合第二章“竞标人须知”第3.3.1项规定</w:t>
            </w:r>
          </w:p>
        </w:tc>
      </w:tr>
      <w:tr w14:paraId="452F78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1C4CACDE">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66CE9FCF">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07FE49A7">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竞标保证金</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32E84C0">
            <w:pPr>
              <w:tabs>
                <w:tab w:val="left" w:pos="611"/>
                <w:tab w:val="left" w:pos="669"/>
              </w:tabs>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符合第二章“竞标人须知前附表”第3.4项规定。</w:t>
            </w:r>
          </w:p>
        </w:tc>
      </w:tr>
      <w:tr w14:paraId="63D235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27961475">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AE655CF">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62578F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0A28230">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符合第四章“合同条款及格式”规定，竞标文件不应附有比选人不能接受的条件。（由竞标人承诺，承诺书格式详见第六章竞标文件格式。）</w:t>
            </w:r>
          </w:p>
        </w:tc>
      </w:tr>
      <w:tr w14:paraId="62556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01B004B1">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07E4A69E">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42AE74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ADBB021">
            <w:pPr>
              <w:snapToGrid w:val="0"/>
              <w:spacing w:after="31" w:afterLines="10"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符合第二章“竞标人须知”第1.4.3项规定。</w:t>
            </w:r>
          </w:p>
          <w:p w14:paraId="0FDB6411">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本次竞标不得有串通竞标、弄虚作假等其他违反招竞标相关法律、法规行为。</w:t>
            </w:r>
          </w:p>
          <w:p w14:paraId="3D6665D8">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14:paraId="759AA9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1858F6D">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78E446A">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2360E8D">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1比选申请总报价：60 分</w:t>
            </w:r>
          </w:p>
          <w:p w14:paraId="5076D15A">
            <w:pPr>
              <w:snapToGrid w:val="0"/>
              <w:spacing w:after="31" w:afterLines="10" w:line="400" w:lineRule="exact"/>
              <w:ind w:firstLine="420" w:firstLineChars="200"/>
              <w:rPr>
                <w:rFonts w:ascii="宋体" w:hAnsi="宋体"/>
                <w:i/>
                <w:color w:val="auto"/>
                <w:kern w:val="0"/>
                <w:highlight w:val="none"/>
              </w:rPr>
            </w:pPr>
            <w:r>
              <w:rPr>
                <w:rFonts w:hint="eastAsia" w:ascii="宋体" w:hAnsi="宋体" w:eastAsia="宋体" w:cs="宋体"/>
                <w:color w:val="auto"/>
                <w:kern w:val="0"/>
                <w:highlight w:val="none"/>
              </w:rPr>
              <w:t>2技术部分:40分</w:t>
            </w:r>
          </w:p>
        </w:tc>
      </w:tr>
      <w:tr w14:paraId="08B85B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71A860D6">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2</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D7E75EA">
            <w:pPr>
              <w:tabs>
                <w:tab w:val="left" w:pos="1875"/>
              </w:tabs>
              <w:spacing w:line="400" w:lineRule="exact"/>
              <w:jc w:val="center"/>
              <w:rPr>
                <w:rFonts w:ascii="宋体" w:hAnsi="宋体"/>
                <w:color w:val="auto"/>
                <w:kern w:val="0"/>
                <w:highlight w:val="none"/>
              </w:rPr>
            </w:pPr>
            <w:r>
              <w:rPr>
                <w:color w:val="auto"/>
                <w:highlight w:val="none"/>
              </w:rPr>
              <w:t>评标基准价计算方法</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6E7C1F1">
            <w:pPr>
              <w:snapToGrid w:val="0"/>
              <w:spacing w:line="400" w:lineRule="exact"/>
              <w:ind w:firstLine="420" w:firstLineChars="200"/>
              <w:jc w:val="left"/>
              <w:rPr>
                <w:color w:val="auto"/>
                <w:highlight w:val="none"/>
              </w:rPr>
            </w:pPr>
            <w:r>
              <w:rPr>
                <w:color w:val="auto"/>
                <w:highlight w:val="none"/>
              </w:rPr>
              <w:t>所有通过初步评审</w:t>
            </w:r>
            <w:r>
              <w:rPr>
                <w:rFonts w:hint="eastAsia"/>
                <w:color w:val="auto"/>
                <w:highlight w:val="none"/>
              </w:rPr>
              <w:t>和本章第2.2.</w:t>
            </w:r>
            <w:r>
              <w:rPr>
                <w:color w:val="auto"/>
                <w:highlight w:val="none"/>
              </w:rPr>
              <w:t>4</w:t>
            </w:r>
            <w:r>
              <w:rPr>
                <w:rFonts w:hint="eastAsia"/>
                <w:color w:val="auto"/>
                <w:highlight w:val="none"/>
              </w:rPr>
              <w:t>（</w:t>
            </w:r>
            <w:r>
              <w:rPr>
                <w:color w:val="auto"/>
                <w:highlight w:val="none"/>
              </w:rPr>
              <w:t>3</w:t>
            </w:r>
            <w:r>
              <w:rPr>
                <w:rFonts w:hint="eastAsia"/>
                <w:color w:val="auto"/>
                <w:highlight w:val="none"/>
              </w:rPr>
              <w:t>）目评审</w:t>
            </w:r>
            <w:r>
              <w:rPr>
                <w:color w:val="auto"/>
                <w:highlight w:val="none"/>
              </w:rPr>
              <w:t>合格的竞标人的投标总报价</w:t>
            </w:r>
            <w:r>
              <w:rPr>
                <w:rFonts w:hint="eastAsia"/>
                <w:color w:val="auto"/>
                <w:highlight w:val="none"/>
              </w:rPr>
              <w:t>（或暂定</w:t>
            </w:r>
            <w:r>
              <w:rPr>
                <w:rFonts w:hint="eastAsia"/>
                <w:color w:val="auto"/>
                <w:highlight w:val="none"/>
                <w:lang w:val="en-US" w:eastAsia="zh-CN"/>
              </w:rPr>
              <w:t>咨询</w:t>
            </w:r>
            <w:r>
              <w:rPr>
                <w:rFonts w:hint="eastAsia"/>
                <w:color w:val="auto"/>
                <w:highlight w:val="none"/>
              </w:rPr>
              <w:t>费报价）</w:t>
            </w:r>
            <w:r>
              <w:rPr>
                <w:color w:val="auto"/>
                <w:highlight w:val="none"/>
              </w:rPr>
              <w:t>中去掉六分之一（不能整除的按小数点前整数取整，</w:t>
            </w:r>
            <w:r>
              <w:rPr>
                <w:rFonts w:ascii="宋体" w:hAnsi="宋体"/>
                <w:color w:val="auto"/>
                <w:kern w:val="0"/>
                <w:szCs w:val="21"/>
                <w:highlight w:val="none"/>
              </w:rPr>
              <w:t>不足六家报价则不去掉）的最低价和相同家数的最高价后的算术平均值</w:t>
            </w:r>
            <w:r>
              <w:rPr>
                <w:rFonts w:hint="eastAsia"/>
                <w:color w:val="auto"/>
                <w:highlight w:val="none"/>
              </w:rPr>
              <w:t>，</w:t>
            </w:r>
            <w:r>
              <w:rPr>
                <w:color w:val="auto"/>
                <w:highlight w:val="none"/>
              </w:rPr>
              <w:t>即为本项目投标总报价的评标基准价</w:t>
            </w:r>
            <w:r>
              <w:rPr>
                <w:rFonts w:hint="eastAsia"/>
                <w:color w:val="auto"/>
                <w:highlight w:val="none"/>
              </w:rPr>
              <w:t>。</w:t>
            </w:r>
          </w:p>
          <w:p w14:paraId="1566AD99">
            <w:pPr>
              <w:snapToGrid w:val="0"/>
              <w:spacing w:line="400" w:lineRule="exact"/>
              <w:ind w:firstLine="420" w:firstLineChars="200"/>
              <w:jc w:val="left"/>
              <w:rPr>
                <w:color w:val="auto"/>
                <w:highlight w:val="none"/>
              </w:rPr>
            </w:pPr>
            <w:r>
              <w:rPr>
                <w:rFonts w:hint="eastAsia"/>
                <w:color w:val="auto"/>
                <w:highlight w:val="none"/>
              </w:rPr>
              <w:t>评标基准价计算的最终</w:t>
            </w:r>
            <w:r>
              <w:rPr>
                <w:color w:val="auto"/>
                <w:highlight w:val="none"/>
              </w:rPr>
              <w:t>结果取小数点后两位，第三位四舍五入。在评标基准价计算完成后（除计算错误外），在后续的评审中不得再对其做出调整。</w:t>
            </w:r>
          </w:p>
        </w:tc>
      </w:tr>
      <w:tr w14:paraId="0508CD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8813D2E">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3</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2454F587">
            <w:pPr>
              <w:tabs>
                <w:tab w:val="left" w:pos="1875"/>
              </w:tabs>
              <w:spacing w:line="400" w:lineRule="exact"/>
              <w:jc w:val="center"/>
              <w:rPr>
                <w:color w:val="auto"/>
                <w:highlight w:val="none"/>
              </w:rPr>
            </w:pPr>
            <w:r>
              <w:rPr>
                <w:color w:val="auto"/>
                <w:highlight w:val="none"/>
              </w:rPr>
              <w:t>投标报价的偏差率计算公式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3C3D6AF">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100％×（竞标人报价一评标基准价）／评标基准价</w:t>
            </w:r>
          </w:p>
          <w:p w14:paraId="469C3FAA">
            <w:pPr>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0EE7B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792" w:type="dxa"/>
            <w:vMerge w:val="restart"/>
            <w:tcBorders>
              <w:top w:val="single" w:color="auto" w:sz="4" w:space="0"/>
              <w:left w:val="single" w:color="auto" w:sz="4" w:space="0"/>
              <w:right w:val="single" w:color="auto" w:sz="4" w:space="0"/>
            </w:tcBorders>
            <w:shd w:val="clear" w:color="auto" w:fill="FEFEFE"/>
            <w:vAlign w:val="center"/>
          </w:tcPr>
          <w:p w14:paraId="5C178225">
            <w:pPr>
              <w:spacing w:line="400" w:lineRule="exact"/>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4</w:t>
            </w:r>
            <w:r>
              <w:rPr>
                <w:rFonts w:hint="eastAsia" w:ascii="宋体" w:hAnsi="宋体"/>
                <w:color w:val="auto"/>
                <w:kern w:val="0"/>
                <w:highlight w:val="none"/>
              </w:rPr>
              <w:t>（1）</w:t>
            </w:r>
          </w:p>
        </w:tc>
        <w:tc>
          <w:tcPr>
            <w:tcW w:w="626" w:type="dxa"/>
            <w:gridSpan w:val="2"/>
            <w:vMerge w:val="restart"/>
            <w:tcBorders>
              <w:top w:val="single" w:color="auto" w:sz="4" w:space="0"/>
              <w:left w:val="single" w:color="auto" w:sz="4" w:space="0"/>
              <w:right w:val="single" w:color="auto" w:sz="4" w:space="0"/>
            </w:tcBorders>
            <w:shd w:val="clear" w:color="auto" w:fill="FEFEFE"/>
            <w:vAlign w:val="center"/>
          </w:tcPr>
          <w:p w14:paraId="65EBD7E3">
            <w:pPr>
              <w:spacing w:line="400" w:lineRule="exact"/>
              <w:jc w:val="center"/>
              <w:rPr>
                <w:rFonts w:ascii="宋体" w:hAnsi="宋体"/>
                <w:color w:val="auto"/>
                <w:kern w:val="0"/>
                <w:highlight w:val="none"/>
              </w:rPr>
            </w:pPr>
            <w:r>
              <w:rPr>
                <w:rFonts w:hint="eastAsia" w:ascii="宋体" w:hAnsi="宋体"/>
                <w:color w:val="auto"/>
                <w:kern w:val="0"/>
                <w:highlight w:val="none"/>
              </w:rPr>
              <w:t>技术部分评分（A）标准</w:t>
            </w:r>
          </w:p>
        </w:tc>
        <w:tc>
          <w:tcPr>
            <w:tcW w:w="975" w:type="dxa"/>
            <w:vMerge w:val="restart"/>
            <w:tcBorders>
              <w:top w:val="single" w:color="auto" w:sz="4" w:space="0"/>
              <w:left w:val="single" w:color="auto" w:sz="4" w:space="0"/>
              <w:right w:val="single" w:color="auto" w:sz="4" w:space="0"/>
            </w:tcBorders>
            <w:shd w:val="clear" w:color="auto" w:fill="FEFEFE"/>
            <w:vAlign w:val="center"/>
          </w:tcPr>
          <w:p w14:paraId="181FF9E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32DB544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1B63899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311831CF">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5D4D2C0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00BDD383">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0C3D415">
            <w:pPr>
              <w:tabs>
                <w:tab w:val="left" w:pos="1875"/>
              </w:tabs>
              <w:spacing w:line="400" w:lineRule="exact"/>
              <w:jc w:val="center"/>
              <w:rPr>
                <w:rFonts w:ascii="宋体" w:hAnsi="宋体" w:cs="宋体"/>
                <w:color w:val="auto"/>
                <w:kern w:val="0"/>
                <w:szCs w:val="21"/>
                <w:highlight w:val="none"/>
              </w:rPr>
            </w:pPr>
            <w:r>
              <w:rPr>
                <w:rFonts w:hint="eastAsia" w:ascii="宋体" w:hAnsi="宋体"/>
                <w:color w:val="auto"/>
                <w:kern w:val="0"/>
                <w:highlight w:val="none"/>
                <w:lang w:val="en-US" w:eastAsia="zh-CN"/>
              </w:rPr>
              <w:t>技术</w:t>
            </w:r>
            <w:r>
              <w:rPr>
                <w:rFonts w:hint="eastAsia" w:ascii="宋体" w:hAnsi="宋体"/>
                <w:color w:val="auto"/>
                <w:kern w:val="0"/>
                <w:highlight w:val="none"/>
              </w:rPr>
              <w:t>方案总体评审标准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7A1F96B">
            <w:pPr>
              <w:spacing w:line="400" w:lineRule="exact"/>
              <w:ind w:firstLine="420" w:firstLineChars="200"/>
              <w:rPr>
                <w:rFonts w:ascii="宋体" w:hAnsi="宋体"/>
                <w:snapToGrid w:val="0"/>
                <w:color w:val="auto"/>
                <w:kern w:val="0"/>
                <w:szCs w:val="21"/>
                <w:highlight w:val="none"/>
              </w:rPr>
            </w:pPr>
            <w:r>
              <w:rPr>
                <w:rFonts w:hint="eastAsia"/>
                <w:color w:val="auto"/>
                <w:highlight w:val="none"/>
              </w:rPr>
              <w:t>评标委员会按照优、良、一般、差四个档次进行评分，</w:t>
            </w:r>
            <w:r>
              <w:rPr>
                <w:rFonts w:hint="eastAsia" w:ascii="宋体" w:hAnsi="宋体" w:cs="宋体"/>
                <w:snapToGrid w:val="0"/>
                <w:color w:val="auto"/>
                <w:kern w:val="0"/>
                <w:szCs w:val="21"/>
                <w:highlight w:val="none"/>
              </w:rPr>
              <w:t>若评委对竞标人</w:t>
            </w:r>
            <w:r>
              <w:rPr>
                <w:rFonts w:hint="eastAsia" w:ascii="宋体" w:hAnsi="宋体"/>
                <w:color w:val="auto"/>
                <w:kern w:val="0"/>
                <w:highlight w:val="none"/>
                <w:lang w:eastAsia="zh-CN"/>
              </w:rPr>
              <w:t xml:space="preserve"> 技术方案</w:t>
            </w:r>
            <w:r>
              <w:rPr>
                <w:rFonts w:hint="eastAsia" w:ascii="宋体" w:hAnsi="宋体" w:cs="宋体"/>
                <w:snapToGrid w:val="0"/>
                <w:color w:val="auto"/>
                <w:kern w:val="0"/>
                <w:szCs w:val="21"/>
                <w:highlight w:val="none"/>
              </w:rPr>
              <w:t>评分低于该部分总分的60%的</w:t>
            </w:r>
            <w:r>
              <w:rPr>
                <w:rFonts w:hint="eastAsia" w:ascii="宋体" w:hAnsi="宋体"/>
                <w:snapToGrid w:val="0"/>
                <w:color w:val="auto"/>
                <w:kern w:val="0"/>
                <w:szCs w:val="21"/>
                <w:highlight w:val="none"/>
              </w:rPr>
              <w:t>或对个别竞标人</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评分畸高（即该评委对</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评分的最高分与次高分差额超过该部分总分的10%）的须注明详实理由，</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缺项的该项得0分。</w:t>
            </w:r>
          </w:p>
          <w:p w14:paraId="42492E6A">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评委</w:t>
            </w:r>
            <w:r>
              <w:rPr>
                <w:rFonts w:hint="eastAsia" w:ascii="宋体" w:hAnsi="宋体"/>
                <w:snapToGrid w:val="0"/>
                <w:color w:val="auto"/>
                <w:kern w:val="0"/>
                <w:szCs w:val="21"/>
                <w:highlight w:val="none"/>
              </w:rPr>
              <w:t>评分</w:t>
            </w:r>
            <w:r>
              <w:rPr>
                <w:rFonts w:ascii="宋体" w:hAnsi="宋体"/>
                <w:snapToGrid w:val="0"/>
                <w:color w:val="auto"/>
                <w:kern w:val="0"/>
                <w:szCs w:val="21"/>
                <w:highlight w:val="none"/>
              </w:rPr>
              <w:t>取算术平均值为该竞标人</w:t>
            </w:r>
            <w:r>
              <w:rPr>
                <w:rFonts w:hint="eastAsia" w:ascii="宋体" w:hAnsi="宋体"/>
                <w:snapToGrid w:val="0"/>
                <w:color w:val="auto"/>
                <w:kern w:val="0"/>
                <w:szCs w:val="21"/>
                <w:highlight w:val="none"/>
                <w:lang w:eastAsia="zh-CN"/>
              </w:rPr>
              <w:t xml:space="preserve"> 技术方案</w:t>
            </w:r>
            <w:r>
              <w:rPr>
                <w:rFonts w:ascii="宋体" w:hAnsi="宋体"/>
                <w:snapToGrid w:val="0"/>
                <w:color w:val="auto"/>
                <w:kern w:val="0"/>
                <w:szCs w:val="21"/>
                <w:highlight w:val="none"/>
              </w:rPr>
              <w:t>得分。</w:t>
            </w:r>
          </w:p>
          <w:p w14:paraId="40E3CFC3">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lang w:eastAsia="zh-CN"/>
              </w:rPr>
              <w:t xml:space="preserve"> 技术方案</w:t>
            </w:r>
            <w:r>
              <w:rPr>
                <w:rFonts w:ascii="宋体" w:hAnsi="宋体"/>
                <w:color w:val="auto"/>
                <w:kern w:val="0"/>
                <w:szCs w:val="21"/>
                <w:highlight w:val="none"/>
              </w:rPr>
              <w:t>得分的最终结果取小数点后两位，第三位四舍五入。</w:t>
            </w:r>
          </w:p>
        </w:tc>
      </w:tr>
      <w:tr w14:paraId="53D888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792" w:type="dxa"/>
            <w:vMerge w:val="continue"/>
            <w:tcBorders>
              <w:left w:val="single" w:color="auto" w:sz="4" w:space="0"/>
              <w:bottom w:val="single" w:color="auto" w:sz="4" w:space="0"/>
              <w:right w:val="single" w:color="auto" w:sz="4" w:space="0"/>
            </w:tcBorders>
            <w:shd w:val="clear" w:color="auto" w:fill="FEFEFE"/>
            <w:vAlign w:val="center"/>
          </w:tcPr>
          <w:p w14:paraId="216C663E">
            <w:pPr>
              <w:spacing w:line="360" w:lineRule="auto"/>
              <w:ind w:firstLine="420" w:firstLineChars="200"/>
              <w:rPr>
                <w:color w:val="auto"/>
                <w:highlight w:val="none"/>
              </w:rPr>
            </w:pPr>
          </w:p>
        </w:tc>
        <w:tc>
          <w:tcPr>
            <w:tcW w:w="626" w:type="dxa"/>
            <w:gridSpan w:val="2"/>
            <w:vMerge w:val="continue"/>
            <w:tcBorders>
              <w:left w:val="single" w:color="auto" w:sz="4" w:space="0"/>
              <w:bottom w:val="single" w:color="auto" w:sz="4" w:space="0"/>
              <w:right w:val="single" w:color="auto" w:sz="4" w:space="0"/>
            </w:tcBorders>
            <w:shd w:val="clear" w:color="auto" w:fill="FEFEFE"/>
            <w:vAlign w:val="center"/>
          </w:tcPr>
          <w:p w14:paraId="3CE10528">
            <w:pPr>
              <w:spacing w:line="360" w:lineRule="auto"/>
              <w:ind w:firstLine="420" w:firstLineChars="200"/>
              <w:rPr>
                <w:color w:val="auto"/>
                <w:highlight w:val="none"/>
              </w:rPr>
            </w:pPr>
          </w:p>
        </w:tc>
        <w:tc>
          <w:tcPr>
            <w:tcW w:w="975" w:type="dxa"/>
            <w:vMerge w:val="continue"/>
            <w:tcBorders>
              <w:left w:val="single" w:color="auto" w:sz="4" w:space="0"/>
              <w:bottom w:val="single" w:color="auto" w:sz="4" w:space="0"/>
              <w:right w:val="single" w:color="auto" w:sz="4" w:space="0"/>
            </w:tcBorders>
            <w:shd w:val="clear" w:color="auto" w:fill="FEFEFE"/>
            <w:vAlign w:val="center"/>
          </w:tcPr>
          <w:p w14:paraId="1F34570A">
            <w:pPr>
              <w:spacing w:line="360" w:lineRule="auto"/>
              <w:ind w:firstLine="420" w:firstLineChars="200"/>
              <w:rPr>
                <w:color w:val="auto"/>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1B70FFD">
            <w:pPr>
              <w:snapToGrid w:val="0"/>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bCs/>
                <w:kern w:val="0"/>
                <w:szCs w:val="21"/>
                <w:highlight w:val="none"/>
              </w:rPr>
              <w:t>项目总体理解（</w:t>
            </w:r>
            <w:r>
              <w:rPr>
                <w:rFonts w:hint="eastAsia" w:ascii="宋体" w:hAnsi="宋体" w:cs="宋体"/>
                <w:bCs/>
                <w:kern w:val="0"/>
                <w:szCs w:val="21"/>
                <w:highlight w:val="none"/>
                <w:lang w:val="en-US" w:eastAsia="zh-CN"/>
              </w:rPr>
              <w:t>0-5</w:t>
            </w:r>
            <w:r>
              <w:rPr>
                <w:rFonts w:hint="eastAsia" w:ascii="宋体" w:hAnsi="宋体" w:cs="宋体"/>
                <w:bCs/>
                <w:kern w:val="0"/>
                <w:szCs w:val="21"/>
                <w:highlight w:val="none"/>
              </w:rPr>
              <w:t>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C83B005">
            <w:pPr>
              <w:widowControl/>
              <w:ind w:firstLine="420" w:firstLineChars="200"/>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项目总体理解（</w:t>
            </w:r>
            <w:r>
              <w:rPr>
                <w:rFonts w:hint="eastAsia" w:ascii="宋体" w:hAnsi="宋体" w:cs="宋体"/>
                <w:bCs/>
                <w:kern w:val="0"/>
                <w:szCs w:val="21"/>
                <w:highlight w:val="none"/>
                <w:lang w:val="en-US" w:eastAsia="zh-CN"/>
              </w:rPr>
              <w:t>0-5</w:t>
            </w:r>
            <w:r>
              <w:rPr>
                <w:rFonts w:hint="eastAsia" w:ascii="宋体" w:hAnsi="宋体" w:cs="宋体"/>
                <w:bCs/>
                <w:kern w:val="0"/>
                <w:szCs w:val="21"/>
                <w:highlight w:val="none"/>
              </w:rPr>
              <w:t>分）：</w:t>
            </w:r>
          </w:p>
          <w:p w14:paraId="3E859146">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项目建设背景、政策符合性及实施必要性分析：分析全面深入，逻辑清晰准确把握项目核心要点</w:t>
            </w:r>
            <w:r>
              <w:rPr>
                <w:rFonts w:hint="eastAsia"/>
                <w:highlight w:val="none"/>
                <w:lang w:eastAsia="zh-CN"/>
              </w:rPr>
              <w:t>。</w:t>
            </w:r>
          </w:p>
        </w:tc>
      </w:tr>
      <w:tr w14:paraId="30049E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41F4FDF">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72D57C32">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07AE0BD0">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599E9A9">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lang w:eastAsia="zh-CN"/>
              </w:rPr>
              <w:t>关键技术问题认识及对策措施（</w:t>
            </w:r>
            <w:r>
              <w:rPr>
                <w:rFonts w:hint="eastAsia" w:ascii="宋体" w:hAnsi="宋体"/>
                <w:kern w:val="0"/>
                <w:szCs w:val="21"/>
                <w:highlight w:val="none"/>
                <w:lang w:val="en-US" w:eastAsia="zh-CN"/>
              </w:rPr>
              <w:t>0-7分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27CF9F0">
            <w:pPr>
              <w:widowControl/>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lang w:eastAsia="zh-CN"/>
              </w:rPr>
              <w:t>关键技术问题认识及对策措施（</w:t>
            </w:r>
            <w:r>
              <w:rPr>
                <w:rFonts w:hint="eastAsia" w:ascii="宋体" w:hAnsi="宋体"/>
                <w:kern w:val="0"/>
                <w:szCs w:val="21"/>
                <w:highlight w:val="none"/>
                <w:lang w:val="en-US" w:eastAsia="zh-CN"/>
              </w:rPr>
              <w:t>0-7分</w:t>
            </w:r>
            <w:r>
              <w:rPr>
                <w:rFonts w:hint="eastAsia" w:ascii="宋体" w:hAnsi="宋体"/>
                <w:kern w:val="0"/>
                <w:szCs w:val="21"/>
                <w:highlight w:val="none"/>
                <w:lang w:eastAsia="zh-CN"/>
              </w:rPr>
              <w:t>）：</w:t>
            </w:r>
          </w:p>
          <w:p w14:paraId="56B6481C">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关键技术问题分析透彻：准确识别并深入分析关键技术问题、提出科学合理的对策措施</w:t>
            </w:r>
            <w:r>
              <w:rPr>
                <w:rFonts w:hint="eastAsia"/>
                <w:highlight w:val="none"/>
                <w:lang w:eastAsia="zh-CN"/>
              </w:rPr>
              <w:t>。</w:t>
            </w:r>
          </w:p>
        </w:tc>
      </w:tr>
      <w:tr w14:paraId="2BFC64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17B8B200">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20A81970">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EC74B58">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6C6E2EB">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rPr>
              <w:t>服务方案</w:t>
            </w:r>
            <w:r>
              <w:rPr>
                <w:rFonts w:hint="eastAsia" w:ascii="宋体" w:hAnsi="宋体"/>
                <w:kern w:val="0"/>
                <w:szCs w:val="21"/>
                <w:highlight w:val="none"/>
                <w:lang w:eastAsia="zh-CN"/>
              </w:rPr>
              <w:t>（</w:t>
            </w:r>
            <w:r>
              <w:rPr>
                <w:rFonts w:hint="eastAsia" w:ascii="宋体" w:hAnsi="宋体"/>
                <w:kern w:val="0"/>
                <w:szCs w:val="21"/>
                <w:highlight w:val="none"/>
                <w:lang w:val="en-US" w:eastAsia="zh-CN"/>
              </w:rPr>
              <w:t>0-13分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3B16A0D">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rPr>
              <w:t>服务方案</w:t>
            </w:r>
            <w:r>
              <w:rPr>
                <w:rFonts w:hint="eastAsia" w:ascii="宋体" w:hAnsi="宋体"/>
                <w:kern w:val="0"/>
                <w:szCs w:val="21"/>
                <w:highlight w:val="none"/>
                <w:lang w:eastAsia="zh-CN"/>
              </w:rPr>
              <w:t>（</w:t>
            </w:r>
            <w:r>
              <w:rPr>
                <w:rFonts w:hint="eastAsia" w:ascii="宋体" w:hAnsi="宋体"/>
                <w:kern w:val="0"/>
                <w:szCs w:val="21"/>
                <w:highlight w:val="none"/>
                <w:lang w:val="en-US" w:eastAsia="zh-CN"/>
              </w:rPr>
              <w:t>0-13分</w:t>
            </w:r>
            <w:r>
              <w:rPr>
                <w:rFonts w:hint="eastAsia" w:ascii="宋体" w:hAnsi="宋体"/>
                <w:kern w:val="0"/>
                <w:szCs w:val="21"/>
                <w:highlight w:val="none"/>
                <w:lang w:eastAsia="zh-CN"/>
              </w:rPr>
              <w:t>）</w:t>
            </w:r>
            <w:r>
              <w:rPr>
                <w:rFonts w:hint="eastAsia" w:ascii="宋体" w:hAnsi="宋体"/>
                <w:kern w:val="0"/>
                <w:szCs w:val="21"/>
                <w:highlight w:val="none"/>
              </w:rPr>
              <w:t>:</w:t>
            </w:r>
          </w:p>
          <w:p w14:paraId="715B5FC5">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内容全面性及报告框架：服务方案内容全面，涵盖项目所需技术服务、报告框架清晰，逻辑性强</w:t>
            </w:r>
            <w:r>
              <w:rPr>
                <w:rFonts w:hint="eastAsia"/>
                <w:highlight w:val="none"/>
                <w:lang w:eastAsia="zh-CN"/>
              </w:rPr>
              <w:t>。</w:t>
            </w:r>
          </w:p>
        </w:tc>
      </w:tr>
      <w:tr w14:paraId="01703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64FE085B">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320A3B81">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5DF361C">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4BF27A69">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lang w:eastAsia="zh-CN"/>
              </w:rPr>
              <w:t>研究工作量及计划安排（</w:t>
            </w:r>
            <w:r>
              <w:rPr>
                <w:rFonts w:hint="eastAsia" w:ascii="宋体" w:hAnsi="宋体"/>
                <w:kern w:val="0"/>
                <w:szCs w:val="21"/>
                <w:highlight w:val="none"/>
                <w:lang w:val="en-US" w:eastAsia="zh-CN"/>
              </w:rPr>
              <w:t>0-5分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DF820B3">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lang w:eastAsia="zh-CN"/>
              </w:rPr>
              <w:t>研究工作量及计划安排（</w:t>
            </w:r>
            <w:r>
              <w:rPr>
                <w:rFonts w:hint="eastAsia" w:ascii="宋体" w:hAnsi="宋体"/>
                <w:kern w:val="0"/>
                <w:szCs w:val="21"/>
                <w:highlight w:val="none"/>
                <w:lang w:val="en-US" w:eastAsia="zh-CN"/>
              </w:rPr>
              <w:t>0-5分</w:t>
            </w:r>
            <w:r>
              <w:rPr>
                <w:rFonts w:hint="eastAsia" w:ascii="宋体" w:hAnsi="宋体"/>
                <w:kern w:val="0"/>
                <w:szCs w:val="21"/>
                <w:highlight w:val="none"/>
                <w:lang w:eastAsia="zh-CN"/>
              </w:rPr>
              <w:t>）</w:t>
            </w:r>
            <w:r>
              <w:rPr>
                <w:rFonts w:hint="eastAsia" w:ascii="宋体" w:hAnsi="宋体"/>
                <w:kern w:val="0"/>
                <w:szCs w:val="21"/>
                <w:highlight w:val="none"/>
              </w:rPr>
              <w:t>：</w:t>
            </w:r>
          </w:p>
          <w:p w14:paraId="48A6F79E">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研究工作量估算及计划安排：准确估算研究工作量，制定详细计划安排，工作进度安排合理，确保项目按时完成</w:t>
            </w:r>
            <w:r>
              <w:rPr>
                <w:rFonts w:hint="eastAsia"/>
                <w:highlight w:val="none"/>
                <w:lang w:eastAsia="zh-CN"/>
              </w:rPr>
              <w:t>。</w:t>
            </w:r>
          </w:p>
        </w:tc>
      </w:tr>
      <w:tr w14:paraId="05347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AD17A25">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75F50B2">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30C527D1">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ADED261">
            <w:pPr>
              <w:snapToGrid w:val="0"/>
              <w:spacing w:line="400" w:lineRule="exact"/>
              <w:jc w:val="center"/>
              <w:rPr>
                <w:rFonts w:hint="eastAsia" w:ascii="宋体" w:hAnsi="宋体"/>
                <w:color w:val="auto"/>
                <w:szCs w:val="21"/>
                <w:highlight w:val="none"/>
              </w:rPr>
            </w:pPr>
            <w:r>
              <w:rPr>
                <w:rFonts w:hint="eastAsia" w:ascii="宋体" w:hAnsi="宋体"/>
                <w:kern w:val="0"/>
                <w:szCs w:val="21"/>
                <w:highlight w:val="none"/>
                <w:lang w:eastAsia="zh-CN"/>
              </w:rPr>
              <w:t>质量控制方法及措施（</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1140530">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lang w:eastAsia="zh-CN"/>
              </w:rPr>
              <w:t>质量控制方法及措施（</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r>
              <w:rPr>
                <w:rFonts w:hint="eastAsia" w:ascii="宋体" w:hAnsi="宋体"/>
                <w:kern w:val="0"/>
                <w:szCs w:val="21"/>
                <w:highlight w:val="none"/>
              </w:rPr>
              <w:t>：</w:t>
            </w:r>
          </w:p>
          <w:p w14:paraId="56E9F928">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lang w:val="en-US" w:eastAsia="zh-CN"/>
              </w:rPr>
              <w:t>1.</w:t>
            </w:r>
            <w:r>
              <w:rPr>
                <w:rFonts w:hint="eastAsia" w:ascii="宋体" w:hAnsi="宋体"/>
                <w:kern w:val="0"/>
                <w:szCs w:val="21"/>
                <w:highlight w:val="none"/>
              </w:rPr>
              <w:t>质量管理体系及质量控制方法：建立完整的质量管理体系（</w:t>
            </w:r>
            <w:r>
              <w:rPr>
                <w:rFonts w:hint="eastAsia" w:ascii="宋体" w:hAnsi="宋体"/>
                <w:kern w:val="0"/>
                <w:szCs w:val="21"/>
                <w:highlight w:val="none"/>
                <w:lang w:val="en-US" w:eastAsia="zh-CN"/>
              </w:rPr>
              <w:t>0-2</w:t>
            </w:r>
            <w:r>
              <w:rPr>
                <w:rFonts w:hint="eastAsia" w:ascii="宋体" w:hAnsi="宋体"/>
                <w:kern w:val="0"/>
                <w:szCs w:val="21"/>
                <w:highlight w:val="none"/>
              </w:rPr>
              <w:t>分）</w:t>
            </w:r>
          </w:p>
          <w:p w14:paraId="21163C0C">
            <w:pPr>
              <w:widowControl/>
              <w:ind w:firstLine="420" w:firstLineChars="200"/>
              <w:jc w:val="left"/>
              <w:rPr>
                <w:rFonts w:hint="eastAsia" w:ascii="宋体" w:hAnsi="宋体"/>
                <w:color w:val="auto"/>
                <w:szCs w:val="21"/>
                <w:highlight w:val="none"/>
              </w:rPr>
            </w:pPr>
            <w:r>
              <w:rPr>
                <w:rFonts w:hint="eastAsia" w:ascii="宋体" w:hAnsi="宋体"/>
                <w:kern w:val="0"/>
                <w:szCs w:val="21"/>
                <w:highlight w:val="none"/>
                <w:lang w:val="en-US" w:eastAsia="zh-CN"/>
              </w:rPr>
              <w:t>2.</w:t>
            </w:r>
            <w:r>
              <w:rPr>
                <w:rFonts w:hint="eastAsia" w:ascii="宋体" w:hAnsi="宋体"/>
                <w:kern w:val="0"/>
                <w:szCs w:val="21"/>
                <w:highlight w:val="none"/>
              </w:rPr>
              <w:t>设计科学合理的质量控制方法和措施（</w:t>
            </w:r>
            <w:r>
              <w:rPr>
                <w:rFonts w:hint="eastAsia" w:ascii="宋体" w:hAnsi="宋体"/>
                <w:kern w:val="0"/>
                <w:szCs w:val="21"/>
                <w:highlight w:val="none"/>
                <w:lang w:val="en-US" w:eastAsia="zh-CN"/>
              </w:rPr>
              <w:t>0-3</w:t>
            </w:r>
            <w:r>
              <w:rPr>
                <w:rFonts w:hint="eastAsia" w:ascii="宋体" w:hAnsi="宋体"/>
                <w:kern w:val="0"/>
                <w:szCs w:val="21"/>
                <w:highlight w:val="none"/>
              </w:rPr>
              <w:t>分）</w:t>
            </w:r>
          </w:p>
        </w:tc>
      </w:tr>
      <w:tr w14:paraId="23BDE9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7F52E108">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25BE2E5E">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1AD4DC2">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2A58D03">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rPr>
              <w:t>进度控制方法及措施</w:t>
            </w:r>
            <w:r>
              <w:rPr>
                <w:rFonts w:hint="eastAsia" w:ascii="宋体" w:hAnsi="宋体"/>
                <w:kern w:val="0"/>
                <w:szCs w:val="21"/>
                <w:highlight w:val="none"/>
                <w:lang w:eastAsia="zh-CN"/>
              </w:rPr>
              <w:t>（</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BFB3CCE">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rPr>
              <w:t>进度控制方法及措施</w:t>
            </w:r>
            <w:r>
              <w:rPr>
                <w:rFonts w:hint="eastAsia" w:ascii="宋体" w:hAnsi="宋体"/>
                <w:kern w:val="0"/>
                <w:szCs w:val="21"/>
                <w:highlight w:val="none"/>
                <w:lang w:eastAsia="zh-CN"/>
              </w:rPr>
              <w:t>（</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r>
              <w:rPr>
                <w:rFonts w:hint="eastAsia" w:ascii="宋体" w:hAnsi="宋体"/>
                <w:kern w:val="0"/>
                <w:szCs w:val="21"/>
                <w:highlight w:val="none"/>
              </w:rPr>
              <w:t>：</w:t>
            </w:r>
          </w:p>
          <w:p w14:paraId="1E0345A1">
            <w:pPr>
              <w:pStyle w:val="18"/>
              <w:keepNext w:val="0"/>
              <w:keepLines w:val="0"/>
              <w:pageBreakBefore w:val="0"/>
              <w:widowControl/>
              <w:numPr>
                <w:ilvl w:val="0"/>
                <w:numId w:val="0"/>
              </w:numPr>
              <w:kinsoku/>
              <w:wordWrap/>
              <w:overflowPunct/>
              <w:topLinePunct w:val="0"/>
              <w:autoSpaceDE/>
              <w:autoSpaceDN/>
              <w:bidi w:val="0"/>
              <w:adjustRightInd/>
              <w:snapToGrid/>
              <w:ind w:leftChars="200"/>
              <w:jc w:val="left"/>
              <w:textAlignment w:val="auto"/>
              <w:rPr>
                <w:rFonts w:hint="eastAsia" w:ascii="宋体" w:hAnsi="宋体"/>
                <w:kern w:val="0"/>
                <w:sz w:val="21"/>
                <w:szCs w:val="21"/>
                <w:highlight w:val="none"/>
              </w:rPr>
            </w:pPr>
            <w:r>
              <w:rPr>
                <w:rFonts w:hint="eastAsia" w:ascii="宋体" w:hAnsi="宋体"/>
                <w:kern w:val="0"/>
                <w:sz w:val="21"/>
                <w:szCs w:val="21"/>
                <w:highlight w:val="none"/>
                <w:lang w:val="en-US" w:eastAsia="zh-CN"/>
              </w:rPr>
              <w:t>1.</w:t>
            </w:r>
            <w:r>
              <w:rPr>
                <w:rFonts w:hint="eastAsia" w:ascii="宋体" w:hAnsi="宋体"/>
                <w:kern w:val="0"/>
                <w:sz w:val="21"/>
                <w:szCs w:val="21"/>
                <w:highlight w:val="none"/>
              </w:rPr>
              <w:t>进度控制手段及措施：进度控制手段及措施符合项目实际情况（</w:t>
            </w:r>
            <w:r>
              <w:rPr>
                <w:rFonts w:hint="eastAsia" w:ascii="宋体" w:hAnsi="宋体"/>
                <w:kern w:val="0"/>
                <w:sz w:val="21"/>
                <w:szCs w:val="21"/>
                <w:highlight w:val="none"/>
                <w:lang w:val="en-US" w:eastAsia="zh-CN"/>
              </w:rPr>
              <w:t>0-</w:t>
            </w:r>
            <w:r>
              <w:rPr>
                <w:rFonts w:hint="eastAsia" w:ascii="宋体" w:hAnsi="宋体"/>
                <w:kern w:val="0"/>
                <w:sz w:val="21"/>
                <w:szCs w:val="21"/>
                <w:highlight w:val="none"/>
              </w:rPr>
              <w:t>3分）</w:t>
            </w:r>
          </w:p>
          <w:p w14:paraId="546B6162">
            <w:pPr>
              <w:pStyle w:val="18"/>
              <w:keepNext w:val="0"/>
              <w:keepLines w:val="0"/>
              <w:pageBreakBefore w:val="0"/>
              <w:widowControl/>
              <w:numPr>
                <w:ilvl w:val="0"/>
                <w:numId w:val="0"/>
              </w:numPr>
              <w:kinsoku/>
              <w:wordWrap/>
              <w:overflowPunct/>
              <w:topLinePunct w:val="0"/>
              <w:autoSpaceDE/>
              <w:autoSpaceDN/>
              <w:bidi w:val="0"/>
              <w:adjustRightInd/>
              <w:snapToGrid/>
              <w:ind w:left="420" w:leftChars="200" w:firstLine="0" w:firstLineChars="0"/>
              <w:jc w:val="left"/>
              <w:textAlignment w:val="auto"/>
              <w:rPr>
                <w:rFonts w:ascii="宋体" w:hAnsi="宋体" w:eastAsia="宋体" w:cs="Times New Roman"/>
                <w:color w:val="auto"/>
                <w:kern w:val="2"/>
                <w:sz w:val="21"/>
                <w:szCs w:val="21"/>
                <w:highlight w:val="none"/>
                <w:lang w:val="en-US" w:eastAsia="zh-CN" w:bidi="ar-SA"/>
              </w:rPr>
            </w:pPr>
            <w:r>
              <w:rPr>
                <w:rFonts w:hint="eastAsia" w:ascii="宋体" w:hAnsi="宋体"/>
                <w:kern w:val="0"/>
                <w:sz w:val="21"/>
                <w:szCs w:val="21"/>
                <w:highlight w:val="none"/>
                <w:lang w:val="en-US" w:eastAsia="zh-CN"/>
              </w:rPr>
              <w:t>2.</w:t>
            </w:r>
            <w:r>
              <w:rPr>
                <w:rFonts w:hint="eastAsia" w:ascii="宋体" w:hAnsi="宋体"/>
                <w:kern w:val="0"/>
                <w:sz w:val="21"/>
                <w:szCs w:val="21"/>
                <w:highlight w:val="none"/>
              </w:rPr>
              <w:t>进度控制点设置科学合理（</w:t>
            </w:r>
            <w:r>
              <w:rPr>
                <w:rFonts w:hint="eastAsia" w:ascii="宋体" w:hAnsi="宋体"/>
                <w:kern w:val="0"/>
                <w:sz w:val="21"/>
                <w:szCs w:val="21"/>
                <w:highlight w:val="none"/>
                <w:lang w:val="en-US" w:eastAsia="zh-CN"/>
              </w:rPr>
              <w:t>0-</w:t>
            </w:r>
            <w:r>
              <w:rPr>
                <w:rFonts w:hint="eastAsia" w:ascii="宋体" w:hAnsi="宋体"/>
                <w:kern w:val="0"/>
                <w:sz w:val="21"/>
                <w:szCs w:val="21"/>
                <w:highlight w:val="none"/>
              </w:rPr>
              <w:t>2分）</w:t>
            </w:r>
          </w:p>
        </w:tc>
      </w:tr>
      <w:tr w14:paraId="7D97F9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2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EFEFE"/>
            <w:vAlign w:val="center"/>
          </w:tcPr>
          <w:p w14:paraId="56D00BA4">
            <w:pPr>
              <w:spacing w:line="400" w:lineRule="exact"/>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.2.4（</w:t>
            </w:r>
            <w:r>
              <w:rPr>
                <w:rFonts w:hint="eastAsia" w:ascii="宋体" w:hAnsi="宋体"/>
                <w:color w:val="auto"/>
                <w:highlight w:val="none"/>
              </w:rPr>
              <w:t>3</w:t>
            </w:r>
            <w:r>
              <w:rPr>
                <w:rFonts w:ascii="宋体" w:hAnsi="宋体"/>
                <w:color w:val="auto"/>
                <w:highlight w:val="none"/>
              </w:rPr>
              <w:t>）</w:t>
            </w:r>
          </w:p>
        </w:tc>
        <w:tc>
          <w:tcPr>
            <w:tcW w:w="1641" w:type="dxa"/>
            <w:gridSpan w:val="4"/>
            <w:tcBorders>
              <w:top w:val="single" w:color="auto" w:sz="4" w:space="0"/>
              <w:left w:val="single" w:color="auto" w:sz="4" w:space="0"/>
              <w:bottom w:val="single" w:color="auto" w:sz="4" w:space="0"/>
              <w:right w:val="single" w:color="auto" w:sz="4" w:space="0"/>
            </w:tcBorders>
            <w:shd w:val="clear" w:color="auto" w:fill="FEFEFE"/>
            <w:vAlign w:val="center"/>
          </w:tcPr>
          <w:p w14:paraId="1608076E">
            <w:pPr>
              <w:spacing w:line="400" w:lineRule="exact"/>
              <w:jc w:val="center"/>
              <w:rPr>
                <w:color w:val="auto"/>
                <w:highlight w:val="none"/>
              </w:rPr>
            </w:pPr>
            <w:r>
              <w:rPr>
                <w:color w:val="auto"/>
                <w:highlight w:val="none"/>
              </w:rPr>
              <w:t>投标报价</w:t>
            </w:r>
            <w:r>
              <w:rPr>
                <w:rFonts w:hint="eastAsia"/>
                <w:color w:val="auto"/>
                <w:highlight w:val="none"/>
              </w:rPr>
              <w:t>评分（C）标准</w:t>
            </w: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40228C48">
            <w:pPr>
              <w:spacing w:line="400" w:lineRule="exact"/>
              <w:jc w:val="center"/>
              <w:rPr>
                <w:rFonts w:ascii="宋体" w:hAnsi="宋体"/>
                <w:color w:val="auto"/>
                <w:highlight w:val="none"/>
              </w:rPr>
            </w:pPr>
            <w:r>
              <w:rPr>
                <w:rFonts w:ascii="宋体" w:hAnsi="宋体"/>
                <w:color w:val="auto"/>
                <w:highlight w:val="none"/>
              </w:rPr>
              <w:t>投标报价</w:t>
            </w:r>
            <w:r>
              <w:rPr>
                <w:rFonts w:hint="eastAsia" w:ascii="宋体" w:hAnsi="宋体"/>
                <w:color w:val="auto"/>
                <w:highlight w:val="none"/>
              </w:rPr>
              <w:t>（或暂定</w:t>
            </w:r>
            <w:r>
              <w:rPr>
                <w:rFonts w:hint="eastAsia" w:ascii="宋体" w:hAnsi="宋体"/>
                <w:color w:val="auto"/>
                <w:highlight w:val="none"/>
                <w:lang w:val="en-US" w:eastAsia="zh-CN"/>
              </w:rPr>
              <w:t>咨询</w:t>
            </w:r>
            <w:r>
              <w:rPr>
                <w:rFonts w:hint="eastAsia" w:ascii="宋体" w:hAnsi="宋体"/>
                <w:color w:val="auto"/>
                <w:highlight w:val="none"/>
              </w:rPr>
              <w:t>费报价）</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CF540A7">
            <w:pPr>
              <w:spacing w:line="400" w:lineRule="exact"/>
              <w:ind w:firstLine="420" w:firstLineChars="200"/>
              <w:rPr>
                <w:color w:val="auto"/>
                <w:highlight w:val="none"/>
              </w:rPr>
            </w:pPr>
            <w:r>
              <w:rPr>
                <w:rFonts w:hint="eastAsia"/>
                <w:color w:val="auto"/>
                <w:highlight w:val="none"/>
              </w:rPr>
              <w:t>所有通过初步评审的竞标人，投标总报价得本附表第2.2.1项规定分值的满分</w:t>
            </w:r>
            <w:r>
              <w:rPr>
                <w:rFonts w:hint="eastAsia"/>
                <w:color w:val="auto"/>
                <w:highlight w:val="none"/>
                <w:u w:val="single"/>
              </w:rPr>
              <w:t xml:space="preserve">  60  </w:t>
            </w:r>
            <w:r>
              <w:rPr>
                <w:rFonts w:hint="eastAsia"/>
                <w:color w:val="auto"/>
                <w:highlight w:val="none"/>
              </w:rPr>
              <w:t>分。</w:t>
            </w:r>
            <w:r>
              <w:rPr>
                <w:color w:val="auto"/>
                <w:highlight w:val="none"/>
              </w:rPr>
              <w:t>在此基础上，投标总报价与评标基准价相比，每增加1%扣</w:t>
            </w:r>
            <w:r>
              <w:rPr>
                <w:color w:val="auto"/>
                <w:highlight w:val="none"/>
                <w:u w:val="single"/>
              </w:rPr>
              <w:t>　</w:t>
            </w:r>
            <w:r>
              <w:rPr>
                <w:rFonts w:hint="eastAsia"/>
                <w:color w:val="auto"/>
                <w:highlight w:val="none"/>
                <w:u w:val="single"/>
              </w:rPr>
              <w:t>0.</w:t>
            </w:r>
            <w:r>
              <w:rPr>
                <w:rFonts w:hint="eastAsia"/>
                <w:color w:val="auto"/>
                <w:highlight w:val="none"/>
                <w:u w:val="single"/>
                <w:lang w:val="en-US" w:eastAsia="zh-CN"/>
              </w:rPr>
              <w:t>2</w:t>
            </w:r>
            <w:r>
              <w:rPr>
                <w:color w:val="auto"/>
                <w:highlight w:val="none"/>
                <w:u w:val="single"/>
              </w:rPr>
              <w:t>　</w:t>
            </w:r>
            <w:r>
              <w:rPr>
                <w:color w:val="auto"/>
                <w:highlight w:val="none"/>
              </w:rPr>
              <w:t>分，每减少1%扣</w:t>
            </w:r>
            <w:r>
              <w:rPr>
                <w:color w:val="auto"/>
                <w:highlight w:val="none"/>
                <w:u w:val="single"/>
              </w:rPr>
              <w:t>　</w:t>
            </w:r>
            <w:r>
              <w:rPr>
                <w:rFonts w:hint="eastAsia"/>
                <w:color w:val="auto"/>
                <w:highlight w:val="none"/>
                <w:u w:val="single"/>
              </w:rPr>
              <w:t>0.</w:t>
            </w:r>
            <w:r>
              <w:rPr>
                <w:rFonts w:hint="eastAsia"/>
                <w:color w:val="auto"/>
                <w:highlight w:val="none"/>
                <w:u w:val="single"/>
                <w:lang w:val="en-US" w:eastAsia="zh-CN"/>
              </w:rPr>
              <w:t>1</w:t>
            </w:r>
            <w:r>
              <w:rPr>
                <w:rFonts w:hint="eastAsia"/>
                <w:color w:val="auto"/>
                <w:highlight w:val="none"/>
                <w:u w:val="single"/>
              </w:rPr>
              <w:t xml:space="preserve"> </w:t>
            </w:r>
            <w:r>
              <w:rPr>
                <w:color w:val="auto"/>
                <w:highlight w:val="none"/>
                <w:u w:val="single"/>
              </w:rPr>
              <w:t>　</w:t>
            </w:r>
            <w:r>
              <w:rPr>
                <w:color w:val="auto"/>
                <w:highlight w:val="none"/>
              </w:rPr>
              <w:t>分，</w:t>
            </w:r>
            <w:r>
              <w:rPr>
                <w:rFonts w:hint="eastAsia"/>
                <w:color w:val="auto"/>
                <w:highlight w:val="none"/>
              </w:rPr>
              <w:t>最多扣</w:t>
            </w:r>
            <w:r>
              <w:rPr>
                <w:rFonts w:hint="eastAsia"/>
                <w:color w:val="auto"/>
                <w:highlight w:val="none"/>
                <w:u w:val="single"/>
              </w:rPr>
              <w:t xml:space="preserve"> </w:t>
            </w:r>
            <w:r>
              <w:rPr>
                <w:rFonts w:hint="eastAsia"/>
                <w:color w:val="auto"/>
                <w:highlight w:val="none"/>
                <w:u w:val="single"/>
                <w:lang w:val="en-US" w:eastAsia="zh-CN"/>
              </w:rPr>
              <w:t xml:space="preserve">3 </w:t>
            </w:r>
            <w:r>
              <w:rPr>
                <w:rFonts w:hint="eastAsia"/>
                <w:color w:val="auto"/>
                <w:highlight w:val="none"/>
              </w:rPr>
              <w:t>分</w:t>
            </w:r>
            <w:r>
              <w:rPr>
                <w:color w:val="auto"/>
                <w:highlight w:val="none"/>
              </w:rPr>
              <w:t>。</w:t>
            </w:r>
          </w:p>
          <w:p w14:paraId="282B300F">
            <w:pPr>
              <w:spacing w:line="400" w:lineRule="exact"/>
              <w:ind w:firstLine="420" w:firstLineChars="200"/>
              <w:rPr>
                <w:color w:val="auto"/>
                <w:highlight w:val="none"/>
              </w:rPr>
            </w:pPr>
            <w:r>
              <w:rPr>
                <w:color w:val="auto"/>
                <w:highlight w:val="none"/>
              </w:rPr>
              <w:t>按插入法计算得分。</w:t>
            </w:r>
          </w:p>
          <w:p w14:paraId="1AFBD180">
            <w:pPr>
              <w:spacing w:line="400" w:lineRule="exact"/>
              <w:ind w:firstLine="420" w:firstLineChars="200"/>
              <w:rPr>
                <w:color w:val="auto"/>
                <w:highlight w:val="none"/>
              </w:rPr>
            </w:pPr>
            <w:r>
              <w:rPr>
                <w:color w:val="auto"/>
                <w:highlight w:val="none"/>
              </w:rPr>
              <w:t>未参与评标基准价计算的投标</w:t>
            </w:r>
            <w:r>
              <w:rPr>
                <w:rFonts w:hint="eastAsia"/>
                <w:color w:val="auto"/>
                <w:highlight w:val="none"/>
              </w:rPr>
              <w:t>总</w:t>
            </w:r>
            <w:r>
              <w:rPr>
                <w:color w:val="auto"/>
                <w:highlight w:val="none"/>
              </w:rPr>
              <w:t>报价，仍应参加计算相应分值。</w:t>
            </w:r>
          </w:p>
          <w:p w14:paraId="473F43C8">
            <w:pPr>
              <w:spacing w:line="400" w:lineRule="exact"/>
              <w:ind w:firstLine="420" w:firstLineChars="200"/>
              <w:rPr>
                <w:color w:val="auto"/>
                <w:highlight w:val="none"/>
              </w:rPr>
            </w:pPr>
            <w:r>
              <w:rPr>
                <w:rFonts w:hint="eastAsia"/>
                <w:color w:val="auto"/>
                <w:highlight w:val="none"/>
              </w:rPr>
              <w:t>投标总报价得分最终结果</w:t>
            </w:r>
            <w:r>
              <w:rPr>
                <w:color w:val="auto"/>
                <w:highlight w:val="none"/>
              </w:rPr>
              <w:t>取小数点后两位，第三位四舍五入。</w:t>
            </w:r>
          </w:p>
        </w:tc>
      </w:tr>
      <w:tr w14:paraId="3E6354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9E9B8A5">
            <w:pPr>
              <w:spacing w:line="400" w:lineRule="exact"/>
              <w:jc w:val="center"/>
              <w:rPr>
                <w:rFonts w:ascii="宋体" w:hAnsi="宋体"/>
                <w:color w:val="auto"/>
                <w:kern w:val="0"/>
                <w:highlight w:val="none"/>
              </w:rPr>
            </w:pPr>
            <w:r>
              <w:rPr>
                <w:rFonts w:ascii="宋体" w:hAnsi="宋体"/>
                <w:color w:val="auto"/>
                <w:highlight w:val="none"/>
              </w:rPr>
              <w:t>3</w:t>
            </w:r>
          </w:p>
        </w:tc>
        <w:tc>
          <w:tcPr>
            <w:tcW w:w="154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7D4F73A9">
            <w:pPr>
              <w:spacing w:line="400" w:lineRule="exact"/>
              <w:jc w:val="center"/>
              <w:rPr>
                <w:rFonts w:ascii="宋体" w:hAnsi="宋体"/>
                <w:color w:val="auto"/>
                <w:kern w:val="0"/>
                <w:highlight w:val="none"/>
              </w:rPr>
            </w:pPr>
            <w:r>
              <w:rPr>
                <w:rFonts w:ascii="宋体" w:hAnsi="宋体"/>
                <w:color w:val="auto"/>
                <w:highlight w:val="none"/>
              </w:rPr>
              <w:t>评标程序</w:t>
            </w:r>
          </w:p>
        </w:tc>
        <w:tc>
          <w:tcPr>
            <w:tcW w:w="7077" w:type="dxa"/>
            <w:gridSpan w:val="3"/>
            <w:tcBorders>
              <w:top w:val="single" w:color="auto" w:sz="4" w:space="0"/>
              <w:left w:val="single" w:color="auto" w:sz="4" w:space="0"/>
              <w:bottom w:val="single" w:color="auto" w:sz="4" w:space="0"/>
              <w:right w:val="single" w:color="auto" w:sz="4" w:space="0"/>
            </w:tcBorders>
            <w:shd w:val="clear" w:color="auto" w:fill="FEFEFE"/>
          </w:tcPr>
          <w:p w14:paraId="6747BC3C">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1.按本章评标办法第3.1款进行初步评审。未通过初步评审或评标委员会认定为无效的投标文件的不再进行后续评审。</w:t>
            </w:r>
          </w:p>
          <w:p w14:paraId="514F7B7D">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（1）目的规定对技术部分进行评审。</w:t>
            </w:r>
          </w:p>
          <w:p w14:paraId="5E204572">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（2）目的规定对商务部分进行评审。</w:t>
            </w:r>
          </w:p>
          <w:p w14:paraId="3477B4DE">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5D4FCCFB">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5.经评审合格的投标人按照本章第2.2.</w:t>
            </w:r>
            <w:r>
              <w:rPr>
                <w:rFonts w:ascii="宋体" w:hAnsi="宋体"/>
                <w:color w:val="auto"/>
                <w:kern w:val="0"/>
                <w:szCs w:val="21"/>
                <w:highlight w:val="none"/>
              </w:rPr>
              <w:t>2</w:t>
            </w:r>
            <w:r>
              <w:rPr>
                <w:rFonts w:hint="eastAsia" w:ascii="宋体" w:hAnsi="宋体"/>
                <w:color w:val="auto"/>
                <w:kern w:val="0"/>
                <w:szCs w:val="21"/>
                <w:highlight w:val="none"/>
              </w:rPr>
              <w:t>项计算方法计算评标基准价，并按本附表第2.2.</w:t>
            </w:r>
            <w:r>
              <w:rPr>
                <w:rFonts w:ascii="宋体" w:hAnsi="宋体"/>
                <w:color w:val="auto"/>
                <w:kern w:val="0"/>
                <w:szCs w:val="21"/>
                <w:highlight w:val="none"/>
              </w:rPr>
              <w:t>4</w:t>
            </w:r>
            <w:r>
              <w:rPr>
                <w:rFonts w:hint="eastAsia" w:ascii="宋体" w:hAnsi="宋体"/>
                <w:color w:val="auto"/>
                <w:kern w:val="0"/>
                <w:szCs w:val="21"/>
                <w:highlight w:val="none"/>
              </w:rPr>
              <w:t>（3）目规定的评分方法对投标报价进行评分。</w:t>
            </w:r>
          </w:p>
          <w:p w14:paraId="4ADF269F">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6.对技术部分、商务部分、投标报价得分进行汇总，确定得分由高至低前三名投标人为中标候选人。</w:t>
            </w:r>
          </w:p>
        </w:tc>
      </w:tr>
      <w:tr w14:paraId="6349D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85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101B364">
            <w:pPr>
              <w:spacing w:line="400" w:lineRule="exact"/>
              <w:jc w:val="center"/>
              <w:rPr>
                <w:rFonts w:ascii="宋体" w:hAnsi="宋体"/>
                <w:color w:val="auto"/>
                <w:highlight w:val="none"/>
              </w:rPr>
            </w:pPr>
            <w:r>
              <w:rPr>
                <w:rFonts w:hint="eastAsia" w:ascii="宋体" w:hAnsi="宋体"/>
                <w:color w:val="auto"/>
                <w:highlight w:val="none"/>
              </w:rPr>
              <w:t>3.2.3</w:t>
            </w:r>
          </w:p>
        </w:tc>
        <w:tc>
          <w:tcPr>
            <w:tcW w:w="3224" w:type="dxa"/>
            <w:gridSpan w:val="4"/>
            <w:tcBorders>
              <w:top w:val="single" w:color="auto" w:sz="4" w:space="0"/>
              <w:left w:val="single" w:color="auto" w:sz="4" w:space="0"/>
              <w:bottom w:val="single" w:color="auto" w:sz="4" w:space="0"/>
              <w:right w:val="single" w:color="auto" w:sz="4" w:space="0"/>
            </w:tcBorders>
            <w:shd w:val="clear" w:color="auto" w:fill="FEFEFE"/>
            <w:vAlign w:val="center"/>
          </w:tcPr>
          <w:p w14:paraId="1C47CEE4">
            <w:pPr>
              <w:spacing w:line="400" w:lineRule="exact"/>
              <w:jc w:val="center"/>
              <w:rPr>
                <w:rFonts w:ascii="宋体" w:hAnsi="宋体" w:cs="宋体"/>
                <w:color w:val="auto"/>
                <w:kern w:val="0"/>
                <w:szCs w:val="21"/>
                <w:highlight w:val="none"/>
              </w:rPr>
            </w:pPr>
            <w:r>
              <w:rPr>
                <w:rFonts w:hint="eastAsia" w:ascii="宋体" w:hAnsi="宋体"/>
                <w:color w:val="auto"/>
                <w:highlight w:val="none"/>
              </w:rPr>
              <w:t>投标人得分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1789B91">
            <w:pPr>
              <w:spacing w:line="400" w:lineRule="exact"/>
              <w:ind w:firstLine="420" w:firstLineChars="200"/>
              <w:rPr>
                <w:rFonts w:ascii="宋体" w:hAnsi="宋体"/>
                <w:color w:val="auto"/>
                <w:kern w:val="0"/>
                <w:szCs w:val="21"/>
                <w:highlight w:val="none"/>
              </w:rPr>
            </w:pPr>
            <w:r>
              <w:rPr>
                <w:rFonts w:hint="eastAsia" w:ascii="宋体" w:hAnsi="宋体"/>
                <w:color w:val="auto"/>
                <w:highlight w:val="none"/>
              </w:rPr>
              <w:t>投标人得分=</w:t>
            </w:r>
            <w:r>
              <w:rPr>
                <w:rFonts w:hint="eastAsia" w:ascii="宋体" w:hAnsi="宋体"/>
                <w:color w:val="auto"/>
                <w:kern w:val="0"/>
                <w:szCs w:val="21"/>
                <w:highlight w:val="none"/>
              </w:rPr>
              <w:t>A+B+C</w:t>
            </w:r>
          </w:p>
        </w:tc>
      </w:tr>
      <w:tr w14:paraId="2174A8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87D3263">
            <w:pPr>
              <w:spacing w:line="400" w:lineRule="exact"/>
              <w:jc w:val="center"/>
              <w:rPr>
                <w:rFonts w:ascii="宋体" w:hAnsi="宋体"/>
                <w:color w:val="auto"/>
                <w:highlight w:val="none"/>
              </w:rPr>
            </w:pPr>
            <w:r>
              <w:rPr>
                <w:rFonts w:hint="eastAsia" w:ascii="宋体" w:hAnsi="宋体"/>
                <w:color w:val="auto"/>
                <w:highlight w:val="none"/>
              </w:rPr>
              <w:t>3.4</w:t>
            </w:r>
          </w:p>
        </w:tc>
        <w:tc>
          <w:tcPr>
            <w:tcW w:w="3224" w:type="dxa"/>
            <w:gridSpan w:val="4"/>
            <w:tcBorders>
              <w:top w:val="single" w:color="auto" w:sz="4" w:space="0"/>
              <w:left w:val="single" w:color="auto" w:sz="4" w:space="0"/>
              <w:bottom w:val="single" w:color="auto" w:sz="4" w:space="0"/>
              <w:right w:val="single" w:color="auto" w:sz="4" w:space="0"/>
            </w:tcBorders>
            <w:shd w:val="clear" w:color="auto" w:fill="FEFEFE"/>
            <w:vAlign w:val="center"/>
          </w:tcPr>
          <w:p w14:paraId="11EFA53C">
            <w:pPr>
              <w:spacing w:line="400" w:lineRule="exact"/>
              <w:jc w:val="center"/>
              <w:rPr>
                <w:rFonts w:ascii="宋体" w:hAnsi="宋体"/>
                <w:color w:val="auto"/>
                <w:highlight w:val="none"/>
              </w:rPr>
            </w:pPr>
            <w:r>
              <w:rPr>
                <w:rFonts w:hint="eastAsia" w:ascii="宋体" w:hAnsi="宋体"/>
                <w:color w:val="auto"/>
                <w:highlight w:val="none"/>
              </w:rPr>
              <w:t>评标结果</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0E644F2">
            <w:pPr>
              <w:spacing w:line="400" w:lineRule="exact"/>
              <w:ind w:firstLine="420" w:firstLineChars="200"/>
              <w:rPr>
                <w:color w:val="auto"/>
                <w:highlight w:val="none"/>
              </w:rPr>
            </w:pPr>
            <w:r>
              <w:rPr>
                <w:rFonts w:hint="eastAsia"/>
                <w:color w:val="auto"/>
                <w:highlight w:val="none"/>
              </w:rPr>
              <w:t>3.4.1</w:t>
            </w:r>
            <w:r>
              <w:rPr>
                <w:color w:val="auto"/>
                <w:highlight w:val="none"/>
              </w:rPr>
              <w:t>除第二章“投标人须知”前附表授权直接确定中标人外，评标委员会按照得分由高到低的顺序推荐中标候选人，并标明排序。</w:t>
            </w:r>
          </w:p>
          <w:p w14:paraId="29EC8DF6">
            <w:pPr>
              <w:autoSpaceDE w:val="0"/>
              <w:autoSpaceDN w:val="0"/>
              <w:adjustRightInd w:val="0"/>
              <w:snapToGrid w:val="0"/>
              <w:spacing w:line="400" w:lineRule="exact"/>
              <w:ind w:firstLine="420" w:firstLineChars="200"/>
              <w:rPr>
                <w:rFonts w:ascii="宋体" w:hAnsi="宋体" w:cs="宋体"/>
                <w:snapToGrid w:val="0"/>
                <w:color w:val="auto"/>
                <w:kern w:val="0"/>
                <w:szCs w:val="21"/>
                <w:highlight w:val="none"/>
              </w:rPr>
            </w:pPr>
            <w:r>
              <w:rPr>
                <w:color w:val="auto"/>
                <w:szCs w:val="22"/>
                <w:highlight w:val="none"/>
              </w:rPr>
              <w:t>3.4.2 评标委员会完成评标后，应当向招标人提交书面评标报告和中标候选人名单。</w:t>
            </w:r>
          </w:p>
        </w:tc>
      </w:tr>
      <w:bookmarkEnd w:id="227"/>
    </w:tbl>
    <w:p w14:paraId="31F8E410">
      <w:pPr>
        <w:rPr>
          <w:rFonts w:ascii="宋体"/>
          <w:b w:val="0"/>
          <w:snapToGrid w:val="0"/>
          <w:color w:val="auto"/>
          <w:highlight w:val="none"/>
        </w:rPr>
      </w:pPr>
      <w:bookmarkStart w:id="228" w:name="招标文件03章02评标办法综合评估法02附件02"/>
      <w:bookmarkEnd w:id="228"/>
      <w:bookmarkStart w:id="229" w:name="招标文件04章合同条款及格式"/>
      <w:bookmarkEnd w:id="229"/>
      <w:bookmarkStart w:id="230" w:name="_Toc26919"/>
      <w:bookmarkStart w:id="231" w:name="_Toc105414374"/>
      <w:bookmarkStart w:id="232" w:name="_Toc2468"/>
      <w:bookmarkStart w:id="233" w:name="_Toc230410480"/>
      <w:bookmarkStart w:id="234" w:name="_Toc277082627"/>
      <w:bookmarkStart w:id="235" w:name="_Toc509218785"/>
      <w:bookmarkStart w:id="236" w:name="_Toc430530509"/>
      <w:bookmarkStart w:id="237" w:name="_Toc8427"/>
      <w:r>
        <w:rPr>
          <w:rFonts w:ascii="宋体"/>
          <w:b w:val="0"/>
          <w:snapToGrid w:val="0"/>
          <w:color w:val="auto"/>
          <w:highlight w:val="none"/>
        </w:rPr>
        <w:br w:type="page"/>
      </w:r>
    </w:p>
    <w:p w14:paraId="3703B8BA">
      <w:pPr>
        <w:pStyle w:val="3"/>
        <w:rPr>
          <w:rFonts w:ascii="宋体"/>
          <w:b w:val="0"/>
          <w:snapToGrid w:val="0"/>
          <w:color w:val="auto"/>
          <w:highlight w:val="none"/>
        </w:rPr>
      </w:pPr>
      <w:r>
        <w:rPr>
          <w:rFonts w:ascii="宋体"/>
          <w:b w:val="0"/>
          <w:snapToGrid w:val="0"/>
          <w:color w:val="auto"/>
          <w:highlight w:val="none"/>
        </w:rPr>
        <w:t>1.  评标方法</w:t>
      </w:r>
      <w:bookmarkEnd w:id="230"/>
      <w:bookmarkEnd w:id="231"/>
      <w:bookmarkEnd w:id="232"/>
    </w:p>
    <w:p w14:paraId="7B31895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评标委员会对满足竞争性比选实质性要求的竞选文件，按照本章第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w:t>
      </w:r>
      <w:r>
        <w:rPr>
          <w:rFonts w:hint="eastAsia" w:ascii="宋体" w:hAnsi="宋体"/>
          <w:color w:val="auto"/>
          <w:kern w:val="0"/>
          <w:szCs w:val="21"/>
          <w:highlight w:val="none"/>
        </w:rPr>
        <w:t>并</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或根据招标人授权直接确定中标人。综合评分相等时，</w:t>
      </w:r>
      <w:r>
        <w:rPr>
          <w:rFonts w:hint="eastAsia" w:ascii="宋体" w:hAnsi="宋体"/>
          <w:color w:val="auto"/>
          <w:kern w:val="0"/>
          <w:szCs w:val="21"/>
          <w:highlight w:val="none"/>
        </w:rPr>
        <w:t>以评标办法前附表约定的原则确定</w:t>
      </w:r>
      <w:r>
        <w:rPr>
          <w:rFonts w:ascii="宋体" w:hAnsi="宋体"/>
          <w:color w:val="auto"/>
          <w:highlight w:val="none"/>
        </w:rPr>
        <w:t>中标候选人顺序</w:t>
      </w:r>
      <w:r>
        <w:rPr>
          <w:rFonts w:ascii="宋体" w:hAnsi="宋体"/>
          <w:color w:val="auto"/>
          <w:spacing w:val="-31"/>
          <w:kern w:val="0"/>
          <w:szCs w:val="21"/>
          <w:highlight w:val="none"/>
        </w:rPr>
        <w:t>。</w:t>
      </w:r>
    </w:p>
    <w:p w14:paraId="6DE1BB66">
      <w:pPr>
        <w:pStyle w:val="3"/>
        <w:rPr>
          <w:rFonts w:ascii="宋体"/>
          <w:b w:val="0"/>
          <w:snapToGrid w:val="0"/>
          <w:color w:val="auto"/>
          <w:highlight w:val="none"/>
        </w:rPr>
      </w:pPr>
      <w:bookmarkStart w:id="238" w:name="_Toc105414375"/>
      <w:bookmarkStart w:id="239" w:name="_Toc8451"/>
      <w:bookmarkStart w:id="240" w:name="_Toc509218777"/>
      <w:bookmarkStart w:id="241" w:name="_Toc3262"/>
      <w:r>
        <w:rPr>
          <w:rFonts w:ascii="宋体"/>
          <w:b w:val="0"/>
          <w:snapToGrid w:val="0"/>
          <w:color w:val="auto"/>
          <w:highlight w:val="none"/>
        </w:rPr>
        <w:t>2.  评审标准</w:t>
      </w:r>
      <w:bookmarkEnd w:id="238"/>
      <w:bookmarkEnd w:id="239"/>
      <w:bookmarkEnd w:id="240"/>
      <w:bookmarkEnd w:id="241"/>
    </w:p>
    <w:p w14:paraId="06229087">
      <w:pPr>
        <w:pStyle w:val="4"/>
        <w:snapToGrid w:val="0"/>
        <w:spacing w:before="0" w:line="360" w:lineRule="auto"/>
        <w:rPr>
          <w:rFonts w:ascii="宋体"/>
          <w:b w:val="0"/>
          <w:snapToGrid w:val="0"/>
          <w:color w:val="auto"/>
          <w:szCs w:val="24"/>
          <w:highlight w:val="none"/>
        </w:rPr>
      </w:pPr>
      <w:bookmarkStart w:id="242" w:name="_Toc11473"/>
      <w:bookmarkStart w:id="243" w:name="_Toc509218778"/>
      <w:bookmarkStart w:id="244" w:name="_Toc105414376"/>
      <w:bookmarkStart w:id="245" w:name="_Toc15920"/>
      <w:r>
        <w:rPr>
          <w:rFonts w:ascii="宋体"/>
          <w:b w:val="0"/>
          <w:snapToGrid w:val="0"/>
          <w:color w:val="auto"/>
          <w:szCs w:val="24"/>
          <w:highlight w:val="none"/>
        </w:rPr>
        <w:t>2.1  初步评审标准</w:t>
      </w:r>
      <w:bookmarkEnd w:id="242"/>
      <w:bookmarkEnd w:id="243"/>
      <w:bookmarkEnd w:id="244"/>
      <w:bookmarkEnd w:id="245"/>
    </w:p>
    <w:p w14:paraId="3195E3E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1A</w:t>
      </w:r>
      <w:r>
        <w:rPr>
          <w:rFonts w:ascii="宋体" w:hAnsi="宋体"/>
          <w:color w:val="auto"/>
          <w:kern w:val="0"/>
          <w:szCs w:val="21"/>
          <w:highlight w:val="none"/>
        </w:rPr>
        <w:t xml:space="preserve">  资格评审标准：见评标办法前附表（适用于未进行资格预审的）。</w:t>
      </w:r>
    </w:p>
    <w:p w14:paraId="4961FE7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585C752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18CBA0F9">
      <w:pPr>
        <w:pStyle w:val="4"/>
        <w:snapToGrid w:val="0"/>
        <w:spacing w:before="0" w:line="360" w:lineRule="auto"/>
        <w:rPr>
          <w:rFonts w:ascii="宋体"/>
          <w:b w:val="0"/>
          <w:snapToGrid w:val="0"/>
          <w:color w:val="auto"/>
          <w:szCs w:val="24"/>
          <w:highlight w:val="none"/>
        </w:rPr>
      </w:pPr>
      <w:bookmarkStart w:id="246" w:name="_Toc509218779"/>
      <w:bookmarkStart w:id="247" w:name="_Toc18279"/>
      <w:bookmarkStart w:id="248" w:name="_Toc105414377"/>
      <w:bookmarkStart w:id="249" w:name="_Toc21330"/>
      <w:r>
        <w:rPr>
          <w:rFonts w:ascii="宋体"/>
          <w:b w:val="0"/>
          <w:snapToGrid w:val="0"/>
          <w:color w:val="auto"/>
          <w:szCs w:val="24"/>
          <w:highlight w:val="none"/>
        </w:rPr>
        <w:t>2.2  分值构成与</w:t>
      </w:r>
      <w:r>
        <w:rPr>
          <w:rFonts w:hint="eastAsia" w:ascii="宋体"/>
          <w:b w:val="0"/>
          <w:snapToGrid w:val="0"/>
          <w:color w:val="auto"/>
          <w:szCs w:val="24"/>
          <w:highlight w:val="none"/>
        </w:rPr>
        <w:t>评审</w:t>
      </w:r>
      <w:r>
        <w:rPr>
          <w:rFonts w:ascii="宋体"/>
          <w:b w:val="0"/>
          <w:snapToGrid w:val="0"/>
          <w:color w:val="auto"/>
          <w:szCs w:val="24"/>
          <w:highlight w:val="none"/>
        </w:rPr>
        <w:t>标准</w:t>
      </w:r>
      <w:bookmarkEnd w:id="246"/>
      <w:bookmarkEnd w:id="247"/>
      <w:bookmarkEnd w:id="248"/>
      <w:bookmarkEnd w:id="249"/>
    </w:p>
    <w:p w14:paraId="60EE800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6B74180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08546D0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商务部分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7951E0C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）投标</w:t>
      </w:r>
      <w:r>
        <w:rPr>
          <w:rFonts w:ascii="宋体" w:hAnsi="宋体"/>
          <w:color w:val="auto"/>
          <w:spacing w:val="-1"/>
          <w:kern w:val="0"/>
          <w:szCs w:val="21"/>
          <w:highlight w:val="none"/>
        </w:rPr>
        <w:t>报</w:t>
      </w:r>
      <w:r>
        <w:rPr>
          <w:rFonts w:ascii="宋体" w:hAnsi="宋体"/>
          <w:color w:val="auto"/>
          <w:kern w:val="0"/>
          <w:szCs w:val="21"/>
          <w:highlight w:val="none"/>
        </w:rPr>
        <w:t>价：见评标办法前附表</w:t>
      </w:r>
      <w:r>
        <w:rPr>
          <w:rFonts w:hint="eastAsia" w:ascii="宋体" w:hAnsi="宋体"/>
          <w:color w:val="auto"/>
          <w:kern w:val="0"/>
          <w:szCs w:val="21"/>
          <w:highlight w:val="none"/>
        </w:rPr>
        <w:t>。</w:t>
      </w:r>
    </w:p>
    <w:p w14:paraId="2A3A064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 xml:space="preserve">2  </w:t>
      </w:r>
      <w:r>
        <w:rPr>
          <w:rFonts w:ascii="宋体" w:hAnsi="宋体"/>
          <w:color w:val="auto"/>
          <w:kern w:val="0"/>
          <w:szCs w:val="21"/>
          <w:highlight w:val="none"/>
        </w:rPr>
        <w:t>评标基准价计算</w:t>
      </w:r>
    </w:p>
    <w:p w14:paraId="4CF06E7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44BA4D0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2.2.3 </w:t>
      </w:r>
      <w:r>
        <w:rPr>
          <w:rFonts w:hint="eastAsia" w:ascii="宋体" w:hAnsi="宋体"/>
          <w:color w:val="auto"/>
          <w:kern w:val="0"/>
          <w:szCs w:val="21"/>
          <w:highlight w:val="none"/>
        </w:rPr>
        <w:t xml:space="preserve"> </w:t>
      </w:r>
      <w:r>
        <w:rPr>
          <w:rFonts w:ascii="宋体" w:hAnsi="宋体"/>
          <w:color w:val="auto"/>
          <w:kern w:val="0"/>
          <w:szCs w:val="21"/>
          <w:highlight w:val="none"/>
        </w:rPr>
        <w:t>投标报价的偏差率计算</w:t>
      </w:r>
    </w:p>
    <w:p w14:paraId="5FACEB9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56D72DF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.2.4  评</w:t>
      </w:r>
      <w:r>
        <w:rPr>
          <w:rFonts w:hint="eastAsia" w:ascii="宋体" w:hAnsi="宋体"/>
          <w:color w:val="auto"/>
          <w:kern w:val="0"/>
          <w:szCs w:val="21"/>
          <w:highlight w:val="none"/>
        </w:rPr>
        <w:t>审</w:t>
      </w:r>
      <w:r>
        <w:rPr>
          <w:rFonts w:ascii="宋体" w:hAnsi="宋体"/>
          <w:color w:val="auto"/>
          <w:kern w:val="0"/>
          <w:szCs w:val="21"/>
          <w:highlight w:val="none"/>
        </w:rPr>
        <w:t>标准</w:t>
      </w:r>
    </w:p>
    <w:p w14:paraId="12BB1D9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技术部分</w:t>
      </w:r>
      <w:r>
        <w:rPr>
          <w:rFonts w:ascii="宋体" w:hAnsi="宋体"/>
          <w:color w:val="auto"/>
          <w:kern w:val="0"/>
          <w:szCs w:val="21"/>
          <w:highlight w:val="none"/>
        </w:rPr>
        <w:t>评分标准：见评标办法前附表；</w:t>
      </w:r>
    </w:p>
    <w:p w14:paraId="5CA723E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商务部分</w:t>
      </w:r>
      <w:r>
        <w:rPr>
          <w:rFonts w:ascii="宋体" w:hAnsi="宋体"/>
          <w:color w:val="auto"/>
          <w:kern w:val="0"/>
          <w:szCs w:val="21"/>
          <w:highlight w:val="none"/>
        </w:rPr>
        <w:t>评分标准：见评标办法前附表；</w:t>
      </w:r>
    </w:p>
    <w:p w14:paraId="0CAAB72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投标报价</w:t>
      </w:r>
      <w:r>
        <w:rPr>
          <w:rFonts w:ascii="宋体" w:hAnsi="宋体"/>
          <w:color w:val="auto"/>
          <w:kern w:val="0"/>
          <w:szCs w:val="21"/>
          <w:highlight w:val="none"/>
        </w:rPr>
        <w:t>评分标准：见评标办法前附表。</w:t>
      </w:r>
    </w:p>
    <w:p w14:paraId="5AA5AE5D">
      <w:pPr>
        <w:pStyle w:val="3"/>
        <w:rPr>
          <w:rFonts w:ascii="宋体"/>
          <w:b w:val="0"/>
          <w:snapToGrid w:val="0"/>
          <w:color w:val="auto"/>
          <w:highlight w:val="none"/>
        </w:rPr>
      </w:pPr>
      <w:bookmarkStart w:id="250" w:name="_Toc765"/>
      <w:bookmarkStart w:id="251" w:name="_Toc509218780"/>
      <w:bookmarkStart w:id="252" w:name="_Toc105414378"/>
      <w:bookmarkStart w:id="253" w:name="_Toc15502"/>
      <w:r>
        <w:rPr>
          <w:rFonts w:ascii="宋体"/>
          <w:b w:val="0"/>
          <w:snapToGrid w:val="0"/>
          <w:color w:val="auto"/>
          <w:highlight w:val="none"/>
        </w:rPr>
        <w:t>3.  评标程序</w:t>
      </w:r>
      <w:bookmarkEnd w:id="250"/>
      <w:bookmarkEnd w:id="251"/>
      <w:bookmarkEnd w:id="252"/>
      <w:bookmarkEnd w:id="253"/>
    </w:p>
    <w:p w14:paraId="3E46F414">
      <w:pPr>
        <w:pStyle w:val="4"/>
        <w:snapToGrid w:val="0"/>
        <w:spacing w:before="0" w:line="360" w:lineRule="auto"/>
        <w:rPr>
          <w:rFonts w:ascii="宋体"/>
          <w:b w:val="0"/>
          <w:snapToGrid w:val="0"/>
          <w:color w:val="auto"/>
          <w:szCs w:val="24"/>
          <w:highlight w:val="none"/>
        </w:rPr>
      </w:pPr>
      <w:bookmarkStart w:id="254" w:name="_Toc11875"/>
      <w:bookmarkStart w:id="255" w:name="_Toc509218781"/>
      <w:bookmarkStart w:id="256" w:name="_Toc105414379"/>
      <w:bookmarkStart w:id="257" w:name="_Toc18340"/>
      <w:r>
        <w:rPr>
          <w:rFonts w:ascii="宋体"/>
          <w:b w:val="0"/>
          <w:snapToGrid w:val="0"/>
          <w:color w:val="auto"/>
          <w:szCs w:val="24"/>
          <w:highlight w:val="none"/>
        </w:rPr>
        <w:t>3.1  初步评审</w:t>
      </w:r>
      <w:bookmarkEnd w:id="254"/>
      <w:bookmarkEnd w:id="255"/>
      <w:bookmarkEnd w:id="256"/>
      <w:bookmarkEnd w:id="257"/>
    </w:p>
    <w:p w14:paraId="44EEA2A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款规定的标准对竞选文件进行初步评审。有一项不符合评审标准的，作否决投标处理。（适用于未进行资格预审的）</w:t>
      </w:r>
    </w:p>
    <w:p w14:paraId="6357E98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3.1.2  竞标人有以下情形之一的，其投标作否决投标处理：</w:t>
      </w:r>
    </w:p>
    <w:p w14:paraId="2A52872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s="宋体"/>
          <w:color w:val="auto"/>
          <w:szCs w:val="21"/>
          <w:highlight w:val="none"/>
        </w:rPr>
        <w:t>有串通投标、弄虚作假等其他违反招投标相关法律、法规行为的</w:t>
      </w:r>
      <w:r>
        <w:rPr>
          <w:rFonts w:ascii="宋体" w:hAnsi="宋体"/>
          <w:color w:val="auto"/>
          <w:kern w:val="0"/>
          <w:szCs w:val="21"/>
          <w:highlight w:val="none"/>
        </w:rPr>
        <w:t>；</w:t>
      </w:r>
    </w:p>
    <w:p w14:paraId="742D06D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63B8344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投标报价有算术错误及其他错误的，评标委员会按以下原则要求竞标人对投标报价进行修正，并要求竞标人书面澄清确认。竞标人拒不澄清确认的，评标委员会应当否决其投标：</w:t>
      </w:r>
    </w:p>
    <w:p w14:paraId="0857FDB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（1）竞选文件中的大写金额与小写金额不一致的，以大写金额为准；</w:t>
      </w:r>
    </w:p>
    <w:p w14:paraId="71FDD96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竞选函中的投标暂定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费报价与依据固定费率/固定单价计算出的结果</w:t>
      </w:r>
      <w:r>
        <w:rPr>
          <w:rFonts w:ascii="宋体" w:hAnsi="宋体"/>
          <w:color w:val="auto"/>
          <w:kern w:val="0"/>
          <w:szCs w:val="21"/>
          <w:highlight w:val="none"/>
        </w:rPr>
        <w:t>不一致的</w:t>
      </w:r>
      <w:r>
        <w:rPr>
          <w:rFonts w:hint="eastAsia" w:ascii="宋体" w:hAnsi="宋体"/>
          <w:color w:val="auto"/>
          <w:kern w:val="0"/>
          <w:szCs w:val="21"/>
          <w:highlight w:val="none"/>
        </w:rPr>
        <w:t>；采用</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费用清单报价的，竞选函中的投标总报价或投标暂定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费用清单合计报价</w:t>
      </w:r>
      <w:r>
        <w:rPr>
          <w:rFonts w:ascii="宋体" w:hAnsi="宋体"/>
          <w:color w:val="auto"/>
          <w:kern w:val="0"/>
          <w:szCs w:val="21"/>
          <w:highlight w:val="none"/>
        </w:rPr>
        <w:t>不一致的</w:t>
      </w:r>
      <w:r>
        <w:rPr>
          <w:rFonts w:hint="eastAsia" w:ascii="宋体" w:hAnsi="宋体"/>
          <w:color w:val="auto"/>
          <w:kern w:val="0"/>
          <w:szCs w:val="21"/>
          <w:highlight w:val="none"/>
        </w:rPr>
        <w:t>，均由评标委员会作否决投标处理</w:t>
      </w:r>
      <w:r>
        <w:rPr>
          <w:rFonts w:ascii="宋体" w:hAnsi="宋体"/>
          <w:color w:val="auto"/>
          <w:kern w:val="0"/>
          <w:szCs w:val="21"/>
          <w:highlight w:val="none"/>
        </w:rPr>
        <w:t>。</w:t>
      </w:r>
    </w:p>
    <w:p w14:paraId="2EC3A69F">
      <w:pPr>
        <w:pStyle w:val="4"/>
        <w:snapToGrid w:val="0"/>
        <w:spacing w:before="0" w:line="360" w:lineRule="auto"/>
        <w:rPr>
          <w:rFonts w:ascii="宋体"/>
          <w:b w:val="0"/>
          <w:snapToGrid w:val="0"/>
          <w:color w:val="auto"/>
          <w:szCs w:val="24"/>
          <w:highlight w:val="none"/>
        </w:rPr>
      </w:pPr>
      <w:bookmarkStart w:id="258" w:name="_Toc509218782"/>
      <w:bookmarkStart w:id="259" w:name="_Toc105414380"/>
      <w:bookmarkStart w:id="260" w:name="_Toc1832"/>
      <w:bookmarkStart w:id="261" w:name="_Toc6650"/>
      <w:r>
        <w:rPr>
          <w:rFonts w:ascii="宋体"/>
          <w:b w:val="0"/>
          <w:snapToGrid w:val="0"/>
          <w:color w:val="auto"/>
          <w:szCs w:val="24"/>
          <w:highlight w:val="none"/>
        </w:rPr>
        <w:t>3.2  详细评审</w:t>
      </w:r>
      <w:bookmarkEnd w:id="258"/>
      <w:bookmarkEnd w:id="259"/>
      <w:bookmarkEnd w:id="260"/>
      <w:bookmarkEnd w:id="261"/>
    </w:p>
    <w:p w14:paraId="0C558D1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rPr>
        <w:t>评分</w:t>
      </w:r>
      <w:r>
        <w:rPr>
          <w:rFonts w:ascii="宋体" w:hAnsi="宋体"/>
          <w:color w:val="auto"/>
          <w:kern w:val="0"/>
          <w:szCs w:val="21"/>
          <w:highlight w:val="none"/>
        </w:rPr>
        <w:t>，并计算出综合评估得分。</w:t>
      </w:r>
    </w:p>
    <w:p w14:paraId="61E7B6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（1）按本章第 2.2.4（1）目规定的评审因素和分值对</w:t>
      </w:r>
      <w:r>
        <w:rPr>
          <w:rFonts w:hint="eastAsia" w:ascii="宋体" w:hAnsi="宋体"/>
          <w:color w:val="auto"/>
          <w:kern w:val="0"/>
          <w:szCs w:val="21"/>
          <w:highlight w:val="none"/>
        </w:rPr>
        <w:t>技术</w:t>
      </w:r>
      <w:r>
        <w:rPr>
          <w:rFonts w:ascii="宋体" w:hAnsi="宋体"/>
          <w:color w:val="auto"/>
          <w:kern w:val="0"/>
          <w:szCs w:val="21"/>
          <w:highlight w:val="none"/>
        </w:rPr>
        <w:t>部分计算出得分 A；</w:t>
      </w:r>
    </w:p>
    <w:p w14:paraId="2428F56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（2）按本章第 2.2.4（2）目规定的评审因素和分值对</w:t>
      </w:r>
      <w:r>
        <w:rPr>
          <w:rFonts w:hint="eastAsia" w:ascii="宋体" w:hAnsi="宋体"/>
          <w:color w:val="auto"/>
          <w:kern w:val="0"/>
          <w:szCs w:val="21"/>
          <w:highlight w:val="none"/>
        </w:rPr>
        <w:t>商务</w:t>
      </w:r>
      <w:r>
        <w:rPr>
          <w:rFonts w:ascii="宋体" w:hAnsi="宋体"/>
          <w:color w:val="auto"/>
          <w:kern w:val="0"/>
          <w:szCs w:val="21"/>
          <w:highlight w:val="none"/>
        </w:rPr>
        <w:t>部分计算出得分 B；</w:t>
      </w:r>
    </w:p>
    <w:p w14:paraId="6F539E4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（3）按本章第 2.2.4（</w:t>
      </w:r>
      <w:r>
        <w:rPr>
          <w:rFonts w:hint="eastAsia" w:ascii="宋体" w:hAnsi="宋体"/>
          <w:color w:val="auto"/>
          <w:kern w:val="0"/>
          <w:szCs w:val="21"/>
          <w:highlight w:val="none"/>
        </w:rPr>
        <w:t>3</w:t>
      </w:r>
      <w:r>
        <w:rPr>
          <w:rFonts w:ascii="宋体" w:hAnsi="宋体"/>
          <w:color w:val="auto"/>
          <w:kern w:val="0"/>
          <w:szCs w:val="21"/>
          <w:highlight w:val="none"/>
        </w:rPr>
        <w:t>）目规定的评审因素和分值对投标报价计算出得分 C；</w:t>
      </w:r>
    </w:p>
    <w:p w14:paraId="60069A7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33826BD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竞标人得分=A+B</w:t>
      </w:r>
      <w:r>
        <w:rPr>
          <w:rFonts w:hint="eastAsia" w:ascii="宋体" w:hAnsi="宋体"/>
          <w:color w:val="auto"/>
          <w:kern w:val="0"/>
          <w:szCs w:val="21"/>
          <w:highlight w:val="none"/>
        </w:rPr>
        <w:t>+</w:t>
      </w:r>
      <w:r>
        <w:rPr>
          <w:rFonts w:ascii="宋体" w:hAnsi="宋体"/>
          <w:color w:val="auto"/>
          <w:kern w:val="0"/>
          <w:szCs w:val="21"/>
          <w:highlight w:val="none"/>
        </w:rPr>
        <w:t>C</w:t>
      </w:r>
      <w:r>
        <w:rPr>
          <w:rFonts w:hint="eastAsia" w:ascii="宋体" w:hAnsi="宋体"/>
          <w:color w:val="auto"/>
          <w:kern w:val="0"/>
          <w:szCs w:val="21"/>
          <w:highlight w:val="none"/>
        </w:rPr>
        <w:t>。</w:t>
      </w:r>
    </w:p>
    <w:p w14:paraId="1495BF83">
      <w:pPr>
        <w:pStyle w:val="4"/>
        <w:snapToGrid w:val="0"/>
        <w:spacing w:before="0" w:line="360" w:lineRule="auto"/>
        <w:rPr>
          <w:rFonts w:ascii="宋体"/>
          <w:b w:val="0"/>
          <w:snapToGrid w:val="0"/>
          <w:color w:val="auto"/>
          <w:szCs w:val="24"/>
          <w:highlight w:val="none"/>
        </w:rPr>
      </w:pPr>
      <w:bookmarkStart w:id="262" w:name="_Toc509218783"/>
      <w:bookmarkStart w:id="263" w:name="_Toc105414381"/>
      <w:bookmarkStart w:id="264" w:name="_Toc13602"/>
      <w:bookmarkStart w:id="265" w:name="_Toc18143"/>
      <w:r>
        <w:rPr>
          <w:rFonts w:ascii="宋体"/>
          <w:b w:val="0"/>
          <w:snapToGrid w:val="0"/>
          <w:color w:val="auto"/>
          <w:szCs w:val="24"/>
          <w:highlight w:val="none"/>
        </w:rPr>
        <w:t>3.3  竞选文件的澄清</w:t>
      </w:r>
      <w:bookmarkEnd w:id="262"/>
      <w:bookmarkEnd w:id="263"/>
      <w:bookmarkEnd w:id="264"/>
      <w:bookmarkEnd w:id="265"/>
    </w:p>
    <w:p w14:paraId="0D7A37ED">
      <w:pPr>
        <w:autoSpaceDE w:val="0"/>
        <w:autoSpaceDN w:val="0"/>
        <w:adjustRightInd w:val="0"/>
        <w:snapToGrid w:val="0"/>
        <w:spacing w:line="360" w:lineRule="auto"/>
        <w:ind w:firstLine="420" w:firstLineChars="200"/>
        <w:rPr>
          <w:rFonts w:ascii="宋体" w:hAnsi="宋体"/>
          <w:color w:val="auto"/>
          <w:kern w:val="0"/>
          <w:szCs w:val="21"/>
          <w:highlight w:val="none"/>
        </w:rPr>
      </w:pPr>
      <w:bookmarkStart w:id="266" w:name="_Hlk71569932"/>
      <w:r>
        <w:rPr>
          <w:rFonts w:ascii="宋体" w:hAnsi="宋体"/>
          <w:color w:val="auto"/>
          <w:kern w:val="0"/>
          <w:szCs w:val="21"/>
          <w:highlight w:val="none"/>
        </w:rPr>
        <w:t>3.3.1  在评标过程中，评标委员会可以书面形式要求竞标人对所提交竞选文件中</w:t>
      </w:r>
      <w:r>
        <w:rPr>
          <w:rFonts w:hint="eastAsia" w:ascii="宋体" w:hAnsi="宋体"/>
          <w:color w:val="auto"/>
          <w:kern w:val="0"/>
          <w:szCs w:val="21"/>
          <w:highlight w:val="none"/>
        </w:rPr>
        <w:t>含义不明确、对同类问题表述不一致或者有明显文字和计算错误的内容作必要的澄清、说明或补正。澄清、说明或补正应以书面方式进行。评标委员会不接受竞标人主动提出的澄清、说明或补正。</w:t>
      </w:r>
    </w:p>
    <w:p w14:paraId="20F5F11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澄清、说明或补正不得超出竞选文件的范围且不得改变竞选文件的实质性内容，并构成竞选文件的组成部分。</w:t>
      </w:r>
    </w:p>
    <w:p w14:paraId="02DA9B0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评标委员会对竞标人提交的澄清、说明或补正有疑问的，可以要求竞标人进一步澄清、说明或补正，直至满足评标委员会的要求。</w:t>
      </w:r>
      <w:bookmarkEnd w:id="266"/>
    </w:p>
    <w:p w14:paraId="4135F793">
      <w:pPr>
        <w:pStyle w:val="4"/>
        <w:snapToGrid w:val="0"/>
        <w:spacing w:before="0" w:line="360" w:lineRule="auto"/>
        <w:rPr>
          <w:rFonts w:ascii="宋体"/>
          <w:b w:val="0"/>
          <w:snapToGrid w:val="0"/>
          <w:color w:val="auto"/>
          <w:szCs w:val="24"/>
          <w:highlight w:val="none"/>
        </w:rPr>
      </w:pPr>
      <w:bookmarkStart w:id="267" w:name="_Toc9811"/>
      <w:bookmarkStart w:id="268" w:name="_Toc105414382"/>
      <w:bookmarkStart w:id="269" w:name="_Toc22756"/>
      <w:bookmarkStart w:id="270" w:name="_Toc509218784"/>
      <w:r>
        <w:rPr>
          <w:rFonts w:ascii="宋体"/>
          <w:b w:val="0"/>
          <w:snapToGrid w:val="0"/>
          <w:color w:val="auto"/>
          <w:szCs w:val="24"/>
          <w:highlight w:val="none"/>
        </w:rPr>
        <w:t>3.4  评标结果</w:t>
      </w:r>
      <w:bookmarkEnd w:id="267"/>
      <w:bookmarkEnd w:id="268"/>
      <w:bookmarkEnd w:id="269"/>
      <w:bookmarkEnd w:id="270"/>
    </w:p>
    <w:p w14:paraId="086989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除第二章“竞标人须知”前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由高到低的顺序推荐中标候选人，并标明排序。</w:t>
      </w:r>
    </w:p>
    <w:p w14:paraId="76B4BC4F">
      <w:pPr>
        <w:autoSpaceDE w:val="0"/>
        <w:autoSpaceDN w:val="0"/>
        <w:adjustRightInd w:val="0"/>
        <w:snapToGrid w:val="0"/>
        <w:spacing w:line="360" w:lineRule="auto"/>
        <w:ind w:firstLine="424" w:firstLineChars="200"/>
        <w:rPr>
          <w:rFonts w:ascii="宋体" w:hAnsi="宋体"/>
          <w:color w:val="auto"/>
          <w:kern w:val="0"/>
          <w:sz w:val="20"/>
          <w:szCs w:val="20"/>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评标委员会完成评标后，应当向招标人提交书面评标报告和中标候选人名单。</w:t>
      </w:r>
    </w:p>
    <w:p w14:paraId="3F848809">
      <w:pPr>
        <w:pStyle w:val="34"/>
        <w:spacing w:line="360" w:lineRule="auto"/>
        <w:rPr>
          <w:rFonts w:ascii="宋体" w:hAnsi="宋体"/>
          <w:b/>
          <w:color w:val="auto"/>
          <w:sz w:val="28"/>
          <w:szCs w:val="28"/>
          <w:highlight w:val="none"/>
          <w:u w:val="none"/>
          <w:lang w:eastAsia="zh-CN"/>
        </w:rPr>
      </w:pPr>
    </w:p>
    <w:p w14:paraId="3838D718">
      <w:pPr>
        <w:pStyle w:val="34"/>
        <w:spacing w:line="360" w:lineRule="auto"/>
        <w:rPr>
          <w:rFonts w:ascii="宋体" w:hAnsi="宋体"/>
          <w:b/>
          <w:color w:val="auto"/>
          <w:sz w:val="28"/>
          <w:szCs w:val="28"/>
          <w:highlight w:val="none"/>
          <w:u w:val="none"/>
          <w:lang w:eastAsia="zh-CN"/>
        </w:rPr>
      </w:pPr>
    </w:p>
    <w:p w14:paraId="77BB34AA">
      <w:pPr>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br w:type="page"/>
      </w:r>
    </w:p>
    <w:p w14:paraId="588F346F">
      <w:pPr>
        <w:pStyle w:val="34"/>
        <w:spacing w:line="360" w:lineRule="auto"/>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t>附件A：综合评估法否决</w:t>
      </w:r>
      <w:r>
        <w:rPr>
          <w:rFonts w:hint="eastAsia" w:ascii="宋体" w:hAnsi="宋体"/>
          <w:b/>
          <w:color w:val="auto"/>
          <w:sz w:val="28"/>
          <w:szCs w:val="28"/>
          <w:highlight w:val="none"/>
          <w:u w:val="none"/>
          <w:lang w:eastAsia="zh-CN"/>
        </w:rPr>
        <w:t>竞标</w:t>
      </w:r>
      <w:r>
        <w:rPr>
          <w:rFonts w:ascii="宋体" w:hAnsi="宋体"/>
          <w:b/>
          <w:color w:val="auto"/>
          <w:sz w:val="28"/>
          <w:szCs w:val="28"/>
          <w:highlight w:val="none"/>
          <w:u w:val="none"/>
          <w:lang w:eastAsia="zh-CN"/>
        </w:rPr>
        <w:t>情况一览表</w:t>
      </w:r>
      <w:bookmarkEnd w:id="233"/>
    </w:p>
    <w:bookmarkEnd w:id="234"/>
    <w:p w14:paraId="575BFA69">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竞标文件存在本一览表下列情形之一的，竞标文件视为重大偏差并作否决竞标处理，否则，评标委员会不得视为重大偏差而否决竞标人的竞标文件</w:t>
      </w:r>
      <w:r>
        <w:rPr>
          <w:rFonts w:ascii="宋体" w:hAnsi="宋体"/>
          <w:color w:val="auto"/>
          <w:sz w:val="21"/>
          <w:szCs w:val="21"/>
          <w:highlight w:val="none"/>
          <w:u w:val="none"/>
          <w:lang w:eastAsia="zh-CN"/>
        </w:rPr>
        <w:t>。</w:t>
      </w:r>
    </w:p>
    <w:tbl>
      <w:tblPr>
        <w:tblStyle w:val="48"/>
        <w:tblW w:w="9469"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37"/>
        <w:gridCol w:w="1899"/>
        <w:gridCol w:w="6333"/>
      </w:tblGrid>
      <w:tr w14:paraId="368D40E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FEFEFE"/>
            <w:vAlign w:val="center"/>
          </w:tcPr>
          <w:p w14:paraId="61B5CF77">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tcBorders>
              <w:tl2br w:val="nil"/>
              <w:tr2bl w:val="nil"/>
            </w:tcBorders>
            <w:shd w:val="clear" w:color="auto" w:fill="FEFEFE"/>
            <w:vAlign w:val="center"/>
          </w:tcPr>
          <w:p w14:paraId="36E0CB74">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tcBorders>
              <w:tl2br w:val="nil"/>
              <w:tr2bl w:val="nil"/>
            </w:tcBorders>
            <w:shd w:val="clear" w:color="auto" w:fill="FEFEFE"/>
            <w:vAlign w:val="center"/>
          </w:tcPr>
          <w:p w14:paraId="33911BFA">
            <w:pPr>
              <w:spacing w:line="400" w:lineRule="exact"/>
              <w:jc w:val="center"/>
              <w:rPr>
                <w:rFonts w:ascii="宋体" w:hAnsi="宋体"/>
                <w:b/>
                <w:color w:val="auto"/>
                <w:szCs w:val="21"/>
                <w:highlight w:val="none"/>
              </w:rPr>
            </w:pPr>
            <w:r>
              <w:rPr>
                <w:rFonts w:ascii="宋体" w:hAnsi="宋体"/>
                <w:b/>
                <w:color w:val="auto"/>
                <w:szCs w:val="21"/>
                <w:highlight w:val="none"/>
              </w:rPr>
              <w:t>否决</w:t>
            </w:r>
            <w:r>
              <w:rPr>
                <w:rFonts w:hint="eastAsia" w:ascii="宋体" w:hAnsi="宋体"/>
                <w:b/>
                <w:color w:val="auto"/>
                <w:szCs w:val="21"/>
                <w:highlight w:val="none"/>
              </w:rPr>
              <w:t>竞标</w:t>
            </w:r>
            <w:r>
              <w:rPr>
                <w:rFonts w:ascii="宋体" w:hAnsi="宋体"/>
                <w:b/>
                <w:color w:val="auto"/>
                <w:szCs w:val="21"/>
                <w:highlight w:val="none"/>
              </w:rPr>
              <w:t>条件</w:t>
            </w:r>
          </w:p>
        </w:tc>
      </w:tr>
      <w:tr w14:paraId="07EEEDE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restart"/>
            <w:tcBorders>
              <w:tl2br w:val="nil"/>
              <w:tr2bl w:val="nil"/>
            </w:tcBorders>
            <w:shd w:val="clear" w:color="auto" w:fill="FEFEFE"/>
            <w:vAlign w:val="center"/>
          </w:tcPr>
          <w:p w14:paraId="70818017">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7ED2051E">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tcBorders>
              <w:tl2br w:val="nil"/>
              <w:tr2bl w:val="nil"/>
            </w:tcBorders>
            <w:shd w:val="clear" w:color="auto" w:fill="FEFEFE"/>
            <w:vAlign w:val="center"/>
          </w:tcPr>
          <w:p w14:paraId="6C99585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A-1竞标人的资质条件、营业执照须满足竞标人须知前附表1.4.1项的要求，否则由评标委员会作否决竞标处理。</w:t>
            </w:r>
          </w:p>
        </w:tc>
      </w:tr>
      <w:tr w14:paraId="3846024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4B675C41">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7A35004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60436C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A-2竞标人的财务须满足竞标人须知前附表第1.4.1项的要求，否则由评标委员会作否决竞标处理（如有）。</w:t>
            </w:r>
          </w:p>
        </w:tc>
      </w:tr>
      <w:tr w14:paraId="73057D6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22C4533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A42E4E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0E5424C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A-3竞标人的业绩须满足竞标人须知前附表第1.4.1项的要求，否则由评标委员会作否决竞标处理（如有）。</w:t>
            </w:r>
          </w:p>
        </w:tc>
      </w:tr>
      <w:tr w14:paraId="5DEFC2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7D85AE9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E68565C">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779ECE6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A-4竞标人的竞标截止日竞标资格情况须满足竞标人须知前附表第1.4.1项的要求，否则由评标委员会作否决竞标处理。</w:t>
            </w:r>
          </w:p>
        </w:tc>
      </w:tr>
      <w:tr w14:paraId="7F47558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3AF0BF0E">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466B02C">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28BD52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A-5竞标人的项目负责人资格须满足竞标人须知前附表第1.4.1项的要求，否则由评标委员会作否决竞标处理（如有）。</w:t>
            </w:r>
          </w:p>
        </w:tc>
      </w:tr>
      <w:tr w14:paraId="3764F1B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6BF1E52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F24B88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2F4CFC4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A-6竞标人的其他要求须满足竞标人须知前附表第1.4.1项的要求，否则由评标委员会作否决竞标处理。</w:t>
            </w:r>
          </w:p>
        </w:tc>
      </w:tr>
      <w:tr w14:paraId="05E42F5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0FCABA16">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CEE5BB0">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2AA86D1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A-7若有联合体竞标人，则：</w:t>
            </w:r>
          </w:p>
          <w:p w14:paraId="565F881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（1）联合体各方应按照比选文件提供的格式签订联合体协议书，明确联合体牵头人和各方权利义务；</w:t>
            </w:r>
          </w:p>
          <w:p w14:paraId="539C8F2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14:paraId="0CB6310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（3）联合体各方不得再以自己名义单独或参加其他联合体在同一标段中竞标。</w:t>
            </w:r>
          </w:p>
          <w:p w14:paraId="3CC96AD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否则由评标委员会作否决竞标处理（如有）。</w:t>
            </w:r>
          </w:p>
        </w:tc>
      </w:tr>
      <w:tr w14:paraId="1A4C8FF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07F7475B">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66214A2E">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Borders>
              <w:tl2br w:val="nil"/>
              <w:tr2bl w:val="nil"/>
            </w:tcBorders>
            <w:shd w:val="clear" w:color="auto" w:fill="FEFEFE"/>
          </w:tcPr>
          <w:p w14:paraId="3977703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A-8竞标人名称必须与营业执照、资质证书一致，依法变更名称的应提交相应证明材料，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5A40332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74" w:hRule="atLeast"/>
          <w:jc w:val="center"/>
        </w:trPr>
        <w:tc>
          <w:tcPr>
            <w:tcW w:w="1237" w:type="dxa"/>
            <w:vMerge w:val="continue"/>
            <w:tcBorders>
              <w:tl2br w:val="nil"/>
              <w:tr2bl w:val="nil"/>
            </w:tcBorders>
            <w:shd w:val="clear" w:color="auto" w:fill="FEFEFE"/>
            <w:vAlign w:val="center"/>
          </w:tcPr>
          <w:p w14:paraId="4202215D">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1902F62">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3EE9459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A-9竞标文件格式符合第二章“竞标人须知”第3.7款的要求，否则由评标委员会作否决竞标处理。</w:t>
            </w:r>
          </w:p>
          <w:p w14:paraId="0F255C76">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399DACF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7BD2784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1CCE8E1">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70B5CA5B">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A-10竞标文件份数符合第二章“竞标人须知”第3.7.4项的规定，</w:t>
            </w:r>
            <w:r>
              <w:rPr>
                <w:rFonts w:hint="eastAsia" w:ascii="宋体" w:hAnsi="宋体"/>
                <w:color w:val="auto"/>
                <w:kern w:val="0"/>
                <w:szCs w:val="21"/>
                <w:highlight w:val="none"/>
              </w:rPr>
              <w:t>否则由评标委员会作否决竞标处理。</w:t>
            </w:r>
          </w:p>
        </w:tc>
      </w:tr>
      <w:tr w14:paraId="45E3B5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9AB178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4DB6BB0">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67DC548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A-11联合体参与竞标的应提交联合体协议书，并明确联合体牵头人。在联合体协议书第5条联合体各成员单位内部的职责分工中填写的联合体所有成员单位名称应与其营业执照、资质证书、</w:t>
            </w:r>
            <w:r>
              <w:rPr>
                <w:rFonts w:hint="eastAsia" w:ascii="宋体" w:hAnsi="宋体"/>
                <w:color w:val="auto"/>
                <w:szCs w:val="21"/>
                <w:highlight w:val="none"/>
                <w:lang w:eastAsia="zh-CN"/>
              </w:rPr>
              <w:t xml:space="preserve"> </w:t>
            </w:r>
            <w:r>
              <w:rPr>
                <w:rFonts w:hint="eastAsia" w:ascii="宋体" w:hAnsi="宋体"/>
                <w:color w:val="auto"/>
                <w:szCs w:val="21"/>
                <w:highlight w:val="none"/>
              </w:rPr>
              <w:t>一致，依法变更名称的应提交相应证明材料，否则由评标委员会作否决竞标处理（如有）。</w:t>
            </w:r>
          </w:p>
        </w:tc>
      </w:tr>
      <w:tr w14:paraId="089492B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5CA1B514">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4D8D777">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57C040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olor w:val="auto"/>
                <w:szCs w:val="21"/>
                <w:highlight w:val="none"/>
              </w:rPr>
              <w:t>只能有一个有效报价。在</w:t>
            </w:r>
            <w:r>
              <w:rPr>
                <w:rFonts w:hint="eastAsia" w:ascii="宋体" w:hAnsi="宋体"/>
                <w:color w:val="auto"/>
                <w:szCs w:val="21"/>
                <w:highlight w:val="none"/>
                <w:lang w:val="en-US" w:eastAsia="zh-CN"/>
              </w:rPr>
              <w:t>比选</w:t>
            </w:r>
            <w:r>
              <w:rPr>
                <w:rFonts w:hint="eastAsia" w:ascii="宋体" w:hAnsi="宋体"/>
                <w:color w:val="auto"/>
                <w:szCs w:val="21"/>
                <w:highlight w:val="none"/>
              </w:rPr>
              <w:t>文件没有规定的情况下，不得提交选择性报价，否则由评标委员会作否决竞标处理。</w:t>
            </w:r>
          </w:p>
        </w:tc>
      </w:tr>
      <w:tr w14:paraId="5D47217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973" w:hRule="atLeast"/>
          <w:jc w:val="center"/>
        </w:trPr>
        <w:tc>
          <w:tcPr>
            <w:tcW w:w="1237" w:type="dxa"/>
            <w:vMerge w:val="continue"/>
            <w:tcBorders>
              <w:tl2br w:val="nil"/>
              <w:tr2bl w:val="nil"/>
            </w:tcBorders>
            <w:shd w:val="clear" w:color="auto" w:fill="FEFEFE"/>
            <w:vAlign w:val="center"/>
          </w:tcPr>
          <w:p w14:paraId="094DB0E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653B923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0C21FCE2">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 xml:space="preserve">3 </w:t>
            </w:r>
            <w:r>
              <w:rPr>
                <w:rFonts w:hint="eastAsia" w:ascii="宋体" w:hAnsi="宋体" w:cs="宋体"/>
                <w:color w:val="auto"/>
                <w:kern w:val="0"/>
                <w:highlight w:val="none"/>
              </w:rPr>
              <w:t>第六章 竞标文件格式要求法定代表人或其委托代理人签名（或盖章）的须齐全。</w:t>
            </w:r>
            <w:r>
              <w:rPr>
                <w:rFonts w:hint="eastAsia" w:ascii="宋体" w:hAnsi="宋体" w:cs="宋体"/>
                <w:snapToGrid w:val="0"/>
                <w:color w:val="auto"/>
                <w:kern w:val="0"/>
                <w:szCs w:val="21"/>
                <w:highlight w:val="none"/>
              </w:rPr>
              <w:t>若竞标单位为联合体，则联合体协议书中各联合体各成员单位签名（或盖章）须齐全，联合体协议书以外的</w:t>
            </w:r>
            <w:r>
              <w:rPr>
                <w:rFonts w:hint="eastAsia" w:ascii="宋体" w:hAnsi="宋体" w:cs="宋体"/>
                <w:color w:val="auto"/>
                <w:kern w:val="0"/>
                <w:highlight w:val="none"/>
              </w:rPr>
              <w:t>竞标文件格式中，要求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，否则由评标委员会作否决竞标处理。</w:t>
            </w:r>
          </w:p>
        </w:tc>
      </w:tr>
      <w:tr w14:paraId="4D52F0E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4DAC330B">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2FA1BF13">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218EAA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olor w:val="auto"/>
                <w:szCs w:val="21"/>
                <w:highlight w:val="none"/>
              </w:rPr>
              <w:t>竞标人法定代表人的委托代理人有法定代表人签署的授权委托书和竞标人为其缴纳的养老保险证明材料，否则由评标委员会作否决竞标处理。</w:t>
            </w:r>
          </w:p>
        </w:tc>
      </w:tr>
      <w:tr w14:paraId="36B5779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03" w:hRule="atLeast"/>
          <w:jc w:val="center"/>
        </w:trPr>
        <w:tc>
          <w:tcPr>
            <w:tcW w:w="1237" w:type="dxa"/>
            <w:vMerge w:val="continue"/>
            <w:tcBorders>
              <w:tl2br w:val="nil"/>
              <w:tr2bl w:val="nil"/>
            </w:tcBorders>
            <w:shd w:val="clear" w:color="auto" w:fill="FEFEFE"/>
            <w:vAlign w:val="center"/>
          </w:tcPr>
          <w:p w14:paraId="09BAAAC4">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15988319">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tcBorders>
              <w:tl2br w:val="nil"/>
              <w:tr2bl w:val="nil"/>
            </w:tcBorders>
            <w:shd w:val="clear" w:color="auto" w:fill="FEFEFE"/>
            <w:vAlign w:val="center"/>
          </w:tcPr>
          <w:p w14:paraId="7932E7E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w:t>
            </w:r>
            <w:r>
              <w:rPr>
                <w:rFonts w:hint="eastAsia" w:ascii="宋体" w:hAnsi="宋体"/>
                <w:color w:val="auto"/>
                <w:szCs w:val="21"/>
                <w:highlight w:val="none"/>
              </w:rPr>
              <w:t>竞标总报价不得高于比选人公布的竞标总报价最高限价，否则由评标委员会作否决竞标处理。</w:t>
            </w:r>
          </w:p>
        </w:tc>
      </w:tr>
      <w:tr w14:paraId="13E5C2C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3882B2B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EBDA50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EE03CD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6</w:t>
            </w:r>
            <w:r>
              <w:rPr>
                <w:rFonts w:hint="eastAsia" w:ascii="宋体" w:hAnsi="宋体"/>
                <w:color w:val="auto"/>
                <w:szCs w:val="21"/>
                <w:highlight w:val="none"/>
              </w:rPr>
              <w:t>竞标内容符合第二章“竞标人须知”第1.3.1项规定，否则由评标委员会作否决竞标处理。</w:t>
            </w:r>
          </w:p>
        </w:tc>
      </w:tr>
      <w:tr w14:paraId="5C38E22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1A9FA9E2">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663CDB6B">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3C99737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7</w:t>
            </w:r>
            <w:r>
              <w:rPr>
                <w:rFonts w:hint="eastAsia" w:ascii="宋体" w:hAnsi="宋体"/>
                <w:color w:val="auto"/>
                <w:szCs w:val="21"/>
                <w:highlight w:val="none"/>
              </w:rPr>
              <w:t>工期符合第二章“竞标人须知”第1.3.2项规定，否则由评标委员会作否决竞标处理。</w:t>
            </w:r>
          </w:p>
        </w:tc>
      </w:tr>
      <w:tr w14:paraId="06FDE3D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160" w:hRule="atLeast"/>
          <w:jc w:val="center"/>
        </w:trPr>
        <w:tc>
          <w:tcPr>
            <w:tcW w:w="1237" w:type="dxa"/>
            <w:vMerge w:val="continue"/>
            <w:tcBorders>
              <w:tl2br w:val="nil"/>
              <w:tr2bl w:val="nil"/>
            </w:tcBorders>
            <w:shd w:val="clear" w:color="auto" w:fill="FEFEFE"/>
            <w:vAlign w:val="center"/>
          </w:tcPr>
          <w:p w14:paraId="2B0B092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7C8C0D4A">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33D2EC8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8</w:t>
            </w:r>
            <w:r>
              <w:rPr>
                <w:rFonts w:hint="eastAsia" w:ascii="宋体" w:hAnsi="宋体"/>
                <w:color w:val="auto"/>
                <w:szCs w:val="21"/>
                <w:highlight w:val="none"/>
              </w:rPr>
              <w:t>工程质量符合第二章“竞标人须知”第1.3.3项规定，否则由评标委员会作否决竞标处理。</w:t>
            </w:r>
          </w:p>
        </w:tc>
      </w:tr>
      <w:tr w14:paraId="39376E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66456881">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1D6C4047">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B161F8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9</w:t>
            </w:r>
            <w:r>
              <w:rPr>
                <w:rFonts w:hint="eastAsia" w:ascii="宋体" w:hAnsi="宋体"/>
                <w:color w:val="auto"/>
                <w:szCs w:val="21"/>
                <w:highlight w:val="none"/>
              </w:rPr>
              <w:t>竞标有效期符合第二章“竞标人须知”第3.3.1项规定，否则由评标委员会作否决竞标处理。</w:t>
            </w:r>
          </w:p>
        </w:tc>
      </w:tr>
      <w:tr w14:paraId="41DFBD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D37B7B4">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B9C9D31">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EC20A7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20</w:t>
            </w:r>
            <w:r>
              <w:rPr>
                <w:rFonts w:hint="eastAsia" w:ascii="宋体" w:hAnsi="宋体"/>
                <w:color w:val="auto"/>
                <w:szCs w:val="21"/>
                <w:highlight w:val="none"/>
              </w:rPr>
              <w:t>竞标人</w:t>
            </w:r>
            <w:r>
              <w:rPr>
                <w:rFonts w:ascii="宋体" w:hAnsi="宋体"/>
                <w:color w:val="auto"/>
                <w:szCs w:val="21"/>
                <w:highlight w:val="none"/>
              </w:rPr>
              <w:t>应按</w:t>
            </w:r>
            <w:r>
              <w:rPr>
                <w:rFonts w:hint="eastAsia" w:ascii="宋体" w:hAnsi="宋体"/>
                <w:color w:val="auto"/>
                <w:szCs w:val="21"/>
                <w:highlight w:val="none"/>
              </w:rPr>
              <w:t>竞标人须知</w:t>
            </w:r>
            <w:r>
              <w:rPr>
                <w:rFonts w:ascii="宋体" w:hAnsi="宋体"/>
                <w:color w:val="auto"/>
                <w:szCs w:val="21"/>
                <w:highlight w:val="none"/>
              </w:rPr>
              <w:t>前附表</w:t>
            </w:r>
            <w:r>
              <w:rPr>
                <w:rFonts w:hint="eastAsia" w:ascii="宋体" w:hAnsi="宋体"/>
                <w:color w:val="auto"/>
                <w:szCs w:val="21"/>
                <w:highlight w:val="none"/>
              </w:rPr>
              <w:t>第3.4款的</w:t>
            </w:r>
            <w:r>
              <w:rPr>
                <w:rFonts w:ascii="宋体" w:hAnsi="宋体"/>
                <w:color w:val="auto"/>
                <w:szCs w:val="21"/>
                <w:highlight w:val="none"/>
              </w:rPr>
              <w:t>规定递交</w:t>
            </w:r>
            <w:r>
              <w:rPr>
                <w:rFonts w:hint="eastAsia" w:ascii="宋体" w:hAnsi="宋体"/>
                <w:color w:val="auto"/>
                <w:szCs w:val="21"/>
                <w:highlight w:val="none"/>
              </w:rPr>
              <w:t>竞标</w:t>
            </w:r>
            <w:r>
              <w:rPr>
                <w:rFonts w:ascii="宋体" w:hAnsi="宋体"/>
                <w:color w:val="auto"/>
                <w:szCs w:val="21"/>
                <w:highlight w:val="none"/>
              </w:rPr>
              <w:t>保证金，并作为其</w:t>
            </w:r>
            <w:r>
              <w:rPr>
                <w:rFonts w:hint="eastAsia" w:ascii="宋体" w:hAnsi="宋体"/>
                <w:color w:val="auto"/>
                <w:szCs w:val="21"/>
                <w:highlight w:val="none"/>
              </w:rPr>
              <w:t>竞标文件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09BBAD9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73" w:hRule="atLeast"/>
          <w:jc w:val="center"/>
        </w:trPr>
        <w:tc>
          <w:tcPr>
            <w:tcW w:w="1237" w:type="dxa"/>
            <w:vMerge w:val="continue"/>
            <w:tcBorders>
              <w:tl2br w:val="nil"/>
              <w:tr2bl w:val="nil"/>
            </w:tcBorders>
            <w:shd w:val="clear" w:color="auto" w:fill="FEFEFE"/>
            <w:vAlign w:val="center"/>
          </w:tcPr>
          <w:p w14:paraId="48E13189">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8CDB1E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0BD304D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1</w:t>
            </w:r>
            <w:r>
              <w:rPr>
                <w:rFonts w:hint="eastAsia" w:ascii="宋体" w:hAnsi="宋体"/>
                <w:color w:val="auto"/>
                <w:szCs w:val="21"/>
                <w:highlight w:val="none"/>
              </w:rPr>
              <w:t>符合第四章“合同条款及格式”规定，竞标文件不应附有比选人不能接受的条件，否则由评标委员会作否决竞标处理。（由竞标人承诺，承诺书格式详见第六章竞标文件格式。）</w:t>
            </w:r>
          </w:p>
        </w:tc>
      </w:tr>
      <w:tr w14:paraId="12A3E4B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14137FC">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122BB7AA">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A34CB4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rPr>
              <w:t>竞标人有以下情形之一的，其竞标文件由评标委员会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r>
              <w:rPr>
                <w:rFonts w:hint="eastAsia" w:ascii="宋体" w:hAnsi="宋体"/>
                <w:color w:val="auto"/>
                <w:szCs w:val="21"/>
                <w:highlight w:val="none"/>
              </w:rPr>
              <w:t>：</w:t>
            </w:r>
          </w:p>
          <w:p w14:paraId="2FDAC2A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1.第二章“竞标人须知”第1.4.3项规定的任何一种情形的；</w:t>
            </w:r>
          </w:p>
          <w:p w14:paraId="53DEAA8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2.本次竞标有串通竞标、弄虚作假等违反招投标相关法律、法规的行为的；</w:t>
            </w:r>
          </w:p>
          <w:p w14:paraId="299BBC2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4A544B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FEFEFE"/>
            <w:vAlign w:val="center"/>
          </w:tcPr>
          <w:p w14:paraId="593D8F59">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tcBorders>
              <w:tl2br w:val="nil"/>
              <w:tr2bl w:val="nil"/>
            </w:tcBorders>
            <w:shd w:val="clear" w:color="auto" w:fill="FEFEFE"/>
            <w:vAlign w:val="center"/>
          </w:tcPr>
          <w:p w14:paraId="37666D65">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0A187C4E">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val="en-US" w:eastAsia="zh-CN"/>
              </w:rPr>
              <w:t>无</w:t>
            </w:r>
          </w:p>
        </w:tc>
      </w:tr>
    </w:tbl>
    <w:p w14:paraId="438E163A">
      <w:pPr>
        <w:autoSpaceDE w:val="0"/>
        <w:autoSpaceDN w:val="0"/>
        <w:adjustRightInd w:val="0"/>
        <w:snapToGrid w:val="0"/>
        <w:spacing w:line="360" w:lineRule="auto"/>
        <w:jc w:val="left"/>
        <w:rPr>
          <w:rFonts w:ascii="宋体" w:hAnsi="宋体"/>
          <w:b/>
          <w:color w:val="auto"/>
          <w:kern w:val="0"/>
          <w:sz w:val="20"/>
          <w:szCs w:val="20"/>
          <w:highlight w:val="none"/>
        </w:rPr>
      </w:pPr>
    </w:p>
    <w:p w14:paraId="004E62B3">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728C8EC8">
      <w:pPr>
        <w:pStyle w:val="2"/>
        <w:spacing w:line="360" w:lineRule="auto"/>
        <w:jc w:val="center"/>
        <w:rPr>
          <w:rFonts w:ascii="宋体" w:hAnsi="宋体"/>
          <w:color w:val="auto"/>
          <w:kern w:val="0"/>
          <w:highlight w:val="none"/>
        </w:rPr>
      </w:pPr>
      <w:bookmarkStart w:id="271" w:name="_Toc13682"/>
      <w:r>
        <w:rPr>
          <w:rFonts w:hint="eastAsia" w:ascii="宋体" w:hAnsi="宋体"/>
          <w:color w:val="auto"/>
          <w:kern w:val="0"/>
          <w:highlight w:val="none"/>
        </w:rPr>
        <w:t>第四章  合同条款及格式</w:t>
      </w:r>
      <w:bookmarkEnd w:id="235"/>
      <w:bookmarkEnd w:id="236"/>
      <w:bookmarkEnd w:id="237"/>
      <w:bookmarkEnd w:id="271"/>
    </w:p>
    <w:p w14:paraId="5932CFBB">
      <w:pPr>
        <w:rPr>
          <w:rFonts w:ascii="宋体" w:hAnsi="宋体"/>
          <w:color w:val="auto"/>
          <w:sz w:val="44"/>
          <w:szCs w:val="44"/>
          <w:highlight w:val="none"/>
        </w:rPr>
      </w:pPr>
      <w:bookmarkStart w:id="272" w:name="_Toc351203652"/>
      <w:bookmarkStart w:id="273" w:name="_Toc351203632"/>
      <w:bookmarkStart w:id="274" w:name="_Toc532375686"/>
      <w:bookmarkStart w:id="275" w:name="_Toc532377425"/>
      <w:bookmarkStart w:id="276" w:name="_Toc351203480"/>
      <w:bookmarkStart w:id="277" w:name="_Toc296890982"/>
      <w:bookmarkStart w:id="278" w:name="_Toc296503025"/>
      <w:r>
        <w:rPr>
          <w:rFonts w:ascii="宋体" w:hAnsi="宋体"/>
          <w:color w:val="auto"/>
          <w:sz w:val="44"/>
          <w:szCs w:val="44"/>
          <w:highlight w:val="none"/>
        </w:rPr>
        <w:br w:type="page"/>
      </w:r>
    </w:p>
    <w:bookmarkEnd w:id="272"/>
    <w:bookmarkEnd w:id="273"/>
    <w:bookmarkEnd w:id="274"/>
    <w:bookmarkEnd w:id="275"/>
    <w:p w14:paraId="520E5084">
      <w:pPr>
        <w:pStyle w:val="2"/>
        <w:numPr>
          <w:ilvl w:val="0"/>
          <w:numId w:val="0"/>
        </w:numPr>
        <w:ind w:left="3255"/>
        <w:jc w:val="both"/>
        <w:rPr>
          <w:rFonts w:hint="eastAsia" w:ascii="宋体" w:hAnsi="宋体"/>
          <w:color w:val="auto"/>
          <w:kern w:val="0"/>
          <w:sz w:val="28"/>
          <w:szCs w:val="28"/>
          <w:highlight w:val="none"/>
        </w:rPr>
      </w:pPr>
      <w:bookmarkStart w:id="279" w:name="_Toc534185765"/>
      <w:bookmarkStart w:id="280" w:name="_Toc509218786"/>
      <w:bookmarkStart w:id="281" w:name="_Toc174350643"/>
      <w:bookmarkStart w:id="282" w:name="_Toc351203494"/>
      <w:r>
        <w:rPr>
          <w:rFonts w:ascii="宋体" w:hAnsi="宋体"/>
          <w:color w:val="auto"/>
          <w:kern w:val="0"/>
          <w:sz w:val="28"/>
          <w:szCs w:val="28"/>
          <w:highlight w:val="none"/>
        </w:rPr>
        <w:t>第一部分 合同协议书</w:t>
      </w:r>
      <w:bookmarkEnd w:id="279"/>
      <w:bookmarkEnd w:id="280"/>
      <w:bookmarkEnd w:id="281"/>
      <w:bookmarkEnd w:id="282"/>
    </w:p>
    <w:p w14:paraId="50A2A10C">
      <w:pPr>
        <w:rPr>
          <w:color w:val="auto"/>
          <w:highlight w:val="none"/>
        </w:rPr>
      </w:pPr>
    </w:p>
    <w:p w14:paraId="6A92280C">
      <w:pPr>
        <w:widowControl/>
        <w:tabs>
          <w:tab w:val="left" w:pos="1820"/>
          <w:tab w:val="left" w:pos="9072"/>
          <w:tab w:val="left" w:pos="9781"/>
        </w:tabs>
        <w:spacing w:line="360" w:lineRule="auto"/>
        <w:ind w:firstLine="422" w:firstLineChars="200"/>
        <w:jc w:val="left"/>
        <w:rPr>
          <w:rFonts w:hint="eastAsia" w:ascii="宋体" w:hAnsi="宋体"/>
          <w:b/>
          <w:color w:val="auto"/>
          <w:kern w:val="0"/>
          <w:szCs w:val="21"/>
          <w:highlight w:val="none"/>
          <w:u w:val="single"/>
        </w:rPr>
      </w:pPr>
      <w:r>
        <w:rPr>
          <w:rFonts w:ascii="宋体" w:hAnsi="宋体"/>
          <w:b/>
          <w:color w:val="auto"/>
          <w:kern w:val="0"/>
          <w:szCs w:val="21"/>
          <w:highlight w:val="none"/>
        </w:rPr>
        <w:t>发包人：</w:t>
      </w:r>
      <w:r>
        <w:rPr>
          <w:rFonts w:ascii="宋体" w:hAnsi="宋体"/>
          <w:b/>
          <w:color w:val="auto"/>
          <w:kern w:val="0"/>
          <w:szCs w:val="21"/>
          <w:highlight w:val="none"/>
          <w:u w:val="single"/>
        </w:rPr>
        <w:t xml:space="preserve">                </w:t>
      </w:r>
    </w:p>
    <w:p w14:paraId="0234D8C9">
      <w:pPr>
        <w:widowControl/>
        <w:tabs>
          <w:tab w:val="left" w:pos="1820"/>
          <w:tab w:val="left" w:pos="9072"/>
          <w:tab w:val="left" w:pos="9781"/>
        </w:tabs>
        <w:spacing w:line="360" w:lineRule="auto"/>
        <w:ind w:firstLine="422" w:firstLineChars="200"/>
        <w:jc w:val="left"/>
        <w:rPr>
          <w:rFonts w:hint="eastAsia" w:ascii="宋体" w:hAnsi="宋体"/>
          <w:b/>
          <w:color w:val="auto"/>
          <w:kern w:val="0"/>
          <w:szCs w:val="21"/>
          <w:highlight w:val="none"/>
        </w:rPr>
      </w:pPr>
      <w:r>
        <w:rPr>
          <w:rFonts w:ascii="宋体" w:hAnsi="宋体"/>
          <w:b/>
          <w:color w:val="auto"/>
          <w:kern w:val="0"/>
          <w:szCs w:val="21"/>
          <w:highlight w:val="none"/>
        </w:rPr>
        <w:t>设计人：</w:t>
      </w:r>
      <w:r>
        <w:rPr>
          <w:rFonts w:ascii="宋体" w:hAnsi="宋体"/>
          <w:b/>
          <w:color w:val="auto"/>
          <w:kern w:val="0"/>
          <w:szCs w:val="21"/>
          <w:highlight w:val="none"/>
          <w:u w:val="single"/>
        </w:rPr>
        <w:t xml:space="preserve">                </w:t>
      </w:r>
    </w:p>
    <w:p w14:paraId="448B90A2">
      <w:pPr>
        <w:widowControl/>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依据《</w:t>
      </w:r>
      <w:r>
        <w:rPr>
          <w:rFonts w:ascii="宋体" w:hAnsi="宋体"/>
          <w:color w:val="auto"/>
          <w:szCs w:val="21"/>
          <w:highlight w:val="none"/>
        </w:rPr>
        <w:t>中华人民共和国</w:t>
      </w:r>
      <w:r>
        <w:rPr>
          <w:rFonts w:hint="eastAsia" w:ascii="宋体" w:hAnsi="宋体"/>
          <w:color w:val="auto"/>
          <w:szCs w:val="21"/>
          <w:highlight w:val="none"/>
        </w:rPr>
        <w:t>民法典</w:t>
      </w:r>
      <w:r>
        <w:rPr>
          <w:rFonts w:ascii="宋体" w:hAnsi="宋体"/>
          <w:color w:val="auto"/>
          <w:szCs w:val="21"/>
          <w:highlight w:val="none"/>
        </w:rPr>
        <w:t>》、《中华人民共和国建筑法》、《建设工程勘察设计管理条例》</w:t>
      </w:r>
      <w:r>
        <w:rPr>
          <w:rFonts w:ascii="宋体" w:hAnsi="宋体"/>
          <w:color w:val="auto"/>
          <w:kern w:val="0"/>
          <w:szCs w:val="21"/>
          <w:highlight w:val="none"/>
        </w:rPr>
        <w:t>及有关法律规定，遵循平等、自愿、公平和诚实信用的原则，双方就</w:t>
      </w:r>
      <w:r>
        <w:rPr>
          <w:rFonts w:hint="eastAsia" w:ascii="宋体" w:hAnsi="宋体"/>
          <w:color w:val="auto"/>
          <w:kern w:val="0"/>
          <w:szCs w:val="21"/>
          <w:highlight w:val="none"/>
          <w:u w:val="single"/>
        </w:rPr>
        <w:t>南岸区二贸片区老旧街区改造工程</w:t>
      </w:r>
      <w:r>
        <w:rPr>
          <w:rFonts w:ascii="宋体" w:hAnsi="宋体"/>
          <w:color w:val="auto"/>
          <w:kern w:val="0"/>
          <w:szCs w:val="21"/>
          <w:highlight w:val="none"/>
        </w:rPr>
        <w:t>服务及有关事项协商一致，共同达成如下协议：</w:t>
      </w:r>
    </w:p>
    <w:p w14:paraId="24E99F8A">
      <w:pPr>
        <w:widowControl/>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1.下列文件一起构成合同文件：</w:t>
      </w:r>
    </w:p>
    <w:p w14:paraId="3AA9B1FB">
      <w:pPr>
        <w:widowControl/>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（1）合同协议书及补充协议（如有）；</w:t>
      </w:r>
    </w:p>
    <w:p w14:paraId="61BAB419">
      <w:pPr>
        <w:widowControl/>
        <w:tabs>
          <w:tab w:val="left" w:pos="9072"/>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（2）中标通知书；</w:t>
      </w:r>
    </w:p>
    <w:p w14:paraId="1A3B1576">
      <w:pPr>
        <w:widowControl/>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（3）投标函及投标函附录；</w:t>
      </w:r>
    </w:p>
    <w:p w14:paraId="35287953">
      <w:pPr>
        <w:widowControl/>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（4）专用合同条款及其附件；</w:t>
      </w:r>
    </w:p>
    <w:p w14:paraId="189362A9">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（5）通用合同条款；</w:t>
      </w:r>
    </w:p>
    <w:p w14:paraId="51231FDE">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（6）发包人要求；</w:t>
      </w:r>
    </w:p>
    <w:p w14:paraId="71545F36">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（7）设计费用清单（如有）；</w:t>
      </w:r>
    </w:p>
    <w:p w14:paraId="1506F1D8">
      <w:pPr>
        <w:widowControl/>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（8）设计方案；</w:t>
      </w:r>
    </w:p>
    <w:p w14:paraId="03E918C6">
      <w:pPr>
        <w:widowControl/>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）其他合同文件。</w:t>
      </w:r>
    </w:p>
    <w:p w14:paraId="1B0F9A2C">
      <w:pPr>
        <w:widowControl/>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上述各项合同文件包括合同当事人就该项合同文件所作出的补充和修改，属于同一类内容的文件，应以最新签署的为准。</w:t>
      </w:r>
    </w:p>
    <w:p w14:paraId="7E98601E">
      <w:pPr>
        <w:widowControl/>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2.上述合同文件互相补充和解释。如果合同文件之间存在矛盾或不一致之处，以上述文件的排列顺序在先者为准。</w:t>
      </w:r>
    </w:p>
    <w:p w14:paraId="0170619E">
      <w:pPr>
        <w:widowControl/>
        <w:tabs>
          <w:tab w:val="left" w:pos="9072"/>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3.项目名称、投资及设计内容</w:t>
      </w:r>
    </w:p>
    <w:p w14:paraId="1A3F4292">
      <w:pPr>
        <w:widowControl/>
        <w:tabs>
          <w:tab w:val="left" w:pos="9072"/>
          <w:tab w:val="left" w:pos="9230"/>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bCs/>
          <w:color w:val="auto"/>
          <w:kern w:val="0"/>
          <w:szCs w:val="21"/>
          <w:highlight w:val="none"/>
        </w:rPr>
        <w:t>①</w:t>
      </w:r>
      <w:r>
        <w:rPr>
          <w:rFonts w:ascii="宋体" w:hAnsi="宋体"/>
          <w:color w:val="auto"/>
          <w:kern w:val="0"/>
          <w:szCs w:val="21"/>
          <w:highlight w:val="none"/>
        </w:rPr>
        <w:t>项目</w:t>
      </w:r>
      <w:r>
        <w:rPr>
          <w:rFonts w:ascii="宋体" w:hAnsi="宋体"/>
          <w:bCs/>
          <w:color w:val="auto"/>
          <w:kern w:val="0"/>
          <w:szCs w:val="21"/>
          <w:highlight w:val="none"/>
        </w:rPr>
        <w:t>名称</w:t>
      </w:r>
      <w:r>
        <w:rPr>
          <w:rFonts w:ascii="宋体" w:hAnsi="宋体"/>
          <w:color w:val="auto"/>
          <w:kern w:val="0"/>
          <w:szCs w:val="21"/>
          <w:highlight w:val="none"/>
        </w:rPr>
        <w:t>：</w:t>
      </w:r>
      <w:r>
        <w:rPr>
          <w:rFonts w:hint="eastAsia" w:ascii="宋体" w:hAnsi="宋体"/>
          <w:color w:val="auto"/>
          <w:szCs w:val="21"/>
          <w:highlight w:val="none"/>
        </w:rPr>
        <w:t>南岸区二贸片区老旧街区改造工程</w:t>
      </w:r>
      <w:r>
        <w:rPr>
          <w:rFonts w:ascii="宋体" w:hAnsi="宋体"/>
          <w:color w:val="auto"/>
          <w:kern w:val="0"/>
          <w:szCs w:val="21"/>
          <w:highlight w:val="none"/>
        </w:rPr>
        <w:t>。</w:t>
      </w:r>
    </w:p>
    <w:p w14:paraId="684B5727">
      <w:pPr>
        <w:widowControl/>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s="宋体"/>
          <w:bCs/>
          <w:color w:val="auto"/>
          <w:kern w:val="0"/>
          <w:szCs w:val="21"/>
          <w:highlight w:val="none"/>
        </w:rPr>
        <w:t>②</w:t>
      </w:r>
      <w:r>
        <w:rPr>
          <w:rFonts w:ascii="宋体" w:hAnsi="宋体"/>
          <w:color w:val="auto"/>
          <w:kern w:val="0"/>
          <w:szCs w:val="21"/>
          <w:highlight w:val="none"/>
        </w:rPr>
        <w:t>规模（房屋建筑工程）：</w:t>
      </w:r>
      <w:r>
        <w:rPr>
          <w:rFonts w:ascii="宋体" w:hAnsi="宋体"/>
          <w:color w:val="auto"/>
          <w:kern w:val="0"/>
          <w:szCs w:val="21"/>
          <w:highlight w:val="none"/>
          <w:u w:val="single"/>
        </w:rPr>
        <w:t>规划占地面积：        平方米，总建筑面积：       平方米（其中地上约    平方米，地下约   平方米）；地上      层，地下    层；建筑高度     米。</w:t>
      </w:r>
    </w:p>
    <w:p w14:paraId="228F0FFC">
      <w:pPr>
        <w:widowControl/>
        <w:tabs>
          <w:tab w:val="left" w:pos="9072"/>
          <w:tab w:val="left" w:pos="922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（市政道路工程）：道路长约   km，设计时速为   km/h，路幅宽度为    ，    路面；有   立交   处；桥梁   座，计长   m；隧道   座，计长    m。</w:t>
      </w:r>
    </w:p>
    <w:p w14:paraId="11C69CD1">
      <w:pPr>
        <w:widowControl/>
        <w:tabs>
          <w:tab w:val="left" w:pos="9072"/>
          <w:tab w:val="left" w:pos="922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（市政公用工程）：厂区占地面积：</w:t>
      </w:r>
      <w:r>
        <w:rPr>
          <w:rFonts w:ascii="宋体" w:hAnsi="宋体"/>
          <w:color w:val="auto"/>
          <w:kern w:val="0"/>
          <w:szCs w:val="21"/>
          <w:highlight w:val="none"/>
          <w:u w:val="single"/>
        </w:rPr>
        <w:t xml:space="preserve">        平方米，总建筑面积：       平方米，日处理量       。</w:t>
      </w:r>
    </w:p>
    <w:p w14:paraId="67F2B2E6">
      <w:pPr>
        <w:widowControl/>
        <w:tabs>
          <w:tab w:val="left" w:pos="9072"/>
          <w:tab w:val="left" w:pos="922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（以上内容须根据工程特点自行填写）</w:t>
      </w:r>
    </w:p>
    <w:p w14:paraId="78A97D23">
      <w:pPr>
        <w:widowControl/>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③</w:t>
      </w:r>
      <w:r>
        <w:rPr>
          <w:rFonts w:ascii="宋体" w:hAnsi="宋体"/>
          <w:color w:val="auto"/>
          <w:kern w:val="0"/>
          <w:szCs w:val="21"/>
          <w:highlight w:val="none"/>
        </w:rPr>
        <w:t>项目</w:t>
      </w:r>
      <w:r>
        <w:rPr>
          <w:rFonts w:ascii="宋体" w:hAnsi="宋体"/>
          <w:bCs/>
          <w:color w:val="auto"/>
          <w:kern w:val="0"/>
          <w:szCs w:val="21"/>
          <w:highlight w:val="none"/>
        </w:rPr>
        <w:t>地点：</w:t>
      </w:r>
      <w:r>
        <w:rPr>
          <w:rFonts w:hint="eastAsia" w:ascii="宋体" w:hAnsi="宋体"/>
          <w:color w:val="auto"/>
          <w:kern w:val="0"/>
          <w:szCs w:val="21"/>
          <w:highlight w:val="none"/>
          <w:u w:val="single"/>
        </w:rPr>
        <w:t>重庆市南岸区二贸片区</w:t>
      </w:r>
      <w:r>
        <w:rPr>
          <w:rFonts w:ascii="宋体" w:hAnsi="宋体"/>
          <w:color w:val="auto"/>
          <w:kern w:val="0"/>
          <w:szCs w:val="21"/>
          <w:highlight w:val="none"/>
        </w:rPr>
        <w:t>。</w:t>
      </w:r>
    </w:p>
    <w:p w14:paraId="5FCBAF37">
      <w:pPr>
        <w:widowControl/>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④</w:t>
      </w:r>
      <w:r>
        <w:rPr>
          <w:rFonts w:ascii="宋体" w:hAnsi="宋体"/>
          <w:color w:val="auto"/>
          <w:kern w:val="0"/>
          <w:szCs w:val="21"/>
          <w:highlight w:val="none"/>
        </w:rPr>
        <w:t>项目</w:t>
      </w:r>
      <w:r>
        <w:rPr>
          <w:rFonts w:ascii="宋体" w:hAnsi="宋体"/>
          <w:bCs/>
          <w:color w:val="auto"/>
          <w:kern w:val="0"/>
          <w:szCs w:val="21"/>
          <w:highlight w:val="none"/>
        </w:rPr>
        <w:t>立项：</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55F2AE31">
      <w:pPr>
        <w:widowControl/>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⑤</w:t>
      </w:r>
      <w:r>
        <w:rPr>
          <w:rFonts w:ascii="宋体" w:hAnsi="宋体"/>
          <w:bCs/>
          <w:color w:val="auto"/>
          <w:kern w:val="0"/>
          <w:szCs w:val="21"/>
          <w:highlight w:val="none"/>
        </w:rPr>
        <w:t>资金来源：</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3B89C737">
      <w:pPr>
        <w:widowControl/>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⑥</w:t>
      </w:r>
      <w:r>
        <w:rPr>
          <w:rFonts w:ascii="宋体" w:hAnsi="宋体"/>
          <w:color w:val="auto"/>
          <w:kern w:val="0"/>
          <w:szCs w:val="21"/>
          <w:highlight w:val="none"/>
        </w:rPr>
        <w:t>工作内容</w:t>
      </w:r>
      <w:r>
        <w:rPr>
          <w:rFonts w:ascii="宋体" w:hAnsi="宋体"/>
          <w:bCs/>
          <w:color w:val="auto"/>
          <w:kern w:val="0"/>
          <w:szCs w:val="21"/>
          <w:highlight w:val="none"/>
        </w:rPr>
        <w:t>：</w:t>
      </w:r>
      <w:r>
        <w:rPr>
          <w:rFonts w:ascii="宋体" w:hAnsi="宋体"/>
          <w:color w:val="auto"/>
          <w:kern w:val="0"/>
          <w:szCs w:val="21"/>
          <w:highlight w:val="none"/>
          <w:u w:val="single"/>
        </w:rPr>
        <w:t xml:space="preserve">               </w:t>
      </w:r>
      <w:r>
        <w:rPr>
          <w:rFonts w:ascii="宋体" w:hAnsi="宋体"/>
          <w:bCs/>
          <w:color w:val="auto"/>
          <w:kern w:val="0"/>
          <w:szCs w:val="21"/>
          <w:highlight w:val="none"/>
        </w:rPr>
        <w:t xml:space="preserve">。 </w:t>
      </w:r>
    </w:p>
    <w:p w14:paraId="2D914853">
      <w:pPr>
        <w:widowControl/>
        <w:tabs>
          <w:tab w:val="left" w:pos="9640"/>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4.签约合同价：人民币（大写）</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，其中暂列金额：</w:t>
      </w:r>
      <w:r>
        <w:rPr>
          <w:rFonts w:ascii="宋体" w:hAnsi="宋体"/>
          <w:color w:val="auto"/>
          <w:kern w:val="0"/>
          <w:szCs w:val="21"/>
          <w:highlight w:val="none"/>
        </w:rPr>
        <w:t>人民币（大写）</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20D3F41">
      <w:pPr>
        <w:widowControl/>
        <w:tabs>
          <w:tab w:val="left" w:pos="9072"/>
          <w:tab w:val="left" w:pos="9640"/>
        </w:tabs>
        <w:spacing w:line="360" w:lineRule="auto"/>
        <w:ind w:firstLine="420" w:firstLineChars="200"/>
        <w:jc w:val="left"/>
        <w:rPr>
          <w:rFonts w:hint="eastAsia" w:ascii="宋体" w:hAnsi="宋体"/>
          <w:bCs/>
          <w:color w:val="auto"/>
          <w:kern w:val="0"/>
          <w:szCs w:val="21"/>
          <w:highlight w:val="none"/>
        </w:rPr>
      </w:pPr>
      <w:r>
        <w:rPr>
          <w:rFonts w:ascii="宋体" w:hAnsi="宋体"/>
          <w:color w:val="auto"/>
          <w:kern w:val="0"/>
          <w:szCs w:val="21"/>
          <w:highlight w:val="none"/>
        </w:rPr>
        <w:t>5.项目负责人：</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482EAF27">
      <w:pPr>
        <w:widowControl/>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6.设计工作质量符合的标准和要求：</w:t>
      </w:r>
      <w:r>
        <w:rPr>
          <w:rFonts w:hint="eastAsia" w:ascii="宋体" w:hAnsi="宋体"/>
          <w:color w:val="auto"/>
          <w:kern w:val="0"/>
          <w:szCs w:val="21"/>
          <w:highlight w:val="none"/>
          <w:u w:val="single"/>
        </w:rPr>
        <w:t>工程设计严格执行工程建设强制性质量标准，达到合格标准</w:t>
      </w:r>
      <w:r>
        <w:rPr>
          <w:rFonts w:ascii="宋体" w:hAnsi="宋体"/>
          <w:color w:val="auto"/>
          <w:kern w:val="0"/>
          <w:szCs w:val="21"/>
          <w:highlight w:val="none"/>
        </w:rPr>
        <w:t>。</w:t>
      </w:r>
    </w:p>
    <w:p w14:paraId="46E4778A">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7.设计人承诺按合同约定承担工程的设计工作。</w:t>
      </w:r>
    </w:p>
    <w:p w14:paraId="540025EE">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8.发包人承诺按合同约定的条件、时间和方式向设计人支付合同价款。</w:t>
      </w:r>
    </w:p>
    <w:p w14:paraId="1373ACF3">
      <w:pPr>
        <w:widowControl/>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9.设计人计划开始设计日期：</w:t>
      </w:r>
      <w:r>
        <w:rPr>
          <w:rFonts w:ascii="宋体" w:hAnsi="宋体"/>
          <w:color w:val="auto"/>
          <w:kern w:val="0"/>
          <w:szCs w:val="21"/>
          <w:highlight w:val="none"/>
          <w:u w:val="single"/>
        </w:rPr>
        <w:t xml:space="preserve">      </w:t>
      </w:r>
      <w:r>
        <w:rPr>
          <w:rFonts w:ascii="宋体" w:hAnsi="宋体"/>
          <w:color w:val="auto"/>
          <w:kern w:val="0"/>
          <w:szCs w:val="21"/>
          <w:highlight w:val="none"/>
        </w:rPr>
        <w:t>，实际日期</w:t>
      </w:r>
      <w:r>
        <w:rPr>
          <w:rFonts w:hint="eastAsia" w:ascii="宋体" w:hAnsi="宋体"/>
          <w:color w:val="auto"/>
          <w:kern w:val="0"/>
          <w:szCs w:val="21"/>
          <w:highlight w:val="none"/>
        </w:rPr>
        <w:t>以</w:t>
      </w:r>
      <w:r>
        <w:rPr>
          <w:rFonts w:ascii="宋体" w:hAnsi="宋体"/>
          <w:color w:val="auto"/>
          <w:kern w:val="0"/>
          <w:szCs w:val="21"/>
          <w:highlight w:val="none"/>
        </w:rPr>
        <w:t>发包人在开始设计通知中载明的开始设计日期为准。设计服务期限</w:t>
      </w:r>
      <w:r>
        <w:rPr>
          <w:rFonts w:hint="eastAsia" w:ascii="宋体" w:hAnsi="宋体"/>
          <w:color w:val="auto"/>
          <w:kern w:val="0"/>
          <w:szCs w:val="21"/>
          <w:highlight w:val="none"/>
        </w:rPr>
        <w:t>从</w:t>
      </w:r>
      <w:r>
        <w:rPr>
          <w:rFonts w:ascii="宋体" w:hAnsi="宋体"/>
          <w:color w:val="auto"/>
          <w:kern w:val="0"/>
          <w:szCs w:val="21"/>
          <w:highlight w:val="none"/>
        </w:rPr>
        <w:t>开始设计通知中载明的开始设计日期起至竣工验收合格之日止。</w:t>
      </w:r>
    </w:p>
    <w:p w14:paraId="4664B07F">
      <w:pPr>
        <w:widowControl/>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其中：</w:t>
      </w:r>
      <w:r>
        <w:rPr>
          <w:rFonts w:ascii="宋体" w:hAnsi="宋体"/>
          <w:color w:val="auto"/>
          <w:kern w:val="0"/>
          <w:szCs w:val="21"/>
          <w:highlight w:val="none"/>
          <w:u w:val="single"/>
        </w:rPr>
        <w:t>方案设计</w:t>
      </w:r>
      <w:r>
        <w:rPr>
          <w:rFonts w:hint="eastAsia" w:ascii="宋体" w:hAnsi="宋体"/>
          <w:color w:val="auto"/>
          <w:kern w:val="0"/>
          <w:szCs w:val="21"/>
          <w:highlight w:val="none"/>
          <w:u w:val="single"/>
        </w:rPr>
        <w:t xml:space="preserve">   天；</w:t>
      </w:r>
      <w:r>
        <w:rPr>
          <w:rFonts w:ascii="宋体" w:hAnsi="宋体"/>
          <w:color w:val="auto"/>
          <w:kern w:val="0"/>
          <w:szCs w:val="21"/>
          <w:highlight w:val="none"/>
          <w:u w:val="single"/>
        </w:rPr>
        <w:t>初步设计</w:t>
      </w:r>
      <w:r>
        <w:rPr>
          <w:rFonts w:hint="eastAsia" w:ascii="宋体" w:hAnsi="宋体"/>
          <w:color w:val="auto"/>
          <w:kern w:val="0"/>
          <w:szCs w:val="21"/>
          <w:highlight w:val="none"/>
          <w:u w:val="single"/>
        </w:rPr>
        <w:t xml:space="preserve">   天；</w:t>
      </w:r>
      <w:r>
        <w:rPr>
          <w:rFonts w:ascii="宋体" w:hAnsi="宋体"/>
          <w:color w:val="auto"/>
          <w:kern w:val="0"/>
          <w:szCs w:val="21"/>
          <w:highlight w:val="none"/>
          <w:u w:val="single"/>
        </w:rPr>
        <w:t>施工图设计</w:t>
      </w:r>
      <w:r>
        <w:rPr>
          <w:rFonts w:hint="eastAsia" w:ascii="宋体" w:hAnsi="宋体"/>
          <w:color w:val="auto"/>
          <w:kern w:val="0"/>
          <w:szCs w:val="21"/>
          <w:highlight w:val="none"/>
          <w:u w:val="single"/>
        </w:rPr>
        <w:t xml:space="preserve">   天</w:t>
      </w:r>
      <w:r>
        <w:rPr>
          <w:rFonts w:hint="eastAsia" w:ascii="宋体" w:hAnsi="宋体"/>
          <w:color w:val="auto"/>
          <w:kern w:val="0"/>
          <w:szCs w:val="21"/>
          <w:highlight w:val="none"/>
        </w:rPr>
        <w:t>。</w:t>
      </w:r>
    </w:p>
    <w:p w14:paraId="654356F4">
      <w:pPr>
        <w:widowControl/>
        <w:tabs>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10.合同生效</w:t>
      </w:r>
    </w:p>
    <w:p w14:paraId="6876B78E">
      <w:pPr>
        <w:widowControl/>
        <w:tabs>
          <w:tab w:val="left" w:pos="9072"/>
          <w:tab w:val="left" w:pos="9640"/>
        </w:tabs>
        <w:spacing w:line="360" w:lineRule="auto"/>
        <w:ind w:firstLine="420" w:firstLineChars="200"/>
        <w:jc w:val="left"/>
        <w:rPr>
          <w:rFonts w:hint="eastAsia" w:ascii="宋体" w:hAnsi="宋体"/>
          <w:color w:val="auto"/>
          <w:kern w:val="0"/>
          <w:szCs w:val="21"/>
          <w:highlight w:val="none"/>
          <w:lang w:bidi="ar"/>
        </w:rPr>
      </w:pPr>
      <w:r>
        <w:rPr>
          <w:rFonts w:ascii="宋体" w:hAnsi="宋体"/>
          <w:color w:val="auto"/>
          <w:kern w:val="0"/>
          <w:szCs w:val="21"/>
          <w:highlight w:val="none"/>
          <w:lang w:bidi="ar"/>
        </w:rPr>
        <w:t>本合同在以下条件全部满足之后生效：</w:t>
      </w:r>
    </w:p>
    <w:p w14:paraId="30645699">
      <w:pPr>
        <w:widowControl/>
        <w:tabs>
          <w:tab w:val="left" w:pos="9072"/>
          <w:tab w:val="left" w:pos="9640"/>
        </w:tabs>
        <w:spacing w:line="360" w:lineRule="auto"/>
        <w:ind w:firstLine="420" w:firstLineChars="200"/>
        <w:jc w:val="left"/>
        <w:rPr>
          <w:rFonts w:hint="eastAsia" w:ascii="宋体" w:hAnsi="宋体"/>
          <w:color w:val="auto"/>
          <w:kern w:val="0"/>
          <w:szCs w:val="21"/>
          <w:highlight w:val="none"/>
          <w:lang w:bidi="ar"/>
        </w:rPr>
      </w:pPr>
      <w:r>
        <w:rPr>
          <w:rFonts w:hint="eastAsia" w:ascii="宋体" w:hAnsi="宋体"/>
          <w:color w:val="auto"/>
          <w:kern w:val="0"/>
          <w:szCs w:val="21"/>
          <w:highlight w:val="none"/>
          <w:lang w:bidi="ar"/>
        </w:rPr>
        <w:t>（1）</w:t>
      </w:r>
      <w:r>
        <w:rPr>
          <w:rFonts w:ascii="宋体" w:hAnsi="宋体"/>
          <w:color w:val="auto"/>
          <w:kern w:val="0"/>
          <w:szCs w:val="21"/>
          <w:highlight w:val="none"/>
          <w:lang w:bidi="ar"/>
        </w:rPr>
        <w:t>经双方法定代表人或其委托代理人签名并加盖公章或合同专用章；</w:t>
      </w:r>
    </w:p>
    <w:p w14:paraId="689E20D4">
      <w:pPr>
        <w:widowControl/>
        <w:tabs>
          <w:tab w:val="left" w:pos="9072"/>
          <w:tab w:val="left" w:pos="9640"/>
        </w:tabs>
        <w:spacing w:line="360" w:lineRule="auto"/>
        <w:ind w:firstLine="420" w:firstLineChars="200"/>
        <w:jc w:val="left"/>
        <w:rPr>
          <w:rFonts w:hint="eastAsia" w:ascii="宋体" w:hAnsi="宋体"/>
          <w:color w:val="auto"/>
          <w:kern w:val="0"/>
          <w:szCs w:val="21"/>
          <w:highlight w:val="none"/>
          <w:lang w:bidi="ar"/>
        </w:rPr>
      </w:pPr>
      <w:r>
        <w:rPr>
          <w:rFonts w:hint="eastAsia" w:ascii="宋体" w:hAnsi="宋体"/>
          <w:color w:val="auto"/>
          <w:kern w:val="0"/>
          <w:szCs w:val="21"/>
          <w:highlight w:val="none"/>
          <w:lang w:bidi="ar"/>
        </w:rPr>
        <w:t>（2）</w:t>
      </w:r>
      <w:r>
        <w:rPr>
          <w:rFonts w:ascii="宋体" w:hAnsi="宋体"/>
          <w:color w:val="auto"/>
          <w:kern w:val="0"/>
          <w:szCs w:val="21"/>
          <w:highlight w:val="none"/>
          <w:lang w:bidi="ar"/>
        </w:rPr>
        <w:t>采用保函形式递交履约担保的，承包人按合同约定向发包人提交履约担保后；</w:t>
      </w:r>
    </w:p>
    <w:p w14:paraId="3D7EB486">
      <w:pPr>
        <w:widowControl/>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lang w:bidi="ar"/>
        </w:rPr>
        <w:t>（3）</w:t>
      </w:r>
      <w:r>
        <w:rPr>
          <w:rFonts w:ascii="宋体" w:hAnsi="宋体"/>
          <w:color w:val="auto"/>
          <w:kern w:val="0"/>
          <w:szCs w:val="21"/>
          <w:highlight w:val="none"/>
          <w:u w:val="single"/>
          <w:lang w:bidi="ar"/>
        </w:rPr>
        <w:t xml:space="preserve">        </w:t>
      </w:r>
      <w:r>
        <w:rPr>
          <w:rFonts w:ascii="宋体" w:hAnsi="宋体"/>
          <w:color w:val="auto"/>
          <w:kern w:val="0"/>
          <w:szCs w:val="21"/>
          <w:highlight w:val="none"/>
          <w:lang w:bidi="ar"/>
        </w:rPr>
        <w:t>。</w:t>
      </w:r>
    </w:p>
    <w:p w14:paraId="3C761A57">
      <w:pPr>
        <w:widowControl/>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11.本合同协议书一式</w:t>
      </w:r>
      <w:r>
        <w:rPr>
          <w:rFonts w:ascii="宋体" w:hAnsi="宋体"/>
          <w:color w:val="auto"/>
          <w:kern w:val="0"/>
          <w:szCs w:val="21"/>
          <w:highlight w:val="none"/>
          <w:u w:val="single"/>
        </w:rPr>
        <w:t xml:space="preserve">    </w:t>
      </w:r>
      <w:r>
        <w:rPr>
          <w:rFonts w:ascii="宋体" w:hAnsi="宋体"/>
          <w:color w:val="auto"/>
          <w:kern w:val="0"/>
          <w:szCs w:val="21"/>
          <w:highlight w:val="none"/>
        </w:rPr>
        <w:t>份，合同双方各执</w:t>
      </w:r>
      <w:r>
        <w:rPr>
          <w:rFonts w:ascii="宋体" w:hAnsi="宋体"/>
          <w:color w:val="auto"/>
          <w:kern w:val="0"/>
          <w:szCs w:val="21"/>
          <w:highlight w:val="none"/>
          <w:u w:val="single"/>
        </w:rPr>
        <w:t xml:space="preserve">    </w:t>
      </w:r>
      <w:r>
        <w:rPr>
          <w:rFonts w:ascii="宋体" w:hAnsi="宋体"/>
          <w:color w:val="auto"/>
          <w:kern w:val="0"/>
          <w:szCs w:val="21"/>
          <w:highlight w:val="none"/>
        </w:rPr>
        <w:t>份。</w:t>
      </w:r>
    </w:p>
    <w:p w14:paraId="3A2A64D1">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合同未尽事宜，双方另行签订补充协议。补充协议是合同的组成部分。</w:t>
      </w:r>
    </w:p>
    <w:p w14:paraId="42CCE7C2">
      <w:pPr>
        <w:pStyle w:val="18"/>
        <w:rPr>
          <w:color w:val="auto"/>
          <w:highlight w:val="none"/>
        </w:rPr>
      </w:pPr>
    </w:p>
    <w:p w14:paraId="2CAA0C5F">
      <w:pPr>
        <w:widowControl/>
        <w:tabs>
          <w:tab w:val="left" w:pos="9072"/>
          <w:tab w:val="left" w:pos="9781"/>
        </w:tabs>
        <w:spacing w:line="360" w:lineRule="auto"/>
        <w:ind w:right="120" w:rightChars="57"/>
        <w:jc w:val="left"/>
        <w:rPr>
          <w:rFonts w:hint="eastAsia" w:ascii="宋体" w:hAnsi="宋体"/>
          <w:color w:val="auto"/>
          <w:kern w:val="0"/>
          <w:szCs w:val="21"/>
          <w:highlight w:val="none"/>
        </w:rPr>
      </w:pPr>
      <w:r>
        <w:rPr>
          <w:rFonts w:ascii="宋体" w:hAnsi="宋体"/>
          <w:color w:val="auto"/>
          <w:kern w:val="0"/>
          <w:szCs w:val="21"/>
          <w:highlight w:val="none"/>
        </w:rPr>
        <w:t>发包人：     （盖单位章）                 设计人：         （盖单位章）</w:t>
      </w:r>
    </w:p>
    <w:p w14:paraId="6D653C06">
      <w:pPr>
        <w:pStyle w:val="18"/>
        <w:rPr>
          <w:color w:val="auto"/>
          <w:highlight w:val="none"/>
        </w:rPr>
      </w:pPr>
    </w:p>
    <w:p w14:paraId="0DC228BB">
      <w:pPr>
        <w:widowControl/>
        <w:tabs>
          <w:tab w:val="left" w:pos="9072"/>
          <w:tab w:val="left" w:pos="9781"/>
        </w:tabs>
        <w:spacing w:line="360" w:lineRule="auto"/>
        <w:ind w:right="120" w:rightChars="57"/>
        <w:jc w:val="left"/>
        <w:rPr>
          <w:rFonts w:hint="eastAsia" w:ascii="宋体" w:hAnsi="宋体"/>
          <w:color w:val="auto"/>
          <w:kern w:val="0"/>
          <w:szCs w:val="21"/>
          <w:highlight w:val="none"/>
        </w:rPr>
      </w:pPr>
      <w:r>
        <w:rPr>
          <w:rFonts w:ascii="宋体" w:hAnsi="宋体"/>
          <w:color w:val="auto"/>
          <w:kern w:val="0"/>
          <w:szCs w:val="21"/>
          <w:highlight w:val="none"/>
        </w:rPr>
        <w:t>法定代表人或其委托代理人：                法定代表人或其委托代理人：</w:t>
      </w:r>
    </w:p>
    <w:p w14:paraId="32345253">
      <w:pPr>
        <w:widowControl/>
        <w:tabs>
          <w:tab w:val="left" w:pos="9072"/>
          <w:tab w:val="left" w:pos="9781"/>
        </w:tabs>
        <w:spacing w:line="360" w:lineRule="auto"/>
        <w:ind w:left="2289" w:leftChars="240" w:right="120" w:rightChars="57" w:hanging="1785" w:hangingChars="850"/>
        <w:jc w:val="left"/>
        <w:rPr>
          <w:rFonts w:hint="eastAsia"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签名</w:t>
      </w:r>
      <w:r>
        <w:rPr>
          <w:rFonts w:ascii="宋体" w:hAnsi="宋体"/>
          <w:color w:val="auto"/>
          <w:kern w:val="0"/>
          <w:szCs w:val="21"/>
          <w:highlight w:val="none"/>
        </w:rPr>
        <w:t>）                                    （</w:t>
      </w:r>
      <w:r>
        <w:rPr>
          <w:rFonts w:hint="eastAsia" w:ascii="宋体" w:hAnsi="宋体"/>
          <w:color w:val="auto"/>
          <w:kern w:val="0"/>
          <w:szCs w:val="21"/>
          <w:highlight w:val="none"/>
        </w:rPr>
        <w:t>签名</w:t>
      </w:r>
      <w:r>
        <w:rPr>
          <w:rFonts w:ascii="宋体" w:hAnsi="宋体"/>
          <w:color w:val="auto"/>
          <w:kern w:val="0"/>
          <w:szCs w:val="21"/>
          <w:highlight w:val="none"/>
        </w:rPr>
        <w:t>）</w:t>
      </w:r>
    </w:p>
    <w:p w14:paraId="512C427B">
      <w:pPr>
        <w:widowControl/>
        <w:tabs>
          <w:tab w:val="left" w:pos="4410"/>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统一社会信用代码：</w:t>
      </w:r>
      <w:r>
        <w:rPr>
          <w:rFonts w:ascii="宋体" w:hAnsi="宋体"/>
          <w:color w:val="auto"/>
          <w:kern w:val="0"/>
          <w:szCs w:val="21"/>
          <w:highlight w:val="none"/>
          <w:u w:val="single"/>
        </w:rPr>
        <w:t>  </w:t>
      </w:r>
      <w:r>
        <w:rPr>
          <w:rFonts w:ascii="宋体" w:hAnsi="宋体"/>
          <w:color w:val="auto"/>
          <w:kern w:val="0"/>
          <w:szCs w:val="21"/>
          <w:highlight w:val="none"/>
        </w:rPr>
        <w:t xml:space="preserve">                统一社会信用代码：</w:t>
      </w:r>
      <w:r>
        <w:rPr>
          <w:rFonts w:ascii="宋体" w:hAnsi="宋体"/>
          <w:color w:val="auto"/>
          <w:kern w:val="0"/>
          <w:szCs w:val="21"/>
          <w:highlight w:val="none"/>
          <w:u w:val="single"/>
        </w:rPr>
        <w:t xml:space="preserve">          </w:t>
      </w:r>
      <w:r>
        <w:rPr>
          <w:rFonts w:ascii="宋体" w:hAnsi="宋体"/>
          <w:color w:val="auto"/>
          <w:kern w:val="0"/>
          <w:szCs w:val="21"/>
          <w:highlight w:val="none"/>
        </w:rPr>
        <w:t xml:space="preserve"> </w:t>
      </w:r>
    </w:p>
    <w:p w14:paraId="70D22750">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地  址：</w:t>
      </w:r>
      <w:r>
        <w:rPr>
          <w:rFonts w:ascii="宋体" w:hAnsi="宋体"/>
          <w:color w:val="auto"/>
          <w:kern w:val="0"/>
          <w:szCs w:val="21"/>
          <w:highlight w:val="none"/>
          <w:u w:val="single"/>
        </w:rPr>
        <w:t xml:space="preserve">    </w:t>
      </w:r>
      <w:r>
        <w:rPr>
          <w:rFonts w:ascii="宋体" w:hAnsi="宋体"/>
          <w:color w:val="auto"/>
          <w:kern w:val="0"/>
          <w:szCs w:val="21"/>
          <w:highlight w:val="none"/>
        </w:rPr>
        <w:t xml:space="preserve">                地  址：</w:t>
      </w:r>
      <w:r>
        <w:rPr>
          <w:rFonts w:ascii="宋体" w:hAnsi="宋体"/>
          <w:color w:val="auto"/>
          <w:kern w:val="0"/>
          <w:szCs w:val="21"/>
          <w:highlight w:val="none"/>
          <w:u w:val="single"/>
        </w:rPr>
        <w:t xml:space="preserve">         </w:t>
      </w:r>
    </w:p>
    <w:p w14:paraId="33A90986">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邮政编码：</w:t>
      </w:r>
      <w:r>
        <w:rPr>
          <w:rFonts w:ascii="宋体" w:hAnsi="宋体"/>
          <w:color w:val="auto"/>
          <w:kern w:val="0"/>
          <w:szCs w:val="21"/>
          <w:highlight w:val="none"/>
          <w:u w:val="single"/>
        </w:rPr>
        <w:t xml:space="preserve">  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邮政编码：</w:t>
      </w:r>
      <w:r>
        <w:rPr>
          <w:rFonts w:ascii="宋体" w:hAnsi="宋体"/>
          <w:color w:val="auto"/>
          <w:kern w:val="0"/>
          <w:szCs w:val="21"/>
          <w:highlight w:val="none"/>
          <w:u w:val="single"/>
        </w:rPr>
        <w:t xml:space="preserve">    </w:t>
      </w:r>
    </w:p>
    <w:p w14:paraId="7C933822">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电  话：</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电  话：</w:t>
      </w:r>
      <w:r>
        <w:rPr>
          <w:rFonts w:ascii="宋体" w:hAnsi="宋体"/>
          <w:color w:val="auto"/>
          <w:kern w:val="0"/>
          <w:szCs w:val="21"/>
          <w:highlight w:val="none"/>
          <w:u w:val="single"/>
        </w:rPr>
        <w:t xml:space="preserve">       </w:t>
      </w:r>
    </w:p>
    <w:p w14:paraId="71A34E93">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传  真：</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传  真：</w:t>
      </w:r>
      <w:r>
        <w:rPr>
          <w:rFonts w:ascii="宋体" w:hAnsi="宋体"/>
          <w:color w:val="auto"/>
          <w:kern w:val="0"/>
          <w:szCs w:val="21"/>
          <w:highlight w:val="none"/>
          <w:u w:val="single"/>
        </w:rPr>
        <w:t xml:space="preserve">       </w:t>
      </w:r>
    </w:p>
    <w:p w14:paraId="2051FD86">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电子信箱：</w:t>
      </w:r>
      <w:r>
        <w:rPr>
          <w:rFonts w:ascii="宋体" w:hAnsi="宋体"/>
          <w:color w:val="auto"/>
          <w:kern w:val="0"/>
          <w:szCs w:val="21"/>
          <w:highlight w:val="none"/>
          <w:u w:val="single"/>
        </w:rPr>
        <w:t xml:space="preserve">     </w:t>
      </w:r>
    </w:p>
    <w:p w14:paraId="29A99509">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开户银行：</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开户银行：</w:t>
      </w:r>
      <w:r>
        <w:rPr>
          <w:rFonts w:ascii="宋体" w:hAnsi="宋体"/>
          <w:color w:val="auto"/>
          <w:kern w:val="0"/>
          <w:szCs w:val="21"/>
          <w:highlight w:val="none"/>
          <w:u w:val="single"/>
        </w:rPr>
        <w:t xml:space="preserve">     </w:t>
      </w:r>
    </w:p>
    <w:p w14:paraId="42283D37">
      <w:pPr>
        <w:widowControl/>
        <w:spacing w:line="360" w:lineRule="auto"/>
        <w:jc w:val="left"/>
        <w:rPr>
          <w:rFonts w:hint="eastAsia" w:ascii="宋体" w:hAnsi="宋体"/>
          <w:color w:val="auto"/>
          <w:kern w:val="0"/>
          <w:szCs w:val="21"/>
          <w:highlight w:val="none"/>
          <w:u w:val="single"/>
        </w:rPr>
      </w:pPr>
      <w:r>
        <w:rPr>
          <w:rFonts w:ascii="宋体" w:hAnsi="宋体"/>
          <w:color w:val="auto"/>
          <w:kern w:val="0"/>
          <w:szCs w:val="21"/>
          <w:highlight w:val="none"/>
        </w:rPr>
        <w:t>账  号：</w:t>
      </w:r>
      <w:r>
        <w:rPr>
          <w:rFonts w:ascii="宋体" w:hAnsi="宋体"/>
          <w:color w:val="auto"/>
          <w:kern w:val="0"/>
          <w:szCs w:val="21"/>
          <w:highlight w:val="none"/>
          <w:u w:val="single"/>
        </w:rPr>
        <w:t xml:space="preserve">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账  号：</w:t>
      </w:r>
      <w:r>
        <w:rPr>
          <w:rFonts w:ascii="宋体" w:hAnsi="宋体"/>
          <w:color w:val="auto"/>
          <w:kern w:val="0"/>
          <w:szCs w:val="21"/>
          <w:highlight w:val="none"/>
          <w:u w:val="single"/>
        </w:rPr>
        <w:t xml:space="preserve">       </w:t>
      </w:r>
    </w:p>
    <w:p w14:paraId="2C08D570">
      <w:pPr>
        <w:spacing w:line="360" w:lineRule="auto"/>
        <w:ind w:firstLine="210" w:firstLineChars="100"/>
        <w:rPr>
          <w:rFonts w:hint="eastAsia" w:ascii="宋体" w:hAnsi="宋体"/>
          <w:snapToGrid w:val="0"/>
          <w:color w:val="auto"/>
          <w:kern w:val="0"/>
          <w:szCs w:val="21"/>
          <w:highlight w:val="none"/>
        </w:rPr>
      </w:pPr>
      <w:r>
        <w:rPr>
          <w:rFonts w:ascii="宋体" w:hAnsi="宋体"/>
          <w:color w:val="auto"/>
          <w:kern w:val="0"/>
          <w:szCs w:val="21"/>
          <w:highlight w:val="none"/>
        </w:rPr>
        <w:t>签约时间：</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                   签约时间：</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77016AC1">
      <w:pPr>
        <w:pStyle w:val="2"/>
        <w:numPr>
          <w:ilvl w:val="0"/>
          <w:numId w:val="0"/>
        </w:numPr>
        <w:ind w:left="3255"/>
        <w:jc w:val="both"/>
        <w:rPr>
          <w:rFonts w:hint="eastAsia" w:ascii="宋体" w:hAnsi="宋体"/>
          <w:bCs/>
          <w:color w:val="auto"/>
          <w:sz w:val="21"/>
          <w:szCs w:val="21"/>
          <w:highlight w:val="none"/>
        </w:rPr>
      </w:pPr>
      <w:r>
        <w:rPr>
          <w:rFonts w:hint="eastAsia" w:ascii="宋体" w:hAnsi="宋体"/>
          <w:snapToGrid w:val="0"/>
          <w:color w:val="auto"/>
          <w:sz w:val="21"/>
          <w:szCs w:val="21"/>
          <w:highlight w:val="none"/>
          <w:lang w:val="zh-CN"/>
        </w:rPr>
        <w:br w:type="page"/>
      </w:r>
      <w:bookmarkStart w:id="283" w:name="_Toc174350644"/>
      <w:bookmarkStart w:id="284" w:name="_Toc529388289"/>
      <w:bookmarkStart w:id="285" w:name="_Toc532375586"/>
      <w:bookmarkStart w:id="286" w:name="_Toc532377179"/>
      <w:r>
        <w:rPr>
          <w:rFonts w:hint="eastAsia" w:ascii="宋体" w:hAnsi="宋体"/>
          <w:color w:val="auto"/>
          <w:kern w:val="0"/>
          <w:sz w:val="28"/>
          <w:szCs w:val="28"/>
          <w:highlight w:val="none"/>
        </w:rPr>
        <w:t>第二部分 通用合同条款</w:t>
      </w:r>
      <w:bookmarkEnd w:id="283"/>
      <w:bookmarkEnd w:id="284"/>
      <w:bookmarkEnd w:id="285"/>
      <w:bookmarkEnd w:id="286"/>
    </w:p>
    <w:p w14:paraId="4836A268">
      <w:pPr>
        <w:pStyle w:val="3"/>
        <w:rPr>
          <w:rFonts w:hint="eastAsia" w:ascii="宋体" w:hAnsi="宋体"/>
          <w:b w:val="0"/>
          <w:snapToGrid w:val="0"/>
          <w:color w:val="auto"/>
          <w:sz w:val="24"/>
          <w:szCs w:val="24"/>
          <w:highlight w:val="none"/>
        </w:rPr>
      </w:pPr>
      <w:bookmarkStart w:id="287" w:name="_Toc531632599"/>
      <w:bookmarkStart w:id="288" w:name="_Toc532384164"/>
      <w:bookmarkStart w:id="289" w:name="_Toc174350645"/>
      <w:r>
        <w:rPr>
          <w:rFonts w:ascii="宋体" w:hAnsi="宋体"/>
          <w:b w:val="0"/>
          <w:snapToGrid w:val="0"/>
          <w:color w:val="auto"/>
          <w:sz w:val="24"/>
          <w:szCs w:val="24"/>
          <w:highlight w:val="none"/>
        </w:rPr>
        <w:t>1.一般约定</w:t>
      </w:r>
      <w:bookmarkEnd w:id="287"/>
      <w:bookmarkEnd w:id="288"/>
      <w:bookmarkEnd w:id="289"/>
    </w:p>
    <w:p w14:paraId="177AE38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 词语定义</w:t>
      </w:r>
    </w:p>
    <w:p w14:paraId="68A5C6A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通用合同条款、专用合同条款中的下列词语应具有本款所赋予的含义。</w:t>
      </w:r>
    </w:p>
    <w:p w14:paraId="35EE501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 合同</w:t>
      </w:r>
    </w:p>
    <w:p w14:paraId="08B693D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 合同文件（或称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构成合同组成部分的文件。</w:t>
      </w:r>
    </w:p>
    <w:p w14:paraId="779F215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 合同协议书：指发包人和设计人共同签署的合同协议书。</w:t>
      </w:r>
    </w:p>
    <w:p w14:paraId="3BC49CE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1.1.1.3 中标通知书：指发包人通知设计人中标的函件。</w:t>
      </w:r>
    </w:p>
    <w:p w14:paraId="360DA78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1.1.1.4 投标函：指由设计人填写并签署的，名为“投标函”的函件。</w:t>
      </w:r>
    </w:p>
    <w:p w14:paraId="1688CFC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1.1.1.5 投标函附录：指由设计人填写并签署的、附在投标函后，名为“投标函附录”的函件。</w:t>
      </w:r>
    </w:p>
    <w:p w14:paraId="7F7F3A6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1.1.1.6 发包人要求：指合同文件中名为“发包人要求”的文件。</w:t>
      </w:r>
    </w:p>
    <w:p w14:paraId="3DCB0D5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1.1.1.7 技术标准：是指构成合同的设计应当遵守的或指导设计的国家、行业或地方的技术标准和要求，以及合同约定的技术标准和要求。</w:t>
      </w:r>
    </w:p>
    <w:p w14:paraId="57DA911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1.1.1.8 设计方案：指设计人提供的方案设计文件。</w:t>
      </w:r>
    </w:p>
    <w:p w14:paraId="124BB6A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1.1.1.9 设计费用清单：指设计人在投标文件中的设计费用清单。</w:t>
      </w:r>
    </w:p>
    <w:p w14:paraId="094CD9C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1.1.1.10 其他合同文件：指经合同双方当事人确认构成合同文件的其他文件。</w:t>
      </w:r>
    </w:p>
    <w:p w14:paraId="59A5EEF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 合同当事人和人员</w:t>
      </w:r>
    </w:p>
    <w:p w14:paraId="782CA84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1.1.2.1 合同当事人：指发包人和（或）设计人。</w:t>
      </w:r>
    </w:p>
    <w:p w14:paraId="375165C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发包人：指与设计人签订合同协议书的当事人，及其合法继承人。</w:t>
      </w:r>
    </w:p>
    <w:p w14:paraId="3F7A1E3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1.1.2.3 设计人：指与发包人签订合同协议书的当事人，及其合法继承人。</w:t>
      </w:r>
    </w:p>
    <w:p w14:paraId="69CECBB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1.1.2.4 发包人代表：指由发包人任命，并在授权范围和期限内代表发包人行使权利和履行义务的全权负责人。</w:t>
      </w:r>
    </w:p>
    <w:p w14:paraId="12B4C32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1.1.2.5 项目负责人：指由设计人任命，代表设计人行使权利和履行义务的全权负责人。</w:t>
      </w:r>
    </w:p>
    <w:p w14:paraId="27CDB0B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w:t>
      </w:r>
      <w:r>
        <w:rPr>
          <w:rFonts w:hint="eastAsia" w:ascii="宋体" w:hAnsi="宋体"/>
          <w:color w:val="auto"/>
          <w:kern w:val="0"/>
          <w:szCs w:val="21"/>
          <w:highlight w:val="none"/>
        </w:rPr>
        <w:t>6</w:t>
      </w:r>
      <w:r>
        <w:rPr>
          <w:rFonts w:ascii="宋体" w:hAnsi="宋体"/>
          <w:color w:val="auto"/>
          <w:kern w:val="0"/>
          <w:szCs w:val="21"/>
          <w:highlight w:val="none"/>
        </w:rPr>
        <w:t xml:space="preserve"> 分包人：是指按照法律规定和合同约定，分包部分工程设计工作，并与设计人签订分包合同的具有相应资质的法人。</w:t>
      </w:r>
    </w:p>
    <w:p w14:paraId="3B701CD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w:t>
      </w:r>
      <w:r>
        <w:rPr>
          <w:rFonts w:hint="eastAsia" w:ascii="宋体" w:hAnsi="宋体"/>
          <w:color w:val="auto"/>
          <w:kern w:val="0"/>
          <w:szCs w:val="21"/>
          <w:highlight w:val="none"/>
        </w:rPr>
        <w:t>7</w:t>
      </w:r>
      <w:r>
        <w:rPr>
          <w:rFonts w:ascii="宋体" w:hAnsi="宋体"/>
          <w:color w:val="auto"/>
          <w:kern w:val="0"/>
          <w:szCs w:val="21"/>
          <w:highlight w:val="none"/>
        </w:rPr>
        <w:t xml:space="preserve"> 联合体：是指两个以上设计人联合，以一个设计人身份为发包人提供工程设计服务的临时性组织。</w:t>
      </w:r>
    </w:p>
    <w:p w14:paraId="13A489D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 工程和设计</w:t>
      </w:r>
    </w:p>
    <w:p w14:paraId="16FBB80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1.1.3.1 工程：指专用合同条款中指明</w:t>
      </w:r>
      <w:r>
        <w:rPr>
          <w:rFonts w:hint="eastAsia" w:ascii="宋体" w:hAnsi="宋体"/>
          <w:color w:val="auto"/>
          <w:kern w:val="0"/>
          <w:szCs w:val="21"/>
          <w:highlight w:val="none"/>
        </w:rPr>
        <w:t>进行设计</w:t>
      </w:r>
      <w:r>
        <w:rPr>
          <w:rFonts w:ascii="宋体" w:hAnsi="宋体"/>
          <w:color w:val="auto"/>
          <w:kern w:val="0"/>
          <w:szCs w:val="21"/>
          <w:highlight w:val="none"/>
        </w:rPr>
        <w:t>的工程。</w:t>
      </w:r>
    </w:p>
    <w:p w14:paraId="766BBDE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1.1.3.2 设计服务：指设计人按照合同约定履行的服务，包括编制设计文件和设计概算、预算、提供技术交底、施工配合、参加竣工验收或发包人委托的其他服务。</w:t>
      </w:r>
    </w:p>
    <w:p w14:paraId="0FFFAC2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1.1.3.3 暂停设计：是指不能按照合同约定履行全部或部分义务情形而暂时中止设计服务的行为。</w:t>
      </w:r>
    </w:p>
    <w:p w14:paraId="0F32574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290" w:name="page50"/>
      <w:bookmarkEnd w:id="290"/>
      <w:r>
        <w:rPr>
          <w:rFonts w:ascii="宋体" w:hAnsi="宋体"/>
          <w:color w:val="auto"/>
          <w:kern w:val="0"/>
          <w:szCs w:val="21"/>
          <w:highlight w:val="none"/>
        </w:rPr>
        <w:t>1.1.3.4 设计资料：是发包人按合同约定向设计人提供的，用于完成设计服务范围与内容所需要的资料。</w:t>
      </w:r>
    </w:p>
    <w:p w14:paraId="5046DED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1.1.3.5 设计文件：指设计人按合同约定向发包人提交的设计说明、图纸、图板、模型、计算书、软件和其他文件等，包括阶段性文件和最终文件，且应当采用合同中双方约定的格式和载体。</w:t>
      </w:r>
    </w:p>
    <w:p w14:paraId="59CEBDB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 日期</w:t>
      </w:r>
    </w:p>
    <w:p w14:paraId="3995C65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1.1.4.1 开始设计通知：指发包人按第 6.1 款通知设计人开始设计的函件。</w:t>
      </w:r>
    </w:p>
    <w:p w14:paraId="5DE42A0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1.1.4.2 开始设计日期：指发包人按第 6.1 款发出的开始设计通知中写明的开始设计日期。</w:t>
      </w:r>
    </w:p>
    <w:p w14:paraId="52059C9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1.1.4.3 设计服务期限：指设计人在投标函中承诺的完成合同设计服务所需的期限，包括按第 6.2 款、第 6.4 款和第 6.6 款约定所作的调整。</w:t>
      </w:r>
    </w:p>
    <w:p w14:paraId="03FD547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1.1.4.4 完成设计日期：指第 1.1.4.3 目约定设计服务期限届满时的日期。</w:t>
      </w:r>
    </w:p>
    <w:p w14:paraId="74D9C78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1.1.4.5 基准日：指投标截止时间前 28 天的日期。</w:t>
      </w:r>
    </w:p>
    <w:p w14:paraId="33E88D8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1.1.4.6 天：除特别指明外，指日历天。合同中按天计算时间的，开始当天不计入，从次日开始计算。期限最后一天的截止时间为当天 24:00。</w:t>
      </w:r>
    </w:p>
    <w:p w14:paraId="138FA65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 合同价格和费用</w:t>
      </w:r>
    </w:p>
    <w:p w14:paraId="4E9136F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1.1.5.1 签约合同价：指签订合同时合同协议书中写明的设计费用总金额。</w:t>
      </w:r>
    </w:p>
    <w:p w14:paraId="4BC76D3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1.1.5.2 合同价格：指设计人按合同约定完成了全部设计工作后，发包人应付给设计人的金额，包括在履行合同过程中按合同约定进行的变更和调整。</w:t>
      </w:r>
    </w:p>
    <w:p w14:paraId="11000AA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1.1.5.3 费用：指为履行合同所发生的或将要发生的所有合理开支，包括管理费和应分摊的其他费用，但不包括利润。</w:t>
      </w:r>
    </w:p>
    <w:p w14:paraId="412D1FD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1.1.5.4 暂列金额：指暂时未定的，包括在合同中，并在报价清单汇总表中以此名称标明的金额，用于进行本工程可能发生的额外设计工作或作为不可预见费用，按照合同条款第 12.5 款的规定使用。</w:t>
      </w:r>
    </w:p>
    <w:p w14:paraId="6C8A367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1.1.6 其他</w:t>
      </w:r>
    </w:p>
    <w:p w14:paraId="4D4E29B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1.1.6.1 书面形式：指合同文件、信件和数据电文（包括电报、电传、传真、电子数据交换和电子邮件）等可以有形地表现所载内容的形式。</w:t>
      </w:r>
    </w:p>
    <w:p w14:paraId="5F811EB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 语言文字</w:t>
      </w:r>
    </w:p>
    <w:p w14:paraId="428E498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14:paraId="209637A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 适用法律</w:t>
      </w:r>
    </w:p>
    <w:p w14:paraId="6F26974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适用于合同的法律包括中华人民共和国法律、行政法规、部门规章，以及工程所在地的地方法规、自治条例、单行条例和地方政府规章。</w:t>
      </w:r>
    </w:p>
    <w:p w14:paraId="399D487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本合同适用的其他规范性文件，可在专用合同条款中约定。</w:t>
      </w:r>
    </w:p>
    <w:p w14:paraId="08E8AC7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 技术标准</w:t>
      </w:r>
    </w:p>
    <w:p w14:paraId="6BC6453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 适用于现行有效的国家标准、行业标准、工程所在地的地方性标准，以及相应的规范、规程等，合同当事人有特别要求的，应在专用合同条款中约定。</w:t>
      </w:r>
    </w:p>
    <w:p w14:paraId="2D906BC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 发包人要求使用国外技术标准的，发包人与设计人在专用合同条款中约定原文版本和中文译本提供方及提供标准的名称、份数、时间及费用承担等事项。</w:t>
      </w:r>
    </w:p>
    <w:p w14:paraId="376E9C9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20BA6DA5">
      <w:pPr>
        <w:keepNext/>
        <w:keepLines/>
        <w:spacing w:before="120" w:after="120" w:line="360" w:lineRule="auto"/>
        <w:ind w:firstLine="420" w:firstLineChars="200"/>
        <w:outlineLvl w:val="4"/>
        <w:rPr>
          <w:rFonts w:hint="eastAsia" w:ascii="宋体" w:hAnsi="宋体"/>
          <w:bCs/>
          <w:color w:val="auto"/>
          <w:szCs w:val="21"/>
          <w:highlight w:val="none"/>
        </w:rPr>
      </w:pPr>
      <w:bookmarkStart w:id="291" w:name="page51"/>
      <w:bookmarkEnd w:id="291"/>
      <w:r>
        <w:rPr>
          <w:rFonts w:ascii="宋体" w:hAnsi="宋体"/>
          <w:bCs/>
          <w:color w:val="auto"/>
          <w:szCs w:val="21"/>
          <w:highlight w:val="none"/>
        </w:rPr>
        <w:t>1.5 合同文件的优先顺序</w:t>
      </w:r>
    </w:p>
    <w:p w14:paraId="66F67DA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组成合同的各项文件应互相解释，互为说明。除专用合同条款另有约定外，解释合同文件的优先顺序如下：</w:t>
      </w:r>
    </w:p>
    <w:p w14:paraId="3CC5E8AC">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（1）合同协议书及补充协议（如果有）；</w:t>
      </w:r>
    </w:p>
    <w:p w14:paraId="3C44CE86">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（2）中标通知书；</w:t>
      </w:r>
    </w:p>
    <w:p w14:paraId="5BCC0885">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（3）投标函及投标函附录；</w:t>
      </w:r>
    </w:p>
    <w:p w14:paraId="2C577AEE">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（4）专用合同条款及其附件；</w:t>
      </w:r>
    </w:p>
    <w:p w14:paraId="755CD8BC">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（5）通用合同条款；</w:t>
      </w:r>
    </w:p>
    <w:p w14:paraId="2CDB2CF2">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（6）投标文件（含评标期间的澄清文件和补充资料）；</w:t>
      </w:r>
    </w:p>
    <w:p w14:paraId="77DEFB6D">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（7）招标文件及补遗文件；</w:t>
      </w:r>
    </w:p>
    <w:p w14:paraId="2495ECE5">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（8）技术标准和要求；</w:t>
      </w:r>
    </w:p>
    <w:p w14:paraId="3A8BA718">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（9）图纸；</w:t>
      </w:r>
    </w:p>
    <w:p w14:paraId="2DC2DBA6">
      <w:pPr>
        <w:widowControl/>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（10）其他合同文件。</w:t>
      </w:r>
    </w:p>
    <w:p w14:paraId="4931DF8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上述各项合同文件包括合同当事人就该项合同文件所作出的补充和修改，属于同一类内容的文件，应以最新签署的为准。</w:t>
      </w:r>
    </w:p>
    <w:p w14:paraId="4E8474D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1.6 合同协议书</w:t>
      </w:r>
      <w:r>
        <w:rPr>
          <w:rFonts w:ascii="宋体" w:hAnsi="宋体"/>
          <w:bCs/>
          <w:color w:val="auto"/>
          <w:szCs w:val="21"/>
          <w:highlight w:val="none"/>
        </w:rPr>
        <w:tab/>
      </w:r>
    </w:p>
    <w:p w14:paraId="0962B43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设计人按中标通知书规定的时间与发包人签订合同协议书。除法律另有规定或合同另有约定外，发包人和设计人的法定代表人或其委托代理人在合同协议书上</w:t>
      </w:r>
      <w:r>
        <w:rPr>
          <w:rFonts w:hint="eastAsia" w:ascii="宋体" w:hAnsi="宋体"/>
          <w:color w:val="auto"/>
          <w:kern w:val="0"/>
          <w:szCs w:val="21"/>
          <w:highlight w:val="none"/>
        </w:rPr>
        <w:t>签名</w:t>
      </w:r>
      <w:r>
        <w:rPr>
          <w:rFonts w:ascii="宋体" w:hAnsi="宋体"/>
          <w:color w:val="auto"/>
          <w:kern w:val="0"/>
          <w:szCs w:val="21"/>
          <w:highlight w:val="none"/>
        </w:rPr>
        <w:t>并盖合同专用章或法定名称章，依法生效。</w:t>
      </w:r>
    </w:p>
    <w:p w14:paraId="4F61899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1.7 文件的提供</w:t>
      </w:r>
    </w:p>
    <w:p w14:paraId="387B480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1.7.1 设计文件的提供</w:t>
      </w:r>
    </w:p>
    <w:p w14:paraId="6CD99F1C">
      <w:pPr>
        <w:widowControl/>
        <w:tabs>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除专用合同条款另有约定外，设计人应在合理的期限内按照合同约定向发包人提供设计文件。合同约定设计文件应经发包人批复的，发包人应当在合同约定的期限内批复或提出修改意见。</w:t>
      </w:r>
    </w:p>
    <w:p w14:paraId="7D16687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1.7.2 发包人提供的文件</w:t>
      </w:r>
    </w:p>
    <w:p w14:paraId="155FB96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按专用合同条款约定由发包人提供的文件，包括基础资料、勘察报告、设计任务书等，发包人应按约定的数量和期限交给设计人。由于发包人未按时提供文件造成设计服务期限延误的，按第 6.2 款约定执行。</w:t>
      </w:r>
    </w:p>
    <w:p w14:paraId="27E2B3E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1.7.3 文件错误的通知</w:t>
      </w:r>
    </w:p>
    <w:p w14:paraId="4415614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任何一方当事人发现文件中存在的明显错误或疏忽，均应及时通知对方当事人，并应立即采取适当的措施防止损失扩大。</w:t>
      </w:r>
    </w:p>
    <w:p w14:paraId="5A95C5ED">
      <w:pPr>
        <w:keepNext/>
        <w:keepLines/>
        <w:spacing w:before="120" w:after="120" w:line="360" w:lineRule="auto"/>
        <w:ind w:firstLine="420" w:firstLineChars="200"/>
        <w:outlineLvl w:val="4"/>
        <w:rPr>
          <w:rFonts w:hint="eastAsia" w:ascii="宋体" w:hAnsi="宋体"/>
          <w:bCs/>
          <w:color w:val="auto"/>
          <w:szCs w:val="21"/>
          <w:highlight w:val="none"/>
        </w:rPr>
      </w:pPr>
      <w:bookmarkStart w:id="292" w:name="page52"/>
      <w:bookmarkEnd w:id="292"/>
      <w:r>
        <w:rPr>
          <w:rFonts w:ascii="宋体" w:hAnsi="宋体"/>
          <w:bCs/>
          <w:color w:val="auto"/>
          <w:szCs w:val="21"/>
          <w:highlight w:val="none"/>
        </w:rPr>
        <w:t>1.8 联络</w:t>
      </w:r>
    </w:p>
    <w:p w14:paraId="1E99E6A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1.8.1 与合同有关的通知、批准、证明、证书、指示、要求、请求、同意、确定和决定等，均应采用书面形式，并应在合同约定的期限内送达接收人和送达地点。</w:t>
      </w:r>
    </w:p>
    <w:p w14:paraId="4603BA9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1.8.2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2920F56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1.8.3 发包人和设计人应当及时签收另一方送达至送达地点和指定接收人的来往信函，如确有充分证据证明一方无正当理由拒不签收的，视为拒绝签收一方认可往来信函的内容。</w:t>
      </w:r>
    </w:p>
    <w:p w14:paraId="57E3202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1.9 转让</w:t>
      </w:r>
    </w:p>
    <w:p w14:paraId="56DF315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除专用合同条款另有约定外，未经对方当事人同意，一方当事人不得将合同权利全部或部分转让给第三人，也不得全部或部分转移合同义务。</w:t>
      </w:r>
    </w:p>
    <w:p w14:paraId="75782FE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1.10 严禁贿赂</w:t>
      </w:r>
    </w:p>
    <w:p w14:paraId="163DD1D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合同双方当事人不得以贿赂或变相贿赂的方式，谋取不当利益或损害对方权益。因贿赂造成对方当事人损失的，行为人应当赔偿损失，并承担相应的法律责任。</w:t>
      </w:r>
    </w:p>
    <w:p w14:paraId="4F6E141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 知识产权</w:t>
      </w:r>
    </w:p>
    <w:p w14:paraId="1976482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04489C5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21933E5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1.11.3设计人在从事设计活动时，不得侵犯他人的知识产权。因侵犯专利权或其他知识产权所引起的责任，由设计人自行承担。因发包人提供的设计资料导致侵权的，由发包人承担责任。 </w:t>
      </w:r>
    </w:p>
    <w:p w14:paraId="564CE1E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1.11.4 设计人在</w:t>
      </w:r>
      <w:r>
        <w:rPr>
          <w:rFonts w:hint="eastAsia" w:ascii="宋体" w:hAnsi="宋体"/>
          <w:color w:val="auto"/>
          <w:kern w:val="0"/>
          <w:szCs w:val="21"/>
          <w:highlight w:val="none"/>
        </w:rPr>
        <w:t>设计</w:t>
      </w:r>
      <w:r>
        <w:rPr>
          <w:rFonts w:ascii="宋体" w:hAnsi="宋体"/>
          <w:color w:val="auto"/>
          <w:kern w:val="0"/>
          <w:szCs w:val="21"/>
          <w:highlight w:val="none"/>
        </w:rPr>
        <w:t>文件中采用专利技术、专有技术的，相应的使用费视为已包含在合同价格之中。</w:t>
      </w:r>
    </w:p>
    <w:p w14:paraId="4BBE28E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 文件及信息的保密</w:t>
      </w:r>
    </w:p>
    <w:p w14:paraId="426EA18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未经对方同意，任何一方当事人不得将有关文件、技术秘密、需要保密的资料和信息泄露给他人或公开发表与引用。</w:t>
      </w:r>
    </w:p>
    <w:p w14:paraId="6B34BD7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1.13发包人要求</w:t>
      </w:r>
    </w:p>
    <w:p w14:paraId="3AEB293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1.13.1 设计人应认真阅读、复核发包人要求，发现错误的，应及时书面通知发包人。无论是否存在错误，发包人均有权修改发包人要求，并在修改后 3 日内通知设计人。除专用合同条</w:t>
      </w:r>
      <w:bookmarkStart w:id="293" w:name="page53"/>
      <w:bookmarkEnd w:id="293"/>
      <w:r>
        <w:rPr>
          <w:rFonts w:ascii="宋体" w:hAnsi="宋体"/>
          <w:color w:val="auto"/>
          <w:kern w:val="0"/>
          <w:szCs w:val="21"/>
          <w:highlight w:val="none"/>
        </w:rPr>
        <w:t>款另有约定外，由此导致设计人费用增加和(或)周期延误的，发包人应当相应地增加费用和(或)延长周期。</w:t>
      </w:r>
    </w:p>
    <w:p w14:paraId="3E22025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0290CCE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1.13.3 发包人要求采用国外规范和标准进行设计时，应由发包人负责提供该规范和标准的外国文本和中文译本，提供的时间、份数和其他要求在专用合同条款中约定。</w:t>
      </w:r>
    </w:p>
    <w:p w14:paraId="3C3BB7F3">
      <w:pPr>
        <w:pStyle w:val="3"/>
        <w:rPr>
          <w:rFonts w:hint="eastAsia" w:ascii="宋体" w:hAnsi="宋体"/>
          <w:b w:val="0"/>
          <w:snapToGrid w:val="0"/>
          <w:color w:val="auto"/>
          <w:sz w:val="24"/>
          <w:szCs w:val="24"/>
          <w:highlight w:val="none"/>
        </w:rPr>
      </w:pPr>
      <w:bookmarkStart w:id="294" w:name="_Toc532384165"/>
      <w:bookmarkStart w:id="295" w:name="_Toc531632600"/>
      <w:bookmarkStart w:id="296" w:name="_Toc174350646"/>
      <w:r>
        <w:rPr>
          <w:rFonts w:ascii="宋体" w:hAnsi="宋体"/>
          <w:b w:val="0"/>
          <w:snapToGrid w:val="0"/>
          <w:color w:val="auto"/>
          <w:sz w:val="24"/>
          <w:szCs w:val="24"/>
          <w:highlight w:val="none"/>
        </w:rPr>
        <w:t>2.发包人义务</w:t>
      </w:r>
      <w:bookmarkEnd w:id="294"/>
      <w:bookmarkEnd w:id="295"/>
      <w:bookmarkEnd w:id="296"/>
    </w:p>
    <w:p w14:paraId="01628E9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2.1 遵守法律</w:t>
      </w:r>
    </w:p>
    <w:p w14:paraId="6AEBC35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发包人在履行合同过程中应遵守法律，并保证设计人免于承担因发包人违反法律而引起的任何责任。</w:t>
      </w:r>
    </w:p>
    <w:p w14:paraId="7372AD3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2.2 发出开始设计通知</w:t>
      </w:r>
    </w:p>
    <w:p w14:paraId="066D1F7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发包人应按第 6.1 款的约定向设计人发出开始设计通知。</w:t>
      </w:r>
    </w:p>
    <w:p w14:paraId="3759A41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2.3 办理证件和批件</w:t>
      </w:r>
    </w:p>
    <w:p w14:paraId="151CA70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法律规定和（或）合同约定由发包人负责办理的工程建设项目必须履行的各类审批、核准或备案手续，发包人应当按时办理，设计人应给予必要的协助。法律规定和（或）合同约定由设计人负责办理的设计所需的证件和批件，发包人应给予必要的协助。</w:t>
      </w:r>
    </w:p>
    <w:p w14:paraId="6C4B4C7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2.4 支付合同价款</w:t>
      </w:r>
    </w:p>
    <w:p w14:paraId="6636EFA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发包人应按合同约定向设计人及时支付合同价款。</w:t>
      </w:r>
    </w:p>
    <w:p w14:paraId="56B5FFB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2.5 提供设计资料</w:t>
      </w:r>
    </w:p>
    <w:p w14:paraId="41BF9DD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发包人应按第 1.7.2 项的约定向设计人提供设计资料。</w:t>
      </w:r>
    </w:p>
    <w:p w14:paraId="09DFD2C7">
      <w:pPr>
        <w:keepNext/>
        <w:keepLines/>
        <w:spacing w:before="120" w:after="120" w:line="360" w:lineRule="auto"/>
        <w:ind w:firstLine="420" w:firstLineChars="200"/>
        <w:outlineLvl w:val="4"/>
        <w:rPr>
          <w:rFonts w:hint="eastAsia" w:ascii="宋体" w:hAnsi="宋体"/>
          <w:bCs/>
          <w:color w:val="auto"/>
          <w:szCs w:val="21"/>
          <w:highlight w:val="none"/>
        </w:rPr>
      </w:pPr>
      <w:bookmarkStart w:id="297" w:name="page54"/>
      <w:bookmarkEnd w:id="297"/>
      <w:r>
        <w:rPr>
          <w:rFonts w:ascii="宋体" w:hAnsi="宋体"/>
          <w:bCs/>
          <w:color w:val="auto"/>
          <w:szCs w:val="21"/>
          <w:highlight w:val="none"/>
        </w:rPr>
        <w:t>2.6 其他义务</w:t>
      </w:r>
    </w:p>
    <w:p w14:paraId="13AFEF7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发包人应履行合同约定的其他义务。</w:t>
      </w:r>
    </w:p>
    <w:p w14:paraId="565C912F">
      <w:pPr>
        <w:pStyle w:val="3"/>
        <w:rPr>
          <w:rFonts w:hint="eastAsia" w:ascii="宋体" w:hAnsi="宋体"/>
          <w:b w:val="0"/>
          <w:snapToGrid w:val="0"/>
          <w:color w:val="auto"/>
          <w:sz w:val="24"/>
          <w:szCs w:val="24"/>
          <w:highlight w:val="none"/>
        </w:rPr>
      </w:pPr>
      <w:bookmarkStart w:id="298" w:name="_Toc531632601"/>
      <w:bookmarkStart w:id="299" w:name="_Toc174350647"/>
      <w:bookmarkStart w:id="300" w:name="_Toc532384166"/>
      <w:r>
        <w:rPr>
          <w:rFonts w:ascii="宋体" w:hAnsi="宋体"/>
          <w:b w:val="0"/>
          <w:snapToGrid w:val="0"/>
          <w:color w:val="auto"/>
          <w:sz w:val="24"/>
          <w:szCs w:val="24"/>
          <w:highlight w:val="none"/>
        </w:rPr>
        <w:t>3.发包人管理</w:t>
      </w:r>
      <w:bookmarkEnd w:id="298"/>
      <w:bookmarkEnd w:id="299"/>
      <w:bookmarkEnd w:id="300"/>
    </w:p>
    <w:p w14:paraId="43C94C2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3.1 发包人代表</w:t>
      </w:r>
    </w:p>
    <w:p w14:paraId="3D3665D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3.1.1 除专用合同条款另有约定外，发包人应在合同签订时，在专用合同条款中明确其负责工程设计的发包人代表的姓名、职务、联系方式、授权范围及授权期限等事项。由发包人代表在其授权范围和授权期限内，代表发包人行使权利、履行义务和处理合同履行中的具体事宜。发包人代表在授权范围内的行为由发包人承担法律责任。</w:t>
      </w:r>
    </w:p>
    <w:p w14:paraId="7CC0AD3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3.1.2发包人代表违反法律法规、违背职业道德守则或者不按合同约定履行职责及义务，导致合同无法继续正常履行的，设计人有权通知发包人更换发包人代表。发包人收到通知后 7 天内，应当核实完毕并将处理结果通知设计人。发包人同意更换发包人代表的，按通用条款3.1.3</w:t>
      </w:r>
      <w:r>
        <w:rPr>
          <w:rFonts w:hint="eastAsia" w:ascii="宋体" w:hAnsi="宋体"/>
          <w:color w:val="auto"/>
          <w:kern w:val="0"/>
          <w:szCs w:val="21"/>
          <w:highlight w:val="none"/>
        </w:rPr>
        <w:t>项执行。发包人不同意更换发包人代表的，设计人须继续履行合同义务。</w:t>
      </w:r>
    </w:p>
    <w:p w14:paraId="0399C25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3.1.3 发包人更换发包人代表的，应提前 14 天将更换人员的姓名、职务、联系方式、授权范围和授权期限书面通知设计人。</w:t>
      </w:r>
    </w:p>
    <w:p w14:paraId="20D5785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3.1.4 发包人代表可以授权发包人的其他人员负责执行其指派的一项或多项工作。发包人代表应将被授权人员的姓名及其授权范围以书面形式通知设计人。被授权人员在授权范围内发出的指示视为已得到发包人代表的同意，与发包人代表发出的指示具有同等效力。</w:t>
      </w:r>
    </w:p>
    <w:p w14:paraId="219A600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3.2 监理人</w:t>
      </w:r>
    </w:p>
    <w:p w14:paraId="1CE663E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56EE823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3.2.2 合同约定应由设计人承担的义务和责任，不因监理人对设计文件的审查或批准，以及为实施监理作出的指示等职务行为而减轻或解除。</w:t>
      </w:r>
    </w:p>
    <w:p w14:paraId="49A7F70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3.3 发包人的指示</w:t>
      </w:r>
    </w:p>
    <w:p w14:paraId="36A08D4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3.3.1 发包人应按合同约定向设计人发出指示，发包人的指示应盖有发包人单位法定名称章，并由发包人代表</w:t>
      </w:r>
      <w:r>
        <w:rPr>
          <w:rFonts w:hint="eastAsia" w:ascii="宋体" w:hAnsi="宋体"/>
          <w:color w:val="auto"/>
          <w:kern w:val="0"/>
          <w:szCs w:val="21"/>
          <w:highlight w:val="none"/>
        </w:rPr>
        <w:t>签名</w:t>
      </w:r>
      <w:r>
        <w:rPr>
          <w:rFonts w:ascii="宋体" w:hAnsi="宋体"/>
          <w:color w:val="auto"/>
          <w:kern w:val="0"/>
          <w:szCs w:val="21"/>
          <w:highlight w:val="none"/>
        </w:rPr>
        <w:t>确认。</w:t>
      </w:r>
    </w:p>
    <w:p w14:paraId="5253966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301" w:name="page55"/>
      <w:bookmarkEnd w:id="301"/>
      <w:r>
        <w:rPr>
          <w:rFonts w:ascii="宋体" w:hAnsi="宋体"/>
          <w:color w:val="auto"/>
          <w:kern w:val="0"/>
          <w:szCs w:val="21"/>
          <w:highlight w:val="none"/>
        </w:rPr>
        <w:t xml:space="preserve">3.3.2 设计人收到发包人作出的指示后应遵照执行。指示构成变更的，应按第 11 条执行。 </w:t>
      </w:r>
    </w:p>
    <w:p w14:paraId="3EC27B6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3.3.3 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14:paraId="3CA9BB2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3.3.4 除专用合同条款另有约定外，设计人只从发包人代表或按第 3.1.4 项约定的被授权人员处取得指示。</w:t>
      </w:r>
    </w:p>
    <w:p w14:paraId="366EB67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3.3.5 由于发包人未能按合同约定发出指示、指示延误或指示错误而导致设计人费用增加和（或）周期延误的，发包人应承担由此增加的费用和（或）周期延误。</w:t>
      </w:r>
    </w:p>
    <w:p w14:paraId="2DA2609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3.4 决定或答复</w:t>
      </w:r>
    </w:p>
    <w:p w14:paraId="7B66507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3.4.1 发包人在法律允许的范围内有权对设计人的设计工作</w:t>
      </w:r>
      <w:r>
        <w:rPr>
          <w:rFonts w:hint="eastAsia" w:ascii="宋体" w:hAnsi="宋体"/>
          <w:color w:val="auto"/>
          <w:kern w:val="0"/>
          <w:szCs w:val="21"/>
          <w:highlight w:val="none"/>
        </w:rPr>
        <w:t>和（或）</w:t>
      </w:r>
      <w:r>
        <w:rPr>
          <w:rFonts w:ascii="宋体" w:hAnsi="宋体"/>
          <w:color w:val="auto"/>
          <w:kern w:val="0"/>
          <w:szCs w:val="21"/>
          <w:highlight w:val="none"/>
        </w:rPr>
        <w:t>设计文件作出处理决定，设计人应按照发包人的决定执行，涉及设计服务期限或设计费用等问题按第 11 条的约定处理。</w:t>
      </w:r>
    </w:p>
    <w:p w14:paraId="2ADD7A5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3.4.2 发包人应在专用合同条款约定的时间之内，对设计人书面提出的事项作出书面答复；逾期没有做出答复的，视为已获得发包人的批准。</w:t>
      </w:r>
    </w:p>
    <w:p w14:paraId="52FBFF6E">
      <w:pPr>
        <w:pStyle w:val="3"/>
        <w:rPr>
          <w:rFonts w:hint="eastAsia" w:ascii="宋体" w:hAnsi="宋体"/>
          <w:b w:val="0"/>
          <w:snapToGrid w:val="0"/>
          <w:color w:val="auto"/>
          <w:sz w:val="24"/>
          <w:szCs w:val="24"/>
          <w:highlight w:val="none"/>
        </w:rPr>
      </w:pPr>
      <w:bookmarkStart w:id="302" w:name="_Toc532384167"/>
      <w:bookmarkStart w:id="303" w:name="_Toc531632602"/>
      <w:bookmarkStart w:id="304" w:name="_Toc174350648"/>
      <w:r>
        <w:rPr>
          <w:rFonts w:ascii="宋体" w:hAnsi="宋体"/>
          <w:b w:val="0"/>
          <w:snapToGrid w:val="0"/>
          <w:color w:val="auto"/>
          <w:sz w:val="24"/>
          <w:szCs w:val="24"/>
          <w:highlight w:val="none"/>
        </w:rPr>
        <w:t>4.设计人义务</w:t>
      </w:r>
      <w:bookmarkEnd w:id="302"/>
      <w:bookmarkEnd w:id="303"/>
      <w:bookmarkEnd w:id="304"/>
    </w:p>
    <w:p w14:paraId="0BA485D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4.1 设计人的一般义务</w:t>
      </w:r>
    </w:p>
    <w:p w14:paraId="67FC001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4.1.1 遵守法律</w:t>
      </w:r>
    </w:p>
    <w:p w14:paraId="7D33794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设计人在履行合同过程中应遵守法律，并保证发包人免于承担因设计人违反法律而引起的任何责任。</w:t>
      </w:r>
    </w:p>
    <w:p w14:paraId="73AE6F0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4.1.2 依法纳税</w:t>
      </w:r>
    </w:p>
    <w:p w14:paraId="39426A7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设计人应按有关法律规定纳税，应缴纳的税金（含增值税）包括在合同价格之中。</w:t>
      </w:r>
    </w:p>
    <w:p w14:paraId="5A01946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4.1.3 完成全部设计工作</w:t>
      </w:r>
    </w:p>
    <w:p w14:paraId="14A98FA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设计人应按合同约定以及发包人要求，完成合同约定的全部工作，并对工作中的任何缺陷进行整改、完善和修补，使其满足合同约定的目的。设计人应按合同约定提供设计文件及相关服务等。</w:t>
      </w:r>
    </w:p>
    <w:p w14:paraId="05A0CA0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 其他义务</w:t>
      </w:r>
    </w:p>
    <w:p w14:paraId="2235B69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设计人应履行合同约定的其他义务。</w:t>
      </w:r>
    </w:p>
    <w:p w14:paraId="30E4FD72">
      <w:pPr>
        <w:keepNext/>
        <w:keepLines/>
        <w:spacing w:before="120" w:after="120" w:line="360" w:lineRule="auto"/>
        <w:ind w:firstLine="420" w:firstLineChars="200"/>
        <w:outlineLvl w:val="4"/>
        <w:rPr>
          <w:rFonts w:hint="eastAsia" w:ascii="宋体" w:hAnsi="宋体"/>
          <w:bCs/>
          <w:color w:val="auto"/>
          <w:szCs w:val="21"/>
          <w:highlight w:val="none"/>
        </w:rPr>
      </w:pPr>
      <w:bookmarkStart w:id="305" w:name="page56"/>
      <w:bookmarkEnd w:id="305"/>
      <w:r>
        <w:rPr>
          <w:rFonts w:ascii="宋体" w:hAnsi="宋体"/>
          <w:bCs/>
          <w:color w:val="auto"/>
          <w:szCs w:val="21"/>
          <w:highlight w:val="none"/>
        </w:rPr>
        <w:t>4.2履约保证金</w:t>
      </w:r>
    </w:p>
    <w:p w14:paraId="393C404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w:t>
      </w:r>
      <w:r>
        <w:rPr>
          <w:rFonts w:hint="eastAsia" w:ascii="宋体" w:hAnsi="宋体"/>
          <w:color w:val="auto"/>
          <w:kern w:val="0"/>
          <w:szCs w:val="21"/>
          <w:highlight w:val="none"/>
        </w:rPr>
        <w:t>履约保证金</w:t>
      </w:r>
      <w:r>
        <w:rPr>
          <w:rFonts w:ascii="宋体" w:hAnsi="宋体"/>
          <w:color w:val="auto"/>
          <w:kern w:val="0"/>
          <w:szCs w:val="21"/>
          <w:highlight w:val="none"/>
        </w:rPr>
        <w:t>自合同生效之日起生效，在发包人签收最后一批设计成果文件之日起 28 日后失效。如果设计人不履行合同约定的义务或其履行不符合合同的约定，发包人有权从履约保证金中直接扣除相应金额的违约金。</w:t>
      </w:r>
    </w:p>
    <w:p w14:paraId="7FA5783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4.3 分包和不得转包</w:t>
      </w:r>
    </w:p>
    <w:p w14:paraId="1C7FEC8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4.3.1 设计人不得将其设计的全部工作转包给第三人。</w:t>
      </w:r>
    </w:p>
    <w:p w14:paraId="4C83E4A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4.3.2 设计人不得将设计的主体、关键性工作分包给第三人。除专用合同条款另有约定外，未经发包人同意，设计人也不得将非主体、非关键性工作分包给第三人。</w:t>
      </w:r>
    </w:p>
    <w:p w14:paraId="6190A77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4.3.3 发包人同意设计人分包工作的，设计人应向发包人提交 1 份分包合同副本</w:t>
      </w:r>
      <w:r>
        <w:rPr>
          <w:rFonts w:hint="eastAsia" w:ascii="宋体" w:hAnsi="宋体"/>
          <w:color w:val="auto"/>
          <w:kern w:val="0"/>
          <w:szCs w:val="21"/>
          <w:highlight w:val="none"/>
        </w:rPr>
        <w:t>，并</w:t>
      </w:r>
      <w:r>
        <w:rPr>
          <w:rFonts w:ascii="宋体" w:hAnsi="宋体"/>
          <w:color w:val="auto"/>
          <w:kern w:val="0"/>
          <w:szCs w:val="21"/>
          <w:highlight w:val="none"/>
        </w:rPr>
        <w:t>对分包设计工作质量承担连带责任。分包人不得再行分包</w:t>
      </w:r>
      <w:r>
        <w:rPr>
          <w:rFonts w:hint="eastAsia" w:ascii="宋体" w:hAnsi="宋体"/>
          <w:color w:val="auto"/>
          <w:kern w:val="0"/>
          <w:szCs w:val="21"/>
          <w:highlight w:val="none"/>
        </w:rPr>
        <w:t>或转包</w:t>
      </w:r>
      <w:r>
        <w:rPr>
          <w:rFonts w:ascii="宋体" w:hAnsi="宋体"/>
          <w:color w:val="auto"/>
          <w:kern w:val="0"/>
          <w:szCs w:val="21"/>
          <w:highlight w:val="none"/>
        </w:rPr>
        <w:t>设计工作。除专用合同条款另有约定外，分包人的设计费用由设计人</w:t>
      </w:r>
      <w:r>
        <w:rPr>
          <w:rFonts w:hint="eastAsia" w:ascii="宋体" w:hAnsi="宋体"/>
          <w:color w:val="auto"/>
          <w:kern w:val="0"/>
          <w:szCs w:val="21"/>
          <w:highlight w:val="none"/>
        </w:rPr>
        <w:t>向分包人自行支付</w:t>
      </w:r>
      <w:r>
        <w:rPr>
          <w:rFonts w:ascii="宋体" w:hAnsi="宋体"/>
          <w:color w:val="auto"/>
          <w:kern w:val="0"/>
          <w:szCs w:val="21"/>
          <w:highlight w:val="none"/>
        </w:rPr>
        <w:t>。</w:t>
      </w:r>
    </w:p>
    <w:p w14:paraId="6A1097D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4.3.4 分包人的资格能力应与其分包工作的标准和规模相适应，包括必要的企业资质、人员、设备和类似业绩等。</w:t>
      </w:r>
    </w:p>
    <w:p w14:paraId="6886912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4.3.5分包工程设计费</w:t>
      </w:r>
    </w:p>
    <w:p w14:paraId="1E08B80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（1）除本项第（2）目约定的情况或专用合同条款另有约定外，分包工程设计费由设计人与分包人结算，未经设计人同意，发包人不得向分包人支付分包工程设计费；</w:t>
      </w:r>
    </w:p>
    <w:p w14:paraId="623B94B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（2）生效的法院判决书或仲裁裁决书要求发包人向分包人支付分包工程设计费的，发包人有权从应付设计人合同价款中扣除该部分费用。</w:t>
      </w:r>
    </w:p>
    <w:p w14:paraId="676DC24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4.4 联合体</w:t>
      </w:r>
    </w:p>
    <w:p w14:paraId="7681316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4.4.1 联合体各方应共同与发包人签订合同。联合体各方应为履行合同承担连带责任。</w:t>
      </w:r>
    </w:p>
    <w:p w14:paraId="0427918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4.4.2 联合体协议经发包人确认后作为合同附件。在履行合同过程中，未经发包人同意，不得修改联合体协议。</w:t>
      </w:r>
    </w:p>
    <w:p w14:paraId="017DF9E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4.4.3 联合体牵头人或联合体授权的代表负责与发包人联系，并接受指示，负责组织联合体各成员全面履行合同。</w:t>
      </w:r>
    </w:p>
    <w:p w14:paraId="1B85E67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4.5 项目负责人</w:t>
      </w:r>
    </w:p>
    <w:p w14:paraId="48344E7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4.5.1设计人应按合同协议书的约定指派项目负责人，并在约定的期限内到职。设计人更换项目负责人应事先征得发包人同意，并应在更换 14 天前将拟更换的项目负责人的姓名和详细资料提交发包人。项目负责人 2 天内不能履行职责的，应事先征得发包人同意，并委派代表代行其职责。</w:t>
      </w:r>
    </w:p>
    <w:p w14:paraId="1786CDA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1C05F0C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4.5.3 设计人为履行合同发出的一切函件均应盖有设计人单位法定名称章，并由设计人的项目负责人</w:t>
      </w:r>
      <w:bookmarkStart w:id="306" w:name="page57"/>
      <w:bookmarkEnd w:id="306"/>
      <w:r>
        <w:rPr>
          <w:rFonts w:hint="eastAsia" w:ascii="宋体" w:hAnsi="宋体"/>
          <w:color w:val="auto"/>
          <w:kern w:val="0"/>
          <w:szCs w:val="21"/>
          <w:highlight w:val="none"/>
        </w:rPr>
        <w:t>签名</w:t>
      </w:r>
      <w:r>
        <w:rPr>
          <w:rFonts w:ascii="宋体" w:hAnsi="宋体"/>
          <w:color w:val="auto"/>
          <w:kern w:val="0"/>
          <w:szCs w:val="21"/>
          <w:highlight w:val="none"/>
        </w:rPr>
        <w:t>确认。</w:t>
      </w:r>
    </w:p>
    <w:p w14:paraId="183B729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4.5.4 按照专用合同条款约定，项目负责人可以授权</w:t>
      </w:r>
      <w:r>
        <w:rPr>
          <w:rFonts w:hint="eastAsia" w:ascii="宋体" w:hAnsi="宋体"/>
          <w:color w:val="auto"/>
          <w:kern w:val="0"/>
          <w:szCs w:val="21"/>
          <w:highlight w:val="none"/>
        </w:rPr>
        <w:t>其下属</w:t>
      </w:r>
      <w:r>
        <w:rPr>
          <w:rFonts w:ascii="宋体" w:hAnsi="宋体"/>
          <w:color w:val="auto"/>
          <w:kern w:val="0"/>
          <w:szCs w:val="21"/>
          <w:highlight w:val="none"/>
        </w:rPr>
        <w:t xml:space="preserve">人员履行其某项职责，但事先应将这些人员的姓名和授权范围书面通知发包人。 </w:t>
      </w:r>
    </w:p>
    <w:p w14:paraId="444FB5D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4.6 设计人员的管理</w:t>
      </w:r>
    </w:p>
    <w:p w14:paraId="187A22B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4.6.1设计人应在接到开始设计通知之日起 7 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14:paraId="0829F2A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4.6.2 除专用合同条款另有约定外，主要设计人员包括项目负责人、专业负责人、审核人、审定人等；其他人员包括各专业的设计人员、管理人员等。</w:t>
      </w:r>
    </w:p>
    <w:p w14:paraId="06507E8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4.6.3 设计人应保证其主要设计人员（含分包人）在合同期限内的任何时候，都能按时参加发包人组织的工作会议。</w:t>
      </w:r>
    </w:p>
    <w:p w14:paraId="001729E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4.6.4 国家规定应当持证上岗的工作人员均应持有相应的资格证明，发包人有权随时检查。发包人认为有必要时，可以进行现场考核。</w:t>
      </w:r>
    </w:p>
    <w:p w14:paraId="3841489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4.7 撤换项目负责人和其他人员</w:t>
      </w:r>
    </w:p>
    <w:p w14:paraId="2D4AA16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设计人应对其项目负责人和其他人员进行有效管理。发包人要求撤换不能胜任本职工作、行为不端或玩忽职守的项目负责人和其他人员的，设计人应予以撤换。</w:t>
      </w:r>
    </w:p>
    <w:p w14:paraId="22EBC0D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4.8 保障人员的合法权益</w:t>
      </w:r>
    </w:p>
    <w:p w14:paraId="6DC7145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4.8.1 设计人应与其雇佣的人员签订劳动合同，并按时发放工资。</w:t>
      </w:r>
    </w:p>
    <w:p w14:paraId="294ACDA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4.8.2 设计人应按劳动法的规定安排工作时间，保证其雇佣人员享有休息和休假的权利。因设计需要占用休假日或延长工作时间的，应不超过法律规定的限度，并按法律规定给予补休或付酬。</w:t>
      </w:r>
    </w:p>
    <w:p w14:paraId="7E66854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4.8.3 设计人应按有关法律规定和合同约定，为其雇佣人员办理保险。</w:t>
      </w:r>
    </w:p>
    <w:p w14:paraId="554DB4D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4.9 合同价款应专款专用</w:t>
      </w:r>
    </w:p>
    <w:p w14:paraId="2923DE3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发包人按合同约定支付给设计人的各项价款，应专用于合同设计工作。</w:t>
      </w:r>
    </w:p>
    <w:p w14:paraId="3698046E">
      <w:pPr>
        <w:pStyle w:val="3"/>
        <w:rPr>
          <w:rFonts w:hint="eastAsia" w:ascii="宋体" w:hAnsi="宋体"/>
          <w:b w:val="0"/>
          <w:snapToGrid w:val="0"/>
          <w:color w:val="auto"/>
          <w:sz w:val="24"/>
          <w:szCs w:val="24"/>
          <w:highlight w:val="none"/>
        </w:rPr>
      </w:pPr>
      <w:bookmarkStart w:id="307" w:name="page58"/>
      <w:bookmarkEnd w:id="307"/>
      <w:bookmarkStart w:id="308" w:name="_Toc532384168"/>
      <w:bookmarkStart w:id="309" w:name="_Toc174350649"/>
      <w:bookmarkStart w:id="310" w:name="_Toc531632603"/>
      <w:r>
        <w:rPr>
          <w:rFonts w:ascii="宋体" w:hAnsi="宋体"/>
          <w:b w:val="0"/>
          <w:snapToGrid w:val="0"/>
          <w:color w:val="auto"/>
          <w:sz w:val="24"/>
          <w:szCs w:val="24"/>
          <w:highlight w:val="none"/>
        </w:rPr>
        <w:t>5.设计要求</w:t>
      </w:r>
      <w:bookmarkEnd w:id="308"/>
      <w:bookmarkEnd w:id="309"/>
      <w:bookmarkEnd w:id="310"/>
    </w:p>
    <w:p w14:paraId="49EDD2E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5.1 一般要求</w:t>
      </w:r>
    </w:p>
    <w:p w14:paraId="49574C5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5.1.1 发包人应当遵守法律和规范标准，不得以任何理由要求设计人违反法律和工程质量、安全标准进行设计服务，降低工程质量。</w:t>
      </w:r>
    </w:p>
    <w:p w14:paraId="603C266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5.1.2 设计人应按照法律规定，以及国家、行业和地方的规范和标准完成设计工作，并应符合发包人要求。各项规范、标准和发包人要求之间如对同一内容的描述不一致时，应以描述更为严格的内容为准。</w:t>
      </w:r>
    </w:p>
    <w:p w14:paraId="76C2189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14:paraId="21A49D5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5.1.4 设计人在设计服务中选用的材料、设备，应当注明其规格、型号、性能等技术指标及适应性，</w:t>
      </w:r>
      <w:r>
        <w:rPr>
          <w:rFonts w:hint="eastAsia" w:ascii="宋体" w:hAnsi="宋体"/>
          <w:color w:val="auto"/>
          <w:kern w:val="0"/>
          <w:szCs w:val="21"/>
          <w:highlight w:val="none"/>
        </w:rPr>
        <w:t>但不得指定生产厂、供应商和产品品牌，</w:t>
      </w:r>
      <w:r>
        <w:rPr>
          <w:rFonts w:ascii="宋体" w:hAnsi="宋体"/>
          <w:color w:val="auto"/>
          <w:kern w:val="0"/>
          <w:szCs w:val="21"/>
          <w:highlight w:val="none"/>
        </w:rPr>
        <w:t>满足质量、安全、节能、环保等要求。</w:t>
      </w:r>
    </w:p>
    <w:p w14:paraId="0C3C0DC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5.2 设计依据</w:t>
      </w:r>
    </w:p>
    <w:p w14:paraId="1BF2DFF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除专用合同条款另有约定外，本工程的设计依据如下：</w:t>
      </w:r>
    </w:p>
    <w:p w14:paraId="474C886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（1）适用的法律、行政法规及部门规章；</w:t>
      </w:r>
    </w:p>
    <w:p w14:paraId="2400037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（2）与工程有关的规范、标准、规程；</w:t>
      </w:r>
    </w:p>
    <w:p w14:paraId="7C28192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（3）工程基础资料及其他文件；</w:t>
      </w:r>
    </w:p>
    <w:p w14:paraId="7709F9D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（4）本设计服务合同及补充合同；</w:t>
      </w:r>
    </w:p>
    <w:p w14:paraId="77B6CD9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（5）本工程勘察文件和施工需求；</w:t>
      </w:r>
    </w:p>
    <w:p w14:paraId="104A62B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（6）合同履行中与设计服务有关的来往函件；</w:t>
      </w:r>
    </w:p>
    <w:p w14:paraId="56DEF76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（7）其他设计依据。</w:t>
      </w:r>
    </w:p>
    <w:p w14:paraId="0275336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5.3 设计范围</w:t>
      </w:r>
    </w:p>
    <w:p w14:paraId="1631920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5.3.1 本合同的设计范围包括工程范围、阶段范围和工作范围，具体设计范围应当根据三者之间的关联内容进行确定。</w:t>
      </w:r>
    </w:p>
    <w:p w14:paraId="2AF1120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5.3.2 工程范围指所设计工程的建设内容，具体范围在专用合同条款中约定。</w:t>
      </w:r>
    </w:p>
    <w:p w14:paraId="67D4331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311" w:name="page59"/>
      <w:bookmarkEnd w:id="311"/>
      <w:r>
        <w:rPr>
          <w:rFonts w:ascii="宋体" w:hAnsi="宋体"/>
          <w:color w:val="auto"/>
          <w:kern w:val="0"/>
          <w:szCs w:val="21"/>
          <w:highlight w:val="none"/>
        </w:rPr>
        <w:t>5.3.3 阶段范围指工程建设程序中的方案设计、初步设计、扩大初步</w:t>
      </w:r>
      <w:r>
        <w:rPr>
          <w:rFonts w:hint="eastAsia" w:ascii="宋体" w:hAnsi="宋体"/>
          <w:color w:val="auto"/>
          <w:kern w:val="0"/>
          <w:szCs w:val="21"/>
          <w:highlight w:val="none"/>
        </w:rPr>
        <w:t>（技术）</w:t>
      </w:r>
      <w:r>
        <w:rPr>
          <w:rFonts w:ascii="宋体" w:hAnsi="宋体"/>
          <w:color w:val="auto"/>
          <w:kern w:val="0"/>
          <w:szCs w:val="21"/>
          <w:highlight w:val="none"/>
        </w:rPr>
        <w:t>设计、施工图设计等阶段中的一个或者多个阶段，具体范围在专用合同条款中约定。</w:t>
      </w:r>
    </w:p>
    <w:p w14:paraId="54190A3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5.3.4 工作范围指编制设计文件、编制设计概算、预算、提供技术交底、施工配合、参加试车（试运行）、编制竣工图、竣工验收和发包人委托的其他服务中的一项或者多项工作，具体范围在专用合同条款中约定。</w:t>
      </w:r>
    </w:p>
    <w:p w14:paraId="424FD73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5.4 设计文件要求</w:t>
      </w:r>
    </w:p>
    <w:p w14:paraId="75702F7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5.4.1 设计文件的编制应符合法律法规、规范标准的强制性规定和发包人要求，相关设计依据应完整、准确、可靠，设计方案论证充分，计算成果规范可靠，并能够实施。</w:t>
      </w:r>
    </w:p>
    <w:p w14:paraId="1C70FCF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5.4.2 设计服务应当根据法律、规范标准和发包人要求，保证工程</w:t>
      </w:r>
      <w:r>
        <w:rPr>
          <w:rFonts w:hint="eastAsia" w:ascii="宋体" w:hAnsi="宋体"/>
          <w:color w:val="auto"/>
          <w:kern w:val="0"/>
          <w:szCs w:val="21"/>
          <w:highlight w:val="none"/>
        </w:rPr>
        <w:t>的</w:t>
      </w:r>
      <w:r>
        <w:rPr>
          <w:rFonts w:ascii="宋体" w:hAnsi="宋体"/>
          <w:color w:val="auto"/>
          <w:kern w:val="0"/>
          <w:szCs w:val="21"/>
          <w:highlight w:val="none"/>
        </w:rPr>
        <w:t>合理使用寿命年限，并在设计文件中予以注明。</w:t>
      </w:r>
    </w:p>
    <w:p w14:paraId="62E5F94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5.4.3 设计文件的深度应满足本合同相应设计阶段的规定要求，满足发包人的下步工作需要，并应符合国家和行业现行规定。</w:t>
      </w:r>
    </w:p>
    <w:p w14:paraId="5CD6C08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5.4.4 设计文件必须保证工程质量和施工安全等方面的要求，按照有关法律法规规定在设计文件中提出保障施工作业人员安全和预防生产安全事故的措施建议。</w:t>
      </w:r>
    </w:p>
    <w:p w14:paraId="5714095C">
      <w:pPr>
        <w:pStyle w:val="3"/>
        <w:rPr>
          <w:rFonts w:hint="eastAsia" w:ascii="宋体" w:hAnsi="宋体"/>
          <w:b w:val="0"/>
          <w:snapToGrid w:val="0"/>
          <w:color w:val="auto"/>
          <w:sz w:val="24"/>
          <w:szCs w:val="24"/>
          <w:highlight w:val="none"/>
        </w:rPr>
      </w:pPr>
      <w:bookmarkStart w:id="312" w:name="_Toc531632604"/>
      <w:bookmarkStart w:id="313" w:name="_Toc532384169"/>
      <w:bookmarkStart w:id="314" w:name="_Toc174350650"/>
      <w:r>
        <w:rPr>
          <w:rFonts w:ascii="宋体" w:hAnsi="宋体"/>
          <w:b w:val="0"/>
          <w:snapToGrid w:val="0"/>
          <w:color w:val="auto"/>
          <w:sz w:val="24"/>
          <w:szCs w:val="24"/>
          <w:highlight w:val="none"/>
        </w:rPr>
        <w:t>6.开始设计和完成设计</w:t>
      </w:r>
      <w:bookmarkEnd w:id="312"/>
      <w:bookmarkEnd w:id="313"/>
      <w:bookmarkEnd w:id="314"/>
    </w:p>
    <w:p w14:paraId="4ED0DAA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6.1 开始设计</w:t>
      </w:r>
    </w:p>
    <w:p w14:paraId="4C73BE6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6.1.1 符合专用合同条款约定的开始设计条件的，发包人应提前 7 天向设计人发出开始设计通知。设计服务期限自开始设计通知中载明的开始设计日期起计算。</w:t>
      </w:r>
    </w:p>
    <w:p w14:paraId="5E8D623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6.1.2 除专用合同条款另有约定外，因发包人原因造成合同签订之日起 90 天内未能发出开始设计通知的，设计人有权提出价格调整要求，或者解除合同。发包人应当承担由此增加的费用和（或）周期延误。</w:t>
      </w:r>
    </w:p>
    <w:p w14:paraId="068D1C9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6.2 发包人引起的周期延误</w:t>
      </w:r>
    </w:p>
    <w:p w14:paraId="3B6403D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在履行合同过程中，由于发包人的下列原因造成设计服务期限延误的，发包人应当延长设计服务期限并增加设计费用，具体方法在专用合同条款中约定。</w:t>
      </w:r>
    </w:p>
    <w:p w14:paraId="1DAF875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（1）合同变更；</w:t>
      </w:r>
    </w:p>
    <w:p w14:paraId="02EE6C6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（2）未按合同约定期限及时答复设计事项；</w:t>
      </w:r>
    </w:p>
    <w:p w14:paraId="43B3FC3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（3）因发包人原因导致的暂停设计；</w:t>
      </w:r>
    </w:p>
    <w:p w14:paraId="124E311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315" w:name="page60"/>
      <w:bookmarkEnd w:id="315"/>
      <w:r>
        <w:rPr>
          <w:rFonts w:ascii="宋体" w:hAnsi="宋体"/>
          <w:color w:val="auto"/>
          <w:kern w:val="0"/>
          <w:szCs w:val="21"/>
          <w:highlight w:val="none"/>
        </w:rPr>
        <w:t>（4）未按合同约定及时支付设计费用；</w:t>
      </w:r>
    </w:p>
    <w:p w14:paraId="1045E13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（5）发包人提供的基准资料错误；</w:t>
      </w:r>
    </w:p>
    <w:p w14:paraId="686BFF4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（6）未及时按照合同约定履行相关义务；</w:t>
      </w:r>
    </w:p>
    <w:p w14:paraId="188A9E6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（7）未能按照合同约定期限对设计文件进行审查；</w:t>
      </w:r>
    </w:p>
    <w:p w14:paraId="618E56A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（8）发包人造成周期延误的其他原因。</w:t>
      </w:r>
    </w:p>
    <w:p w14:paraId="29E43A2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6.3 设计人引起的周期延误</w:t>
      </w:r>
    </w:p>
    <w:p w14:paraId="0B3C44B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由于设计人原因造成周期延误，设计人应支付逾期违约金。逾期违约金的计算方法和最高限额在专用合同条款中约定。</w:t>
      </w:r>
    </w:p>
    <w:p w14:paraId="59A6342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6.4 第三人引起的周期延误</w:t>
      </w:r>
    </w:p>
    <w:p w14:paraId="28CDB31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由于行政管理部门审查或其他第三人原因造成费用增加和（或）周期延误的，由发包人承担。</w:t>
      </w:r>
    </w:p>
    <w:p w14:paraId="0D30DD0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6.5 完成设计</w:t>
      </w:r>
    </w:p>
    <w:p w14:paraId="04513A9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6.5.1 设计人完成设计服务之后，应当根据法律、规范标准、合同约定和发包人要求编制设计文件。</w:t>
      </w:r>
    </w:p>
    <w:p w14:paraId="262DEAD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6.5.2 设计文件是工程设计的最终成果和施工的重要依据，应当根据本工程的设计内容和不同阶段的设计任务、目的和要求等进行编制。设计文件的内容和深度应当满足对应阶段的规范要求。</w:t>
      </w:r>
    </w:p>
    <w:p w14:paraId="38E0BC5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6.5.3 除专用合同条款另有约定外，设计文件包括纸质文件和电子文件两种形式，两者若有不一致时，应以纸质文件为准。纸质文件应当加盖单位法定名称章、单位设计资质章和国家规定的注册执业印章；电子文件应使用光盘和 U 盘分别贮存。</w:t>
      </w:r>
    </w:p>
    <w:p w14:paraId="7DDE4C4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6.6 提前完成设计</w:t>
      </w:r>
    </w:p>
    <w:p w14:paraId="1F7C0E41">
      <w:pPr>
        <w:widowControl/>
        <w:tabs>
          <w:tab w:val="left" w:pos="9072"/>
          <w:tab w:val="left" w:pos="9781"/>
          <w:tab w:val="left" w:pos="10065"/>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增加设计费用的，所增费用由发包人承担。</w:t>
      </w:r>
    </w:p>
    <w:p w14:paraId="4FD6CD5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6.6.2 发包人要求提前完成设计但设计人认为无法实施的，应在收到发包人书面指示后 7 天内提出异议，说明不能提前完成的理由。发包人应在收到异议后 7 天内予以答复。任何情况下，</w:t>
      </w:r>
      <w:bookmarkStart w:id="316" w:name="page61"/>
      <w:bookmarkEnd w:id="316"/>
      <w:r>
        <w:rPr>
          <w:rFonts w:ascii="宋体" w:hAnsi="宋体"/>
          <w:color w:val="auto"/>
          <w:kern w:val="0"/>
          <w:szCs w:val="21"/>
          <w:highlight w:val="none"/>
        </w:rPr>
        <w:t>发包人不得压缩合理的设计服务期限。</w:t>
      </w:r>
    </w:p>
    <w:p w14:paraId="55ADA68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6.6.3 由于设计人提前完成设计而给发包人带来经济效益的，发包人可以在专用合同条款中约定设计人因此获得的奖励内容。</w:t>
      </w:r>
    </w:p>
    <w:p w14:paraId="29102970">
      <w:pPr>
        <w:pStyle w:val="3"/>
        <w:rPr>
          <w:rFonts w:hint="eastAsia" w:ascii="宋体" w:hAnsi="宋体"/>
          <w:b w:val="0"/>
          <w:snapToGrid w:val="0"/>
          <w:color w:val="auto"/>
          <w:sz w:val="24"/>
          <w:szCs w:val="24"/>
          <w:highlight w:val="none"/>
        </w:rPr>
      </w:pPr>
      <w:bookmarkStart w:id="317" w:name="_Toc531632605"/>
      <w:bookmarkStart w:id="318" w:name="_Toc532384170"/>
      <w:bookmarkStart w:id="319" w:name="_Toc174350651"/>
      <w:r>
        <w:rPr>
          <w:rFonts w:ascii="宋体" w:hAnsi="宋体"/>
          <w:b w:val="0"/>
          <w:snapToGrid w:val="0"/>
          <w:color w:val="auto"/>
          <w:sz w:val="24"/>
          <w:szCs w:val="24"/>
          <w:highlight w:val="none"/>
        </w:rPr>
        <w:t>7.暂停设计</w:t>
      </w:r>
      <w:bookmarkEnd w:id="317"/>
      <w:bookmarkEnd w:id="318"/>
      <w:bookmarkEnd w:id="319"/>
    </w:p>
    <w:p w14:paraId="2B0C2BF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7.1 发包人原因暂停设计</w:t>
      </w:r>
    </w:p>
    <w:p w14:paraId="36989A8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合同履行中发生下列情形之一的，设计人可向发包人发出通知，要求发包人采取有效措施予以纠正。发包人收到设计人通知后的 28 天内仍不履行合同义务时，设计人有权暂停设计并通知发包人；发包人应承担由此导致的费用增加和（或）周期延误。</w:t>
      </w:r>
    </w:p>
    <w:p w14:paraId="174E82D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（1）发包人违约；</w:t>
      </w:r>
    </w:p>
    <w:p w14:paraId="00630B9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（2）发包人确定暂停设计；</w:t>
      </w:r>
    </w:p>
    <w:p w14:paraId="3062C4A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（3）合同约定由发包人承担责任的其他情形。</w:t>
      </w:r>
    </w:p>
    <w:p w14:paraId="7D92E7AC">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7.2 设计人原因暂停设计</w:t>
      </w:r>
    </w:p>
    <w:p w14:paraId="085BF71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合同履行中发生下列情形之一的，发包人可向设计人发出通知暂停设计，由此造成费用的增加和（或）周期延误由设计人承担：</w:t>
      </w:r>
    </w:p>
    <w:p w14:paraId="787449F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 设计人违约；</w:t>
      </w:r>
    </w:p>
    <w:p w14:paraId="42EE97A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 设计人擅自暂停设计；</w:t>
      </w:r>
    </w:p>
    <w:p w14:paraId="4F3C897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 合同约定由设计人承担责任的其他情形。</w:t>
      </w:r>
    </w:p>
    <w:p w14:paraId="3FC57BE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7.3 暂停期间的文件照管</w:t>
      </w:r>
    </w:p>
    <w:p w14:paraId="4604F64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不论由于何种原因引起暂停设计的，暂停期间设计人应负责妥善保护已完部分的设计文件，由此增加的费用由责任方承担。</w:t>
      </w:r>
    </w:p>
    <w:p w14:paraId="4406B39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7.4暂停设计后的复工</w:t>
      </w:r>
    </w:p>
    <w:p w14:paraId="3BEA301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暂停设计后，发包人和设计人应采取有效措施积极消除暂停设计的影响。当工程具备复工条件时，发包人向设计人发出复工通知，设计人应按照复工通知要求复工。</w:t>
      </w:r>
    </w:p>
    <w:p w14:paraId="7D55157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除设计人原因导致暂停设计外，设计人暂停设计后复工所增加的设计工作量，发包人应当另行支付相应设计费用。</w:t>
      </w:r>
    </w:p>
    <w:p w14:paraId="1DC57536">
      <w:pPr>
        <w:pStyle w:val="3"/>
        <w:rPr>
          <w:rFonts w:hint="eastAsia" w:ascii="宋体" w:hAnsi="宋体"/>
          <w:b w:val="0"/>
          <w:snapToGrid w:val="0"/>
          <w:color w:val="auto"/>
          <w:sz w:val="24"/>
          <w:szCs w:val="24"/>
          <w:highlight w:val="none"/>
        </w:rPr>
      </w:pPr>
      <w:bookmarkStart w:id="320" w:name="_Toc174350652"/>
      <w:bookmarkStart w:id="321" w:name="_Toc532384171"/>
      <w:bookmarkStart w:id="322" w:name="_Toc531632606"/>
      <w:r>
        <w:rPr>
          <w:rFonts w:ascii="宋体" w:hAnsi="宋体"/>
          <w:b w:val="0"/>
          <w:snapToGrid w:val="0"/>
          <w:color w:val="auto"/>
          <w:sz w:val="24"/>
          <w:szCs w:val="24"/>
          <w:highlight w:val="none"/>
        </w:rPr>
        <w:t>8.设计文件</w:t>
      </w:r>
      <w:bookmarkEnd w:id="320"/>
      <w:bookmarkEnd w:id="321"/>
      <w:bookmarkEnd w:id="322"/>
    </w:p>
    <w:p w14:paraId="7445D6E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8.1 设计文件接收</w:t>
      </w:r>
    </w:p>
    <w:p w14:paraId="112DA2F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8.1.1 发包人应当及时接收设计人提交的设计文件。如无正当理由拒收的，视为发包人已经接收设计文件。</w:t>
      </w:r>
    </w:p>
    <w:p w14:paraId="35D3530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323" w:name="page62"/>
      <w:bookmarkEnd w:id="323"/>
      <w:r>
        <w:rPr>
          <w:rFonts w:ascii="宋体" w:hAnsi="宋体"/>
          <w:color w:val="auto"/>
          <w:kern w:val="0"/>
          <w:szCs w:val="21"/>
          <w:highlight w:val="none"/>
        </w:rPr>
        <w:t>8.1.2 发包人接收设计文件时，应向设计人出具文件签收凭证，凭证内容包括图纸名称、图纸内容、图纸形式、份数、提交和接收日期、提交人与接收人的亲笔签名等。</w:t>
      </w:r>
    </w:p>
    <w:p w14:paraId="66B9784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8.1.3 设计文件提交的份数、内容、纸幅、装订格式、电子文件、展板、模型、沙盘、动画等要求，在专用合同条款中约定。</w:t>
      </w:r>
    </w:p>
    <w:p w14:paraId="0AB3458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8.2 发包人审查设计文件</w:t>
      </w:r>
    </w:p>
    <w:p w14:paraId="77F5BF6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59AA8C2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8.2.2 除专用合同条款另有约定外，发包人对于设计文件的审查期限，自文件接收之日起不应超过 14 天。发包人逾期未做出审查结论且未提出异议的，视为设计人的设计文件已经通过发包人审查。</w:t>
      </w:r>
    </w:p>
    <w:p w14:paraId="09C0A34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8.2.3 发包人审查后不同意设计文件的，应以书面形式通知设计人，说明审查不通过的理由及其具体内容。设计人应根据发包人的审查意见修改完善设计文件，并重新报送发包人审查，审查期限重新起算。</w:t>
      </w:r>
    </w:p>
    <w:p w14:paraId="51C0C5C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8.3 审查机构审查设计文件</w:t>
      </w:r>
    </w:p>
    <w:p w14:paraId="781578E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8.3.1设计文件需经政府有关部门审查或批准的，发包人应在审查同意后，按照有关主管部门要求，将设计文件和相关资料报送审查机构进行审查。发包人的审查和审查机构的审查不减免设计人因为质量问题而应承担的设计责任。</w:t>
      </w:r>
    </w:p>
    <w:p w14:paraId="43AB1B5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591563D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8.3.3 由于自身原因造成设计文件未通过审查机构审查的，设计人应当承担违约责任，采取补救措施直至达到合同约定的质量标准，并自行承担由此导致的费用增加和（或）周期延误。</w:t>
      </w:r>
    </w:p>
    <w:p w14:paraId="22BD8C6B">
      <w:pPr>
        <w:pStyle w:val="3"/>
        <w:rPr>
          <w:rFonts w:hint="eastAsia" w:ascii="宋体" w:hAnsi="宋体"/>
          <w:b w:val="0"/>
          <w:snapToGrid w:val="0"/>
          <w:color w:val="auto"/>
          <w:sz w:val="24"/>
          <w:szCs w:val="24"/>
          <w:highlight w:val="none"/>
        </w:rPr>
      </w:pPr>
      <w:bookmarkStart w:id="324" w:name="_Toc531632607"/>
      <w:bookmarkStart w:id="325" w:name="_Toc174350653"/>
      <w:bookmarkStart w:id="326" w:name="_Toc532384172"/>
      <w:r>
        <w:rPr>
          <w:rFonts w:ascii="宋体" w:hAnsi="宋体"/>
          <w:b w:val="0"/>
          <w:snapToGrid w:val="0"/>
          <w:color w:val="auto"/>
          <w:sz w:val="24"/>
          <w:szCs w:val="24"/>
          <w:highlight w:val="none"/>
        </w:rPr>
        <w:t>9.设计责任与保险</w:t>
      </w:r>
      <w:bookmarkEnd w:id="324"/>
      <w:bookmarkEnd w:id="325"/>
      <w:bookmarkEnd w:id="326"/>
    </w:p>
    <w:p w14:paraId="0EC3206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9.1 工作质量责任</w:t>
      </w:r>
    </w:p>
    <w:p w14:paraId="0D1E7A3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9.1.1 设计工作质量应满足法律规定、规范标准、合同约定和发包人要求等。</w:t>
      </w:r>
    </w:p>
    <w:p w14:paraId="57C1202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9.1.2 设计人应做好设计服务的质量与技术管理工作，建立健全内部质量管理体系和质量责</w:t>
      </w:r>
      <w:bookmarkStart w:id="327" w:name="page63"/>
      <w:bookmarkEnd w:id="327"/>
      <w:r>
        <w:rPr>
          <w:rFonts w:ascii="宋体" w:hAnsi="宋体"/>
          <w:color w:val="auto"/>
          <w:kern w:val="0"/>
          <w:szCs w:val="21"/>
          <w:highlight w:val="none"/>
        </w:rPr>
        <w:t>任制度，加强设计服务全过程的质量控制，建立完整的设计文件的设计、复核、审核、会签和批准制度，明确各阶段的责任人。</w:t>
      </w:r>
    </w:p>
    <w:p w14:paraId="5DDE2BC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9.1.3 设计人应按合同约定对设计服务进行全过程的质量检查和检验，并作详细记录。</w:t>
      </w:r>
    </w:p>
    <w:p w14:paraId="2330474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9.1.4 发包人有权对设计工作质量进行检查和审核。设计人应为发包人的检查和检验提供方便，包括发包人到设计场地或合同约定的其他地方进行察看，查阅、审核设计的原始记录和其他文件。发包人的检查和审核，不免除设计人按合同约定应负的责任。</w:t>
      </w:r>
    </w:p>
    <w:p w14:paraId="45BA04C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9.2 设计文件错误责任</w:t>
      </w:r>
    </w:p>
    <w:p w14:paraId="19E97C3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9.2.1 设计文件存在错误、遗漏、含混、矛盾、不充分之处或其他缺陷，无论设计人是否通过了发包人审查或审查机构审查，设计人均应自费对前述问题带来的缺陷和工程问题进行改正，但因第1.7.2 项约定由发包人提供的文件错误导致的除外。</w:t>
      </w:r>
    </w:p>
    <w:p w14:paraId="5FFD3C2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9.2.2 因设计人原因造成设计文件不合格的，发包人有权要求设计人采取补救措施，直至达到合同要求的质量标准，并按第 14.1 款的约定承担责任。</w:t>
      </w:r>
    </w:p>
    <w:p w14:paraId="52512BA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9.2.3 因发包人原因造成设计文件不合格的，设计人应当采取补救措施，直至达到合同要求的质量标准，由此造成的设计费用增加和（或）设计服务期限延误由发包人承担。</w:t>
      </w:r>
    </w:p>
    <w:p w14:paraId="23359EA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9.3 设计责任主体</w:t>
      </w:r>
    </w:p>
    <w:p w14:paraId="2284B29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9.3.1 设计人应运用一切合理的专业技术、知识技能和项目经验，按照职业道德准则和行业公认标准尽其全部职责，勤勉、谨慎、公正地履行其在本合同项下的责任和义务。</w:t>
      </w:r>
    </w:p>
    <w:p w14:paraId="46F3E0F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9.3.2 设计责任为设计单位项目负责人终身责任制。项目负责人应当保证设计文件符合法律法规和工程建设强制性标准的要求，对因设计导致的工程质量事故或质量问题承担责任。</w:t>
      </w:r>
    </w:p>
    <w:p w14:paraId="1D11C7B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9.3.3 项目负责人应当在办理工程质量监督手续前签署工程质量终身责任承诺书，连同法定代表人出具的授权书，报工程质量监督机构备案。</w:t>
      </w:r>
    </w:p>
    <w:p w14:paraId="3B1B299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9.4 设计责任保险</w:t>
      </w:r>
    </w:p>
    <w:p w14:paraId="06CA53B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14:paraId="7358154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9.4.2 工程设计责任险的保险范围，应当包括由于设计人的疏忽或过失而造成的工程质量事故损失，以及由于事故引发的第三者人身伤亡、财产损失或费用赔偿等。</w:t>
      </w:r>
    </w:p>
    <w:p w14:paraId="0049685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328" w:name="page64"/>
      <w:bookmarkEnd w:id="328"/>
      <w:r>
        <w:rPr>
          <w:rFonts w:ascii="宋体" w:hAnsi="宋体"/>
          <w:color w:val="auto"/>
          <w:kern w:val="0"/>
          <w:szCs w:val="21"/>
          <w:highlight w:val="none"/>
        </w:rPr>
        <w:t>9.4.3 发生工程设计保险事故后，设计人应按保险人要求进行报告，并负责办理保险理赔业务；保险金不足以补偿损失的，由设计人自行补偿。</w:t>
      </w:r>
    </w:p>
    <w:p w14:paraId="5A1F638A">
      <w:pPr>
        <w:pStyle w:val="3"/>
        <w:rPr>
          <w:rFonts w:hint="eastAsia" w:ascii="宋体" w:hAnsi="宋体"/>
          <w:b w:val="0"/>
          <w:snapToGrid w:val="0"/>
          <w:color w:val="auto"/>
          <w:sz w:val="24"/>
          <w:szCs w:val="24"/>
          <w:highlight w:val="none"/>
        </w:rPr>
      </w:pPr>
      <w:bookmarkStart w:id="329" w:name="_Toc532384173"/>
      <w:bookmarkStart w:id="330" w:name="_Toc174350654"/>
      <w:bookmarkStart w:id="331" w:name="_Toc531632608"/>
      <w:r>
        <w:rPr>
          <w:rFonts w:ascii="宋体" w:hAnsi="宋体"/>
          <w:b w:val="0"/>
          <w:snapToGrid w:val="0"/>
          <w:color w:val="auto"/>
          <w:sz w:val="24"/>
          <w:szCs w:val="24"/>
          <w:highlight w:val="none"/>
        </w:rPr>
        <w:t>10.施工期间配合</w:t>
      </w:r>
      <w:bookmarkEnd w:id="329"/>
      <w:bookmarkEnd w:id="330"/>
      <w:bookmarkEnd w:id="331"/>
    </w:p>
    <w:p w14:paraId="4298ADA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10.1 施工配合指设计人配合施工承包人，在施工期间提供的设计服务或其他配合工作，直至工程通过竣工验收为止。</w:t>
      </w:r>
    </w:p>
    <w:p w14:paraId="49045BE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10.2 除专用合同条款另有约定外，发包人应为设计人派赴施工现场的工作人员提供便利，包括在施工期间提供办公房间、办公桌椅、互联网接口、冷暖设施、生活设施、进出现场交通服务和其他便利条件。</w:t>
      </w:r>
    </w:p>
    <w:p w14:paraId="50E8724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10.3 设计人应在本工程的施工期间，积极提供设计配合服务，包括并不限于设计技术交底、施工现场服务、参与施工过程验收、参与投产试车（试运行）、参与工程竣工验收等工作。</w:t>
      </w:r>
    </w:p>
    <w:p w14:paraId="61FDF32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10.4 发包人应当组织设计技术交底会，由设计人向发包人、监理人和施工承包人等进行设计交底，对本工程的设计意图、设计文件和施工要求等进行系统地说明和解释。</w:t>
      </w:r>
    </w:p>
    <w:p w14:paraId="45D679D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3EC1836D">
      <w:pPr>
        <w:pStyle w:val="3"/>
        <w:rPr>
          <w:rFonts w:hint="eastAsia" w:ascii="宋体" w:hAnsi="宋体"/>
          <w:b w:val="0"/>
          <w:snapToGrid w:val="0"/>
          <w:color w:val="auto"/>
          <w:sz w:val="24"/>
          <w:szCs w:val="24"/>
          <w:highlight w:val="none"/>
        </w:rPr>
      </w:pPr>
      <w:bookmarkStart w:id="332" w:name="_Toc174350655"/>
      <w:bookmarkStart w:id="333" w:name="_Toc531632609"/>
      <w:bookmarkStart w:id="334" w:name="_Toc532384174"/>
      <w:r>
        <w:rPr>
          <w:rFonts w:ascii="宋体" w:hAnsi="宋体"/>
          <w:b w:val="0"/>
          <w:snapToGrid w:val="0"/>
          <w:color w:val="auto"/>
          <w:sz w:val="24"/>
          <w:szCs w:val="24"/>
          <w:highlight w:val="none"/>
        </w:rPr>
        <w:t>11.合同变更</w:t>
      </w:r>
      <w:bookmarkEnd w:id="332"/>
      <w:bookmarkEnd w:id="333"/>
      <w:bookmarkEnd w:id="334"/>
    </w:p>
    <w:p w14:paraId="6FAC9B9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 变更情形</w:t>
      </w:r>
    </w:p>
    <w:p w14:paraId="5E911B7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 合同履行中发生下述情形时，合同一方均可向对方提出变更请求，经双方协商一致后进行变更，设计服务期限和设计费用的调整方法在专用合同条款中约定。</w:t>
      </w:r>
    </w:p>
    <w:p w14:paraId="2EC94DC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（1）设计范围、内容、标准发生变化；</w:t>
      </w:r>
    </w:p>
    <w:p w14:paraId="180F38D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（2）除不可抗力外，非设计人的原因引起的周期延误；</w:t>
      </w:r>
    </w:p>
    <w:p w14:paraId="742033C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（3）非设计人的原因，对工程同一部分重复进行设计；</w:t>
      </w:r>
    </w:p>
    <w:p w14:paraId="63228C9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（4）非设计人的原因，对工程暂停设计及恢复设计。</w:t>
      </w:r>
    </w:p>
    <w:p w14:paraId="0B3861E3">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 基准日后，因颁布新的或修订原有法律、法规、规范和标准等引发合同变更情形的，按照上述约定进行调整。</w:t>
      </w:r>
    </w:p>
    <w:p w14:paraId="663B1BF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11.1.3</w:t>
      </w:r>
      <w:r>
        <w:rPr>
          <w:rFonts w:ascii="宋体" w:hAnsi="宋体"/>
          <w:color w:val="auto"/>
          <w:kern w:val="0"/>
          <w:szCs w:val="21"/>
          <w:highlight w:val="none"/>
        </w:rPr>
        <w:t>合同双方必须严格执行经批准的设计文件，不得擅自变更。确需变更设计的，应按照相关主管部门规定办理，经批准后方可实施，重大设计变更、投资超概等应按程序报批。</w:t>
      </w:r>
    </w:p>
    <w:p w14:paraId="581056D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 合理化建议</w:t>
      </w:r>
    </w:p>
    <w:p w14:paraId="512EBDE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11.2.1 合同履行中，设计人可对发包人要求提出合理化建议。合理化建议应以书面形式提交发包人，被发包人采纳并构成变更的，执行第 11.1 款约定。</w:t>
      </w:r>
    </w:p>
    <w:p w14:paraId="49130A8A">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设计人提出的合理化建议降低了工程投资、缩短了施工期限或者提高了工程经济效益的，发包人应按专用合同条款中的约定给予奖励。</w:t>
      </w:r>
    </w:p>
    <w:p w14:paraId="23942EB7">
      <w:pPr>
        <w:pStyle w:val="3"/>
        <w:rPr>
          <w:rFonts w:hint="eastAsia" w:ascii="宋体" w:hAnsi="宋体"/>
          <w:b w:val="0"/>
          <w:snapToGrid w:val="0"/>
          <w:color w:val="auto"/>
          <w:sz w:val="24"/>
          <w:szCs w:val="24"/>
          <w:highlight w:val="none"/>
        </w:rPr>
      </w:pPr>
      <w:bookmarkStart w:id="335" w:name="_Toc531632610"/>
      <w:bookmarkStart w:id="336" w:name="_Toc174350656"/>
      <w:bookmarkStart w:id="337" w:name="_Toc532384175"/>
      <w:r>
        <w:rPr>
          <w:rFonts w:ascii="宋体" w:hAnsi="宋体"/>
          <w:b w:val="0"/>
          <w:snapToGrid w:val="0"/>
          <w:color w:val="auto"/>
          <w:sz w:val="24"/>
          <w:szCs w:val="24"/>
          <w:highlight w:val="none"/>
        </w:rPr>
        <w:t>12.合同价格与支付</w:t>
      </w:r>
      <w:bookmarkEnd w:id="335"/>
      <w:bookmarkEnd w:id="336"/>
      <w:bookmarkEnd w:id="337"/>
    </w:p>
    <w:p w14:paraId="36BBABA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12.1 合同价格</w:t>
      </w:r>
    </w:p>
    <w:p w14:paraId="3217925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12.1.1 本合同的价款计算方式、支付方式、调整方式和风险范围划分，在专用合同条款中约定。</w:t>
      </w:r>
    </w:p>
    <w:p w14:paraId="41A2DBE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12.1.2 本合同的价款实行分阶段支付，即设计人完成阶段设计文件后，发包人按专用条款约定方式支付。</w:t>
      </w:r>
    </w:p>
    <w:p w14:paraId="5F6C607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12.1.3 除专用合同条款另有约定外，合同设计费应当包括收集资料、踏勘现场、设计、编制设计文件、施工配合等合同约定范围内的设计工作费用和国家规定的增值税税金。</w:t>
      </w:r>
    </w:p>
    <w:p w14:paraId="21A5D41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12.1.4除专用合同条款另有约定外，发包人要求设计人进行外出考察、试验检测、专项咨询或专家评审时，相应费用不含在合同价格之中，由发包人另行支付。</w:t>
      </w:r>
    </w:p>
    <w:p w14:paraId="70805EB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12.2 定金或预付款</w:t>
      </w:r>
    </w:p>
    <w:p w14:paraId="0F313D11">
      <w:pPr>
        <w:keepNext/>
        <w:keepLines/>
        <w:spacing w:before="120" w:after="120" w:line="360" w:lineRule="auto"/>
        <w:ind w:firstLine="420" w:firstLineChars="200"/>
        <w:outlineLvl w:val="4"/>
        <w:rPr>
          <w:rFonts w:hint="eastAsia" w:ascii="宋体" w:hAnsi="宋体"/>
          <w:color w:val="auto"/>
          <w:kern w:val="0"/>
          <w:szCs w:val="21"/>
          <w:highlight w:val="none"/>
          <w:lang w:eastAsia="zh-CN"/>
        </w:rPr>
      </w:pPr>
      <w:r>
        <w:rPr>
          <w:rFonts w:hint="eastAsia" w:ascii="宋体" w:hAnsi="宋体"/>
          <w:color w:val="auto"/>
          <w:kern w:val="0"/>
          <w:szCs w:val="21"/>
          <w:highlight w:val="none"/>
          <w:lang w:eastAsia="zh-CN"/>
        </w:rPr>
        <w:t>不支付定金或预付款</w:t>
      </w:r>
    </w:p>
    <w:p w14:paraId="13792DA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12.3 中期支付</w:t>
      </w:r>
    </w:p>
    <w:p w14:paraId="1E454C9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12.3.1 设计人应按发包人批准或专用合同条款约定的格式及份数，向发包人提交中期支付申请，并附相应的支持性证明文件。</w:t>
      </w:r>
    </w:p>
    <w:p w14:paraId="106F767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12.3.2 发包人应在收到中期支付申请后的 28 天内，将应付款项支付给设计人；设计人应当</w:t>
      </w:r>
      <w:bookmarkStart w:id="338" w:name="page66"/>
      <w:bookmarkEnd w:id="338"/>
      <w:r>
        <w:rPr>
          <w:rFonts w:ascii="宋体" w:hAnsi="宋体"/>
          <w:color w:val="auto"/>
          <w:kern w:val="0"/>
          <w:szCs w:val="21"/>
          <w:highlight w:val="none"/>
        </w:rPr>
        <w:t>提供等额的增值税发票。发包人未能在前述时间内完成审批或不予答复的，视为发包人同意中期支付申请。发包人不按期支付的，按专用合同条款的约定支付逾期付款违约金。</w:t>
      </w:r>
    </w:p>
    <w:p w14:paraId="266FEAF1">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12.3.3 中期支付涉及政府投资资金的，按照国库集中支付等国家相关规定和专用合同条款的约定执行。</w:t>
      </w:r>
    </w:p>
    <w:p w14:paraId="34BF3FA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12.4 费用结算</w:t>
      </w:r>
    </w:p>
    <w:p w14:paraId="48273A5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12.4.1 合同工作完成后，设计人可按专用合同条款约定的份数和期限，向发包人提交设计费用结算申请，并提供相关证明材料。</w:t>
      </w:r>
    </w:p>
    <w:p w14:paraId="03858AB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12.4.2 发包人应在收到费用结算申请后的 28 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14:paraId="71B5C33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12.4.3 发包人对费用结算申请内容有异议的，有权要求设计人进行修正和提供补充资料，由设计人重新提交。设计人对此有异议的，按第 15 条的约定执行。</w:t>
      </w:r>
    </w:p>
    <w:p w14:paraId="3727329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12.4.4 最终结清付款涉及政府投资资金的，按第 12.3.3 项的约定执行。</w:t>
      </w:r>
    </w:p>
    <w:p w14:paraId="062FC4C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 暂列金额</w:t>
      </w:r>
    </w:p>
    <w:p w14:paraId="489932D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12.5.1 本合同的暂列金额在专用合同条款中约定。暂列金额应按发包人的书面指示全部或部分地使用，或根本不予动用。</w:t>
      </w:r>
    </w:p>
    <w:p w14:paraId="3FB88E04">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12.5.2 如果使用暂列金额进行某项额外设计工作、专题研究、审查和会务工作，其费用应按实际发生的工作费用经发包人核实后支付。</w:t>
      </w:r>
    </w:p>
    <w:p w14:paraId="687EC1B2">
      <w:pPr>
        <w:pStyle w:val="3"/>
        <w:rPr>
          <w:rFonts w:hint="eastAsia" w:ascii="宋体" w:hAnsi="宋体"/>
          <w:b w:val="0"/>
          <w:snapToGrid w:val="0"/>
          <w:color w:val="auto"/>
          <w:sz w:val="24"/>
          <w:szCs w:val="24"/>
          <w:highlight w:val="none"/>
        </w:rPr>
      </w:pPr>
      <w:bookmarkStart w:id="339" w:name="_Toc174350657"/>
      <w:bookmarkStart w:id="340" w:name="_Toc532384176"/>
      <w:bookmarkStart w:id="341" w:name="_Toc531632611"/>
      <w:r>
        <w:rPr>
          <w:rFonts w:ascii="宋体" w:hAnsi="宋体"/>
          <w:b w:val="0"/>
          <w:snapToGrid w:val="0"/>
          <w:color w:val="auto"/>
          <w:sz w:val="24"/>
          <w:szCs w:val="24"/>
          <w:highlight w:val="none"/>
        </w:rPr>
        <w:t>13.不可抗力</w:t>
      </w:r>
      <w:bookmarkEnd w:id="339"/>
      <w:bookmarkEnd w:id="340"/>
      <w:bookmarkEnd w:id="341"/>
    </w:p>
    <w:p w14:paraId="2C816DC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13.1 不可抗力的确认</w:t>
      </w:r>
    </w:p>
    <w:p w14:paraId="185D1DBE">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3789CCE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13.1.2 不可抗力发生后，发包人和设计人应及时认真统计所造成的损失，收集不可抗力造成损失的证据。合同双方对是否属于不可抗力或其损失的意见不一致的，由合同双方协商确定。</w:t>
      </w:r>
    </w:p>
    <w:p w14:paraId="48845D8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13.2 不可抗力的通知</w:t>
      </w:r>
    </w:p>
    <w:p w14:paraId="759C290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13.2.1 合同一方当事人遇到不可抗力事件，使其履行合同义务受到阻碍时，应立即通知合同另一方当事人，书面说明不可抗力和受阻碍的详细情况，并提供必要的证明。</w:t>
      </w:r>
    </w:p>
    <w:p w14:paraId="586AEBE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13.2.2 如不可抗力持续发生，合同一方当事人应及时向合同另一方当事人提交中间报告，说明不可抗力和履行合同受阻的情况，并于不可抗力事件结束后 28 天内提交最终报告及有关资料。</w:t>
      </w:r>
    </w:p>
    <w:p w14:paraId="4AA5417E">
      <w:pPr>
        <w:keepNext/>
        <w:keepLines/>
        <w:spacing w:before="120" w:after="120" w:line="360" w:lineRule="auto"/>
        <w:ind w:firstLine="420" w:firstLineChars="200"/>
        <w:outlineLvl w:val="4"/>
        <w:rPr>
          <w:rFonts w:hint="eastAsia" w:ascii="宋体" w:hAnsi="宋体"/>
          <w:bCs/>
          <w:color w:val="auto"/>
          <w:szCs w:val="21"/>
          <w:highlight w:val="none"/>
        </w:rPr>
      </w:pPr>
      <w:bookmarkStart w:id="342" w:name="page67"/>
      <w:bookmarkEnd w:id="342"/>
      <w:r>
        <w:rPr>
          <w:rFonts w:ascii="宋体" w:hAnsi="宋体"/>
          <w:bCs/>
          <w:color w:val="auto"/>
          <w:szCs w:val="21"/>
          <w:highlight w:val="none"/>
        </w:rPr>
        <w:t>13.3 不可抗力后果及其处理</w:t>
      </w:r>
    </w:p>
    <w:p w14:paraId="0A31645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13.3.1 不可抗力引起的后果及其损失，应由合同当事人依据法律规定各自承担。不可抗力发生前已完成的设计工作，应当按照合同约定进行支付。</w:t>
      </w:r>
    </w:p>
    <w:p w14:paraId="2494E1D0">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13.3.2 不可抗力发生后，合同当事人应当采取有效措施避免损失进一步扩大，如未采取有效措施致使损失扩大的，应当自行承担扩大部分的损失。</w:t>
      </w:r>
    </w:p>
    <w:p w14:paraId="4ED4CE8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13.3.3 因一方当事人迟延履行合同义务，致使迟延履行期间遭遇不可抗力的，应由该当事人承担全部损失。</w:t>
      </w:r>
    </w:p>
    <w:p w14:paraId="49C4D654">
      <w:pPr>
        <w:pStyle w:val="3"/>
        <w:rPr>
          <w:rFonts w:hint="eastAsia" w:ascii="宋体" w:hAnsi="宋体"/>
          <w:b w:val="0"/>
          <w:snapToGrid w:val="0"/>
          <w:color w:val="auto"/>
          <w:sz w:val="24"/>
          <w:szCs w:val="24"/>
          <w:highlight w:val="none"/>
        </w:rPr>
      </w:pPr>
      <w:bookmarkStart w:id="343" w:name="_Toc531632612"/>
      <w:bookmarkStart w:id="344" w:name="_Toc174350658"/>
      <w:bookmarkStart w:id="345" w:name="_Toc532384177"/>
      <w:r>
        <w:rPr>
          <w:rFonts w:ascii="宋体" w:hAnsi="宋体"/>
          <w:b w:val="0"/>
          <w:snapToGrid w:val="0"/>
          <w:color w:val="auto"/>
          <w:sz w:val="24"/>
          <w:szCs w:val="24"/>
          <w:highlight w:val="none"/>
        </w:rPr>
        <w:t>14.违约</w:t>
      </w:r>
      <w:bookmarkEnd w:id="343"/>
      <w:bookmarkEnd w:id="344"/>
      <w:bookmarkEnd w:id="345"/>
    </w:p>
    <w:p w14:paraId="5AE5FD2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14.1 设计人违约</w:t>
      </w:r>
    </w:p>
    <w:p w14:paraId="0BEBD91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14.1.1合同履行中发生下列情况之一的，属设计人违约：</w:t>
      </w:r>
    </w:p>
    <w:p w14:paraId="1EFD6A6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（1）设计文件不符合法律、行政法规等规定；</w:t>
      </w:r>
    </w:p>
    <w:p w14:paraId="5D03616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（2）设计文件不符合合同约定； </w:t>
      </w:r>
    </w:p>
    <w:p w14:paraId="26ADC26B">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（3）设计人转包、违法分包或者未经发包人同意擅自分包；</w:t>
      </w:r>
    </w:p>
    <w:p w14:paraId="361325A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（4）设计人未按合同计划完成设计，从而造成工程损失；</w:t>
      </w:r>
    </w:p>
    <w:p w14:paraId="3776896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（5）设计人无故停止履行合同的；</w:t>
      </w:r>
    </w:p>
    <w:p w14:paraId="2F333A75">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（6）因设计人原因，导致合同无法继续履行；</w:t>
      </w:r>
    </w:p>
    <w:p w14:paraId="6D610F1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（7）设计人不履行合同约定的其他义务。</w:t>
      </w:r>
    </w:p>
    <w:p w14:paraId="25915B5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14.1.2 </w:t>
      </w:r>
      <w:r>
        <w:rPr>
          <w:rFonts w:hint="eastAsia" w:ascii="宋体" w:hAnsi="宋体"/>
          <w:color w:val="auto"/>
          <w:kern w:val="0"/>
          <w:szCs w:val="21"/>
          <w:highlight w:val="none"/>
        </w:rPr>
        <w:t>合同履行中发生14.1.1项之一的，发包人可向设计人发出整改通知，设计人应按照发包人的要求在限定期限内整改并向发包人支付违约金；设计人在发包人限定整改期限内未完成整改的，发包人未解除合同的，设计人的违约状态持续的，设计人应向发包人支付违约金；设计人在发包人限定整改期限内拒不整改的，发包人有权单方解除合同并向设计人发出解除合同通知，设计人应向发包人支付违约金。设计人应当承担由于违约所造成的费用增加、周期延误和发包人损失等。设计人向发包人支付的违约金在专用合同条款中约定</w:t>
      </w:r>
      <w:r>
        <w:rPr>
          <w:rFonts w:ascii="宋体" w:hAnsi="宋体"/>
          <w:color w:val="auto"/>
          <w:kern w:val="0"/>
          <w:szCs w:val="21"/>
          <w:highlight w:val="none"/>
        </w:rPr>
        <w:t>。</w:t>
      </w:r>
    </w:p>
    <w:p w14:paraId="203F1217">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14.1.3合同生效后，设计人因自身原因要求终止或解除合同，设计人应按发包人已支付的定金金额双倍返还给发包人。</w:t>
      </w:r>
    </w:p>
    <w:p w14:paraId="75CFDE6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14.2 发包人违约</w:t>
      </w:r>
    </w:p>
    <w:p w14:paraId="696D195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14.2.1 合同履行中发生下列情况之一的，属发包人违约：</w:t>
      </w:r>
    </w:p>
    <w:p w14:paraId="7BAB43B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（1）发包人要求违反法律规定；</w:t>
      </w:r>
    </w:p>
    <w:p w14:paraId="62A8CD4D">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（2）发包人未按合同约定支付设计费用；</w:t>
      </w:r>
    </w:p>
    <w:p w14:paraId="61E37458">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（3）发包人原因造成设计停止；</w:t>
      </w:r>
    </w:p>
    <w:p w14:paraId="62034ADF">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（4）因发包人原因，导致合同无法继续履行；</w:t>
      </w:r>
    </w:p>
    <w:p w14:paraId="57406A86">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（5）发包人不履行合同约定的其他义务。</w:t>
      </w:r>
    </w:p>
    <w:p w14:paraId="593C6A1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14.2.2 发包人发生违约情况时，设计人可向发包人发出履约通知，要求其在限定期限内履行合同；限期内仍未履行合同的，设计人有权解除合同并向发包人发出解除合同通知。发包人应当承担由于违约所造成的费用增加、周期延误和设计人损失等。</w:t>
      </w:r>
    </w:p>
    <w:p w14:paraId="5BF48A71">
      <w:pPr>
        <w:keepNext/>
        <w:keepLines/>
        <w:spacing w:before="120" w:after="120" w:line="360" w:lineRule="auto"/>
        <w:ind w:firstLine="420" w:firstLineChars="200"/>
        <w:outlineLvl w:val="4"/>
        <w:rPr>
          <w:rFonts w:hint="eastAsia" w:ascii="宋体" w:hAnsi="宋体"/>
          <w:bCs/>
          <w:color w:val="auto"/>
          <w:szCs w:val="21"/>
          <w:highlight w:val="none"/>
        </w:rPr>
      </w:pPr>
      <w:bookmarkStart w:id="346" w:name="page68"/>
      <w:bookmarkEnd w:id="346"/>
      <w:r>
        <w:rPr>
          <w:rFonts w:ascii="宋体" w:hAnsi="宋体"/>
          <w:bCs/>
          <w:color w:val="auto"/>
          <w:szCs w:val="21"/>
          <w:highlight w:val="none"/>
        </w:rPr>
        <w:t>14.3 第三人造成的违约</w:t>
      </w:r>
    </w:p>
    <w:p w14:paraId="4DBA9F7C">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4233777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14.4任何一方按照前述约定行使合同解除权的，应提前30天书面通知对方。</w:t>
      </w:r>
    </w:p>
    <w:p w14:paraId="4BC65889">
      <w:pPr>
        <w:pStyle w:val="3"/>
        <w:rPr>
          <w:rFonts w:hint="eastAsia" w:ascii="宋体" w:hAnsi="宋体"/>
          <w:b w:val="0"/>
          <w:snapToGrid w:val="0"/>
          <w:color w:val="auto"/>
          <w:sz w:val="24"/>
          <w:szCs w:val="24"/>
          <w:highlight w:val="none"/>
        </w:rPr>
      </w:pPr>
      <w:bookmarkStart w:id="347" w:name="_Toc174350659"/>
      <w:bookmarkStart w:id="348" w:name="_Toc531632613"/>
      <w:r>
        <w:rPr>
          <w:rFonts w:ascii="宋体" w:hAnsi="宋体"/>
          <w:b w:val="0"/>
          <w:snapToGrid w:val="0"/>
          <w:color w:val="auto"/>
          <w:sz w:val="24"/>
          <w:szCs w:val="24"/>
          <w:highlight w:val="none"/>
        </w:rPr>
        <w:t>15.争议的解决</w:t>
      </w:r>
      <w:bookmarkEnd w:id="347"/>
      <w:bookmarkEnd w:id="348"/>
    </w:p>
    <w:p w14:paraId="37CC2D82">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发包人和设计人在履行合同中发生争议的，可以友好协商解决。合同当事人友好协商解决不成的，可在专用合同条款中约定下列一种方式解决：</w:t>
      </w:r>
    </w:p>
    <w:p w14:paraId="38B341F9">
      <w:pPr>
        <w:widowControl/>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（1）向约定的仲裁委员会申请仲裁；</w:t>
      </w:r>
    </w:p>
    <w:p w14:paraId="53B30F4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（2）向有管辖权的人民法院提起诉讼。</w:t>
      </w:r>
    </w:p>
    <w:p w14:paraId="1F0675EF">
      <w:pPr>
        <w:keepNext/>
        <w:keepLines/>
        <w:snapToGrid w:val="0"/>
        <w:spacing w:before="260" w:after="260" w:line="360" w:lineRule="auto"/>
        <w:outlineLvl w:val="2"/>
        <w:rPr>
          <w:rFonts w:hint="eastAsia" w:ascii="宋体" w:hAnsi="宋体"/>
          <w:b/>
          <w:bCs/>
          <w:color w:val="auto"/>
          <w:szCs w:val="21"/>
          <w:highlight w:val="none"/>
          <w:lang w:val="zh-CN"/>
        </w:rPr>
      </w:pPr>
      <w:r>
        <w:rPr>
          <w:rFonts w:hint="eastAsia" w:ascii="宋体" w:hAnsi="宋体"/>
          <w:b/>
          <w:bCs/>
          <w:color w:val="auto"/>
          <w:szCs w:val="21"/>
          <w:highlight w:val="none"/>
          <w:lang w:val="zh-CN"/>
        </w:rPr>
        <w:br w:type="page"/>
      </w:r>
    </w:p>
    <w:p w14:paraId="06E1799D">
      <w:pPr>
        <w:pStyle w:val="2"/>
        <w:numPr>
          <w:ilvl w:val="0"/>
          <w:numId w:val="0"/>
        </w:numPr>
        <w:ind w:left="3255"/>
        <w:jc w:val="both"/>
        <w:rPr>
          <w:rFonts w:hint="eastAsia" w:ascii="宋体" w:hAnsi="宋体"/>
          <w:color w:val="auto"/>
          <w:kern w:val="0"/>
          <w:sz w:val="28"/>
          <w:szCs w:val="28"/>
          <w:highlight w:val="none"/>
        </w:rPr>
      </w:pPr>
      <w:bookmarkStart w:id="349" w:name="_Toc532375607"/>
      <w:bookmarkStart w:id="350" w:name="_Toc174350660"/>
      <w:bookmarkStart w:id="351" w:name="_Toc532377320"/>
      <w:bookmarkStart w:id="352" w:name="_Toc529388290"/>
      <w:r>
        <w:rPr>
          <w:rFonts w:hint="eastAsia" w:ascii="宋体" w:hAnsi="宋体"/>
          <w:color w:val="auto"/>
          <w:kern w:val="0"/>
          <w:sz w:val="28"/>
          <w:szCs w:val="28"/>
          <w:highlight w:val="none"/>
        </w:rPr>
        <w:t>第三部分 专用合同条款</w:t>
      </w:r>
      <w:bookmarkEnd w:id="349"/>
      <w:bookmarkEnd w:id="350"/>
      <w:bookmarkEnd w:id="351"/>
      <w:bookmarkEnd w:id="352"/>
    </w:p>
    <w:p w14:paraId="0CEC1C1C">
      <w:pPr>
        <w:pStyle w:val="3"/>
        <w:rPr>
          <w:rFonts w:hint="eastAsia" w:ascii="宋体" w:hAnsi="宋体"/>
          <w:b w:val="0"/>
          <w:snapToGrid w:val="0"/>
          <w:color w:val="auto"/>
          <w:sz w:val="24"/>
          <w:szCs w:val="24"/>
          <w:highlight w:val="none"/>
        </w:rPr>
      </w:pPr>
      <w:bookmarkStart w:id="353" w:name="_Toc531632615"/>
      <w:bookmarkStart w:id="354" w:name="_Toc174350661"/>
      <w:bookmarkStart w:id="355" w:name="_Toc532384179"/>
      <w:r>
        <w:rPr>
          <w:rFonts w:ascii="宋体" w:hAnsi="宋体"/>
          <w:b w:val="0"/>
          <w:snapToGrid w:val="0"/>
          <w:color w:val="auto"/>
          <w:sz w:val="24"/>
          <w:szCs w:val="24"/>
          <w:highlight w:val="none"/>
        </w:rPr>
        <w:t>1.一般约定</w:t>
      </w:r>
      <w:bookmarkEnd w:id="353"/>
      <w:bookmarkEnd w:id="354"/>
      <w:bookmarkEnd w:id="355"/>
    </w:p>
    <w:p w14:paraId="1913D07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1.1词语定义</w:t>
      </w:r>
    </w:p>
    <w:p w14:paraId="18FEBD2F">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1.1.3.1 工程名称：</w:t>
      </w:r>
      <w:r>
        <w:rPr>
          <w:rFonts w:ascii="宋体" w:hAnsi="宋体"/>
          <w:color w:val="auto"/>
          <w:kern w:val="0"/>
          <w:szCs w:val="21"/>
          <w:highlight w:val="none"/>
          <w:u w:val="single"/>
        </w:rPr>
        <w:tab/>
      </w:r>
      <w:r>
        <w:rPr>
          <w:rFonts w:ascii="宋体" w:hAnsi="宋体"/>
          <w:color w:val="auto"/>
          <w:kern w:val="0"/>
          <w:szCs w:val="21"/>
          <w:highlight w:val="none"/>
        </w:rPr>
        <w:t>。</w:t>
      </w:r>
    </w:p>
    <w:p w14:paraId="24F879B4">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1.1.3.2 设计服务：</w:t>
      </w:r>
      <w:r>
        <w:rPr>
          <w:rFonts w:ascii="宋体" w:hAnsi="宋体"/>
          <w:color w:val="auto"/>
          <w:kern w:val="0"/>
          <w:szCs w:val="21"/>
          <w:highlight w:val="none"/>
          <w:u w:val="single"/>
        </w:rPr>
        <w:t xml:space="preserve">（包含设计内容和设计阶段，按实际委托范围填写）                                                  </w:t>
      </w:r>
      <w:r>
        <w:rPr>
          <w:rFonts w:ascii="宋体" w:hAnsi="宋体"/>
          <w:color w:val="auto"/>
          <w:kern w:val="0"/>
          <w:szCs w:val="21"/>
          <w:highlight w:val="none"/>
        </w:rPr>
        <w:t>。</w:t>
      </w:r>
    </w:p>
    <w:p w14:paraId="45B82AE6">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1.1.4.5 基准日：（</w:t>
      </w:r>
      <w:r>
        <w:rPr>
          <w:rFonts w:ascii="宋体" w:hAnsi="宋体"/>
          <w:color w:val="auto"/>
          <w:kern w:val="0"/>
          <w:szCs w:val="21"/>
          <w:highlight w:val="none"/>
          <w:u w:val="single"/>
        </w:rPr>
        <w:t>招标发包的设计以投标截止日之前28天的日期为基准日期/直接发包的设计以合同签订日之前28天的日期为基准日期。）</w:t>
      </w:r>
    </w:p>
    <w:p w14:paraId="7ACE0D80">
      <w:pPr>
        <w:widowControl/>
        <w:tabs>
          <w:tab w:val="left" w:pos="9072"/>
          <w:tab w:val="left" w:pos="9781"/>
        </w:tabs>
        <w:spacing w:line="360" w:lineRule="auto"/>
        <w:ind w:firstLine="420" w:firstLineChars="200"/>
        <w:jc w:val="left"/>
        <w:outlineLvl w:val="4"/>
        <w:rPr>
          <w:rFonts w:hint="eastAsia" w:ascii="宋体" w:hAnsi="宋体"/>
          <w:color w:val="auto"/>
          <w:kern w:val="0"/>
          <w:szCs w:val="21"/>
          <w:highlight w:val="none"/>
        </w:rPr>
      </w:pPr>
      <w:r>
        <w:rPr>
          <w:rFonts w:ascii="宋体" w:hAnsi="宋体"/>
          <w:bCs/>
          <w:color w:val="auto"/>
          <w:szCs w:val="21"/>
          <w:highlight w:val="none"/>
        </w:rPr>
        <w:t>1.3适用法律</w:t>
      </w:r>
      <w:r>
        <w:rPr>
          <w:rFonts w:ascii="宋体" w:hAnsi="宋体"/>
          <w:color w:val="auto"/>
          <w:kern w:val="0"/>
          <w:szCs w:val="21"/>
          <w:highlight w:val="none"/>
        </w:rPr>
        <w:t>：</w:t>
      </w:r>
      <w:r>
        <w:rPr>
          <w:rFonts w:ascii="宋体" w:hAnsi="宋体"/>
          <w:color w:val="auto"/>
          <w:kern w:val="0"/>
          <w:szCs w:val="21"/>
          <w:highlight w:val="none"/>
          <w:u w:val="single"/>
        </w:rPr>
        <w:tab/>
      </w:r>
      <w:r>
        <w:rPr>
          <w:rFonts w:ascii="宋体" w:hAnsi="宋体"/>
          <w:color w:val="auto"/>
          <w:kern w:val="0"/>
          <w:szCs w:val="21"/>
          <w:highlight w:val="none"/>
        </w:rPr>
        <w:t>。</w:t>
      </w:r>
    </w:p>
    <w:p w14:paraId="384064C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 技术标准</w:t>
      </w:r>
    </w:p>
    <w:p w14:paraId="77196E75">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ascii="宋体" w:hAnsi="宋体"/>
          <w:color w:val="auto"/>
          <w:kern w:val="0"/>
          <w:szCs w:val="21"/>
          <w:highlight w:val="none"/>
          <w:u w:val="single"/>
        </w:rPr>
        <w:t>（本工程的国家标准、行业标准、工程所在地的地方性标准等）</w:t>
      </w:r>
      <w:r>
        <w:rPr>
          <w:rFonts w:ascii="宋体" w:hAnsi="宋体"/>
          <w:color w:val="auto"/>
          <w:kern w:val="0"/>
          <w:szCs w:val="21"/>
          <w:highlight w:val="none"/>
        </w:rPr>
        <w:t>。</w:t>
      </w:r>
    </w:p>
    <w:p w14:paraId="64906723">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1.4.2：国外技术标准原文版本和中文译本的提供方：</w:t>
      </w:r>
      <w:r>
        <w:rPr>
          <w:rFonts w:ascii="宋体" w:hAnsi="宋体"/>
          <w:color w:val="auto"/>
          <w:kern w:val="0"/>
          <w:szCs w:val="21"/>
          <w:highlight w:val="none"/>
          <w:u w:val="single"/>
        </w:rPr>
        <w:t xml:space="preserve">         </w:t>
      </w:r>
    </w:p>
    <w:p w14:paraId="53653000">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FF3EF56">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提供国外技术标准的名称：</w:t>
      </w:r>
      <w:r>
        <w:rPr>
          <w:rFonts w:ascii="宋体" w:hAnsi="宋体"/>
          <w:color w:val="auto"/>
          <w:kern w:val="0"/>
          <w:szCs w:val="21"/>
          <w:highlight w:val="none"/>
          <w:u w:val="single"/>
        </w:rPr>
        <w:t xml:space="preserve">                              </w:t>
      </w:r>
    </w:p>
    <w:p w14:paraId="0323AE35">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u w:val="single"/>
        </w:rPr>
        <w:t xml:space="preserve">                             </w:t>
      </w:r>
      <w:r>
        <w:rPr>
          <w:rFonts w:ascii="宋体" w:hAnsi="宋体"/>
          <w:color w:val="auto"/>
          <w:kern w:val="0"/>
          <w:szCs w:val="21"/>
          <w:highlight w:val="none"/>
        </w:rPr>
        <w:t>;</w:t>
      </w:r>
    </w:p>
    <w:p w14:paraId="32EC2F33">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提供国外技术标准的份数：</w:t>
      </w:r>
      <w:r>
        <w:rPr>
          <w:rFonts w:ascii="宋体" w:hAnsi="宋体"/>
          <w:color w:val="auto"/>
          <w:kern w:val="0"/>
          <w:szCs w:val="21"/>
          <w:highlight w:val="none"/>
          <w:u w:val="single"/>
        </w:rPr>
        <w:t xml:space="preserve">                             </w:t>
      </w:r>
    </w:p>
    <w:p w14:paraId="502376EB">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 xml:space="preserve">                             </w:t>
      </w:r>
      <w:r>
        <w:rPr>
          <w:rFonts w:ascii="宋体" w:hAnsi="宋体"/>
          <w:color w:val="auto"/>
          <w:kern w:val="0"/>
          <w:szCs w:val="21"/>
          <w:highlight w:val="none"/>
        </w:rPr>
        <w:t>；</w:t>
      </w:r>
    </w:p>
    <w:p w14:paraId="7B78033B">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提供国外技术标准的时间：</w:t>
      </w:r>
      <w:r>
        <w:rPr>
          <w:rFonts w:ascii="宋体" w:hAnsi="宋体"/>
          <w:color w:val="auto"/>
          <w:kern w:val="0"/>
          <w:szCs w:val="21"/>
          <w:highlight w:val="none"/>
          <w:u w:val="single"/>
        </w:rPr>
        <w:t xml:space="preserve">                              </w:t>
      </w:r>
    </w:p>
    <w:p w14:paraId="3A7029AF">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 xml:space="preserve">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7CBFB710">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提供国外技术标准的费用承担：</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p>
    <w:p w14:paraId="15F0351D">
      <w:pPr>
        <w:widowControl/>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4555F34B">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1.4.3：</w:t>
      </w:r>
      <w:r>
        <w:rPr>
          <w:rFonts w:ascii="宋体" w:hAnsi="宋体"/>
          <w:color w:val="auto"/>
          <w:kern w:val="0"/>
          <w:szCs w:val="21"/>
          <w:highlight w:val="none"/>
          <w:u w:val="single"/>
        </w:rPr>
        <w:t>（本工程的特殊技术标准、功能要求）</w:t>
      </w:r>
      <w:r>
        <w:rPr>
          <w:rFonts w:ascii="宋体" w:hAnsi="宋体"/>
          <w:color w:val="auto"/>
          <w:kern w:val="0"/>
          <w:szCs w:val="21"/>
          <w:highlight w:val="none"/>
          <w:u w:val="single"/>
        </w:rPr>
        <w:tab/>
      </w:r>
      <w:r>
        <w:rPr>
          <w:rFonts w:ascii="宋体" w:hAnsi="宋体"/>
          <w:color w:val="auto"/>
          <w:kern w:val="0"/>
          <w:szCs w:val="21"/>
          <w:highlight w:val="none"/>
        </w:rPr>
        <w:t>。</w:t>
      </w:r>
    </w:p>
    <w:p w14:paraId="53C5EF9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1.7文件的提供</w:t>
      </w:r>
    </w:p>
    <w:p w14:paraId="43738CE4">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1.7.2 发包人提供的文件</w:t>
      </w:r>
    </w:p>
    <w:p w14:paraId="7A1C3DF4">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发包人提供的文件名称、份数、提交时间见下表（房屋建筑工程）：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507A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0CC937F9">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3436" w:type="dxa"/>
            <w:noWrap w:val="0"/>
            <w:vAlign w:val="center"/>
          </w:tcPr>
          <w:p w14:paraId="612921CE">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发包人提供的文件名称</w:t>
            </w:r>
          </w:p>
        </w:tc>
        <w:tc>
          <w:tcPr>
            <w:tcW w:w="1134" w:type="dxa"/>
            <w:noWrap w:val="0"/>
            <w:vAlign w:val="center"/>
          </w:tcPr>
          <w:p w14:paraId="65F310D0">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份数</w:t>
            </w:r>
          </w:p>
        </w:tc>
        <w:tc>
          <w:tcPr>
            <w:tcW w:w="2609" w:type="dxa"/>
            <w:noWrap w:val="0"/>
            <w:vAlign w:val="center"/>
          </w:tcPr>
          <w:p w14:paraId="0883348A">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提交时间</w:t>
            </w:r>
          </w:p>
        </w:tc>
        <w:tc>
          <w:tcPr>
            <w:tcW w:w="1371" w:type="dxa"/>
            <w:noWrap w:val="0"/>
            <w:vAlign w:val="center"/>
          </w:tcPr>
          <w:p w14:paraId="1A362099">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备注</w:t>
            </w:r>
          </w:p>
        </w:tc>
      </w:tr>
      <w:tr w14:paraId="0DBD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10DDF8C0">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w:t>
            </w:r>
          </w:p>
        </w:tc>
        <w:tc>
          <w:tcPr>
            <w:tcW w:w="3436" w:type="dxa"/>
            <w:noWrap w:val="0"/>
            <w:vAlign w:val="center"/>
          </w:tcPr>
          <w:p w14:paraId="433C2119">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项目立项报告和审批文件</w:t>
            </w:r>
          </w:p>
        </w:tc>
        <w:tc>
          <w:tcPr>
            <w:tcW w:w="1134" w:type="dxa"/>
            <w:noWrap w:val="0"/>
            <w:vAlign w:val="center"/>
          </w:tcPr>
          <w:p w14:paraId="0CA1F4AF">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noWrap w:val="0"/>
            <w:vAlign w:val="center"/>
          </w:tcPr>
          <w:p w14:paraId="20E83365">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757766C2">
            <w:pPr>
              <w:widowControl/>
              <w:tabs>
                <w:tab w:val="left" w:pos="9072"/>
                <w:tab w:val="left" w:pos="9781"/>
              </w:tabs>
              <w:spacing w:line="360" w:lineRule="auto"/>
              <w:jc w:val="center"/>
              <w:rPr>
                <w:rFonts w:hint="eastAsia" w:ascii="宋体" w:hAnsi="宋体"/>
                <w:color w:val="auto"/>
                <w:kern w:val="0"/>
                <w:szCs w:val="21"/>
                <w:highlight w:val="none"/>
              </w:rPr>
            </w:pPr>
          </w:p>
        </w:tc>
      </w:tr>
      <w:tr w14:paraId="1904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5DE2D025">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2</w:t>
            </w:r>
          </w:p>
        </w:tc>
        <w:tc>
          <w:tcPr>
            <w:tcW w:w="3436" w:type="dxa"/>
            <w:noWrap w:val="0"/>
            <w:vAlign w:val="center"/>
          </w:tcPr>
          <w:p w14:paraId="7449FF3B">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发包人要求即设计任务书（含对建筑、结构、给水排水、暖通空调、建筑电气、总图等专业的具体要求）</w:t>
            </w:r>
          </w:p>
        </w:tc>
        <w:tc>
          <w:tcPr>
            <w:tcW w:w="1134" w:type="dxa"/>
            <w:noWrap w:val="0"/>
            <w:vAlign w:val="center"/>
          </w:tcPr>
          <w:p w14:paraId="4CAC24CB">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noWrap w:val="0"/>
            <w:vAlign w:val="center"/>
          </w:tcPr>
          <w:p w14:paraId="187D4CDB">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0104E9D3">
            <w:pPr>
              <w:widowControl/>
              <w:tabs>
                <w:tab w:val="left" w:pos="9072"/>
                <w:tab w:val="left" w:pos="9781"/>
              </w:tabs>
              <w:spacing w:line="360" w:lineRule="auto"/>
              <w:jc w:val="center"/>
              <w:rPr>
                <w:rFonts w:hint="eastAsia" w:ascii="宋体" w:hAnsi="宋体"/>
                <w:color w:val="auto"/>
                <w:kern w:val="0"/>
                <w:szCs w:val="21"/>
                <w:highlight w:val="none"/>
              </w:rPr>
            </w:pPr>
          </w:p>
        </w:tc>
      </w:tr>
      <w:tr w14:paraId="3104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F1598B2">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3</w:t>
            </w:r>
          </w:p>
        </w:tc>
        <w:tc>
          <w:tcPr>
            <w:tcW w:w="3436" w:type="dxa"/>
            <w:noWrap w:val="0"/>
            <w:vAlign w:val="center"/>
          </w:tcPr>
          <w:p w14:paraId="0BF74B2B">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建筑红线图，建筑钉桩图</w:t>
            </w:r>
          </w:p>
        </w:tc>
        <w:tc>
          <w:tcPr>
            <w:tcW w:w="1134" w:type="dxa"/>
            <w:noWrap w:val="0"/>
            <w:vAlign w:val="center"/>
          </w:tcPr>
          <w:p w14:paraId="5C538C47">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noWrap w:val="0"/>
            <w:vAlign w:val="center"/>
          </w:tcPr>
          <w:p w14:paraId="64AB81F9">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7B7334E0">
            <w:pPr>
              <w:widowControl/>
              <w:tabs>
                <w:tab w:val="left" w:pos="9072"/>
                <w:tab w:val="left" w:pos="9781"/>
              </w:tabs>
              <w:spacing w:line="360" w:lineRule="auto"/>
              <w:jc w:val="center"/>
              <w:rPr>
                <w:rFonts w:hint="eastAsia" w:ascii="宋体" w:hAnsi="宋体"/>
                <w:color w:val="auto"/>
                <w:kern w:val="0"/>
                <w:szCs w:val="21"/>
                <w:highlight w:val="none"/>
              </w:rPr>
            </w:pPr>
          </w:p>
        </w:tc>
      </w:tr>
      <w:tr w14:paraId="45F8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3F080DC">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4</w:t>
            </w:r>
          </w:p>
        </w:tc>
        <w:tc>
          <w:tcPr>
            <w:tcW w:w="3436" w:type="dxa"/>
            <w:noWrap w:val="0"/>
            <w:vAlign w:val="center"/>
          </w:tcPr>
          <w:p w14:paraId="38CAC797">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当地规划部门的规划意见书</w:t>
            </w:r>
          </w:p>
        </w:tc>
        <w:tc>
          <w:tcPr>
            <w:tcW w:w="1134" w:type="dxa"/>
            <w:noWrap w:val="0"/>
            <w:vAlign w:val="center"/>
          </w:tcPr>
          <w:p w14:paraId="19913B1A">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08BFBFED">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00C7B02A">
            <w:pPr>
              <w:widowControl/>
              <w:tabs>
                <w:tab w:val="left" w:pos="9072"/>
                <w:tab w:val="left" w:pos="9781"/>
              </w:tabs>
              <w:spacing w:line="360" w:lineRule="auto"/>
              <w:jc w:val="center"/>
              <w:rPr>
                <w:rFonts w:hint="eastAsia" w:ascii="宋体" w:hAnsi="宋体"/>
                <w:color w:val="auto"/>
                <w:kern w:val="0"/>
                <w:szCs w:val="21"/>
                <w:highlight w:val="none"/>
              </w:rPr>
            </w:pPr>
          </w:p>
        </w:tc>
      </w:tr>
      <w:tr w14:paraId="73FD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CB79971">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5</w:t>
            </w:r>
          </w:p>
        </w:tc>
        <w:tc>
          <w:tcPr>
            <w:tcW w:w="3436" w:type="dxa"/>
            <w:noWrap w:val="0"/>
            <w:vAlign w:val="center"/>
          </w:tcPr>
          <w:p w14:paraId="71F4B752">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工程勘察报告</w:t>
            </w:r>
          </w:p>
        </w:tc>
        <w:tc>
          <w:tcPr>
            <w:tcW w:w="1134" w:type="dxa"/>
            <w:noWrap w:val="0"/>
            <w:vAlign w:val="center"/>
          </w:tcPr>
          <w:p w14:paraId="184D7621">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4F7842C0">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30031CCA">
            <w:pPr>
              <w:widowControl/>
              <w:tabs>
                <w:tab w:val="left" w:pos="9072"/>
                <w:tab w:val="left" w:pos="9781"/>
              </w:tabs>
              <w:spacing w:line="360" w:lineRule="auto"/>
              <w:jc w:val="center"/>
              <w:rPr>
                <w:rFonts w:hint="eastAsia" w:ascii="宋体" w:hAnsi="宋体"/>
                <w:color w:val="auto"/>
                <w:kern w:val="0"/>
                <w:szCs w:val="21"/>
                <w:highlight w:val="none"/>
              </w:rPr>
            </w:pPr>
          </w:p>
        </w:tc>
      </w:tr>
      <w:tr w14:paraId="2496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B178492">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6</w:t>
            </w:r>
          </w:p>
        </w:tc>
        <w:tc>
          <w:tcPr>
            <w:tcW w:w="3436" w:type="dxa"/>
            <w:noWrap w:val="0"/>
            <w:vAlign w:val="center"/>
          </w:tcPr>
          <w:p w14:paraId="75C1D29A">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各阶段主管部门的审批意见</w:t>
            </w:r>
          </w:p>
        </w:tc>
        <w:tc>
          <w:tcPr>
            <w:tcW w:w="1134" w:type="dxa"/>
            <w:noWrap w:val="0"/>
            <w:vAlign w:val="center"/>
          </w:tcPr>
          <w:p w14:paraId="1F3FF955">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2944B6A2">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788F5DA4">
            <w:pPr>
              <w:widowControl/>
              <w:tabs>
                <w:tab w:val="left" w:pos="9072"/>
                <w:tab w:val="left" w:pos="9781"/>
              </w:tabs>
              <w:spacing w:line="360" w:lineRule="auto"/>
              <w:jc w:val="center"/>
              <w:rPr>
                <w:rFonts w:hint="eastAsia" w:ascii="宋体" w:hAnsi="宋体"/>
                <w:color w:val="auto"/>
                <w:kern w:val="0"/>
                <w:szCs w:val="21"/>
                <w:highlight w:val="none"/>
              </w:rPr>
            </w:pPr>
          </w:p>
        </w:tc>
      </w:tr>
      <w:tr w14:paraId="1918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BC3F774">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7</w:t>
            </w:r>
          </w:p>
        </w:tc>
        <w:tc>
          <w:tcPr>
            <w:tcW w:w="3436" w:type="dxa"/>
            <w:noWrap w:val="0"/>
            <w:vAlign w:val="center"/>
          </w:tcPr>
          <w:p w14:paraId="346E1743">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方案设计确认单（含初设开工令）</w:t>
            </w:r>
          </w:p>
        </w:tc>
        <w:tc>
          <w:tcPr>
            <w:tcW w:w="1134" w:type="dxa"/>
            <w:noWrap w:val="0"/>
            <w:vAlign w:val="center"/>
          </w:tcPr>
          <w:p w14:paraId="447BC61D">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0D011A43">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4B000D94">
            <w:pPr>
              <w:widowControl/>
              <w:tabs>
                <w:tab w:val="left" w:pos="9072"/>
                <w:tab w:val="left" w:pos="9781"/>
              </w:tabs>
              <w:spacing w:line="360" w:lineRule="auto"/>
              <w:jc w:val="center"/>
              <w:rPr>
                <w:rFonts w:hint="eastAsia" w:ascii="宋体" w:hAnsi="宋体"/>
                <w:color w:val="auto"/>
                <w:kern w:val="0"/>
                <w:szCs w:val="21"/>
                <w:highlight w:val="none"/>
              </w:rPr>
            </w:pPr>
          </w:p>
        </w:tc>
      </w:tr>
      <w:tr w14:paraId="3B62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68D86B0">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8</w:t>
            </w:r>
          </w:p>
        </w:tc>
        <w:tc>
          <w:tcPr>
            <w:tcW w:w="3436" w:type="dxa"/>
            <w:noWrap w:val="0"/>
            <w:vAlign w:val="center"/>
          </w:tcPr>
          <w:p w14:paraId="0B10BEC6">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工程所在地地形图（1/500）电子版及区域位置图</w:t>
            </w:r>
          </w:p>
        </w:tc>
        <w:tc>
          <w:tcPr>
            <w:tcW w:w="1134" w:type="dxa"/>
            <w:noWrap w:val="0"/>
            <w:vAlign w:val="center"/>
          </w:tcPr>
          <w:p w14:paraId="55AC49EE">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57213C88">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0B71165D">
            <w:pPr>
              <w:widowControl/>
              <w:tabs>
                <w:tab w:val="left" w:pos="9072"/>
                <w:tab w:val="left" w:pos="9781"/>
              </w:tabs>
              <w:spacing w:line="360" w:lineRule="auto"/>
              <w:jc w:val="center"/>
              <w:rPr>
                <w:rFonts w:hint="eastAsia" w:ascii="宋体" w:hAnsi="宋体"/>
                <w:color w:val="auto"/>
                <w:kern w:val="0"/>
                <w:szCs w:val="21"/>
                <w:highlight w:val="none"/>
              </w:rPr>
            </w:pPr>
          </w:p>
        </w:tc>
      </w:tr>
      <w:tr w14:paraId="7EE3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67373A4">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9</w:t>
            </w:r>
          </w:p>
        </w:tc>
        <w:tc>
          <w:tcPr>
            <w:tcW w:w="3436" w:type="dxa"/>
            <w:noWrap w:val="0"/>
            <w:vAlign w:val="center"/>
          </w:tcPr>
          <w:p w14:paraId="3EF5C081">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初步设计确认单（含施工图开工令）</w:t>
            </w:r>
          </w:p>
        </w:tc>
        <w:tc>
          <w:tcPr>
            <w:tcW w:w="1134" w:type="dxa"/>
            <w:noWrap w:val="0"/>
            <w:vAlign w:val="center"/>
          </w:tcPr>
          <w:p w14:paraId="5976EC9F">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7093CB7E">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329D1FA3">
            <w:pPr>
              <w:widowControl/>
              <w:tabs>
                <w:tab w:val="left" w:pos="9072"/>
                <w:tab w:val="left" w:pos="9781"/>
              </w:tabs>
              <w:spacing w:line="360" w:lineRule="auto"/>
              <w:jc w:val="center"/>
              <w:rPr>
                <w:rFonts w:hint="eastAsia" w:ascii="宋体" w:hAnsi="宋体"/>
                <w:color w:val="auto"/>
                <w:kern w:val="0"/>
                <w:szCs w:val="21"/>
                <w:highlight w:val="none"/>
              </w:rPr>
            </w:pPr>
          </w:p>
        </w:tc>
      </w:tr>
      <w:tr w14:paraId="146E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C14CABA">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10</w:t>
            </w:r>
          </w:p>
        </w:tc>
        <w:tc>
          <w:tcPr>
            <w:tcW w:w="3436" w:type="dxa"/>
            <w:noWrap w:val="0"/>
            <w:vAlign w:val="center"/>
          </w:tcPr>
          <w:p w14:paraId="31BC462B">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市政条件（包括给排水、暖通、电力、道路、热力、通讯等）</w:t>
            </w:r>
          </w:p>
        </w:tc>
        <w:tc>
          <w:tcPr>
            <w:tcW w:w="1134" w:type="dxa"/>
            <w:noWrap w:val="0"/>
            <w:vAlign w:val="center"/>
          </w:tcPr>
          <w:p w14:paraId="2F7841D3">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64C63F6A">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19CC5EF0">
            <w:pPr>
              <w:widowControl/>
              <w:tabs>
                <w:tab w:val="left" w:pos="9072"/>
                <w:tab w:val="left" w:pos="9781"/>
              </w:tabs>
              <w:spacing w:line="360" w:lineRule="auto"/>
              <w:jc w:val="center"/>
              <w:rPr>
                <w:rFonts w:hint="eastAsia" w:ascii="宋体" w:hAnsi="宋体"/>
                <w:color w:val="auto"/>
                <w:kern w:val="0"/>
                <w:szCs w:val="21"/>
                <w:highlight w:val="none"/>
              </w:rPr>
            </w:pPr>
          </w:p>
        </w:tc>
      </w:tr>
      <w:tr w14:paraId="189F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B3631FA">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11</w:t>
            </w:r>
          </w:p>
        </w:tc>
        <w:tc>
          <w:tcPr>
            <w:tcW w:w="3436" w:type="dxa"/>
            <w:noWrap w:val="0"/>
            <w:vAlign w:val="center"/>
          </w:tcPr>
          <w:p w14:paraId="728CC188">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noWrap w:val="0"/>
            <w:vAlign w:val="center"/>
          </w:tcPr>
          <w:p w14:paraId="5DAE0C31">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1C3884F3">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24B4CB15">
            <w:pPr>
              <w:widowControl/>
              <w:tabs>
                <w:tab w:val="left" w:pos="9072"/>
                <w:tab w:val="left" w:pos="9781"/>
              </w:tabs>
              <w:spacing w:line="360" w:lineRule="auto"/>
              <w:jc w:val="center"/>
              <w:rPr>
                <w:rFonts w:hint="eastAsia" w:ascii="宋体" w:hAnsi="宋体"/>
                <w:color w:val="auto"/>
                <w:kern w:val="0"/>
                <w:szCs w:val="21"/>
                <w:highlight w:val="none"/>
              </w:rPr>
            </w:pPr>
          </w:p>
        </w:tc>
      </w:tr>
      <w:tr w14:paraId="2A69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3A0DEEC">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12</w:t>
            </w:r>
          </w:p>
        </w:tc>
        <w:tc>
          <w:tcPr>
            <w:tcW w:w="3436" w:type="dxa"/>
            <w:noWrap w:val="0"/>
            <w:vAlign w:val="center"/>
          </w:tcPr>
          <w:p w14:paraId="6144890E">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noWrap w:val="0"/>
            <w:vAlign w:val="center"/>
          </w:tcPr>
          <w:p w14:paraId="383158BF">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56C6FBB7">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1D0C74F5">
            <w:pPr>
              <w:widowControl/>
              <w:tabs>
                <w:tab w:val="left" w:pos="9072"/>
                <w:tab w:val="left" w:pos="9781"/>
              </w:tabs>
              <w:spacing w:line="360" w:lineRule="auto"/>
              <w:jc w:val="center"/>
              <w:rPr>
                <w:rFonts w:hint="eastAsia" w:ascii="宋体" w:hAnsi="宋体"/>
                <w:color w:val="auto"/>
                <w:kern w:val="0"/>
                <w:szCs w:val="21"/>
                <w:highlight w:val="none"/>
              </w:rPr>
            </w:pPr>
          </w:p>
        </w:tc>
      </w:tr>
      <w:tr w14:paraId="52B9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B813B12">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13</w:t>
            </w:r>
          </w:p>
        </w:tc>
        <w:tc>
          <w:tcPr>
            <w:tcW w:w="3436" w:type="dxa"/>
            <w:noWrap w:val="0"/>
            <w:vAlign w:val="center"/>
          </w:tcPr>
          <w:p w14:paraId="2F218A95">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noWrap w:val="0"/>
            <w:vAlign w:val="center"/>
          </w:tcPr>
          <w:p w14:paraId="6B53FD14">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51CA6307">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018BD163">
            <w:pPr>
              <w:widowControl/>
              <w:tabs>
                <w:tab w:val="left" w:pos="9072"/>
                <w:tab w:val="left" w:pos="9781"/>
              </w:tabs>
              <w:spacing w:line="360" w:lineRule="auto"/>
              <w:jc w:val="center"/>
              <w:rPr>
                <w:rFonts w:hint="eastAsia" w:ascii="宋体" w:hAnsi="宋体"/>
                <w:color w:val="auto"/>
                <w:kern w:val="0"/>
                <w:szCs w:val="21"/>
                <w:highlight w:val="none"/>
              </w:rPr>
            </w:pPr>
          </w:p>
        </w:tc>
      </w:tr>
      <w:tr w14:paraId="6007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3CD36EAC">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说明</w:t>
            </w:r>
          </w:p>
        </w:tc>
        <w:tc>
          <w:tcPr>
            <w:tcW w:w="8550" w:type="dxa"/>
            <w:gridSpan w:val="4"/>
            <w:noWrap w:val="0"/>
            <w:vAlign w:val="top"/>
          </w:tcPr>
          <w:p w14:paraId="36AD580C">
            <w:pPr>
              <w:widowControl/>
              <w:tabs>
                <w:tab w:val="left" w:pos="9072"/>
                <w:tab w:val="left" w:pos="9781"/>
              </w:tabs>
              <w:spacing w:line="360" w:lineRule="auto"/>
              <w:jc w:val="center"/>
              <w:rPr>
                <w:rFonts w:hint="eastAsia" w:ascii="宋体" w:hAnsi="宋体"/>
                <w:color w:val="auto"/>
                <w:kern w:val="0"/>
                <w:szCs w:val="21"/>
                <w:highlight w:val="none"/>
              </w:rPr>
            </w:pPr>
          </w:p>
        </w:tc>
      </w:tr>
    </w:tbl>
    <w:p w14:paraId="1566FAAF">
      <w:pPr>
        <w:widowControl/>
        <w:tabs>
          <w:tab w:val="left" w:pos="9072"/>
          <w:tab w:val="left" w:pos="9781"/>
        </w:tabs>
        <w:spacing w:line="360" w:lineRule="auto"/>
        <w:ind w:firstLine="420" w:firstLineChars="200"/>
        <w:jc w:val="center"/>
        <w:rPr>
          <w:rFonts w:hint="eastAsia" w:ascii="宋体" w:hAnsi="宋体"/>
          <w:color w:val="auto"/>
          <w:kern w:val="0"/>
          <w:szCs w:val="21"/>
          <w:highlight w:val="none"/>
        </w:rPr>
      </w:pPr>
      <w:r>
        <w:rPr>
          <w:rFonts w:ascii="宋体" w:hAnsi="宋体"/>
          <w:color w:val="auto"/>
          <w:kern w:val="0"/>
          <w:szCs w:val="21"/>
          <w:highlight w:val="none"/>
        </w:rPr>
        <w:t>发包人提供的文件名称、份数、提交时间见下表（市政公用工程）：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0767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096900F4">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3436" w:type="dxa"/>
            <w:noWrap w:val="0"/>
            <w:vAlign w:val="center"/>
          </w:tcPr>
          <w:p w14:paraId="18880BFC">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发包人提供的文件名称</w:t>
            </w:r>
          </w:p>
        </w:tc>
        <w:tc>
          <w:tcPr>
            <w:tcW w:w="1134" w:type="dxa"/>
            <w:noWrap w:val="0"/>
            <w:vAlign w:val="center"/>
          </w:tcPr>
          <w:p w14:paraId="57187F8C">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份数</w:t>
            </w:r>
          </w:p>
        </w:tc>
        <w:tc>
          <w:tcPr>
            <w:tcW w:w="2609" w:type="dxa"/>
            <w:noWrap w:val="0"/>
            <w:vAlign w:val="center"/>
          </w:tcPr>
          <w:p w14:paraId="45655FA6">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提交时间</w:t>
            </w:r>
          </w:p>
        </w:tc>
        <w:tc>
          <w:tcPr>
            <w:tcW w:w="1371" w:type="dxa"/>
            <w:noWrap w:val="0"/>
            <w:vAlign w:val="center"/>
          </w:tcPr>
          <w:p w14:paraId="29C080DD">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备注</w:t>
            </w:r>
          </w:p>
        </w:tc>
      </w:tr>
      <w:tr w14:paraId="185F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4FFE11BC">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w:t>
            </w:r>
          </w:p>
        </w:tc>
        <w:tc>
          <w:tcPr>
            <w:tcW w:w="3436" w:type="dxa"/>
            <w:noWrap w:val="0"/>
            <w:vAlign w:val="center"/>
          </w:tcPr>
          <w:p w14:paraId="625A8D3D">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项目立项报告和审批文件</w:t>
            </w:r>
          </w:p>
        </w:tc>
        <w:tc>
          <w:tcPr>
            <w:tcW w:w="1134" w:type="dxa"/>
            <w:noWrap w:val="0"/>
            <w:vAlign w:val="center"/>
          </w:tcPr>
          <w:p w14:paraId="6B0E30A9">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noWrap w:val="0"/>
            <w:vAlign w:val="center"/>
          </w:tcPr>
          <w:p w14:paraId="7150A361">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14D78A68">
            <w:pPr>
              <w:widowControl/>
              <w:tabs>
                <w:tab w:val="left" w:pos="9072"/>
                <w:tab w:val="left" w:pos="9781"/>
              </w:tabs>
              <w:spacing w:line="360" w:lineRule="auto"/>
              <w:jc w:val="center"/>
              <w:rPr>
                <w:rFonts w:hint="eastAsia" w:ascii="宋体" w:hAnsi="宋体"/>
                <w:color w:val="auto"/>
                <w:kern w:val="0"/>
                <w:szCs w:val="21"/>
                <w:highlight w:val="none"/>
              </w:rPr>
            </w:pPr>
          </w:p>
        </w:tc>
      </w:tr>
      <w:tr w14:paraId="0A8B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056C5A2C">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2</w:t>
            </w:r>
          </w:p>
        </w:tc>
        <w:tc>
          <w:tcPr>
            <w:tcW w:w="3436" w:type="dxa"/>
            <w:noWrap w:val="0"/>
            <w:vAlign w:val="center"/>
          </w:tcPr>
          <w:p w14:paraId="4B8335AB">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发包人要求即设计任务书（含对工艺、土建、设备等专业的具体要求）</w:t>
            </w:r>
          </w:p>
        </w:tc>
        <w:tc>
          <w:tcPr>
            <w:tcW w:w="1134" w:type="dxa"/>
            <w:noWrap w:val="0"/>
            <w:vAlign w:val="center"/>
          </w:tcPr>
          <w:p w14:paraId="36D33CAA">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noWrap w:val="0"/>
            <w:vAlign w:val="center"/>
          </w:tcPr>
          <w:p w14:paraId="0C898492">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752F27D7">
            <w:pPr>
              <w:widowControl/>
              <w:tabs>
                <w:tab w:val="left" w:pos="9072"/>
                <w:tab w:val="left" w:pos="9781"/>
              </w:tabs>
              <w:spacing w:line="360" w:lineRule="auto"/>
              <w:jc w:val="center"/>
              <w:rPr>
                <w:rFonts w:hint="eastAsia" w:ascii="宋体" w:hAnsi="宋体"/>
                <w:color w:val="auto"/>
                <w:kern w:val="0"/>
                <w:szCs w:val="21"/>
                <w:highlight w:val="none"/>
              </w:rPr>
            </w:pPr>
          </w:p>
        </w:tc>
      </w:tr>
      <w:tr w14:paraId="014B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92CD74E">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3</w:t>
            </w:r>
          </w:p>
        </w:tc>
        <w:tc>
          <w:tcPr>
            <w:tcW w:w="3436" w:type="dxa"/>
            <w:noWrap w:val="0"/>
            <w:vAlign w:val="center"/>
          </w:tcPr>
          <w:p w14:paraId="391C5AD1">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厂址选择报告、土地使用协议、建筑红线图，建筑钉桩图</w:t>
            </w:r>
          </w:p>
        </w:tc>
        <w:tc>
          <w:tcPr>
            <w:tcW w:w="1134" w:type="dxa"/>
            <w:noWrap w:val="0"/>
            <w:vAlign w:val="center"/>
          </w:tcPr>
          <w:p w14:paraId="1B7CFCE5">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noWrap w:val="0"/>
            <w:vAlign w:val="center"/>
          </w:tcPr>
          <w:p w14:paraId="5D791089">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14A95CEE">
            <w:pPr>
              <w:widowControl/>
              <w:tabs>
                <w:tab w:val="left" w:pos="9072"/>
                <w:tab w:val="left" w:pos="9781"/>
              </w:tabs>
              <w:spacing w:line="360" w:lineRule="auto"/>
              <w:jc w:val="center"/>
              <w:rPr>
                <w:rFonts w:hint="eastAsia" w:ascii="宋体" w:hAnsi="宋体"/>
                <w:color w:val="auto"/>
                <w:kern w:val="0"/>
                <w:szCs w:val="21"/>
                <w:highlight w:val="none"/>
              </w:rPr>
            </w:pPr>
          </w:p>
        </w:tc>
      </w:tr>
      <w:tr w14:paraId="6B2B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A9B03DD">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4</w:t>
            </w:r>
          </w:p>
        </w:tc>
        <w:tc>
          <w:tcPr>
            <w:tcW w:w="3436" w:type="dxa"/>
            <w:noWrap w:val="0"/>
            <w:vAlign w:val="center"/>
          </w:tcPr>
          <w:p w14:paraId="61D730C5">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当地规划部门的规划意见书</w:t>
            </w:r>
          </w:p>
        </w:tc>
        <w:tc>
          <w:tcPr>
            <w:tcW w:w="1134" w:type="dxa"/>
            <w:noWrap w:val="0"/>
            <w:vAlign w:val="center"/>
          </w:tcPr>
          <w:p w14:paraId="7FF20B15">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085E6E5C">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150C59BC">
            <w:pPr>
              <w:widowControl/>
              <w:tabs>
                <w:tab w:val="left" w:pos="9072"/>
                <w:tab w:val="left" w:pos="9781"/>
              </w:tabs>
              <w:spacing w:line="360" w:lineRule="auto"/>
              <w:jc w:val="center"/>
              <w:rPr>
                <w:rFonts w:hint="eastAsia" w:ascii="宋体" w:hAnsi="宋体"/>
                <w:color w:val="auto"/>
                <w:kern w:val="0"/>
                <w:szCs w:val="21"/>
                <w:highlight w:val="none"/>
              </w:rPr>
            </w:pPr>
          </w:p>
        </w:tc>
      </w:tr>
      <w:tr w14:paraId="1CB8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0637426">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5</w:t>
            </w:r>
          </w:p>
        </w:tc>
        <w:tc>
          <w:tcPr>
            <w:tcW w:w="3436" w:type="dxa"/>
            <w:noWrap w:val="0"/>
            <w:vAlign w:val="center"/>
          </w:tcPr>
          <w:p w14:paraId="215A87A6">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自然资源、气象条件、地形地貌、水文及工程详细地质勘察报告</w:t>
            </w:r>
          </w:p>
        </w:tc>
        <w:tc>
          <w:tcPr>
            <w:tcW w:w="1134" w:type="dxa"/>
            <w:noWrap w:val="0"/>
            <w:vAlign w:val="center"/>
          </w:tcPr>
          <w:p w14:paraId="64971DB1">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581ACD40">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19A64950">
            <w:pPr>
              <w:widowControl/>
              <w:tabs>
                <w:tab w:val="left" w:pos="9072"/>
                <w:tab w:val="left" w:pos="9781"/>
              </w:tabs>
              <w:spacing w:line="360" w:lineRule="auto"/>
              <w:jc w:val="center"/>
              <w:rPr>
                <w:rFonts w:hint="eastAsia" w:ascii="宋体" w:hAnsi="宋体"/>
                <w:color w:val="auto"/>
                <w:kern w:val="0"/>
                <w:szCs w:val="21"/>
                <w:highlight w:val="none"/>
              </w:rPr>
            </w:pPr>
          </w:p>
        </w:tc>
      </w:tr>
      <w:tr w14:paraId="699E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3331880">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6</w:t>
            </w:r>
          </w:p>
        </w:tc>
        <w:tc>
          <w:tcPr>
            <w:tcW w:w="3436" w:type="dxa"/>
            <w:noWrap w:val="0"/>
            <w:vAlign w:val="center"/>
          </w:tcPr>
          <w:p w14:paraId="59A432A3">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各阶段主管部门的审批意见</w:t>
            </w:r>
          </w:p>
        </w:tc>
        <w:tc>
          <w:tcPr>
            <w:tcW w:w="1134" w:type="dxa"/>
            <w:noWrap w:val="0"/>
            <w:vAlign w:val="center"/>
          </w:tcPr>
          <w:p w14:paraId="62F0DACA">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63E3A5DF">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77835C61">
            <w:pPr>
              <w:widowControl/>
              <w:tabs>
                <w:tab w:val="left" w:pos="9072"/>
                <w:tab w:val="left" w:pos="9781"/>
              </w:tabs>
              <w:spacing w:line="360" w:lineRule="auto"/>
              <w:jc w:val="center"/>
              <w:rPr>
                <w:rFonts w:hint="eastAsia" w:ascii="宋体" w:hAnsi="宋体"/>
                <w:color w:val="auto"/>
                <w:kern w:val="0"/>
                <w:szCs w:val="21"/>
                <w:highlight w:val="none"/>
              </w:rPr>
            </w:pPr>
          </w:p>
        </w:tc>
      </w:tr>
      <w:tr w14:paraId="5862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45FB484">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7</w:t>
            </w:r>
          </w:p>
        </w:tc>
        <w:tc>
          <w:tcPr>
            <w:tcW w:w="3436" w:type="dxa"/>
            <w:noWrap w:val="0"/>
            <w:vAlign w:val="center"/>
          </w:tcPr>
          <w:p w14:paraId="319D9794">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初步设计确认单</w:t>
            </w:r>
          </w:p>
        </w:tc>
        <w:tc>
          <w:tcPr>
            <w:tcW w:w="1134" w:type="dxa"/>
            <w:noWrap w:val="0"/>
            <w:vAlign w:val="center"/>
          </w:tcPr>
          <w:p w14:paraId="2BF7C98C">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4C883851">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09A493F7">
            <w:pPr>
              <w:widowControl/>
              <w:tabs>
                <w:tab w:val="left" w:pos="9072"/>
                <w:tab w:val="left" w:pos="9781"/>
              </w:tabs>
              <w:spacing w:line="360" w:lineRule="auto"/>
              <w:jc w:val="center"/>
              <w:rPr>
                <w:rFonts w:hint="eastAsia" w:ascii="宋体" w:hAnsi="宋体"/>
                <w:color w:val="auto"/>
                <w:kern w:val="0"/>
                <w:szCs w:val="21"/>
                <w:highlight w:val="none"/>
              </w:rPr>
            </w:pPr>
          </w:p>
        </w:tc>
      </w:tr>
      <w:tr w14:paraId="588B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0CDD2DC">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8</w:t>
            </w:r>
          </w:p>
        </w:tc>
        <w:tc>
          <w:tcPr>
            <w:tcW w:w="3436" w:type="dxa"/>
            <w:noWrap w:val="0"/>
            <w:vAlign w:val="center"/>
          </w:tcPr>
          <w:p w14:paraId="59163191">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工程所在地地形图（1/500）电子版及区域位置图</w:t>
            </w:r>
          </w:p>
        </w:tc>
        <w:tc>
          <w:tcPr>
            <w:tcW w:w="1134" w:type="dxa"/>
            <w:noWrap w:val="0"/>
            <w:vAlign w:val="center"/>
          </w:tcPr>
          <w:p w14:paraId="05605148">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31067BA9">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2241C397">
            <w:pPr>
              <w:widowControl/>
              <w:tabs>
                <w:tab w:val="left" w:pos="9072"/>
                <w:tab w:val="left" w:pos="9781"/>
              </w:tabs>
              <w:spacing w:line="360" w:lineRule="auto"/>
              <w:jc w:val="center"/>
              <w:rPr>
                <w:rFonts w:hint="eastAsia" w:ascii="宋体" w:hAnsi="宋体"/>
                <w:color w:val="auto"/>
                <w:kern w:val="0"/>
                <w:szCs w:val="21"/>
                <w:highlight w:val="none"/>
              </w:rPr>
            </w:pPr>
          </w:p>
        </w:tc>
      </w:tr>
      <w:tr w14:paraId="13F3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42EA98D">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9</w:t>
            </w:r>
          </w:p>
        </w:tc>
        <w:tc>
          <w:tcPr>
            <w:tcW w:w="3436" w:type="dxa"/>
            <w:noWrap w:val="0"/>
            <w:vAlign w:val="center"/>
          </w:tcPr>
          <w:p w14:paraId="72238B67">
            <w:pPr>
              <w:widowControl/>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交通、原料、外部供水、排水、供电、电信等位置、标高、坐标、管径或能力等资料</w:t>
            </w:r>
          </w:p>
        </w:tc>
        <w:tc>
          <w:tcPr>
            <w:tcW w:w="1134" w:type="dxa"/>
            <w:noWrap w:val="0"/>
            <w:vAlign w:val="center"/>
          </w:tcPr>
          <w:p w14:paraId="02087B98">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1B997798">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64727E12">
            <w:pPr>
              <w:widowControl/>
              <w:tabs>
                <w:tab w:val="left" w:pos="9072"/>
                <w:tab w:val="left" w:pos="9781"/>
              </w:tabs>
              <w:spacing w:line="360" w:lineRule="auto"/>
              <w:jc w:val="center"/>
              <w:rPr>
                <w:rFonts w:hint="eastAsia" w:ascii="宋体" w:hAnsi="宋体"/>
                <w:color w:val="auto"/>
                <w:kern w:val="0"/>
                <w:szCs w:val="21"/>
                <w:highlight w:val="none"/>
              </w:rPr>
            </w:pPr>
          </w:p>
        </w:tc>
      </w:tr>
      <w:tr w14:paraId="418B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7C3C7C8">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10</w:t>
            </w:r>
          </w:p>
        </w:tc>
        <w:tc>
          <w:tcPr>
            <w:tcW w:w="3436" w:type="dxa"/>
            <w:noWrap w:val="0"/>
            <w:vAlign w:val="center"/>
          </w:tcPr>
          <w:p w14:paraId="2A938877">
            <w:pPr>
              <w:widowControl/>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noWrap w:val="0"/>
            <w:vAlign w:val="center"/>
          </w:tcPr>
          <w:p w14:paraId="5521E6EF">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21DBAFA1">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1011CEC9">
            <w:pPr>
              <w:widowControl/>
              <w:tabs>
                <w:tab w:val="left" w:pos="9072"/>
                <w:tab w:val="left" w:pos="9781"/>
              </w:tabs>
              <w:spacing w:line="360" w:lineRule="auto"/>
              <w:jc w:val="center"/>
              <w:rPr>
                <w:rFonts w:hint="eastAsia" w:ascii="宋体" w:hAnsi="宋体"/>
                <w:color w:val="auto"/>
                <w:kern w:val="0"/>
                <w:szCs w:val="21"/>
                <w:highlight w:val="none"/>
              </w:rPr>
            </w:pPr>
          </w:p>
        </w:tc>
      </w:tr>
      <w:tr w14:paraId="7B45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9D03BB0">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11</w:t>
            </w:r>
          </w:p>
        </w:tc>
        <w:tc>
          <w:tcPr>
            <w:tcW w:w="3436" w:type="dxa"/>
            <w:noWrap w:val="0"/>
            <w:vAlign w:val="center"/>
          </w:tcPr>
          <w:p w14:paraId="01F6C2F0">
            <w:pPr>
              <w:widowControl/>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noWrap w:val="0"/>
            <w:vAlign w:val="center"/>
          </w:tcPr>
          <w:p w14:paraId="16BC79C7">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4DCD01C2">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67C0A9D8">
            <w:pPr>
              <w:widowControl/>
              <w:tabs>
                <w:tab w:val="left" w:pos="9072"/>
                <w:tab w:val="left" w:pos="9781"/>
              </w:tabs>
              <w:spacing w:line="360" w:lineRule="auto"/>
              <w:jc w:val="center"/>
              <w:rPr>
                <w:rFonts w:hint="eastAsia" w:ascii="宋体" w:hAnsi="宋体"/>
                <w:color w:val="auto"/>
                <w:kern w:val="0"/>
                <w:szCs w:val="21"/>
                <w:highlight w:val="none"/>
              </w:rPr>
            </w:pPr>
          </w:p>
        </w:tc>
      </w:tr>
      <w:tr w14:paraId="16F8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5FAD8E5">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12</w:t>
            </w:r>
          </w:p>
        </w:tc>
        <w:tc>
          <w:tcPr>
            <w:tcW w:w="3436" w:type="dxa"/>
            <w:noWrap w:val="0"/>
            <w:vAlign w:val="center"/>
          </w:tcPr>
          <w:p w14:paraId="4A2950AB">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noWrap w:val="0"/>
            <w:vAlign w:val="center"/>
          </w:tcPr>
          <w:p w14:paraId="472127E9">
            <w:pPr>
              <w:widowControl/>
              <w:tabs>
                <w:tab w:val="left" w:pos="9072"/>
                <w:tab w:val="left" w:pos="9781"/>
              </w:tabs>
              <w:spacing w:line="360" w:lineRule="auto"/>
              <w:jc w:val="center"/>
              <w:rPr>
                <w:rFonts w:hint="eastAsia" w:ascii="宋体" w:hAnsi="宋体"/>
                <w:color w:val="auto"/>
                <w:kern w:val="0"/>
                <w:szCs w:val="21"/>
                <w:highlight w:val="none"/>
              </w:rPr>
            </w:pPr>
          </w:p>
        </w:tc>
        <w:tc>
          <w:tcPr>
            <w:tcW w:w="2609" w:type="dxa"/>
            <w:noWrap w:val="0"/>
            <w:vAlign w:val="center"/>
          </w:tcPr>
          <w:p w14:paraId="2720BD69">
            <w:pPr>
              <w:widowControl/>
              <w:tabs>
                <w:tab w:val="left" w:pos="9072"/>
                <w:tab w:val="left" w:pos="9781"/>
              </w:tabs>
              <w:spacing w:line="360" w:lineRule="auto"/>
              <w:jc w:val="center"/>
              <w:rPr>
                <w:rFonts w:hint="eastAsia" w:ascii="宋体" w:hAnsi="宋体"/>
                <w:color w:val="auto"/>
                <w:kern w:val="0"/>
                <w:szCs w:val="21"/>
                <w:highlight w:val="none"/>
              </w:rPr>
            </w:pPr>
          </w:p>
        </w:tc>
        <w:tc>
          <w:tcPr>
            <w:tcW w:w="1371" w:type="dxa"/>
            <w:noWrap w:val="0"/>
            <w:vAlign w:val="top"/>
          </w:tcPr>
          <w:p w14:paraId="04B75FCF">
            <w:pPr>
              <w:widowControl/>
              <w:tabs>
                <w:tab w:val="left" w:pos="9072"/>
                <w:tab w:val="left" w:pos="9781"/>
              </w:tabs>
              <w:spacing w:line="360" w:lineRule="auto"/>
              <w:jc w:val="center"/>
              <w:rPr>
                <w:rFonts w:hint="eastAsia" w:ascii="宋体" w:hAnsi="宋体"/>
                <w:color w:val="auto"/>
                <w:kern w:val="0"/>
                <w:szCs w:val="21"/>
                <w:highlight w:val="none"/>
              </w:rPr>
            </w:pPr>
          </w:p>
        </w:tc>
      </w:tr>
      <w:tr w14:paraId="4C97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360B3910">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说明</w:t>
            </w:r>
          </w:p>
        </w:tc>
        <w:tc>
          <w:tcPr>
            <w:tcW w:w="8550" w:type="dxa"/>
            <w:gridSpan w:val="4"/>
            <w:noWrap w:val="0"/>
            <w:vAlign w:val="top"/>
          </w:tcPr>
          <w:p w14:paraId="373E43A8">
            <w:pPr>
              <w:widowControl/>
              <w:tabs>
                <w:tab w:val="left" w:pos="9072"/>
                <w:tab w:val="left" w:pos="9781"/>
              </w:tabs>
              <w:spacing w:line="360" w:lineRule="auto"/>
              <w:jc w:val="left"/>
              <w:rPr>
                <w:rFonts w:hint="eastAsia" w:ascii="宋体" w:hAnsi="宋体"/>
                <w:color w:val="auto"/>
                <w:kern w:val="0"/>
                <w:szCs w:val="21"/>
                <w:highlight w:val="none"/>
              </w:rPr>
            </w:pPr>
          </w:p>
        </w:tc>
      </w:tr>
    </w:tbl>
    <w:p w14:paraId="743F307A">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（上表内容仅供参考，发包人和设计人应当根据项目具体情况详细列举）</w:t>
      </w:r>
    </w:p>
    <w:p w14:paraId="60E66C50">
      <w:pPr>
        <w:keepNext/>
        <w:keepLines/>
        <w:spacing w:before="120" w:after="120" w:line="360" w:lineRule="auto"/>
        <w:ind w:firstLine="420" w:firstLineChars="200"/>
        <w:outlineLvl w:val="4"/>
        <w:rPr>
          <w:rFonts w:hint="eastAsia" w:ascii="宋体" w:hAnsi="宋体"/>
          <w:bCs/>
          <w:color w:val="auto"/>
          <w:szCs w:val="21"/>
          <w:highlight w:val="none"/>
        </w:rPr>
      </w:pPr>
      <w:r>
        <w:rPr>
          <w:rFonts w:hint="eastAsia" w:ascii="宋体" w:hAnsi="宋体"/>
          <w:bCs/>
          <w:color w:val="auto"/>
          <w:szCs w:val="21"/>
          <w:highlight w:val="none"/>
        </w:rPr>
        <w:t>1.8 联络</w:t>
      </w:r>
    </w:p>
    <w:p w14:paraId="6541FFA0">
      <w:pPr>
        <w:widowControl/>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1.8.2发包人指定的接收人：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送达地点：</w:t>
      </w:r>
      <w:r>
        <w:rPr>
          <w:rFonts w:ascii="宋体" w:hAnsi="宋体"/>
          <w:color w:val="auto"/>
          <w:kern w:val="0"/>
          <w:szCs w:val="21"/>
          <w:highlight w:val="none"/>
          <w:u w:val="single"/>
        </w:rPr>
        <w:t xml:space="preserve">         </w:t>
      </w:r>
      <w:r>
        <w:rPr>
          <w:rFonts w:ascii="宋体" w:hAnsi="宋体"/>
          <w:color w:val="auto"/>
          <w:kern w:val="0"/>
          <w:szCs w:val="21"/>
          <w:highlight w:val="none"/>
        </w:rPr>
        <w:t>电子邮箱：</w:t>
      </w:r>
      <w:r>
        <w:rPr>
          <w:rFonts w:ascii="宋体" w:hAnsi="宋体"/>
          <w:color w:val="auto"/>
          <w:kern w:val="0"/>
          <w:szCs w:val="21"/>
          <w:highlight w:val="none"/>
          <w:u w:val="single"/>
        </w:rPr>
        <w:t xml:space="preserve">     </w:t>
      </w:r>
      <w:r>
        <w:rPr>
          <w:rFonts w:ascii="宋体" w:hAnsi="宋体"/>
          <w:color w:val="auto"/>
          <w:kern w:val="0"/>
          <w:szCs w:val="21"/>
          <w:highlight w:val="none"/>
        </w:rPr>
        <w:t>电话：</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DE7147F">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设计人指定的接收人：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送达地点：</w:t>
      </w:r>
      <w:r>
        <w:rPr>
          <w:rFonts w:ascii="宋体" w:hAnsi="宋体"/>
          <w:color w:val="auto"/>
          <w:kern w:val="0"/>
          <w:szCs w:val="21"/>
          <w:highlight w:val="none"/>
          <w:u w:val="single"/>
        </w:rPr>
        <w:t xml:space="preserve">         </w:t>
      </w:r>
      <w:r>
        <w:rPr>
          <w:rFonts w:ascii="宋体" w:hAnsi="宋体"/>
          <w:color w:val="auto"/>
          <w:kern w:val="0"/>
          <w:szCs w:val="21"/>
          <w:highlight w:val="none"/>
        </w:rPr>
        <w:t>电子邮箱：</w:t>
      </w:r>
      <w:r>
        <w:rPr>
          <w:rFonts w:ascii="宋体" w:hAnsi="宋体"/>
          <w:color w:val="auto"/>
          <w:kern w:val="0"/>
          <w:szCs w:val="21"/>
          <w:highlight w:val="none"/>
          <w:u w:val="single"/>
        </w:rPr>
        <w:t xml:space="preserve">     </w:t>
      </w:r>
      <w:r>
        <w:rPr>
          <w:rFonts w:ascii="宋体" w:hAnsi="宋体"/>
          <w:color w:val="auto"/>
          <w:kern w:val="0"/>
          <w:szCs w:val="21"/>
          <w:highlight w:val="none"/>
        </w:rPr>
        <w:t>电话：</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p>
    <w:p w14:paraId="7BD08D8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1.9</w:t>
      </w:r>
      <w:r>
        <w:rPr>
          <w:rFonts w:hint="eastAsia" w:ascii="宋体" w:hAnsi="宋体"/>
          <w:bCs/>
          <w:color w:val="auto"/>
          <w:szCs w:val="21"/>
          <w:highlight w:val="none"/>
        </w:rPr>
        <w:t xml:space="preserve"> 转让</w:t>
      </w:r>
    </w:p>
    <w:p w14:paraId="35073A8D">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设计人不得将合同义务转让给第三人。</w:t>
      </w:r>
      <w:bookmarkStart w:id="356" w:name="_Toc531632616"/>
    </w:p>
    <w:p w14:paraId="731A286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1.11知识产权</w:t>
      </w:r>
    </w:p>
    <w:p w14:paraId="2983B58B">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u w:val="single"/>
        </w:rPr>
        <w:t>1.11.1关于发包人提供给设计人的图纸、发包人为实施工程自行编制或委托编制的技术规格以及反映发包人关于合同要求或其他类似性质的文件的著作权的归属：                     。</w:t>
      </w:r>
    </w:p>
    <w:p w14:paraId="083E6F39">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u w:val="single"/>
        </w:rPr>
        <w:t xml:space="preserve">关于发包人提供的上述文件的使用限制的要求：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w:t>
      </w:r>
    </w:p>
    <w:p w14:paraId="3FEB134C">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u w:val="single"/>
        </w:rPr>
        <w:t xml:space="preserve">1.11.2关于设计人为实施工程所编制文件的著作权的归属：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w:t>
      </w:r>
    </w:p>
    <w:p w14:paraId="553C7925">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u w:val="single"/>
        </w:rPr>
        <w:t>关于设计人提供的上述文件的使用限制的要求：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w:t>
      </w:r>
    </w:p>
    <w:p w14:paraId="2EEFA093">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 xml:space="preserve">1.11.4设计人在设计过程中所采用的专利、专有技术的使用费的承担方式：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06191C6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1.12文件及信息的保密</w:t>
      </w:r>
    </w:p>
    <w:p w14:paraId="30B69CB1">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保密期限：</w:t>
      </w:r>
      <w:r>
        <w:rPr>
          <w:rFonts w:ascii="宋体" w:hAnsi="宋体"/>
          <w:color w:val="auto"/>
          <w:kern w:val="0"/>
          <w:szCs w:val="21"/>
          <w:highlight w:val="none"/>
          <w:u w:val="single"/>
        </w:rPr>
        <w:t xml:space="preserve">       </w:t>
      </w:r>
      <w:r>
        <w:rPr>
          <w:rFonts w:ascii="宋体" w:hAnsi="宋体"/>
          <w:color w:val="auto"/>
          <w:kern w:val="0"/>
          <w:szCs w:val="21"/>
          <w:highlight w:val="none"/>
        </w:rPr>
        <w:t>年，保密费已包含在合同价格中。</w:t>
      </w:r>
    </w:p>
    <w:p w14:paraId="19958401">
      <w:pPr>
        <w:pStyle w:val="3"/>
        <w:rPr>
          <w:rFonts w:hint="eastAsia" w:ascii="宋体" w:hAnsi="宋体"/>
          <w:b w:val="0"/>
          <w:snapToGrid w:val="0"/>
          <w:color w:val="auto"/>
          <w:sz w:val="24"/>
          <w:szCs w:val="24"/>
          <w:highlight w:val="none"/>
        </w:rPr>
      </w:pPr>
      <w:bookmarkStart w:id="357" w:name="_Toc174350662"/>
      <w:bookmarkStart w:id="358" w:name="_Toc532384180"/>
      <w:r>
        <w:rPr>
          <w:rFonts w:ascii="宋体" w:hAnsi="宋体"/>
          <w:b w:val="0"/>
          <w:snapToGrid w:val="0"/>
          <w:color w:val="auto"/>
          <w:sz w:val="24"/>
          <w:szCs w:val="24"/>
          <w:highlight w:val="none"/>
        </w:rPr>
        <w:t>2.发包人义务</w:t>
      </w:r>
      <w:bookmarkEnd w:id="356"/>
      <w:bookmarkEnd w:id="357"/>
      <w:bookmarkEnd w:id="358"/>
    </w:p>
    <w:p w14:paraId="5B3D747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2.3办理证件和批件：</w:t>
      </w:r>
    </w:p>
    <w:p w14:paraId="049D11C9">
      <w:pPr>
        <w:widowControl/>
        <w:autoSpaceDE w:val="0"/>
        <w:autoSpaceDN w:val="0"/>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u w:val="single"/>
        </w:rPr>
        <w:t>发包人应遵守法律法规等规定，并办理规定由其办理的许可、核准或备案，包括但不限于</w:t>
      </w:r>
      <w:r>
        <w:rPr>
          <w:rFonts w:hint="eastAsia" w:ascii="宋体" w:hAnsi="宋体"/>
          <w:color w:val="auto"/>
          <w:kern w:val="0"/>
          <w:szCs w:val="21"/>
          <w:highlight w:val="none"/>
          <w:u w:val="single"/>
        </w:rPr>
        <w:t>(</w:t>
      </w:r>
      <w:r>
        <w:rPr>
          <w:rFonts w:ascii="宋体" w:hAnsi="宋体"/>
          <w:color w:val="auto"/>
          <w:kern w:val="0"/>
          <w:szCs w:val="21"/>
          <w:highlight w:val="none"/>
          <w:u w:val="single"/>
        </w:rPr>
        <w:t>建设用地规划许可证、建设工程规划许可证、建设工程方案设计批准、施工图设计审查</w:t>
      </w:r>
      <w:r>
        <w:rPr>
          <w:rFonts w:hint="eastAsia" w:ascii="宋体" w:hAnsi="宋体"/>
          <w:color w:val="auto"/>
          <w:kern w:val="0"/>
          <w:szCs w:val="21"/>
          <w:highlight w:val="none"/>
          <w:u w:val="single"/>
        </w:rPr>
        <w:t>)</w:t>
      </w:r>
      <w:r>
        <w:rPr>
          <w:rFonts w:ascii="宋体" w:hAnsi="宋体"/>
          <w:color w:val="auto"/>
          <w:kern w:val="0"/>
          <w:szCs w:val="21"/>
          <w:highlight w:val="none"/>
          <w:u w:val="single"/>
        </w:rPr>
        <w:t>等许可、核准或备案。</w:t>
      </w:r>
    </w:p>
    <w:p w14:paraId="35E2A697">
      <w:pPr>
        <w:widowControl/>
        <w:autoSpaceDE w:val="0"/>
        <w:autoSpaceDN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发包人负责本项目各阶段设计文件向规划设计管理部门的送审报批工作，并负责将报批结果书面通知设计人。</w:t>
      </w:r>
    </w:p>
    <w:p w14:paraId="0B6690C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2.6 其他义务</w:t>
      </w:r>
    </w:p>
    <w:p w14:paraId="5B6465C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w:t>
      </w:r>
      <w:r>
        <w:rPr>
          <w:rFonts w:hint="eastAsia" w:ascii="宋体" w:hAnsi="宋体"/>
          <w:color w:val="auto"/>
          <w:kern w:val="0"/>
          <w:szCs w:val="21"/>
          <w:highlight w:val="none"/>
        </w:rPr>
        <w:t>1</w:t>
      </w:r>
      <w:r>
        <w:rPr>
          <w:rFonts w:ascii="宋体" w:hAnsi="宋体"/>
          <w:color w:val="auto"/>
          <w:kern w:val="0"/>
          <w:szCs w:val="21"/>
          <w:highlight w:val="none"/>
        </w:rPr>
        <w:t>发包人不应对设计人提出不符合工程安全生产法律、法规和工程建设强制性标准规定的要求。发包人不应随意压缩合同规定的设计周期。</w:t>
      </w:r>
    </w:p>
    <w:p w14:paraId="434DA4A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w:t>
      </w:r>
      <w:r>
        <w:rPr>
          <w:rFonts w:hint="eastAsia" w:ascii="宋体" w:hAnsi="宋体"/>
          <w:color w:val="auto"/>
          <w:kern w:val="0"/>
          <w:szCs w:val="21"/>
          <w:highlight w:val="none"/>
        </w:rPr>
        <w:t>2</w:t>
      </w:r>
      <w:r>
        <w:rPr>
          <w:rFonts w:ascii="宋体" w:hAnsi="宋体"/>
          <w:color w:val="auto"/>
          <w:kern w:val="0"/>
          <w:szCs w:val="21"/>
          <w:highlight w:val="none"/>
        </w:rPr>
        <w:t>由于执行发包人的书面指令而造成的设计质量事故应由发包人承担责任。但不免除设计人根据《建设工程勘察设计管理条例》及相关规定应负的责任。</w:t>
      </w:r>
    </w:p>
    <w:p w14:paraId="10E260C5">
      <w:pPr>
        <w:widowControl/>
        <w:tabs>
          <w:tab w:val="left" w:pos="9072"/>
          <w:tab w:val="left" w:pos="9781"/>
        </w:tabs>
        <w:spacing w:line="360" w:lineRule="auto"/>
        <w:ind w:firstLine="420" w:firstLineChars="200"/>
        <w:jc w:val="left"/>
        <w:rPr>
          <w:color w:val="auto"/>
          <w:highlight w:val="none"/>
          <w:u w:val="single"/>
        </w:rPr>
      </w:pPr>
      <w:r>
        <w:rPr>
          <w:rFonts w:hint="eastAsia"/>
          <w:color w:val="auto"/>
          <w:highlight w:val="none"/>
          <w:u w:val="single"/>
        </w:rPr>
        <w:t xml:space="preserve">                    </w:t>
      </w:r>
    </w:p>
    <w:p w14:paraId="40A7BBE0">
      <w:pPr>
        <w:pStyle w:val="3"/>
        <w:rPr>
          <w:rFonts w:hint="eastAsia" w:ascii="宋体" w:hAnsi="宋体"/>
          <w:b w:val="0"/>
          <w:snapToGrid w:val="0"/>
          <w:color w:val="auto"/>
          <w:sz w:val="24"/>
          <w:szCs w:val="24"/>
          <w:highlight w:val="none"/>
        </w:rPr>
      </w:pPr>
      <w:bookmarkStart w:id="359" w:name="_Toc174350663"/>
      <w:bookmarkStart w:id="360" w:name="_Toc531632617"/>
      <w:bookmarkStart w:id="361" w:name="_Toc532384181"/>
      <w:r>
        <w:rPr>
          <w:rFonts w:ascii="宋体" w:hAnsi="宋体"/>
          <w:b w:val="0"/>
          <w:snapToGrid w:val="0"/>
          <w:color w:val="auto"/>
          <w:sz w:val="24"/>
          <w:szCs w:val="24"/>
          <w:highlight w:val="none"/>
        </w:rPr>
        <w:t>3.发包人管理</w:t>
      </w:r>
      <w:bookmarkEnd w:id="359"/>
      <w:bookmarkEnd w:id="360"/>
      <w:bookmarkEnd w:id="361"/>
    </w:p>
    <w:p w14:paraId="0E8A9FB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3.1 发包人代表</w:t>
      </w:r>
    </w:p>
    <w:p w14:paraId="5FD639C4">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姓    名：</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18632002">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身份证号：</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0D9562EC">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职    务：</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323FDE2">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4B7C66D7">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EB0AE5C">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4726077">
      <w:pPr>
        <w:widowControl/>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3.1.1发包人对发包人代表的授权范围及授权期限如下：</w:t>
      </w:r>
      <w:r>
        <w:rPr>
          <w:rFonts w:ascii="宋体" w:hAnsi="宋体"/>
          <w:color w:val="auto"/>
          <w:kern w:val="0"/>
          <w:szCs w:val="21"/>
          <w:highlight w:val="none"/>
          <w:u w:val="single"/>
        </w:rPr>
        <w:t xml:space="preserve">                                                            </w:t>
      </w:r>
      <w:r>
        <w:rPr>
          <w:rFonts w:ascii="宋体" w:hAnsi="宋体"/>
          <w:color w:val="auto"/>
          <w:kern w:val="0"/>
          <w:szCs w:val="21"/>
          <w:highlight w:val="none"/>
        </w:rPr>
        <w:t>。</w:t>
      </w:r>
    </w:p>
    <w:p w14:paraId="6647C7C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bCs/>
          <w:color w:val="auto"/>
          <w:szCs w:val="21"/>
          <w:highlight w:val="none"/>
        </w:rPr>
        <w:t>3.2 监理人</w:t>
      </w:r>
      <w:r>
        <w:rPr>
          <w:rFonts w:ascii="宋体" w:hAnsi="宋体"/>
          <w:color w:val="auto"/>
          <w:kern w:val="0"/>
          <w:szCs w:val="21"/>
          <w:highlight w:val="none"/>
        </w:rPr>
        <w:t xml:space="preserve">（如有）： </w:t>
      </w:r>
    </w:p>
    <w:p w14:paraId="76E56DF4">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总监理工程师：</w:t>
      </w:r>
      <w:r>
        <w:rPr>
          <w:rFonts w:ascii="宋体" w:hAnsi="宋体"/>
          <w:color w:val="auto"/>
          <w:kern w:val="0"/>
          <w:szCs w:val="21"/>
          <w:highlight w:val="none"/>
          <w:u w:val="single"/>
        </w:rPr>
        <w:tab/>
      </w:r>
      <w:r>
        <w:rPr>
          <w:rFonts w:ascii="宋体" w:hAnsi="宋体"/>
          <w:color w:val="auto"/>
          <w:kern w:val="0"/>
          <w:szCs w:val="21"/>
          <w:highlight w:val="none"/>
        </w:rPr>
        <w:t>；</w:t>
      </w:r>
    </w:p>
    <w:p w14:paraId="21C83F60">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身份证号：</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DE82B3F">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执业资格及等级：</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2A6E271F">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注册证书号：</w:t>
      </w:r>
      <w:r>
        <w:rPr>
          <w:rFonts w:ascii="宋体" w:hAnsi="宋体"/>
          <w:color w:val="auto"/>
          <w:kern w:val="0"/>
          <w:szCs w:val="21"/>
          <w:highlight w:val="none"/>
          <w:u w:val="single"/>
        </w:rPr>
        <w:t xml:space="preserve">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23328B2">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38E7626">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1F378E5B">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3013FC0E">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监理范围：</w:t>
      </w:r>
      <w:r>
        <w:rPr>
          <w:rFonts w:ascii="宋体" w:hAnsi="宋体"/>
          <w:color w:val="auto"/>
          <w:kern w:val="0"/>
          <w:szCs w:val="21"/>
          <w:highlight w:val="none"/>
          <w:u w:val="single"/>
        </w:rPr>
        <w:tab/>
      </w:r>
      <w:r>
        <w:rPr>
          <w:rFonts w:hint="eastAsia" w:ascii="宋体" w:hAnsi="宋体"/>
          <w:color w:val="auto"/>
          <w:kern w:val="0"/>
          <w:szCs w:val="21"/>
          <w:highlight w:val="none"/>
        </w:rPr>
        <w:t>；</w:t>
      </w:r>
    </w:p>
    <w:p w14:paraId="451882A1">
      <w:pPr>
        <w:widowControl/>
        <w:tabs>
          <w:tab w:val="left" w:pos="9072"/>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职责权限：</w:t>
      </w:r>
      <w:r>
        <w:rPr>
          <w:rFonts w:ascii="宋体" w:hAnsi="宋体"/>
          <w:color w:val="auto"/>
          <w:kern w:val="0"/>
          <w:szCs w:val="21"/>
          <w:highlight w:val="none"/>
          <w:u w:val="single"/>
        </w:rPr>
        <w:tab/>
      </w:r>
      <w:r>
        <w:rPr>
          <w:rFonts w:ascii="宋体" w:hAnsi="宋体"/>
          <w:color w:val="auto"/>
          <w:kern w:val="0"/>
          <w:szCs w:val="21"/>
          <w:highlight w:val="none"/>
        </w:rPr>
        <w:t>。</w:t>
      </w:r>
    </w:p>
    <w:p w14:paraId="11AD25A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3.3 发包人的指示</w:t>
      </w:r>
    </w:p>
    <w:p w14:paraId="76B6F124">
      <w:pPr>
        <w:widowControl/>
        <w:tabs>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3.3.4监理人（如有）指示：</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909164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3.4 决定或答复</w:t>
      </w:r>
    </w:p>
    <w:p w14:paraId="6DBFD88B">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3.4.2发包人应在</w:t>
      </w:r>
      <w:r>
        <w:rPr>
          <w:rFonts w:hint="eastAsia" w:ascii="宋体" w:hAnsi="宋体"/>
          <w:color w:val="auto"/>
          <w:kern w:val="0"/>
          <w:szCs w:val="21"/>
          <w:highlight w:val="none"/>
        </w:rPr>
        <w:t>（ ）</w:t>
      </w:r>
      <w:r>
        <w:rPr>
          <w:rFonts w:ascii="宋体" w:hAnsi="宋体"/>
          <w:color w:val="auto"/>
          <w:kern w:val="0"/>
          <w:szCs w:val="21"/>
          <w:highlight w:val="none"/>
        </w:rPr>
        <w:t>日内，对设计人书面提出的事项作出书面明确答复；逾期没有做出书面明确答复的，视为已获得发包人的批准。</w:t>
      </w:r>
    </w:p>
    <w:p w14:paraId="15010F24">
      <w:pPr>
        <w:pStyle w:val="3"/>
        <w:rPr>
          <w:rFonts w:hint="eastAsia" w:ascii="宋体" w:hAnsi="宋体"/>
          <w:b w:val="0"/>
          <w:snapToGrid w:val="0"/>
          <w:color w:val="auto"/>
          <w:sz w:val="24"/>
          <w:szCs w:val="24"/>
          <w:highlight w:val="none"/>
        </w:rPr>
      </w:pPr>
      <w:bookmarkStart w:id="362" w:name="_Toc531632618"/>
      <w:bookmarkStart w:id="363" w:name="_Toc174350664"/>
      <w:bookmarkStart w:id="364" w:name="_Toc532384182"/>
      <w:r>
        <w:rPr>
          <w:rFonts w:ascii="宋体" w:hAnsi="宋体"/>
          <w:b w:val="0"/>
          <w:snapToGrid w:val="0"/>
          <w:color w:val="auto"/>
          <w:sz w:val="24"/>
          <w:szCs w:val="24"/>
          <w:highlight w:val="none"/>
        </w:rPr>
        <w:t>4.设计人义务</w:t>
      </w:r>
      <w:bookmarkEnd w:id="362"/>
      <w:bookmarkEnd w:id="363"/>
      <w:bookmarkEnd w:id="364"/>
    </w:p>
    <w:p w14:paraId="3832E230">
      <w:pPr>
        <w:widowControl/>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4.1.4其他义务</w:t>
      </w:r>
    </w:p>
    <w:p w14:paraId="73FD484C">
      <w:pPr>
        <w:widowControl/>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4.1.4.1设计人应在满足国家技术规范、标准、规程及地方的设计规范基础上，根据发包人提出的设计要求，进行工程设计提交全部设计成果，并对其及时性、规范性、完整性、准确性、真实性负责。 </w:t>
      </w:r>
    </w:p>
    <w:p w14:paraId="0312972B">
      <w:pPr>
        <w:widowControl/>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2</w:t>
      </w:r>
      <w:r>
        <w:rPr>
          <w:rFonts w:ascii="宋体" w:hAnsi="宋体"/>
          <w:color w:val="auto"/>
          <w:kern w:val="0"/>
          <w:szCs w:val="21"/>
          <w:highlight w:val="none"/>
        </w:rPr>
        <w:t>设计人在进行设计时，应采取相应的安全、保卫和环境保护措施</w:t>
      </w:r>
      <w:r>
        <w:rPr>
          <w:rFonts w:hint="eastAsia" w:ascii="宋体" w:hAnsi="宋体"/>
          <w:color w:val="auto"/>
          <w:kern w:val="0"/>
          <w:szCs w:val="21"/>
          <w:highlight w:val="none"/>
        </w:rPr>
        <w:t>。对于设计人在设计过程中发生的人员伤亡或财产损失，或造成第三方的人员伤亡、财产损失，或由此而引起的其他一切损害和损失，发包人均不承担责任。</w:t>
      </w:r>
    </w:p>
    <w:p w14:paraId="1452A354">
      <w:pPr>
        <w:widowControl/>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3</w:t>
      </w:r>
      <w:r>
        <w:rPr>
          <w:rFonts w:ascii="宋体" w:hAnsi="宋体"/>
          <w:color w:val="auto"/>
          <w:kern w:val="0"/>
          <w:szCs w:val="21"/>
          <w:highlight w:val="none"/>
        </w:rPr>
        <w:t>设计人为</w:t>
      </w:r>
      <w:r>
        <w:rPr>
          <w:rFonts w:hint="eastAsia" w:ascii="宋体" w:hAnsi="宋体"/>
          <w:color w:val="auto"/>
          <w:kern w:val="0"/>
          <w:szCs w:val="21"/>
          <w:highlight w:val="none"/>
        </w:rPr>
        <w:t>完成设计任务</w:t>
      </w:r>
      <w:r>
        <w:rPr>
          <w:rFonts w:ascii="宋体" w:hAnsi="宋体"/>
          <w:color w:val="auto"/>
          <w:kern w:val="0"/>
          <w:szCs w:val="21"/>
          <w:highlight w:val="none"/>
        </w:rPr>
        <w:t>，应</w:t>
      </w:r>
      <w:r>
        <w:rPr>
          <w:rFonts w:hint="eastAsia" w:ascii="宋体" w:hAnsi="宋体"/>
          <w:color w:val="auto"/>
          <w:kern w:val="0"/>
          <w:szCs w:val="21"/>
          <w:highlight w:val="none"/>
        </w:rPr>
        <w:t>购买</w:t>
      </w:r>
      <w:r>
        <w:rPr>
          <w:rFonts w:ascii="宋体" w:hAnsi="宋体"/>
          <w:color w:val="auto"/>
          <w:kern w:val="0"/>
          <w:szCs w:val="21"/>
          <w:highlight w:val="none"/>
        </w:rPr>
        <w:t>发包人</w:t>
      </w:r>
      <w:r>
        <w:rPr>
          <w:rFonts w:hint="eastAsia" w:ascii="宋体" w:hAnsi="宋体"/>
          <w:color w:val="auto"/>
          <w:kern w:val="0"/>
          <w:szCs w:val="21"/>
          <w:highlight w:val="none"/>
        </w:rPr>
        <w:t>所投保险以外的</w:t>
      </w:r>
      <w:r>
        <w:rPr>
          <w:rFonts w:ascii="宋体" w:hAnsi="宋体"/>
          <w:color w:val="auto"/>
          <w:kern w:val="0"/>
          <w:szCs w:val="21"/>
          <w:highlight w:val="none"/>
        </w:rPr>
        <w:t>其他有关的雇主责任保险，以使</w:t>
      </w:r>
      <w:r>
        <w:rPr>
          <w:rFonts w:hint="eastAsia" w:ascii="宋体" w:hAnsi="宋体"/>
          <w:color w:val="auto"/>
          <w:kern w:val="0"/>
          <w:szCs w:val="21"/>
          <w:highlight w:val="none"/>
        </w:rPr>
        <w:t>设计任务</w:t>
      </w:r>
      <w:r>
        <w:rPr>
          <w:rFonts w:ascii="宋体" w:hAnsi="宋体"/>
          <w:color w:val="auto"/>
          <w:kern w:val="0"/>
          <w:szCs w:val="21"/>
          <w:highlight w:val="none"/>
        </w:rPr>
        <w:t xml:space="preserve">顺利进行。设计人将全部保险费（如工程设计的人身安全险和设备险等）计入合同报价中，发包人不另行支付。 </w:t>
      </w:r>
    </w:p>
    <w:p w14:paraId="220FF12C">
      <w:pPr>
        <w:widowControl/>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4</w:t>
      </w:r>
      <w:r>
        <w:rPr>
          <w:rFonts w:ascii="宋体" w:hAnsi="宋体"/>
          <w:color w:val="auto"/>
          <w:kern w:val="0"/>
          <w:szCs w:val="21"/>
          <w:highlight w:val="none"/>
        </w:rPr>
        <w:t>施工服务期内，设计人指定现场设计服务人员，定期负责到施工现场提供设计技术服务；积极配合解决施工中涉及的设计问题和现场的相关技术问题。</w:t>
      </w:r>
    </w:p>
    <w:p w14:paraId="03F92EF2">
      <w:pPr>
        <w:widowControl/>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5</w:t>
      </w:r>
      <w:r>
        <w:rPr>
          <w:rFonts w:ascii="宋体" w:hAnsi="宋体"/>
          <w:color w:val="auto"/>
          <w:kern w:val="0"/>
          <w:szCs w:val="21"/>
          <w:highlight w:val="none"/>
        </w:rPr>
        <w:t>项目负责人在施工关键节点和出现关键性技术问题时，应及时赶到现场。</w:t>
      </w:r>
    </w:p>
    <w:p w14:paraId="3B003220">
      <w:pPr>
        <w:widowControl/>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6</w:t>
      </w:r>
      <w:r>
        <w:rPr>
          <w:rFonts w:ascii="宋体" w:hAnsi="宋体"/>
          <w:color w:val="auto"/>
          <w:kern w:val="0"/>
          <w:szCs w:val="21"/>
          <w:highlight w:val="none"/>
        </w:rPr>
        <w:t>设计开始至保修期内，设计人须配合工程建设的有关检查、审查、稽察、审计、事故调查处理、后评估等；</w:t>
      </w:r>
    </w:p>
    <w:p w14:paraId="656F5A64">
      <w:pPr>
        <w:widowControl/>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7</w:t>
      </w:r>
      <w:r>
        <w:rPr>
          <w:rFonts w:ascii="宋体" w:hAnsi="宋体"/>
          <w:color w:val="auto"/>
          <w:kern w:val="0"/>
          <w:szCs w:val="21"/>
          <w:highlight w:val="none"/>
        </w:rPr>
        <w:t>发包人在办理专用合同条款2.3款的相关证件和批件时，设计人应履行协助义务。</w:t>
      </w:r>
    </w:p>
    <w:p w14:paraId="46B91584">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8</w:t>
      </w:r>
      <w:r>
        <w:rPr>
          <w:rFonts w:ascii="宋体" w:hAnsi="宋体"/>
          <w:color w:val="auto"/>
          <w:kern w:val="0"/>
          <w:szCs w:val="21"/>
          <w:highlight w:val="none"/>
        </w:rPr>
        <w:t>施工过程中、缺陷责任期、工程的合理设计使用寿命年限内，因设计缺陷或设计原因导致的安全事故责任，由设计人承担。</w:t>
      </w:r>
    </w:p>
    <w:p w14:paraId="4A654D85">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9</w:t>
      </w:r>
      <w:r>
        <w:rPr>
          <w:rFonts w:ascii="宋体" w:hAnsi="宋体"/>
          <w:color w:val="auto"/>
          <w:kern w:val="0"/>
          <w:szCs w:val="21"/>
          <w:highlight w:val="none"/>
        </w:rPr>
        <w:t>设计人应积极配合发包人进行各项招标工作，按发包人规定的时间提供各标段施工招标资格预审所需的工程说明；按发包人规定的时间提供各标段的施工招标图纸和参考资料；按发包人要求安排相关人员参加标前会，就有关设计问题进行答疑。</w:t>
      </w:r>
    </w:p>
    <w:p w14:paraId="22C2766F">
      <w:pPr>
        <w:widowControl/>
        <w:tabs>
          <w:tab w:val="left" w:pos="760"/>
          <w:tab w:val="left" w:pos="9072"/>
          <w:tab w:val="left" w:pos="9781"/>
        </w:tabs>
        <w:spacing w:line="360" w:lineRule="auto"/>
        <w:ind w:firstLine="420" w:firstLineChars="200"/>
        <w:jc w:val="left"/>
        <w:rPr>
          <w:color w:val="auto"/>
          <w:highlight w:val="none"/>
          <w:u w:val="single"/>
        </w:rPr>
      </w:pPr>
      <w:r>
        <w:rPr>
          <w:rFonts w:ascii="宋体" w:hAnsi="宋体"/>
          <w:color w:val="auto"/>
          <w:kern w:val="0"/>
          <w:szCs w:val="21"/>
          <w:highlight w:val="none"/>
        </w:rPr>
        <w:t>4.1.4.</w:t>
      </w:r>
      <w:r>
        <w:rPr>
          <w:rFonts w:hint="eastAsia" w:ascii="宋体" w:hAnsi="宋体"/>
          <w:color w:val="auto"/>
          <w:kern w:val="0"/>
          <w:szCs w:val="21"/>
          <w:highlight w:val="none"/>
        </w:rPr>
        <w:t>10</w:t>
      </w:r>
      <w:r>
        <w:rPr>
          <w:rFonts w:ascii="宋体" w:hAnsi="宋体"/>
          <w:color w:val="auto"/>
          <w:kern w:val="0"/>
          <w:szCs w:val="21"/>
          <w:highlight w:val="none"/>
        </w:rPr>
        <w:t>本项目设计变更的设计由设计人承担，设计人应及时完成设计，提交设计变更文件，并对设计变更文件承担相应责任。</w:t>
      </w:r>
      <w:r>
        <w:rPr>
          <w:rFonts w:hint="eastAsia" w:ascii="宋体" w:hAnsi="宋体"/>
          <w:color w:val="auto"/>
          <w:kern w:val="0"/>
          <w:szCs w:val="21"/>
          <w:highlight w:val="none"/>
        </w:rPr>
        <w:t>除本合同第11条规定之外的设计变更，其设计费用应视为已含入合同价格中，发包人不再另行支付。</w:t>
      </w:r>
    </w:p>
    <w:p w14:paraId="6340D2B3">
      <w:pPr>
        <w:widowControl/>
        <w:tabs>
          <w:tab w:val="left" w:pos="760"/>
          <w:tab w:val="left" w:pos="9072"/>
          <w:tab w:val="left" w:pos="9781"/>
        </w:tabs>
        <w:spacing w:line="360" w:lineRule="auto"/>
        <w:ind w:firstLine="420" w:firstLineChars="200"/>
        <w:jc w:val="left"/>
        <w:rPr>
          <w:color w:val="auto"/>
          <w:highlight w:val="none"/>
          <w:u w:val="single"/>
        </w:rPr>
      </w:pPr>
      <w:r>
        <w:rPr>
          <w:rFonts w:hint="eastAsia"/>
          <w:color w:val="auto"/>
          <w:highlight w:val="none"/>
          <w:u w:val="single"/>
        </w:rPr>
        <w:t xml:space="preserve">                     </w:t>
      </w:r>
    </w:p>
    <w:p w14:paraId="72AA146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4.2履约保证金</w:t>
      </w:r>
    </w:p>
    <w:p w14:paraId="74B729C3">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履约保证金</w:t>
      </w:r>
      <w:r>
        <w:rPr>
          <w:rFonts w:ascii="宋体" w:hAnsi="宋体"/>
          <w:color w:val="auto"/>
          <w:kern w:val="0"/>
          <w:szCs w:val="21"/>
          <w:highlight w:val="none"/>
        </w:rPr>
        <w:t>形式：</w:t>
      </w:r>
      <w:r>
        <w:rPr>
          <w:rFonts w:hint="eastAsia" w:ascii="宋体" w:hAnsi="宋体"/>
          <w:color w:val="auto"/>
          <w:kern w:val="0"/>
          <w:szCs w:val="21"/>
          <w:highlight w:val="none"/>
        </w:rPr>
        <w:t>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67A3BA3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函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3FB7C778">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w:t>
      </w:r>
      <w:r>
        <w:rPr>
          <w:rFonts w:ascii="宋体" w:hAnsi="宋体"/>
          <w:color w:val="auto"/>
          <w:kern w:val="0"/>
          <w:szCs w:val="21"/>
          <w:highlight w:val="none"/>
        </w:rPr>
        <w:t>保证</w:t>
      </w:r>
      <w:r>
        <w:rPr>
          <w:rFonts w:hint="eastAsia" w:ascii="宋体" w:hAnsi="宋体"/>
          <w:color w:val="auto"/>
          <w:kern w:val="0"/>
          <w:szCs w:val="21"/>
          <w:highlight w:val="none"/>
        </w:rPr>
        <w:t>金的</w:t>
      </w:r>
      <w:r>
        <w:rPr>
          <w:rFonts w:ascii="宋体" w:hAnsi="宋体"/>
          <w:color w:val="auto"/>
          <w:kern w:val="0"/>
          <w:szCs w:val="21"/>
          <w:highlight w:val="none"/>
        </w:rPr>
        <w:t>金额：为</w:t>
      </w:r>
      <w:r>
        <w:rPr>
          <w:rFonts w:hint="eastAsia" w:ascii="宋体" w:hAnsi="宋体"/>
          <w:color w:val="auto"/>
          <w:kern w:val="0"/>
          <w:szCs w:val="21"/>
          <w:highlight w:val="none"/>
        </w:rPr>
        <w:t>签约</w:t>
      </w:r>
      <w:r>
        <w:rPr>
          <w:rFonts w:ascii="宋体" w:hAnsi="宋体"/>
          <w:color w:val="auto"/>
          <w:kern w:val="0"/>
          <w:szCs w:val="21"/>
          <w:highlight w:val="none"/>
        </w:rPr>
        <w:t>合同价的</w:t>
      </w:r>
      <w:r>
        <w:rPr>
          <w:rFonts w:ascii="宋体" w:hAnsi="宋体"/>
          <w:color w:val="auto"/>
          <w:kern w:val="0"/>
          <w:szCs w:val="21"/>
          <w:highlight w:val="none"/>
          <w:u w:val="single"/>
        </w:rPr>
        <w:t xml:space="preserve"> 10 </w:t>
      </w:r>
      <w:r>
        <w:rPr>
          <w:rFonts w:ascii="宋体" w:hAnsi="宋体"/>
          <w:color w:val="auto"/>
          <w:kern w:val="0"/>
          <w:szCs w:val="21"/>
          <w:highlight w:val="none"/>
        </w:rPr>
        <w:t>%。</w:t>
      </w:r>
    </w:p>
    <w:p w14:paraId="1C240C5F">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履约保证金的提交</w:t>
      </w:r>
      <w:r>
        <w:rPr>
          <w:rFonts w:ascii="宋体" w:hAnsi="宋体"/>
          <w:color w:val="auto"/>
          <w:kern w:val="0"/>
          <w:szCs w:val="21"/>
          <w:highlight w:val="none"/>
        </w:rPr>
        <w:t>时间：</w:t>
      </w:r>
      <w:r>
        <w:rPr>
          <w:rFonts w:ascii="宋体" w:hAnsi="宋体"/>
          <w:color w:val="auto"/>
          <w:kern w:val="0"/>
          <w:szCs w:val="21"/>
          <w:highlight w:val="none"/>
          <w:u w:val="single"/>
        </w:rPr>
        <w:t>中标通知书送达之日起</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天内/合同签订</w:t>
      </w:r>
      <w:r>
        <w:rPr>
          <w:rFonts w:hint="eastAsia" w:ascii="宋体" w:hAnsi="宋体"/>
          <w:color w:val="auto"/>
          <w:kern w:val="0"/>
          <w:szCs w:val="21"/>
          <w:highlight w:val="none"/>
          <w:u w:val="single"/>
        </w:rPr>
        <w:t xml:space="preserve">（前/后） </w:t>
      </w:r>
      <w:r>
        <w:rPr>
          <w:rFonts w:ascii="宋体" w:hAnsi="宋体"/>
          <w:color w:val="auto"/>
          <w:kern w:val="0"/>
          <w:szCs w:val="21"/>
          <w:highlight w:val="none"/>
          <w:u w:val="single"/>
        </w:rPr>
        <w:t>天内</w:t>
      </w:r>
      <w:r>
        <w:rPr>
          <w:rFonts w:ascii="宋体" w:hAnsi="宋体"/>
          <w:color w:val="auto"/>
          <w:kern w:val="0"/>
          <w:szCs w:val="21"/>
          <w:highlight w:val="none"/>
        </w:rPr>
        <w:t>。</w:t>
      </w:r>
    </w:p>
    <w:p w14:paraId="665AFDD8">
      <w:pPr>
        <w:widowControl/>
        <w:tabs>
          <w:tab w:val="left" w:pos="9072"/>
          <w:tab w:val="left" w:pos="9660"/>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履约保证金的期限</w:t>
      </w:r>
      <w:r>
        <w:rPr>
          <w:rFonts w:ascii="宋体" w:hAnsi="宋体"/>
          <w:color w:val="auto"/>
          <w:kern w:val="0"/>
          <w:szCs w:val="21"/>
          <w:highlight w:val="none"/>
        </w:rPr>
        <w:t>：</w:t>
      </w:r>
      <w:r>
        <w:rPr>
          <w:rFonts w:hint="eastAsia" w:ascii="宋体" w:hAnsi="宋体" w:cs="宋体"/>
          <w:color w:val="auto"/>
          <w:kern w:val="0"/>
          <w:szCs w:val="21"/>
          <w:highlight w:val="none"/>
          <w:u w:val="single"/>
          <w:lang w:bidi="ar"/>
        </w:rPr>
        <w:t>自提交履约保证金之日起至竣工验收合格之日止</w:t>
      </w:r>
      <w:r>
        <w:rPr>
          <w:rFonts w:ascii="宋体" w:hAnsi="宋体"/>
          <w:color w:val="auto"/>
          <w:kern w:val="0"/>
          <w:szCs w:val="21"/>
          <w:highlight w:val="none"/>
        </w:rPr>
        <w:t>。</w:t>
      </w:r>
    </w:p>
    <w:p w14:paraId="47D9ABF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履约保证金的退还时间：</w:t>
      </w:r>
      <w:r>
        <w:rPr>
          <w:rFonts w:hint="eastAsia" w:ascii="宋体" w:hAnsi="宋体" w:cs="宋体"/>
          <w:color w:val="auto"/>
          <w:kern w:val="0"/>
          <w:szCs w:val="21"/>
          <w:highlight w:val="none"/>
          <w:u w:val="single"/>
        </w:rPr>
        <w:t>采用</w:t>
      </w:r>
      <w:r>
        <w:rPr>
          <w:rFonts w:ascii="宋体" w:hAnsi="宋体"/>
          <w:color w:val="auto"/>
          <w:kern w:val="0"/>
          <w:szCs w:val="21"/>
          <w:highlight w:val="none"/>
          <w:u w:val="single"/>
        </w:rPr>
        <w:t>现金</w:t>
      </w:r>
      <w:r>
        <w:rPr>
          <w:rFonts w:hint="eastAsia" w:ascii="宋体" w:hAnsi="宋体"/>
          <w:color w:val="auto"/>
          <w:kern w:val="0"/>
          <w:szCs w:val="21"/>
          <w:highlight w:val="none"/>
          <w:u w:val="single"/>
        </w:rPr>
        <w:t>形式的</w:t>
      </w:r>
      <w:r>
        <w:rPr>
          <w:rFonts w:ascii="宋体" w:hAnsi="宋体"/>
          <w:color w:val="auto"/>
          <w:kern w:val="0"/>
          <w:szCs w:val="21"/>
          <w:highlight w:val="none"/>
          <w:u w:val="single"/>
        </w:rPr>
        <w:t>，合同履行期间设计人无违约，</w:t>
      </w:r>
      <w:r>
        <w:rPr>
          <w:rFonts w:hint="eastAsia" w:ascii="宋体" w:hAnsi="宋体" w:cs="宋体"/>
          <w:color w:val="auto"/>
          <w:kern w:val="0"/>
          <w:szCs w:val="21"/>
          <w:highlight w:val="none"/>
          <w:u w:val="single"/>
          <w:lang w:bidi="ar"/>
        </w:rPr>
        <w:t>工程竣工验收合格后</w:t>
      </w:r>
      <w:r>
        <w:rPr>
          <w:rFonts w:ascii="宋体" w:hAnsi="宋体" w:cs="宋体"/>
          <w:color w:val="auto"/>
          <w:kern w:val="0"/>
          <w:szCs w:val="21"/>
          <w:highlight w:val="none"/>
          <w:u w:val="single"/>
          <w:lang w:bidi="ar"/>
        </w:rPr>
        <w:t>14天内退还</w:t>
      </w:r>
      <w:r>
        <w:rPr>
          <w:rFonts w:hint="eastAsia" w:ascii="宋体" w:hAnsi="宋体" w:cs="宋体"/>
          <w:color w:val="auto"/>
          <w:kern w:val="0"/>
          <w:szCs w:val="21"/>
          <w:highlight w:val="none"/>
          <w:u w:val="single"/>
          <w:lang w:bidi="ar"/>
        </w:rPr>
        <w:t>，</w:t>
      </w:r>
      <w:r>
        <w:rPr>
          <w:rFonts w:ascii="宋体" w:hAnsi="宋体" w:cs="宋体"/>
          <w:color w:val="auto"/>
          <w:kern w:val="0"/>
          <w:szCs w:val="21"/>
          <w:highlight w:val="none"/>
          <w:u w:val="single"/>
          <w:lang w:bidi="ar"/>
        </w:rPr>
        <w:t>或按工程实际情况约定分阶段退还，阶段划分按</w:t>
      </w:r>
      <w:r>
        <w:rPr>
          <w:rFonts w:hint="eastAsia" w:ascii="宋体" w:hAnsi="宋体" w:cs="宋体"/>
          <w:color w:val="auto"/>
          <w:kern w:val="0"/>
          <w:szCs w:val="21"/>
          <w:highlight w:val="none"/>
          <w:u w:val="single"/>
          <w:lang w:bidi="ar"/>
        </w:rPr>
        <w:t xml:space="preserve">            标准执行</w:t>
      </w:r>
      <w:r>
        <w:rPr>
          <w:rFonts w:hint="eastAsia" w:ascii="宋体" w:hAnsi="宋体"/>
          <w:color w:val="auto"/>
          <w:kern w:val="0"/>
          <w:szCs w:val="21"/>
          <w:highlight w:val="none"/>
          <w:u w:val="single"/>
        </w:rPr>
        <w:t>；采用履约</w:t>
      </w:r>
      <w:r>
        <w:rPr>
          <w:rFonts w:ascii="宋体" w:hAnsi="宋体"/>
          <w:color w:val="auto"/>
          <w:kern w:val="0"/>
          <w:szCs w:val="21"/>
          <w:highlight w:val="none"/>
          <w:u w:val="single"/>
        </w:rPr>
        <w:t>保函</w:t>
      </w:r>
      <w:r>
        <w:rPr>
          <w:rFonts w:hint="eastAsia" w:ascii="宋体" w:hAnsi="宋体"/>
          <w:color w:val="auto"/>
          <w:kern w:val="0"/>
          <w:szCs w:val="21"/>
          <w:highlight w:val="none"/>
          <w:u w:val="single"/>
        </w:rPr>
        <w:t>形式的</w:t>
      </w:r>
      <w:r>
        <w:rPr>
          <w:rFonts w:ascii="宋体" w:hAnsi="宋体"/>
          <w:color w:val="auto"/>
          <w:kern w:val="0"/>
          <w:szCs w:val="21"/>
          <w:highlight w:val="none"/>
          <w:u w:val="single"/>
        </w:rPr>
        <w:t>，合同履行期间设计人无违约，</w:t>
      </w:r>
      <w:r>
        <w:rPr>
          <w:rFonts w:hint="eastAsia" w:ascii="宋体" w:hAnsi="宋体" w:cs="宋体"/>
          <w:color w:val="auto"/>
          <w:kern w:val="0"/>
          <w:szCs w:val="21"/>
          <w:highlight w:val="none"/>
          <w:u w:val="single"/>
          <w:lang w:bidi="ar"/>
        </w:rPr>
        <w:t>工程竣工验收合格后</w:t>
      </w:r>
      <w:r>
        <w:rPr>
          <w:rFonts w:ascii="宋体" w:hAnsi="宋体" w:cs="宋体"/>
          <w:color w:val="auto"/>
          <w:kern w:val="0"/>
          <w:szCs w:val="21"/>
          <w:highlight w:val="none"/>
          <w:u w:val="single"/>
          <w:lang w:bidi="ar"/>
        </w:rPr>
        <w:t>14天内退还</w:t>
      </w:r>
      <w:r>
        <w:rPr>
          <w:rFonts w:hint="eastAsia" w:ascii="宋体" w:hAnsi="宋体" w:cs="宋体"/>
          <w:color w:val="auto"/>
          <w:kern w:val="0"/>
          <w:szCs w:val="21"/>
          <w:highlight w:val="none"/>
          <w:u w:val="single"/>
          <w:lang w:bidi="ar"/>
        </w:rPr>
        <w:t>，</w:t>
      </w:r>
      <w:r>
        <w:rPr>
          <w:rFonts w:ascii="宋体" w:hAnsi="宋体" w:cs="宋体"/>
          <w:color w:val="auto"/>
          <w:kern w:val="0"/>
          <w:szCs w:val="21"/>
          <w:highlight w:val="none"/>
          <w:u w:val="single"/>
          <w:lang w:bidi="ar"/>
        </w:rPr>
        <w:t>或按工程实际情况约定分阶段退还，阶段划分按</w:t>
      </w:r>
      <w:r>
        <w:rPr>
          <w:rFonts w:hint="eastAsia" w:ascii="宋体" w:hAnsi="宋体" w:cs="宋体"/>
          <w:color w:val="auto"/>
          <w:kern w:val="0"/>
          <w:szCs w:val="21"/>
          <w:highlight w:val="none"/>
          <w:u w:val="single"/>
          <w:lang w:bidi="ar"/>
        </w:rPr>
        <w:t xml:space="preserve">            标准执行</w:t>
      </w:r>
      <w:r>
        <w:rPr>
          <w:rFonts w:ascii="宋体" w:hAnsi="宋体"/>
          <w:color w:val="auto"/>
          <w:kern w:val="0"/>
          <w:szCs w:val="21"/>
          <w:highlight w:val="none"/>
        </w:rPr>
        <w:t>。</w:t>
      </w:r>
    </w:p>
    <w:p w14:paraId="0865F09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4.3 分包和不得转包</w:t>
      </w:r>
    </w:p>
    <w:p w14:paraId="545A103F">
      <w:pPr>
        <w:widowControl/>
        <w:tabs>
          <w:tab w:val="left" w:pos="9214"/>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4.3.2禁止分包的工程设计包括：</w:t>
      </w:r>
      <w:r>
        <w:rPr>
          <w:rFonts w:hint="eastAsia" w:ascii="宋体" w:hAnsi="宋体"/>
          <w:color w:val="auto"/>
          <w:kern w:val="0"/>
          <w:szCs w:val="21"/>
          <w:highlight w:val="none"/>
          <w:u w:val="single"/>
        </w:rPr>
        <w:tab/>
      </w:r>
      <w:r>
        <w:rPr>
          <w:rFonts w:hint="eastAsia" w:ascii="宋体" w:hAnsi="宋体"/>
          <w:color w:val="auto"/>
          <w:kern w:val="0"/>
          <w:szCs w:val="21"/>
          <w:highlight w:val="none"/>
        </w:rPr>
        <w:t>。</w:t>
      </w:r>
    </w:p>
    <w:p w14:paraId="5BE50354">
      <w:pPr>
        <w:widowControl/>
        <w:tabs>
          <w:tab w:val="left" w:pos="9214"/>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主体结构、关键性工作的范围：</w:t>
      </w:r>
      <w:r>
        <w:rPr>
          <w:rFonts w:hint="eastAsia" w:ascii="宋体" w:hAnsi="宋体"/>
          <w:color w:val="auto"/>
          <w:kern w:val="0"/>
          <w:szCs w:val="21"/>
          <w:highlight w:val="none"/>
          <w:u w:val="single"/>
        </w:rPr>
        <w:tab/>
      </w:r>
      <w:r>
        <w:rPr>
          <w:rFonts w:hint="eastAsia" w:ascii="宋体" w:hAnsi="宋体"/>
          <w:color w:val="auto"/>
          <w:kern w:val="0"/>
          <w:szCs w:val="21"/>
          <w:highlight w:val="none"/>
        </w:rPr>
        <w:t>。</w:t>
      </w:r>
    </w:p>
    <w:p w14:paraId="31209B17">
      <w:pPr>
        <w:widowControl/>
        <w:tabs>
          <w:tab w:val="left" w:pos="9214"/>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4.3.3允许分包的专业工程设计包括：</w:t>
      </w:r>
      <w:r>
        <w:rPr>
          <w:rFonts w:hint="eastAsia" w:ascii="宋体" w:hAnsi="宋体"/>
          <w:color w:val="auto"/>
          <w:kern w:val="0"/>
          <w:szCs w:val="21"/>
          <w:highlight w:val="none"/>
          <w:u w:val="single"/>
        </w:rPr>
        <w:tab/>
      </w:r>
      <w:r>
        <w:rPr>
          <w:rFonts w:hint="eastAsia" w:ascii="宋体" w:hAnsi="宋体"/>
          <w:color w:val="auto"/>
          <w:kern w:val="0"/>
          <w:szCs w:val="21"/>
          <w:highlight w:val="none"/>
        </w:rPr>
        <w:t>。</w:t>
      </w:r>
    </w:p>
    <w:p w14:paraId="77F01338">
      <w:pPr>
        <w:widowControl/>
        <w:tabs>
          <w:tab w:val="left" w:pos="9214"/>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其他关于分包的约定：</w:t>
      </w:r>
      <w:r>
        <w:rPr>
          <w:rFonts w:hint="eastAsia" w:ascii="宋体" w:hAnsi="宋体"/>
          <w:color w:val="auto"/>
          <w:kern w:val="0"/>
          <w:szCs w:val="21"/>
          <w:highlight w:val="none"/>
          <w:u w:val="single"/>
        </w:rPr>
        <w:tab/>
      </w:r>
      <w:r>
        <w:rPr>
          <w:rFonts w:hint="eastAsia" w:ascii="宋体" w:hAnsi="宋体"/>
          <w:color w:val="auto"/>
          <w:kern w:val="0"/>
          <w:szCs w:val="21"/>
          <w:highlight w:val="none"/>
        </w:rPr>
        <w:t>。</w:t>
      </w:r>
    </w:p>
    <w:p w14:paraId="0EF7918C">
      <w:pPr>
        <w:widowControl/>
        <w:tabs>
          <w:tab w:val="left" w:pos="876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分包工程设计费支付方式：</w:t>
      </w:r>
      <w:r>
        <w:rPr>
          <w:rFonts w:hint="eastAsia" w:ascii="宋体" w:hAnsi="宋体"/>
          <w:color w:val="auto"/>
          <w:kern w:val="0"/>
          <w:szCs w:val="21"/>
          <w:highlight w:val="none"/>
          <w:u w:val="single"/>
        </w:rPr>
        <w:t xml:space="preserve">     （设计人或发包人）       支付</w:t>
      </w:r>
      <w:r>
        <w:rPr>
          <w:rFonts w:hint="eastAsia" w:ascii="宋体" w:hAnsi="宋体"/>
          <w:color w:val="auto"/>
          <w:kern w:val="0"/>
          <w:szCs w:val="21"/>
          <w:highlight w:val="none"/>
        </w:rPr>
        <w:t>。</w:t>
      </w:r>
    </w:p>
    <w:p w14:paraId="018E939A">
      <w:pPr>
        <w:widowControl/>
        <w:tabs>
          <w:tab w:val="left" w:pos="9214"/>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4.3.4设计人向发包人提交有关分包人资料包括：</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rPr>
        <w:tab/>
      </w:r>
      <w:r>
        <w:rPr>
          <w:rFonts w:hint="eastAsia" w:ascii="宋体" w:hAnsi="宋体"/>
          <w:color w:val="auto"/>
          <w:kern w:val="0"/>
          <w:szCs w:val="21"/>
          <w:highlight w:val="none"/>
        </w:rPr>
        <w:t>。</w:t>
      </w:r>
    </w:p>
    <w:p w14:paraId="2293F8F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4.4 联合体</w:t>
      </w:r>
    </w:p>
    <w:p w14:paraId="3F082ACB">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4.4.4发包人向联合体支付设计费用的方式：</w:t>
      </w:r>
      <w:r>
        <w:rPr>
          <w:rFonts w:ascii="宋体" w:hAnsi="宋体"/>
          <w:color w:val="auto"/>
          <w:kern w:val="0"/>
          <w:szCs w:val="21"/>
          <w:highlight w:val="none"/>
          <w:u w:val="single"/>
        </w:rPr>
        <w:t xml:space="preserve">(此处由发包人结合项目实际情况自行确定向联合体牵头人或成员支付设计费用)。   </w:t>
      </w:r>
    </w:p>
    <w:p w14:paraId="113BE74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4.5 项目负责人</w:t>
      </w:r>
    </w:p>
    <w:p w14:paraId="12450134">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姓    名：</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D53A419">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身份证号：</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782BCB81">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职称及专业：</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4A238D98">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执业资格及等级：</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1448E2C0">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注册证书号：</w:t>
      </w:r>
      <w:r>
        <w:rPr>
          <w:rFonts w:ascii="宋体" w:hAnsi="宋体"/>
          <w:color w:val="auto"/>
          <w:kern w:val="0"/>
          <w:szCs w:val="21"/>
          <w:highlight w:val="none"/>
          <w:u w:val="single"/>
        </w:rPr>
        <w:t xml:space="preserve">               </w:t>
      </w:r>
      <w:r>
        <w:rPr>
          <w:rFonts w:ascii="宋体" w:hAnsi="宋体"/>
          <w:color w:val="auto"/>
          <w:kern w:val="0"/>
          <w:szCs w:val="21"/>
          <w:highlight w:val="none"/>
        </w:rPr>
        <w:t>；</w:t>
      </w:r>
    </w:p>
    <w:p w14:paraId="7A5EEA08">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w:t>
      </w:r>
      <w:r>
        <w:rPr>
          <w:rFonts w:ascii="宋体" w:hAnsi="宋体"/>
          <w:color w:val="auto"/>
          <w:kern w:val="0"/>
          <w:szCs w:val="21"/>
          <w:highlight w:val="none"/>
        </w:rPr>
        <w:t>；</w:t>
      </w:r>
    </w:p>
    <w:p w14:paraId="3CB48BB3">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w:t>
      </w:r>
      <w:r>
        <w:rPr>
          <w:rFonts w:ascii="宋体" w:hAnsi="宋体"/>
          <w:color w:val="auto"/>
          <w:kern w:val="0"/>
          <w:szCs w:val="21"/>
          <w:highlight w:val="none"/>
        </w:rPr>
        <w:t>；</w:t>
      </w:r>
    </w:p>
    <w:p w14:paraId="11719826">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ascii="宋体" w:hAnsi="宋体"/>
          <w:color w:val="auto"/>
          <w:kern w:val="0"/>
          <w:szCs w:val="21"/>
          <w:highlight w:val="none"/>
        </w:rPr>
        <w:t>。</w:t>
      </w:r>
    </w:p>
    <w:p w14:paraId="33CDC5EB">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4.5.1 设计人应按合同协议书的约定指派项目负责人，并在约定的期限内到职。</w:t>
      </w:r>
      <w:r>
        <w:rPr>
          <w:rFonts w:ascii="宋体" w:hAnsi="宋体"/>
          <w:color w:val="auto"/>
          <w:kern w:val="0"/>
          <w:szCs w:val="21"/>
          <w:highlight w:val="none"/>
          <w:u w:val="single"/>
        </w:rPr>
        <w:t xml:space="preserve">设计人更换项目负责人应事先征得发包人同意，并应在更换 </w:t>
      </w:r>
      <w:r>
        <w:rPr>
          <w:rFonts w:hint="eastAsia" w:ascii="宋体" w:hAnsi="宋体"/>
          <w:color w:val="auto"/>
          <w:kern w:val="0"/>
          <w:szCs w:val="21"/>
          <w:highlight w:val="none"/>
          <w:u w:val="single"/>
        </w:rPr>
        <w:t>（</w:t>
      </w:r>
      <w:r>
        <w:rPr>
          <w:rFonts w:ascii="宋体" w:hAnsi="宋体"/>
          <w:color w:val="auto"/>
          <w:kern w:val="0"/>
          <w:szCs w:val="21"/>
          <w:highlight w:val="none"/>
          <w:u w:val="single"/>
        </w:rPr>
        <w:t>7</w:t>
      </w:r>
      <w:r>
        <w:rPr>
          <w:rFonts w:hint="eastAsia" w:ascii="宋体" w:hAnsi="宋体"/>
          <w:color w:val="auto"/>
          <w:kern w:val="0"/>
          <w:szCs w:val="21"/>
          <w:highlight w:val="none"/>
          <w:u w:val="single"/>
        </w:rPr>
        <w:t>）</w:t>
      </w:r>
      <w:r>
        <w:rPr>
          <w:rFonts w:ascii="宋体" w:hAnsi="宋体"/>
          <w:color w:val="auto"/>
          <w:kern w:val="0"/>
          <w:szCs w:val="21"/>
          <w:highlight w:val="none"/>
          <w:u w:val="single"/>
        </w:rPr>
        <w:t>天前将拟更换的项目负责人的姓名和详细资料提交发包人。项目负责人连续</w:t>
      </w:r>
      <w:r>
        <w:rPr>
          <w:rFonts w:hint="eastAsia" w:ascii="宋体" w:hAnsi="宋体"/>
          <w:color w:val="auto"/>
          <w:kern w:val="0"/>
          <w:szCs w:val="21"/>
          <w:highlight w:val="none"/>
          <w:u w:val="single"/>
        </w:rPr>
        <w:t>（</w:t>
      </w:r>
      <w:r>
        <w:rPr>
          <w:rFonts w:ascii="宋体" w:hAnsi="宋体"/>
          <w:color w:val="auto"/>
          <w:kern w:val="0"/>
          <w:szCs w:val="21"/>
          <w:highlight w:val="none"/>
          <w:u w:val="single"/>
        </w:rPr>
        <w:t>2</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天不能履行职责的，应事先征得发包人同意，并委派代表代行其职责。项目负责人连续 </w:t>
      </w:r>
      <w:r>
        <w:rPr>
          <w:rFonts w:hint="eastAsia" w:ascii="宋体" w:hAnsi="宋体"/>
          <w:color w:val="auto"/>
          <w:kern w:val="0"/>
          <w:szCs w:val="21"/>
          <w:highlight w:val="none"/>
          <w:u w:val="single"/>
        </w:rPr>
        <w:t>（</w:t>
      </w:r>
      <w:r>
        <w:rPr>
          <w:rFonts w:ascii="宋体" w:hAnsi="宋体"/>
          <w:color w:val="auto"/>
          <w:kern w:val="0"/>
          <w:szCs w:val="21"/>
          <w:highlight w:val="none"/>
          <w:u w:val="single"/>
        </w:rPr>
        <w:t>5</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天不能履行职责的，发包人可以要求设计人更换项目负责人。项目负责人连续 </w:t>
      </w:r>
      <w:r>
        <w:rPr>
          <w:rFonts w:hint="eastAsia" w:ascii="宋体" w:hAnsi="宋体"/>
          <w:color w:val="auto"/>
          <w:kern w:val="0"/>
          <w:szCs w:val="21"/>
          <w:highlight w:val="none"/>
          <w:u w:val="single"/>
        </w:rPr>
        <w:t>（</w:t>
      </w:r>
      <w:r>
        <w:rPr>
          <w:rFonts w:ascii="宋体" w:hAnsi="宋体"/>
          <w:color w:val="auto"/>
          <w:kern w:val="0"/>
          <w:szCs w:val="21"/>
          <w:highlight w:val="none"/>
          <w:u w:val="single"/>
        </w:rPr>
        <w:t>14</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天及以上不能履行职责，且设计人不更换项目负责人的，该状态每持续</w:t>
      </w:r>
      <w:r>
        <w:rPr>
          <w:rFonts w:hint="eastAsia" w:ascii="宋体" w:hAnsi="宋体"/>
          <w:color w:val="auto"/>
          <w:kern w:val="0"/>
          <w:szCs w:val="21"/>
          <w:highlight w:val="none"/>
          <w:u w:val="single"/>
        </w:rPr>
        <w:t>（</w:t>
      </w:r>
      <w:r>
        <w:rPr>
          <w:rFonts w:ascii="宋体" w:hAnsi="宋体"/>
          <w:color w:val="auto"/>
          <w:kern w:val="0"/>
          <w:szCs w:val="21"/>
          <w:highlight w:val="none"/>
          <w:u w:val="single"/>
        </w:rPr>
        <w:t>1</w:t>
      </w:r>
      <w:r>
        <w:rPr>
          <w:rFonts w:hint="eastAsia" w:ascii="宋体" w:hAnsi="宋体"/>
          <w:color w:val="auto"/>
          <w:kern w:val="0"/>
          <w:szCs w:val="21"/>
          <w:highlight w:val="none"/>
          <w:u w:val="single"/>
        </w:rPr>
        <w:t>）</w:t>
      </w:r>
      <w:r>
        <w:rPr>
          <w:rFonts w:ascii="宋体" w:hAnsi="宋体"/>
          <w:color w:val="auto"/>
          <w:kern w:val="0"/>
          <w:szCs w:val="21"/>
          <w:highlight w:val="none"/>
          <w:u w:val="single"/>
        </w:rPr>
        <w:t>天，设计人减收</w:t>
      </w:r>
      <w:r>
        <w:rPr>
          <w:rFonts w:hint="eastAsia" w:ascii="宋体" w:hAnsi="宋体"/>
          <w:color w:val="auto"/>
          <w:kern w:val="0"/>
          <w:szCs w:val="21"/>
          <w:highlight w:val="none"/>
          <w:u w:val="single"/>
        </w:rPr>
        <w:t>签约</w:t>
      </w:r>
      <w:r>
        <w:rPr>
          <w:rFonts w:ascii="宋体" w:hAnsi="宋体"/>
          <w:color w:val="auto"/>
          <w:kern w:val="0"/>
          <w:szCs w:val="21"/>
          <w:highlight w:val="none"/>
          <w:u w:val="single"/>
        </w:rPr>
        <w:t>合同价的(0.05%-0.2%)。该状态持续</w:t>
      </w:r>
      <w:r>
        <w:rPr>
          <w:rFonts w:hint="eastAsia" w:ascii="宋体" w:hAnsi="宋体"/>
          <w:color w:val="auto"/>
          <w:kern w:val="0"/>
          <w:szCs w:val="21"/>
          <w:highlight w:val="none"/>
          <w:u w:val="single"/>
        </w:rPr>
        <w:t>（</w:t>
      </w:r>
      <w:r>
        <w:rPr>
          <w:rFonts w:ascii="宋体" w:hAnsi="宋体"/>
          <w:color w:val="auto"/>
          <w:kern w:val="0"/>
          <w:szCs w:val="21"/>
          <w:highlight w:val="none"/>
          <w:u w:val="single"/>
        </w:rPr>
        <w:t>21</w:t>
      </w:r>
      <w:r>
        <w:rPr>
          <w:rFonts w:hint="eastAsia" w:ascii="宋体" w:hAnsi="宋体"/>
          <w:color w:val="auto"/>
          <w:kern w:val="0"/>
          <w:szCs w:val="21"/>
          <w:highlight w:val="none"/>
          <w:u w:val="single"/>
        </w:rPr>
        <w:t>）</w:t>
      </w:r>
      <w:r>
        <w:rPr>
          <w:rFonts w:ascii="宋体" w:hAnsi="宋体"/>
          <w:color w:val="auto"/>
          <w:kern w:val="0"/>
          <w:szCs w:val="21"/>
          <w:highlight w:val="none"/>
          <w:u w:val="single"/>
        </w:rPr>
        <w:t>天以上时，发包人有权解除本合同，设计人应当赔偿发包人因此所遭受的损失。</w:t>
      </w:r>
    </w:p>
    <w:p w14:paraId="468905F3">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4.5.4项目负责人不可以授权其他人员履行的职责：</w:t>
      </w:r>
      <w:r>
        <w:rPr>
          <w:rFonts w:ascii="宋体" w:hAnsi="宋体"/>
          <w:color w:val="auto"/>
          <w:kern w:val="0"/>
          <w:szCs w:val="21"/>
          <w:highlight w:val="none"/>
          <w:u w:val="single"/>
        </w:rPr>
        <w:tab/>
      </w:r>
      <w:r>
        <w:rPr>
          <w:rFonts w:ascii="宋体" w:hAnsi="宋体"/>
          <w:color w:val="auto"/>
          <w:kern w:val="0"/>
          <w:szCs w:val="21"/>
          <w:highlight w:val="none"/>
        </w:rPr>
        <w:t>。</w:t>
      </w:r>
    </w:p>
    <w:p w14:paraId="6C1D7B7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4.6 设计人员的管理</w:t>
      </w:r>
    </w:p>
    <w:p w14:paraId="652E0A4A">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设计人员基本情况表</w:t>
      </w:r>
    </w:p>
    <w:tbl>
      <w:tblPr>
        <w:tblStyle w:val="48"/>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41"/>
        <w:gridCol w:w="1241"/>
        <w:gridCol w:w="1020"/>
        <w:gridCol w:w="993"/>
        <w:gridCol w:w="2042"/>
        <w:gridCol w:w="971"/>
        <w:gridCol w:w="1169"/>
      </w:tblGrid>
      <w:tr w14:paraId="0ECBB8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3" w:type="dxa"/>
            <w:noWrap w:val="0"/>
            <w:vAlign w:val="center"/>
          </w:tcPr>
          <w:p w14:paraId="4498714A">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1241" w:type="dxa"/>
            <w:noWrap w:val="0"/>
            <w:vAlign w:val="center"/>
          </w:tcPr>
          <w:p w14:paraId="29805793">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姓名</w:t>
            </w:r>
          </w:p>
        </w:tc>
        <w:tc>
          <w:tcPr>
            <w:tcW w:w="1241" w:type="dxa"/>
            <w:noWrap w:val="0"/>
            <w:vAlign w:val="center"/>
          </w:tcPr>
          <w:p w14:paraId="5C7AA491">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性别</w:t>
            </w:r>
          </w:p>
        </w:tc>
        <w:tc>
          <w:tcPr>
            <w:tcW w:w="1020" w:type="dxa"/>
            <w:noWrap w:val="0"/>
            <w:vAlign w:val="center"/>
          </w:tcPr>
          <w:p w14:paraId="1C450031">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专业</w:t>
            </w:r>
          </w:p>
        </w:tc>
        <w:tc>
          <w:tcPr>
            <w:tcW w:w="993" w:type="dxa"/>
            <w:noWrap w:val="0"/>
            <w:vAlign w:val="center"/>
          </w:tcPr>
          <w:p w14:paraId="53868B16">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职务</w:t>
            </w:r>
          </w:p>
        </w:tc>
        <w:tc>
          <w:tcPr>
            <w:tcW w:w="2042" w:type="dxa"/>
            <w:noWrap w:val="0"/>
            <w:vAlign w:val="center"/>
          </w:tcPr>
          <w:p w14:paraId="68C7050A">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注 册 情 况</w:t>
            </w:r>
          </w:p>
          <w:p w14:paraId="3AC5B3EA">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职 称 情 况</w:t>
            </w:r>
          </w:p>
        </w:tc>
        <w:tc>
          <w:tcPr>
            <w:tcW w:w="971" w:type="dxa"/>
            <w:noWrap w:val="0"/>
            <w:vAlign w:val="center"/>
          </w:tcPr>
          <w:p w14:paraId="7F234CE1">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联系电话</w:t>
            </w:r>
          </w:p>
        </w:tc>
        <w:tc>
          <w:tcPr>
            <w:tcW w:w="1169" w:type="dxa"/>
            <w:noWrap w:val="0"/>
            <w:vAlign w:val="center"/>
          </w:tcPr>
          <w:p w14:paraId="28E98093">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本项目</w:t>
            </w:r>
          </w:p>
          <w:p w14:paraId="421B5D53">
            <w:pPr>
              <w:widowControl/>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拟任职务</w:t>
            </w:r>
          </w:p>
        </w:tc>
      </w:tr>
      <w:tr w14:paraId="1A3C3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2B161669">
            <w:pPr>
              <w:widowControl/>
              <w:tabs>
                <w:tab w:val="left" w:pos="9072"/>
              </w:tabs>
              <w:spacing w:line="360" w:lineRule="auto"/>
              <w:jc w:val="center"/>
              <w:rPr>
                <w:rFonts w:hint="eastAsia" w:ascii="宋体" w:hAnsi="宋体"/>
                <w:color w:val="auto"/>
                <w:kern w:val="0"/>
                <w:szCs w:val="21"/>
                <w:highlight w:val="none"/>
              </w:rPr>
            </w:pPr>
          </w:p>
        </w:tc>
        <w:tc>
          <w:tcPr>
            <w:tcW w:w="1241" w:type="dxa"/>
            <w:noWrap w:val="0"/>
            <w:vAlign w:val="center"/>
          </w:tcPr>
          <w:p w14:paraId="623584D2">
            <w:pPr>
              <w:widowControl/>
              <w:tabs>
                <w:tab w:val="left" w:pos="9072"/>
              </w:tabs>
              <w:spacing w:line="360" w:lineRule="auto"/>
              <w:jc w:val="center"/>
              <w:rPr>
                <w:rFonts w:hint="eastAsia" w:ascii="宋体" w:hAnsi="宋体"/>
                <w:color w:val="auto"/>
                <w:kern w:val="0"/>
                <w:szCs w:val="21"/>
                <w:highlight w:val="none"/>
              </w:rPr>
            </w:pPr>
          </w:p>
        </w:tc>
        <w:tc>
          <w:tcPr>
            <w:tcW w:w="1241" w:type="dxa"/>
            <w:noWrap w:val="0"/>
            <w:vAlign w:val="center"/>
          </w:tcPr>
          <w:p w14:paraId="48208A15">
            <w:pPr>
              <w:widowControl/>
              <w:tabs>
                <w:tab w:val="left" w:pos="9072"/>
              </w:tabs>
              <w:spacing w:line="360" w:lineRule="auto"/>
              <w:jc w:val="center"/>
              <w:rPr>
                <w:rFonts w:hint="eastAsia" w:ascii="宋体" w:hAnsi="宋体"/>
                <w:color w:val="auto"/>
                <w:kern w:val="0"/>
                <w:szCs w:val="21"/>
                <w:highlight w:val="none"/>
              </w:rPr>
            </w:pPr>
          </w:p>
        </w:tc>
        <w:tc>
          <w:tcPr>
            <w:tcW w:w="1020" w:type="dxa"/>
            <w:noWrap w:val="0"/>
            <w:vAlign w:val="center"/>
          </w:tcPr>
          <w:p w14:paraId="7F50E47B">
            <w:pPr>
              <w:widowControl/>
              <w:tabs>
                <w:tab w:val="left" w:pos="9072"/>
              </w:tabs>
              <w:spacing w:line="360" w:lineRule="auto"/>
              <w:jc w:val="center"/>
              <w:rPr>
                <w:rFonts w:hint="eastAsia" w:ascii="宋体" w:hAnsi="宋体"/>
                <w:color w:val="auto"/>
                <w:kern w:val="0"/>
                <w:szCs w:val="21"/>
                <w:highlight w:val="none"/>
              </w:rPr>
            </w:pPr>
          </w:p>
        </w:tc>
        <w:tc>
          <w:tcPr>
            <w:tcW w:w="993" w:type="dxa"/>
            <w:noWrap w:val="0"/>
            <w:vAlign w:val="center"/>
          </w:tcPr>
          <w:p w14:paraId="7D4D5FF4">
            <w:pPr>
              <w:widowControl/>
              <w:tabs>
                <w:tab w:val="left" w:pos="9072"/>
              </w:tabs>
              <w:spacing w:line="360" w:lineRule="auto"/>
              <w:jc w:val="center"/>
              <w:rPr>
                <w:rFonts w:hint="eastAsia" w:ascii="宋体" w:hAnsi="宋体"/>
                <w:color w:val="auto"/>
                <w:kern w:val="0"/>
                <w:szCs w:val="21"/>
                <w:highlight w:val="none"/>
              </w:rPr>
            </w:pPr>
          </w:p>
        </w:tc>
        <w:tc>
          <w:tcPr>
            <w:tcW w:w="2042" w:type="dxa"/>
            <w:noWrap w:val="0"/>
            <w:vAlign w:val="center"/>
          </w:tcPr>
          <w:p w14:paraId="26F030A1">
            <w:pPr>
              <w:widowControl/>
              <w:tabs>
                <w:tab w:val="left" w:pos="9072"/>
              </w:tabs>
              <w:spacing w:line="360" w:lineRule="auto"/>
              <w:jc w:val="center"/>
              <w:rPr>
                <w:rFonts w:hint="eastAsia" w:ascii="宋体" w:hAnsi="宋体"/>
                <w:color w:val="auto"/>
                <w:kern w:val="0"/>
                <w:szCs w:val="21"/>
                <w:highlight w:val="none"/>
              </w:rPr>
            </w:pPr>
          </w:p>
        </w:tc>
        <w:tc>
          <w:tcPr>
            <w:tcW w:w="971" w:type="dxa"/>
            <w:noWrap w:val="0"/>
            <w:vAlign w:val="center"/>
          </w:tcPr>
          <w:p w14:paraId="3D8BBD69">
            <w:pPr>
              <w:widowControl/>
              <w:tabs>
                <w:tab w:val="left" w:pos="9072"/>
              </w:tabs>
              <w:spacing w:line="360" w:lineRule="auto"/>
              <w:jc w:val="center"/>
              <w:rPr>
                <w:rFonts w:hint="eastAsia" w:ascii="宋体" w:hAnsi="宋体"/>
                <w:color w:val="auto"/>
                <w:kern w:val="0"/>
                <w:szCs w:val="21"/>
                <w:highlight w:val="none"/>
              </w:rPr>
            </w:pPr>
          </w:p>
        </w:tc>
        <w:tc>
          <w:tcPr>
            <w:tcW w:w="1169" w:type="dxa"/>
            <w:noWrap w:val="0"/>
            <w:vAlign w:val="center"/>
          </w:tcPr>
          <w:p w14:paraId="1A674F2A">
            <w:pPr>
              <w:widowControl/>
              <w:tabs>
                <w:tab w:val="left" w:pos="9072"/>
              </w:tabs>
              <w:spacing w:line="360" w:lineRule="auto"/>
              <w:jc w:val="center"/>
              <w:rPr>
                <w:rFonts w:hint="eastAsia" w:ascii="宋体" w:hAnsi="宋体"/>
                <w:color w:val="auto"/>
                <w:kern w:val="0"/>
                <w:szCs w:val="21"/>
                <w:highlight w:val="none"/>
              </w:rPr>
            </w:pPr>
          </w:p>
        </w:tc>
      </w:tr>
      <w:tr w14:paraId="08187C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305A452D">
            <w:pPr>
              <w:widowControl/>
              <w:tabs>
                <w:tab w:val="left" w:pos="9072"/>
              </w:tabs>
              <w:spacing w:line="360" w:lineRule="auto"/>
              <w:jc w:val="center"/>
              <w:rPr>
                <w:rFonts w:hint="eastAsia" w:ascii="宋体" w:hAnsi="宋体"/>
                <w:color w:val="auto"/>
                <w:kern w:val="0"/>
                <w:szCs w:val="21"/>
                <w:highlight w:val="none"/>
              </w:rPr>
            </w:pPr>
          </w:p>
        </w:tc>
        <w:tc>
          <w:tcPr>
            <w:tcW w:w="1241" w:type="dxa"/>
            <w:noWrap w:val="0"/>
            <w:vAlign w:val="center"/>
          </w:tcPr>
          <w:p w14:paraId="5B256A28">
            <w:pPr>
              <w:widowControl/>
              <w:tabs>
                <w:tab w:val="left" w:pos="9072"/>
              </w:tabs>
              <w:spacing w:line="360" w:lineRule="auto"/>
              <w:jc w:val="center"/>
              <w:rPr>
                <w:rFonts w:hint="eastAsia" w:ascii="宋体" w:hAnsi="宋体"/>
                <w:color w:val="auto"/>
                <w:kern w:val="0"/>
                <w:szCs w:val="21"/>
                <w:highlight w:val="none"/>
              </w:rPr>
            </w:pPr>
          </w:p>
        </w:tc>
        <w:tc>
          <w:tcPr>
            <w:tcW w:w="1241" w:type="dxa"/>
            <w:noWrap w:val="0"/>
            <w:vAlign w:val="center"/>
          </w:tcPr>
          <w:p w14:paraId="1B0B6472">
            <w:pPr>
              <w:widowControl/>
              <w:tabs>
                <w:tab w:val="left" w:pos="9072"/>
              </w:tabs>
              <w:spacing w:line="360" w:lineRule="auto"/>
              <w:jc w:val="center"/>
              <w:rPr>
                <w:rFonts w:hint="eastAsia" w:ascii="宋体" w:hAnsi="宋体"/>
                <w:color w:val="auto"/>
                <w:kern w:val="0"/>
                <w:szCs w:val="21"/>
                <w:highlight w:val="none"/>
              </w:rPr>
            </w:pPr>
          </w:p>
        </w:tc>
        <w:tc>
          <w:tcPr>
            <w:tcW w:w="1020" w:type="dxa"/>
            <w:noWrap w:val="0"/>
            <w:vAlign w:val="center"/>
          </w:tcPr>
          <w:p w14:paraId="44543EF0">
            <w:pPr>
              <w:widowControl/>
              <w:tabs>
                <w:tab w:val="left" w:pos="9072"/>
              </w:tabs>
              <w:spacing w:line="360" w:lineRule="auto"/>
              <w:jc w:val="center"/>
              <w:rPr>
                <w:rFonts w:hint="eastAsia" w:ascii="宋体" w:hAnsi="宋体"/>
                <w:color w:val="auto"/>
                <w:kern w:val="0"/>
                <w:szCs w:val="21"/>
                <w:highlight w:val="none"/>
              </w:rPr>
            </w:pPr>
          </w:p>
        </w:tc>
        <w:tc>
          <w:tcPr>
            <w:tcW w:w="993" w:type="dxa"/>
            <w:noWrap w:val="0"/>
            <w:vAlign w:val="center"/>
          </w:tcPr>
          <w:p w14:paraId="0D5CCA94">
            <w:pPr>
              <w:widowControl/>
              <w:tabs>
                <w:tab w:val="left" w:pos="9072"/>
              </w:tabs>
              <w:spacing w:line="360" w:lineRule="auto"/>
              <w:jc w:val="center"/>
              <w:rPr>
                <w:rFonts w:hint="eastAsia" w:ascii="宋体" w:hAnsi="宋体"/>
                <w:color w:val="auto"/>
                <w:kern w:val="0"/>
                <w:szCs w:val="21"/>
                <w:highlight w:val="none"/>
              </w:rPr>
            </w:pPr>
          </w:p>
        </w:tc>
        <w:tc>
          <w:tcPr>
            <w:tcW w:w="2042" w:type="dxa"/>
            <w:noWrap w:val="0"/>
            <w:vAlign w:val="center"/>
          </w:tcPr>
          <w:p w14:paraId="69CA8677">
            <w:pPr>
              <w:widowControl/>
              <w:tabs>
                <w:tab w:val="left" w:pos="9072"/>
              </w:tabs>
              <w:spacing w:line="360" w:lineRule="auto"/>
              <w:jc w:val="center"/>
              <w:rPr>
                <w:rFonts w:hint="eastAsia" w:ascii="宋体" w:hAnsi="宋体"/>
                <w:color w:val="auto"/>
                <w:kern w:val="0"/>
                <w:szCs w:val="21"/>
                <w:highlight w:val="none"/>
              </w:rPr>
            </w:pPr>
          </w:p>
        </w:tc>
        <w:tc>
          <w:tcPr>
            <w:tcW w:w="971" w:type="dxa"/>
            <w:noWrap w:val="0"/>
            <w:vAlign w:val="center"/>
          </w:tcPr>
          <w:p w14:paraId="67D290DA">
            <w:pPr>
              <w:widowControl/>
              <w:tabs>
                <w:tab w:val="left" w:pos="9072"/>
              </w:tabs>
              <w:spacing w:line="360" w:lineRule="auto"/>
              <w:jc w:val="center"/>
              <w:rPr>
                <w:rFonts w:hint="eastAsia" w:ascii="宋体" w:hAnsi="宋体"/>
                <w:color w:val="auto"/>
                <w:kern w:val="0"/>
                <w:szCs w:val="21"/>
                <w:highlight w:val="none"/>
              </w:rPr>
            </w:pPr>
          </w:p>
        </w:tc>
        <w:tc>
          <w:tcPr>
            <w:tcW w:w="1169" w:type="dxa"/>
            <w:noWrap w:val="0"/>
            <w:vAlign w:val="center"/>
          </w:tcPr>
          <w:p w14:paraId="0E225142">
            <w:pPr>
              <w:widowControl/>
              <w:tabs>
                <w:tab w:val="left" w:pos="9072"/>
              </w:tabs>
              <w:spacing w:line="360" w:lineRule="auto"/>
              <w:jc w:val="center"/>
              <w:rPr>
                <w:rFonts w:hint="eastAsia" w:ascii="宋体" w:hAnsi="宋体"/>
                <w:color w:val="auto"/>
                <w:kern w:val="0"/>
                <w:szCs w:val="21"/>
                <w:highlight w:val="none"/>
              </w:rPr>
            </w:pPr>
          </w:p>
        </w:tc>
      </w:tr>
      <w:tr w14:paraId="6F7173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1224FDF9">
            <w:pPr>
              <w:widowControl/>
              <w:tabs>
                <w:tab w:val="left" w:pos="9072"/>
              </w:tabs>
              <w:spacing w:line="360" w:lineRule="auto"/>
              <w:jc w:val="center"/>
              <w:rPr>
                <w:rFonts w:hint="eastAsia" w:ascii="宋体" w:hAnsi="宋体"/>
                <w:color w:val="auto"/>
                <w:kern w:val="0"/>
                <w:szCs w:val="21"/>
                <w:highlight w:val="none"/>
              </w:rPr>
            </w:pPr>
          </w:p>
        </w:tc>
        <w:tc>
          <w:tcPr>
            <w:tcW w:w="1241" w:type="dxa"/>
            <w:noWrap w:val="0"/>
            <w:vAlign w:val="center"/>
          </w:tcPr>
          <w:p w14:paraId="3D977A7F">
            <w:pPr>
              <w:widowControl/>
              <w:tabs>
                <w:tab w:val="left" w:pos="9072"/>
              </w:tabs>
              <w:spacing w:line="360" w:lineRule="auto"/>
              <w:jc w:val="center"/>
              <w:rPr>
                <w:rFonts w:hint="eastAsia" w:ascii="宋体" w:hAnsi="宋体"/>
                <w:color w:val="auto"/>
                <w:kern w:val="0"/>
                <w:szCs w:val="21"/>
                <w:highlight w:val="none"/>
              </w:rPr>
            </w:pPr>
          </w:p>
        </w:tc>
        <w:tc>
          <w:tcPr>
            <w:tcW w:w="1241" w:type="dxa"/>
            <w:noWrap w:val="0"/>
            <w:vAlign w:val="center"/>
          </w:tcPr>
          <w:p w14:paraId="60D12CA5">
            <w:pPr>
              <w:widowControl/>
              <w:tabs>
                <w:tab w:val="left" w:pos="9072"/>
              </w:tabs>
              <w:spacing w:line="360" w:lineRule="auto"/>
              <w:jc w:val="center"/>
              <w:rPr>
                <w:rFonts w:hint="eastAsia" w:ascii="宋体" w:hAnsi="宋体"/>
                <w:color w:val="auto"/>
                <w:kern w:val="0"/>
                <w:szCs w:val="21"/>
                <w:highlight w:val="none"/>
              </w:rPr>
            </w:pPr>
          </w:p>
        </w:tc>
        <w:tc>
          <w:tcPr>
            <w:tcW w:w="1020" w:type="dxa"/>
            <w:noWrap w:val="0"/>
            <w:vAlign w:val="center"/>
          </w:tcPr>
          <w:p w14:paraId="55050A02">
            <w:pPr>
              <w:widowControl/>
              <w:tabs>
                <w:tab w:val="left" w:pos="9072"/>
              </w:tabs>
              <w:spacing w:line="360" w:lineRule="auto"/>
              <w:jc w:val="center"/>
              <w:rPr>
                <w:rFonts w:hint="eastAsia" w:ascii="宋体" w:hAnsi="宋体"/>
                <w:color w:val="auto"/>
                <w:kern w:val="0"/>
                <w:szCs w:val="21"/>
                <w:highlight w:val="none"/>
              </w:rPr>
            </w:pPr>
          </w:p>
        </w:tc>
        <w:tc>
          <w:tcPr>
            <w:tcW w:w="993" w:type="dxa"/>
            <w:noWrap w:val="0"/>
            <w:vAlign w:val="center"/>
          </w:tcPr>
          <w:p w14:paraId="0E7ED987">
            <w:pPr>
              <w:widowControl/>
              <w:tabs>
                <w:tab w:val="left" w:pos="9072"/>
              </w:tabs>
              <w:spacing w:line="360" w:lineRule="auto"/>
              <w:jc w:val="center"/>
              <w:rPr>
                <w:rFonts w:hint="eastAsia" w:ascii="宋体" w:hAnsi="宋体"/>
                <w:color w:val="auto"/>
                <w:kern w:val="0"/>
                <w:szCs w:val="21"/>
                <w:highlight w:val="none"/>
              </w:rPr>
            </w:pPr>
          </w:p>
        </w:tc>
        <w:tc>
          <w:tcPr>
            <w:tcW w:w="2042" w:type="dxa"/>
            <w:noWrap w:val="0"/>
            <w:vAlign w:val="center"/>
          </w:tcPr>
          <w:p w14:paraId="4D0A874F">
            <w:pPr>
              <w:widowControl/>
              <w:tabs>
                <w:tab w:val="left" w:pos="9072"/>
              </w:tabs>
              <w:spacing w:line="360" w:lineRule="auto"/>
              <w:jc w:val="center"/>
              <w:rPr>
                <w:rFonts w:hint="eastAsia" w:ascii="宋体" w:hAnsi="宋体"/>
                <w:color w:val="auto"/>
                <w:kern w:val="0"/>
                <w:szCs w:val="21"/>
                <w:highlight w:val="none"/>
              </w:rPr>
            </w:pPr>
          </w:p>
        </w:tc>
        <w:tc>
          <w:tcPr>
            <w:tcW w:w="971" w:type="dxa"/>
            <w:noWrap w:val="0"/>
            <w:vAlign w:val="center"/>
          </w:tcPr>
          <w:p w14:paraId="69D557B1">
            <w:pPr>
              <w:widowControl/>
              <w:tabs>
                <w:tab w:val="left" w:pos="9072"/>
              </w:tabs>
              <w:spacing w:line="360" w:lineRule="auto"/>
              <w:jc w:val="center"/>
              <w:rPr>
                <w:rFonts w:hint="eastAsia" w:ascii="宋体" w:hAnsi="宋体"/>
                <w:color w:val="auto"/>
                <w:kern w:val="0"/>
                <w:szCs w:val="21"/>
                <w:highlight w:val="none"/>
              </w:rPr>
            </w:pPr>
          </w:p>
        </w:tc>
        <w:tc>
          <w:tcPr>
            <w:tcW w:w="1169" w:type="dxa"/>
            <w:noWrap w:val="0"/>
            <w:vAlign w:val="center"/>
          </w:tcPr>
          <w:p w14:paraId="6AA1AC20">
            <w:pPr>
              <w:widowControl/>
              <w:tabs>
                <w:tab w:val="left" w:pos="9072"/>
              </w:tabs>
              <w:spacing w:line="360" w:lineRule="auto"/>
              <w:jc w:val="center"/>
              <w:rPr>
                <w:rFonts w:hint="eastAsia" w:ascii="宋体" w:hAnsi="宋体"/>
                <w:color w:val="auto"/>
                <w:kern w:val="0"/>
                <w:szCs w:val="21"/>
                <w:highlight w:val="none"/>
              </w:rPr>
            </w:pPr>
          </w:p>
        </w:tc>
      </w:tr>
    </w:tbl>
    <w:p w14:paraId="283F8FE1">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设计项目机构组成人员可按照合同约定进行更换，但更换后人员不得低于设计人合同签订时</w:t>
      </w:r>
      <w:r>
        <w:rPr>
          <w:rFonts w:hint="eastAsia" w:ascii="宋体" w:hAnsi="宋体"/>
          <w:color w:val="auto"/>
          <w:kern w:val="0"/>
          <w:szCs w:val="21"/>
          <w:highlight w:val="none"/>
        </w:rPr>
        <w:t>提供的设计</w:t>
      </w:r>
      <w:r>
        <w:rPr>
          <w:rFonts w:ascii="宋体" w:hAnsi="宋体"/>
          <w:color w:val="auto"/>
          <w:kern w:val="0"/>
          <w:szCs w:val="21"/>
          <w:highlight w:val="none"/>
        </w:rPr>
        <w:t>人员资质和技术水平。</w:t>
      </w:r>
    </w:p>
    <w:p w14:paraId="240A160A">
      <w:pPr>
        <w:pStyle w:val="3"/>
        <w:rPr>
          <w:rFonts w:hint="eastAsia" w:ascii="宋体" w:hAnsi="宋体"/>
          <w:b w:val="0"/>
          <w:snapToGrid w:val="0"/>
          <w:color w:val="auto"/>
          <w:sz w:val="24"/>
          <w:szCs w:val="24"/>
          <w:highlight w:val="none"/>
        </w:rPr>
      </w:pPr>
      <w:bookmarkStart w:id="365" w:name="_Toc532384183"/>
      <w:bookmarkStart w:id="366" w:name="_Toc174350665"/>
      <w:r>
        <w:rPr>
          <w:rFonts w:ascii="宋体" w:hAnsi="宋体"/>
          <w:b w:val="0"/>
          <w:snapToGrid w:val="0"/>
          <w:color w:val="auto"/>
          <w:sz w:val="24"/>
          <w:szCs w:val="24"/>
          <w:highlight w:val="none"/>
        </w:rPr>
        <w:t>5.设计要求</w:t>
      </w:r>
      <w:bookmarkEnd w:id="365"/>
      <w:bookmarkEnd w:id="366"/>
    </w:p>
    <w:p w14:paraId="1F4801F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5.1 一般要求</w:t>
      </w:r>
    </w:p>
    <w:p w14:paraId="529AC8B1">
      <w:pPr>
        <w:widowControl/>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5.1.3</w:t>
      </w:r>
      <w:r>
        <w:rPr>
          <w:rFonts w:ascii="宋体" w:hAnsi="宋体"/>
          <w:color w:val="auto"/>
          <w:kern w:val="0"/>
          <w:szCs w:val="21"/>
          <w:highlight w:val="none"/>
          <w:u w:val="single"/>
        </w:rPr>
        <w:t>设计人向发包人提出遵守新规定的建议，</w:t>
      </w:r>
      <w:r>
        <w:rPr>
          <w:rFonts w:hint="eastAsia" w:ascii="宋体" w:hAnsi="宋体"/>
          <w:color w:val="auto"/>
          <w:kern w:val="0"/>
          <w:szCs w:val="21"/>
          <w:highlight w:val="none"/>
          <w:u w:val="single"/>
        </w:rPr>
        <w:t>自</w:t>
      </w:r>
      <w:r>
        <w:rPr>
          <w:rFonts w:ascii="宋体" w:hAnsi="宋体"/>
          <w:color w:val="auto"/>
          <w:kern w:val="0"/>
          <w:szCs w:val="21"/>
          <w:highlight w:val="none"/>
          <w:u w:val="single"/>
        </w:rPr>
        <w:t>发包人收到建议函后7 天内未发出指示的，默认同意遵守新规定。</w:t>
      </w:r>
    </w:p>
    <w:p w14:paraId="07CA8CB5">
      <w:pPr>
        <w:widowControl/>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ascii="宋体" w:hAnsi="宋体"/>
          <w:bCs/>
          <w:color w:val="auto"/>
          <w:szCs w:val="21"/>
          <w:highlight w:val="none"/>
        </w:rPr>
        <w:t>5.2 设计依据：</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37C72C5A">
      <w:pPr>
        <w:widowControl/>
        <w:tabs>
          <w:tab w:val="left" w:pos="9072"/>
          <w:tab w:val="left" w:pos="9781"/>
        </w:tabs>
        <w:spacing w:before="120" w:after="120" w:line="360" w:lineRule="auto"/>
        <w:ind w:firstLine="420" w:firstLineChars="200"/>
        <w:jc w:val="left"/>
        <w:rPr>
          <w:rFonts w:hint="eastAsia" w:ascii="宋体" w:hAnsi="宋体"/>
          <w:bCs/>
          <w:color w:val="auto"/>
          <w:szCs w:val="21"/>
          <w:highlight w:val="none"/>
        </w:rPr>
      </w:pPr>
      <w:r>
        <w:rPr>
          <w:rFonts w:ascii="宋体" w:hAnsi="宋体"/>
          <w:bCs/>
          <w:color w:val="auto"/>
          <w:szCs w:val="21"/>
          <w:highlight w:val="none"/>
        </w:rPr>
        <w:t>5.3 设计范围</w:t>
      </w:r>
    </w:p>
    <w:p w14:paraId="5A119337">
      <w:pPr>
        <w:widowControl/>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5.3.2工程</w:t>
      </w:r>
      <w:r>
        <w:rPr>
          <w:rFonts w:ascii="宋体" w:hAnsi="宋体"/>
          <w:color w:val="auto"/>
          <w:kern w:val="0"/>
          <w:szCs w:val="21"/>
          <w:highlight w:val="none"/>
        </w:rPr>
        <w:t>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1C20AFBC">
      <w:pPr>
        <w:widowControl/>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5.3.3</w:t>
      </w:r>
      <w:r>
        <w:rPr>
          <w:rFonts w:ascii="宋体" w:hAnsi="宋体"/>
          <w:color w:val="auto"/>
          <w:kern w:val="0"/>
          <w:szCs w:val="21"/>
          <w:highlight w:val="none"/>
        </w:rPr>
        <w:t>阶段范围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0ADD37B6">
      <w:pPr>
        <w:widowControl/>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5.3.4</w:t>
      </w:r>
      <w:r>
        <w:rPr>
          <w:rFonts w:ascii="宋体" w:hAnsi="宋体"/>
          <w:color w:val="auto"/>
          <w:kern w:val="0"/>
          <w:szCs w:val="21"/>
          <w:highlight w:val="none"/>
        </w:rPr>
        <w:t>工作范围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6DCBF0F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5.4 设计文件要求</w:t>
      </w:r>
    </w:p>
    <w:p w14:paraId="2FAA2438">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5.4.2 设计服务应当根据法律、规范标准和发包人要求，保证工程的设计合理使用寿命年限</w:t>
      </w:r>
      <w:r>
        <w:rPr>
          <w:rFonts w:ascii="宋体" w:hAnsi="宋体"/>
          <w:color w:val="auto"/>
          <w:kern w:val="0"/>
          <w:szCs w:val="21"/>
          <w:highlight w:val="none"/>
          <w:u w:val="single"/>
        </w:rPr>
        <w:t xml:space="preserve">    </w:t>
      </w:r>
      <w:r>
        <w:rPr>
          <w:rFonts w:ascii="宋体" w:hAnsi="宋体"/>
          <w:color w:val="auto"/>
          <w:kern w:val="0"/>
          <w:szCs w:val="21"/>
          <w:highlight w:val="none"/>
        </w:rPr>
        <w:t>年，并在设计文件中予以注明。</w:t>
      </w:r>
    </w:p>
    <w:p w14:paraId="3D08F87B">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5.4.3：</w:t>
      </w:r>
      <w:r>
        <w:rPr>
          <w:rFonts w:ascii="宋体" w:hAnsi="宋体"/>
          <w:color w:val="auto"/>
          <w:kern w:val="0"/>
          <w:szCs w:val="21"/>
          <w:highlight w:val="none"/>
          <w:u w:val="single"/>
        </w:rPr>
        <w:t>（设计文件的深度，根据工程特点填写，并以最新规范为准，以下供参考）《建筑工程设计文件编制深度规定》（2016年版）、《市政公用工程设计文件编制深度规定》（2013年版）</w:t>
      </w:r>
      <w:r>
        <w:rPr>
          <w:rFonts w:ascii="宋体" w:hAnsi="宋体"/>
          <w:color w:val="auto"/>
          <w:kern w:val="0"/>
          <w:szCs w:val="21"/>
          <w:highlight w:val="none"/>
          <w:u w:val="single"/>
        </w:rPr>
        <w:tab/>
      </w:r>
      <w:r>
        <w:rPr>
          <w:rFonts w:ascii="宋体" w:hAnsi="宋体"/>
          <w:color w:val="auto"/>
          <w:kern w:val="0"/>
          <w:szCs w:val="21"/>
          <w:highlight w:val="none"/>
        </w:rPr>
        <w:t>。</w:t>
      </w:r>
    </w:p>
    <w:p w14:paraId="6FCBA57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5.4.5设计人应在设计文件中注明涉及危大工程的重点部位和环节，提出保障工程周边环境安全和工程施工安全的意见，必要时进行专项设计。</w:t>
      </w:r>
    </w:p>
    <w:p w14:paraId="4D608F3D">
      <w:pPr>
        <w:keepNext/>
        <w:keepLines/>
        <w:spacing w:before="120" w:after="120" w:line="360" w:lineRule="auto"/>
        <w:ind w:firstLine="420" w:firstLineChars="200"/>
        <w:outlineLvl w:val="4"/>
        <w:rPr>
          <w:rFonts w:hint="eastAsia" w:ascii="宋体" w:hAnsi="宋体"/>
          <w:bCs/>
          <w:color w:val="auto"/>
          <w:szCs w:val="21"/>
          <w:highlight w:val="none"/>
        </w:rPr>
      </w:pPr>
      <w:bookmarkStart w:id="367" w:name="_Toc532383285"/>
      <w:r>
        <w:rPr>
          <w:rFonts w:ascii="宋体" w:hAnsi="宋体"/>
          <w:bCs/>
          <w:color w:val="auto"/>
          <w:szCs w:val="21"/>
          <w:highlight w:val="none"/>
        </w:rPr>
        <w:t>5.5设计成果获奖要求及奖励：</w:t>
      </w:r>
      <w:r>
        <w:rPr>
          <w:rFonts w:ascii="宋体" w:hAnsi="宋体"/>
          <w:bCs/>
          <w:color w:val="auto"/>
          <w:szCs w:val="21"/>
          <w:highlight w:val="none"/>
          <w:u w:val="single"/>
        </w:rPr>
        <w:t xml:space="preserve">                          </w:t>
      </w:r>
      <w:r>
        <w:rPr>
          <w:rFonts w:ascii="宋体" w:hAnsi="宋体"/>
          <w:bCs/>
          <w:color w:val="auto"/>
          <w:szCs w:val="21"/>
          <w:highlight w:val="none"/>
          <w:u w:val="single"/>
        </w:rPr>
        <w:tab/>
      </w:r>
      <w:r>
        <w:rPr>
          <w:rFonts w:ascii="宋体" w:hAnsi="宋体"/>
          <w:bCs/>
          <w:color w:val="auto"/>
          <w:szCs w:val="21"/>
          <w:highlight w:val="none"/>
        </w:rPr>
        <w:t>。</w:t>
      </w:r>
      <w:bookmarkEnd w:id="367"/>
    </w:p>
    <w:p w14:paraId="247D85B7">
      <w:pPr>
        <w:pStyle w:val="3"/>
        <w:rPr>
          <w:rFonts w:hint="eastAsia" w:ascii="宋体" w:hAnsi="宋体"/>
          <w:b w:val="0"/>
          <w:snapToGrid w:val="0"/>
          <w:color w:val="auto"/>
          <w:sz w:val="24"/>
          <w:szCs w:val="24"/>
          <w:highlight w:val="none"/>
        </w:rPr>
      </w:pPr>
      <w:bookmarkStart w:id="368" w:name="_Toc174350666"/>
      <w:bookmarkStart w:id="369" w:name="_Toc532384184"/>
      <w:bookmarkStart w:id="370" w:name="_Toc531632619"/>
      <w:r>
        <w:rPr>
          <w:rFonts w:ascii="宋体" w:hAnsi="宋体"/>
          <w:b w:val="0"/>
          <w:snapToGrid w:val="0"/>
          <w:color w:val="auto"/>
          <w:sz w:val="24"/>
          <w:szCs w:val="24"/>
          <w:highlight w:val="none"/>
        </w:rPr>
        <w:t>6.开始设计和完成设计</w:t>
      </w:r>
      <w:bookmarkEnd w:id="368"/>
      <w:bookmarkEnd w:id="369"/>
      <w:bookmarkEnd w:id="370"/>
    </w:p>
    <w:p w14:paraId="6E563B0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6.1 开始设计</w:t>
      </w:r>
    </w:p>
    <w:p w14:paraId="567652F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6.1.1</w:t>
      </w:r>
      <w:r>
        <w:rPr>
          <w:rFonts w:hint="eastAsia" w:ascii="宋体" w:hAnsi="宋体"/>
          <w:color w:val="auto"/>
          <w:kern w:val="0"/>
          <w:szCs w:val="21"/>
          <w:highlight w:val="none"/>
        </w:rPr>
        <w:t>开始设计条件：</w:t>
      </w:r>
      <w:r>
        <w:rPr>
          <w:rFonts w:hint="eastAsia" w:ascii="宋体" w:hAnsi="宋体"/>
          <w:color w:val="auto"/>
          <w:kern w:val="0"/>
          <w:szCs w:val="21"/>
          <w:highlight w:val="none"/>
          <w:u w:val="single"/>
        </w:rPr>
        <w:t>设计人收到发包人提供的合同约定的设计基础资料</w:t>
      </w:r>
      <w:r>
        <w:rPr>
          <w:rFonts w:ascii="宋体" w:hAnsi="宋体"/>
          <w:color w:val="auto"/>
          <w:kern w:val="0"/>
          <w:szCs w:val="21"/>
          <w:highlight w:val="none"/>
        </w:rPr>
        <w:t>。</w:t>
      </w:r>
    </w:p>
    <w:p w14:paraId="73B9E691">
      <w:pPr>
        <w:widowControl/>
        <w:tabs>
          <w:tab w:val="left" w:pos="9072"/>
          <w:tab w:val="left" w:pos="9781"/>
        </w:tabs>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 xml:space="preserve">6.2 </w:t>
      </w:r>
      <w:r>
        <w:rPr>
          <w:rFonts w:ascii="宋体" w:hAnsi="宋体"/>
          <w:bCs/>
          <w:color w:val="auto"/>
          <w:szCs w:val="21"/>
          <w:highlight w:val="none"/>
        </w:rPr>
        <w:t>发包人引起的周期延误</w:t>
      </w:r>
      <w:r>
        <w:rPr>
          <w:rFonts w:hint="eastAsia" w:ascii="宋体" w:hAnsi="宋体"/>
          <w:bCs/>
          <w:color w:val="auto"/>
          <w:szCs w:val="21"/>
          <w:highlight w:val="none"/>
        </w:rPr>
        <w:t>：由于发包人的原因造成设计服务期限延误的，</w:t>
      </w:r>
      <w:r>
        <w:rPr>
          <w:rFonts w:ascii="宋体" w:hAnsi="宋体"/>
          <w:color w:val="auto"/>
          <w:kern w:val="0"/>
          <w:szCs w:val="21"/>
          <w:highlight w:val="none"/>
        </w:rPr>
        <w:t>按专用合同条款14.</w:t>
      </w:r>
      <w:r>
        <w:rPr>
          <w:rFonts w:hint="eastAsia" w:ascii="宋体" w:hAnsi="宋体"/>
          <w:color w:val="auto"/>
          <w:kern w:val="0"/>
          <w:szCs w:val="21"/>
          <w:highlight w:val="none"/>
        </w:rPr>
        <w:t>2.3项</w:t>
      </w:r>
      <w:r>
        <w:rPr>
          <w:rFonts w:ascii="宋体" w:hAnsi="宋体"/>
          <w:color w:val="auto"/>
          <w:kern w:val="0"/>
          <w:szCs w:val="21"/>
          <w:highlight w:val="none"/>
        </w:rPr>
        <w:t>执行。</w:t>
      </w:r>
    </w:p>
    <w:p w14:paraId="05EE8B45">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bCs/>
          <w:color w:val="auto"/>
          <w:szCs w:val="21"/>
          <w:highlight w:val="none"/>
        </w:rPr>
        <w:t>6.3 设计人引起的周期延误</w:t>
      </w:r>
      <w:r>
        <w:rPr>
          <w:rFonts w:ascii="宋体" w:hAnsi="宋体"/>
          <w:color w:val="auto"/>
          <w:kern w:val="0"/>
          <w:szCs w:val="21"/>
          <w:highlight w:val="none"/>
        </w:rPr>
        <w:t>：由于设计人原因，延误了设计文件交付时间，按专用合同条款14.1.</w:t>
      </w:r>
      <w:r>
        <w:rPr>
          <w:rFonts w:hint="eastAsia" w:ascii="宋体" w:hAnsi="宋体"/>
          <w:color w:val="auto"/>
          <w:kern w:val="0"/>
          <w:szCs w:val="21"/>
          <w:highlight w:val="none"/>
        </w:rPr>
        <w:t>2</w:t>
      </w:r>
      <w:r>
        <w:rPr>
          <w:rFonts w:ascii="宋体" w:hAnsi="宋体"/>
          <w:color w:val="auto"/>
          <w:kern w:val="0"/>
          <w:szCs w:val="21"/>
          <w:highlight w:val="none"/>
        </w:rPr>
        <w:t>项执行。</w:t>
      </w:r>
    </w:p>
    <w:p w14:paraId="3B01B7A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6.6 提前完成设计</w:t>
      </w:r>
    </w:p>
    <w:p w14:paraId="54C3B51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6.6.1 </w:t>
      </w:r>
      <w:r>
        <w:rPr>
          <w:rFonts w:ascii="宋体" w:hAnsi="宋体"/>
          <w:color w:val="auto"/>
          <w:kern w:val="0"/>
          <w:szCs w:val="21"/>
          <w:highlight w:val="none"/>
          <w:u w:val="single"/>
        </w:rPr>
        <w:t>（提前完成设计，是否调整设计费用）</w:t>
      </w:r>
      <w:r>
        <w:rPr>
          <w:rFonts w:ascii="宋体" w:hAnsi="宋体"/>
          <w:color w:val="auto"/>
          <w:kern w:val="0"/>
          <w:szCs w:val="21"/>
          <w:highlight w:val="none"/>
          <w:u w:val="single"/>
        </w:rPr>
        <w:tab/>
      </w:r>
      <w:r>
        <w:rPr>
          <w:rFonts w:ascii="宋体" w:hAnsi="宋体"/>
          <w:color w:val="auto"/>
          <w:kern w:val="0"/>
          <w:szCs w:val="21"/>
          <w:highlight w:val="none"/>
        </w:rPr>
        <w:t>。</w:t>
      </w:r>
    </w:p>
    <w:p w14:paraId="2F51ADDA">
      <w:pPr>
        <w:widowControl/>
        <w:tabs>
          <w:tab w:val="left" w:pos="5218"/>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6.6.3设计人提前完成设计奖励：</w:t>
      </w:r>
      <w:r>
        <w:rPr>
          <w:rFonts w:ascii="宋体" w:hAnsi="宋体"/>
          <w:color w:val="auto"/>
          <w:kern w:val="0"/>
          <w:szCs w:val="21"/>
          <w:highlight w:val="none"/>
          <w:u w:val="single"/>
        </w:rPr>
        <w:t>（提前完成设计，是否奖励）</w:t>
      </w:r>
      <w:r>
        <w:rPr>
          <w:rFonts w:ascii="宋体" w:hAnsi="宋体"/>
          <w:color w:val="auto"/>
          <w:kern w:val="0"/>
          <w:szCs w:val="21"/>
          <w:highlight w:val="none"/>
          <w:u w:val="single"/>
        </w:rPr>
        <w:tab/>
      </w:r>
      <w:r>
        <w:rPr>
          <w:rFonts w:ascii="宋体" w:hAnsi="宋体"/>
          <w:color w:val="auto"/>
          <w:kern w:val="0"/>
          <w:szCs w:val="21"/>
          <w:highlight w:val="none"/>
        </w:rPr>
        <w:t>。</w:t>
      </w:r>
    </w:p>
    <w:p w14:paraId="2922C47D">
      <w:pPr>
        <w:pStyle w:val="3"/>
        <w:rPr>
          <w:rFonts w:hint="eastAsia" w:ascii="宋体" w:hAnsi="宋体"/>
          <w:b w:val="0"/>
          <w:snapToGrid w:val="0"/>
          <w:color w:val="auto"/>
          <w:sz w:val="24"/>
          <w:szCs w:val="24"/>
          <w:highlight w:val="none"/>
        </w:rPr>
      </w:pPr>
      <w:bookmarkStart w:id="371" w:name="_Toc532384185"/>
      <w:bookmarkStart w:id="372" w:name="_Toc174350667"/>
      <w:bookmarkStart w:id="373" w:name="_Toc531632620"/>
      <w:r>
        <w:rPr>
          <w:rFonts w:ascii="宋体" w:hAnsi="宋体"/>
          <w:b w:val="0"/>
          <w:snapToGrid w:val="0"/>
          <w:color w:val="auto"/>
          <w:sz w:val="24"/>
          <w:szCs w:val="24"/>
          <w:highlight w:val="none"/>
        </w:rPr>
        <w:t>8.设计文件</w:t>
      </w:r>
      <w:bookmarkEnd w:id="371"/>
      <w:bookmarkEnd w:id="372"/>
      <w:bookmarkEnd w:id="373"/>
    </w:p>
    <w:p w14:paraId="492777D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8.1 设计文件接收</w:t>
      </w:r>
    </w:p>
    <w:p w14:paraId="181A607D">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8.1.3 设计文件包括纸质文件和电子文件两种形式。提交文件名称、份数和时间见下表：</w:t>
      </w:r>
    </w:p>
    <w:p w14:paraId="31F3A7B8">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计划开始设计日期：20</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30CD0674">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计划完成设计日期：20</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tbl>
      <w:tblPr>
        <w:tblStyle w:val="48"/>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31"/>
        <w:gridCol w:w="900"/>
        <w:gridCol w:w="3982"/>
        <w:gridCol w:w="706"/>
      </w:tblGrid>
      <w:tr w14:paraId="3242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00FB8951">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2631" w:type="dxa"/>
            <w:noWrap w:val="0"/>
            <w:vAlign w:val="center"/>
          </w:tcPr>
          <w:p w14:paraId="2FD32219">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资料及文件名称</w:t>
            </w:r>
          </w:p>
        </w:tc>
        <w:tc>
          <w:tcPr>
            <w:tcW w:w="900" w:type="dxa"/>
            <w:noWrap w:val="0"/>
            <w:vAlign w:val="center"/>
          </w:tcPr>
          <w:p w14:paraId="650EDED1">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份数</w:t>
            </w:r>
          </w:p>
        </w:tc>
        <w:tc>
          <w:tcPr>
            <w:tcW w:w="3982" w:type="dxa"/>
            <w:noWrap w:val="0"/>
            <w:vAlign w:val="center"/>
          </w:tcPr>
          <w:p w14:paraId="32029785">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提交日期</w:t>
            </w:r>
          </w:p>
        </w:tc>
        <w:tc>
          <w:tcPr>
            <w:tcW w:w="706" w:type="dxa"/>
            <w:noWrap w:val="0"/>
            <w:vAlign w:val="center"/>
          </w:tcPr>
          <w:p w14:paraId="39ADC05B">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备注</w:t>
            </w:r>
          </w:p>
        </w:tc>
      </w:tr>
      <w:tr w14:paraId="39EC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19DBE500">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w:t>
            </w:r>
          </w:p>
        </w:tc>
        <w:tc>
          <w:tcPr>
            <w:tcW w:w="2631" w:type="dxa"/>
            <w:noWrap w:val="0"/>
            <w:vAlign w:val="center"/>
          </w:tcPr>
          <w:p w14:paraId="107B72AF">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方案设计</w:t>
            </w:r>
          </w:p>
        </w:tc>
        <w:tc>
          <w:tcPr>
            <w:tcW w:w="900" w:type="dxa"/>
            <w:noWrap w:val="0"/>
            <w:vAlign w:val="center"/>
          </w:tcPr>
          <w:p w14:paraId="6C35269F">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3982" w:type="dxa"/>
            <w:noWrap w:val="0"/>
            <w:vAlign w:val="center"/>
          </w:tcPr>
          <w:p w14:paraId="3B92EAEB">
            <w:pPr>
              <w:widowControl/>
              <w:tabs>
                <w:tab w:val="left" w:pos="9072"/>
                <w:tab w:val="left" w:pos="9781"/>
              </w:tabs>
              <w:spacing w:line="360" w:lineRule="auto"/>
              <w:jc w:val="center"/>
              <w:rPr>
                <w:rFonts w:hint="eastAsia" w:ascii="宋体" w:hAnsi="宋体"/>
                <w:color w:val="auto"/>
                <w:kern w:val="0"/>
                <w:szCs w:val="21"/>
                <w:highlight w:val="none"/>
              </w:rPr>
            </w:pPr>
          </w:p>
        </w:tc>
        <w:tc>
          <w:tcPr>
            <w:tcW w:w="706" w:type="dxa"/>
            <w:noWrap w:val="0"/>
            <w:vAlign w:val="top"/>
          </w:tcPr>
          <w:p w14:paraId="62AB3A8F">
            <w:pPr>
              <w:widowControl/>
              <w:tabs>
                <w:tab w:val="left" w:pos="9072"/>
                <w:tab w:val="left" w:pos="9781"/>
              </w:tabs>
              <w:spacing w:line="360" w:lineRule="auto"/>
              <w:jc w:val="center"/>
              <w:rPr>
                <w:rFonts w:hint="eastAsia" w:ascii="宋体" w:hAnsi="宋体"/>
                <w:color w:val="auto"/>
                <w:kern w:val="0"/>
                <w:szCs w:val="21"/>
                <w:highlight w:val="none"/>
              </w:rPr>
            </w:pPr>
          </w:p>
        </w:tc>
      </w:tr>
      <w:tr w14:paraId="1A4E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46568D22">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2</w:t>
            </w:r>
          </w:p>
        </w:tc>
        <w:tc>
          <w:tcPr>
            <w:tcW w:w="2631" w:type="dxa"/>
            <w:noWrap w:val="0"/>
            <w:vAlign w:val="center"/>
          </w:tcPr>
          <w:p w14:paraId="3E0D53F2">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初步设计</w:t>
            </w:r>
          </w:p>
        </w:tc>
        <w:tc>
          <w:tcPr>
            <w:tcW w:w="900" w:type="dxa"/>
            <w:noWrap w:val="0"/>
            <w:vAlign w:val="center"/>
          </w:tcPr>
          <w:p w14:paraId="6CB44BD1">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3982" w:type="dxa"/>
            <w:noWrap w:val="0"/>
            <w:vAlign w:val="center"/>
          </w:tcPr>
          <w:p w14:paraId="18F90B1E">
            <w:pPr>
              <w:widowControl/>
              <w:tabs>
                <w:tab w:val="left" w:pos="9072"/>
                <w:tab w:val="left" w:pos="9781"/>
              </w:tabs>
              <w:spacing w:line="360" w:lineRule="auto"/>
              <w:jc w:val="center"/>
              <w:rPr>
                <w:rFonts w:hint="eastAsia" w:ascii="宋体" w:hAnsi="宋体"/>
                <w:color w:val="auto"/>
                <w:kern w:val="0"/>
                <w:szCs w:val="21"/>
                <w:highlight w:val="none"/>
              </w:rPr>
            </w:pPr>
          </w:p>
        </w:tc>
        <w:tc>
          <w:tcPr>
            <w:tcW w:w="706" w:type="dxa"/>
            <w:noWrap w:val="0"/>
            <w:vAlign w:val="top"/>
          </w:tcPr>
          <w:p w14:paraId="7596D414">
            <w:pPr>
              <w:widowControl/>
              <w:tabs>
                <w:tab w:val="left" w:pos="9072"/>
                <w:tab w:val="left" w:pos="9781"/>
              </w:tabs>
              <w:spacing w:line="360" w:lineRule="auto"/>
              <w:jc w:val="center"/>
              <w:rPr>
                <w:rFonts w:hint="eastAsia" w:ascii="宋体" w:hAnsi="宋体"/>
                <w:color w:val="auto"/>
                <w:kern w:val="0"/>
                <w:szCs w:val="21"/>
                <w:highlight w:val="none"/>
              </w:rPr>
            </w:pPr>
          </w:p>
        </w:tc>
      </w:tr>
      <w:tr w14:paraId="223B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76F1CB0D">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3</w:t>
            </w:r>
          </w:p>
        </w:tc>
        <w:tc>
          <w:tcPr>
            <w:tcW w:w="2631" w:type="dxa"/>
            <w:noWrap w:val="0"/>
            <w:vAlign w:val="center"/>
          </w:tcPr>
          <w:p w14:paraId="0F871543">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施工图设计</w:t>
            </w:r>
          </w:p>
        </w:tc>
        <w:tc>
          <w:tcPr>
            <w:tcW w:w="900" w:type="dxa"/>
            <w:noWrap w:val="0"/>
            <w:vAlign w:val="center"/>
          </w:tcPr>
          <w:p w14:paraId="13694652">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3982" w:type="dxa"/>
            <w:noWrap w:val="0"/>
            <w:vAlign w:val="center"/>
          </w:tcPr>
          <w:p w14:paraId="625EACDE">
            <w:pPr>
              <w:widowControl/>
              <w:tabs>
                <w:tab w:val="left" w:pos="9072"/>
                <w:tab w:val="left" w:pos="9781"/>
              </w:tabs>
              <w:spacing w:line="360" w:lineRule="auto"/>
              <w:jc w:val="center"/>
              <w:rPr>
                <w:rFonts w:hint="eastAsia" w:ascii="宋体" w:hAnsi="宋体"/>
                <w:color w:val="auto"/>
                <w:kern w:val="0"/>
                <w:szCs w:val="21"/>
                <w:highlight w:val="none"/>
              </w:rPr>
            </w:pPr>
          </w:p>
        </w:tc>
        <w:tc>
          <w:tcPr>
            <w:tcW w:w="706" w:type="dxa"/>
            <w:noWrap w:val="0"/>
            <w:vAlign w:val="top"/>
          </w:tcPr>
          <w:p w14:paraId="28B43B27">
            <w:pPr>
              <w:widowControl/>
              <w:tabs>
                <w:tab w:val="left" w:pos="9072"/>
                <w:tab w:val="left" w:pos="9781"/>
              </w:tabs>
              <w:spacing w:line="360" w:lineRule="auto"/>
              <w:jc w:val="center"/>
              <w:rPr>
                <w:rFonts w:hint="eastAsia" w:ascii="宋体" w:hAnsi="宋体"/>
                <w:color w:val="auto"/>
                <w:kern w:val="0"/>
                <w:szCs w:val="21"/>
                <w:highlight w:val="none"/>
              </w:rPr>
            </w:pPr>
          </w:p>
        </w:tc>
      </w:tr>
      <w:tr w14:paraId="5A94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3CA5E437">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4</w:t>
            </w:r>
          </w:p>
        </w:tc>
        <w:tc>
          <w:tcPr>
            <w:tcW w:w="2631" w:type="dxa"/>
            <w:noWrap w:val="0"/>
            <w:vAlign w:val="center"/>
          </w:tcPr>
          <w:p w14:paraId="66E3E687">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900" w:type="dxa"/>
            <w:noWrap w:val="0"/>
            <w:vAlign w:val="center"/>
          </w:tcPr>
          <w:p w14:paraId="2160B308">
            <w:pPr>
              <w:widowControl/>
              <w:tabs>
                <w:tab w:val="left" w:pos="9072"/>
                <w:tab w:val="left" w:pos="9781"/>
              </w:tabs>
              <w:spacing w:line="360" w:lineRule="auto"/>
              <w:jc w:val="center"/>
              <w:rPr>
                <w:rFonts w:hint="eastAsia" w:ascii="宋体" w:hAnsi="宋体"/>
                <w:color w:val="auto"/>
                <w:kern w:val="0"/>
                <w:szCs w:val="21"/>
                <w:highlight w:val="none"/>
              </w:rPr>
            </w:pPr>
          </w:p>
        </w:tc>
        <w:tc>
          <w:tcPr>
            <w:tcW w:w="3982" w:type="dxa"/>
            <w:noWrap w:val="0"/>
            <w:vAlign w:val="center"/>
          </w:tcPr>
          <w:p w14:paraId="502CC5D0">
            <w:pPr>
              <w:widowControl/>
              <w:tabs>
                <w:tab w:val="left" w:pos="9072"/>
                <w:tab w:val="left" w:pos="9781"/>
              </w:tabs>
              <w:spacing w:line="360" w:lineRule="auto"/>
              <w:jc w:val="center"/>
              <w:rPr>
                <w:rFonts w:hint="eastAsia" w:ascii="宋体" w:hAnsi="宋体"/>
                <w:color w:val="auto"/>
                <w:kern w:val="0"/>
                <w:szCs w:val="21"/>
                <w:highlight w:val="none"/>
              </w:rPr>
            </w:pPr>
          </w:p>
        </w:tc>
        <w:tc>
          <w:tcPr>
            <w:tcW w:w="706" w:type="dxa"/>
            <w:noWrap w:val="0"/>
            <w:vAlign w:val="top"/>
          </w:tcPr>
          <w:p w14:paraId="1099D583">
            <w:pPr>
              <w:widowControl/>
              <w:tabs>
                <w:tab w:val="left" w:pos="9072"/>
                <w:tab w:val="left" w:pos="9781"/>
              </w:tabs>
              <w:spacing w:line="360" w:lineRule="auto"/>
              <w:jc w:val="center"/>
              <w:rPr>
                <w:rFonts w:hint="eastAsia" w:ascii="宋体" w:hAnsi="宋体"/>
                <w:color w:val="auto"/>
                <w:kern w:val="0"/>
                <w:szCs w:val="21"/>
                <w:highlight w:val="none"/>
              </w:rPr>
            </w:pPr>
          </w:p>
        </w:tc>
      </w:tr>
      <w:tr w14:paraId="4585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65027BF8">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5</w:t>
            </w:r>
          </w:p>
        </w:tc>
        <w:tc>
          <w:tcPr>
            <w:tcW w:w="2631" w:type="dxa"/>
            <w:noWrap w:val="0"/>
            <w:vAlign w:val="center"/>
          </w:tcPr>
          <w:p w14:paraId="1E40F628">
            <w:pPr>
              <w:widowControl/>
              <w:tabs>
                <w:tab w:val="left" w:pos="9072"/>
                <w:tab w:val="left" w:pos="9781"/>
              </w:tabs>
              <w:spacing w:line="360" w:lineRule="auto"/>
              <w:jc w:val="center"/>
              <w:rPr>
                <w:rFonts w:hint="eastAsia" w:ascii="宋体" w:hAnsi="宋体"/>
                <w:color w:val="auto"/>
                <w:kern w:val="0"/>
                <w:szCs w:val="21"/>
                <w:highlight w:val="none"/>
              </w:rPr>
            </w:pPr>
          </w:p>
        </w:tc>
        <w:tc>
          <w:tcPr>
            <w:tcW w:w="900" w:type="dxa"/>
            <w:noWrap w:val="0"/>
            <w:vAlign w:val="center"/>
          </w:tcPr>
          <w:p w14:paraId="517406C7">
            <w:pPr>
              <w:widowControl/>
              <w:tabs>
                <w:tab w:val="left" w:pos="9072"/>
                <w:tab w:val="left" w:pos="9781"/>
              </w:tabs>
              <w:spacing w:line="360" w:lineRule="auto"/>
              <w:jc w:val="center"/>
              <w:rPr>
                <w:rFonts w:hint="eastAsia" w:ascii="宋体" w:hAnsi="宋体"/>
                <w:color w:val="auto"/>
                <w:kern w:val="0"/>
                <w:szCs w:val="21"/>
                <w:highlight w:val="none"/>
              </w:rPr>
            </w:pPr>
          </w:p>
        </w:tc>
        <w:tc>
          <w:tcPr>
            <w:tcW w:w="3982" w:type="dxa"/>
            <w:noWrap w:val="0"/>
            <w:vAlign w:val="center"/>
          </w:tcPr>
          <w:p w14:paraId="72BE2821">
            <w:pPr>
              <w:widowControl/>
              <w:tabs>
                <w:tab w:val="left" w:pos="9072"/>
                <w:tab w:val="left" w:pos="9781"/>
              </w:tabs>
              <w:spacing w:line="360" w:lineRule="auto"/>
              <w:jc w:val="center"/>
              <w:rPr>
                <w:rFonts w:hint="eastAsia" w:ascii="宋体" w:hAnsi="宋体"/>
                <w:color w:val="auto"/>
                <w:kern w:val="0"/>
                <w:szCs w:val="21"/>
                <w:highlight w:val="none"/>
              </w:rPr>
            </w:pPr>
          </w:p>
        </w:tc>
        <w:tc>
          <w:tcPr>
            <w:tcW w:w="706" w:type="dxa"/>
            <w:noWrap w:val="0"/>
            <w:vAlign w:val="top"/>
          </w:tcPr>
          <w:p w14:paraId="0B38EA41">
            <w:pPr>
              <w:widowControl/>
              <w:tabs>
                <w:tab w:val="left" w:pos="9072"/>
                <w:tab w:val="left" w:pos="9781"/>
              </w:tabs>
              <w:spacing w:line="360" w:lineRule="auto"/>
              <w:jc w:val="center"/>
              <w:rPr>
                <w:rFonts w:hint="eastAsia" w:ascii="宋体" w:hAnsi="宋体"/>
                <w:color w:val="auto"/>
                <w:kern w:val="0"/>
                <w:szCs w:val="21"/>
                <w:highlight w:val="none"/>
              </w:rPr>
            </w:pPr>
          </w:p>
        </w:tc>
      </w:tr>
      <w:tr w14:paraId="1A40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627E2C90">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6</w:t>
            </w:r>
          </w:p>
        </w:tc>
        <w:tc>
          <w:tcPr>
            <w:tcW w:w="2631" w:type="dxa"/>
            <w:noWrap w:val="0"/>
            <w:vAlign w:val="center"/>
          </w:tcPr>
          <w:p w14:paraId="6804F4B7">
            <w:pPr>
              <w:widowControl/>
              <w:tabs>
                <w:tab w:val="left" w:pos="9072"/>
                <w:tab w:val="left" w:pos="9781"/>
              </w:tabs>
              <w:spacing w:line="360" w:lineRule="auto"/>
              <w:jc w:val="center"/>
              <w:rPr>
                <w:rFonts w:hint="eastAsia" w:ascii="宋体" w:hAnsi="宋体"/>
                <w:color w:val="auto"/>
                <w:kern w:val="0"/>
                <w:szCs w:val="21"/>
                <w:highlight w:val="none"/>
              </w:rPr>
            </w:pPr>
          </w:p>
        </w:tc>
        <w:tc>
          <w:tcPr>
            <w:tcW w:w="900" w:type="dxa"/>
            <w:noWrap w:val="0"/>
            <w:vAlign w:val="center"/>
          </w:tcPr>
          <w:p w14:paraId="7C55912A">
            <w:pPr>
              <w:widowControl/>
              <w:tabs>
                <w:tab w:val="left" w:pos="9072"/>
                <w:tab w:val="left" w:pos="9781"/>
              </w:tabs>
              <w:spacing w:line="360" w:lineRule="auto"/>
              <w:jc w:val="center"/>
              <w:rPr>
                <w:rFonts w:hint="eastAsia" w:ascii="宋体" w:hAnsi="宋体"/>
                <w:color w:val="auto"/>
                <w:kern w:val="0"/>
                <w:szCs w:val="21"/>
                <w:highlight w:val="none"/>
              </w:rPr>
            </w:pPr>
          </w:p>
        </w:tc>
        <w:tc>
          <w:tcPr>
            <w:tcW w:w="3982" w:type="dxa"/>
            <w:noWrap w:val="0"/>
            <w:vAlign w:val="center"/>
          </w:tcPr>
          <w:p w14:paraId="17C19C9A">
            <w:pPr>
              <w:widowControl/>
              <w:tabs>
                <w:tab w:val="left" w:pos="9072"/>
                <w:tab w:val="left" w:pos="9781"/>
              </w:tabs>
              <w:spacing w:line="360" w:lineRule="auto"/>
              <w:jc w:val="center"/>
              <w:rPr>
                <w:rFonts w:hint="eastAsia" w:ascii="宋体" w:hAnsi="宋体"/>
                <w:color w:val="auto"/>
                <w:kern w:val="0"/>
                <w:szCs w:val="21"/>
                <w:highlight w:val="none"/>
              </w:rPr>
            </w:pPr>
          </w:p>
        </w:tc>
        <w:tc>
          <w:tcPr>
            <w:tcW w:w="706" w:type="dxa"/>
            <w:noWrap w:val="0"/>
            <w:vAlign w:val="top"/>
          </w:tcPr>
          <w:p w14:paraId="5BD45F1B">
            <w:pPr>
              <w:widowControl/>
              <w:tabs>
                <w:tab w:val="left" w:pos="9072"/>
                <w:tab w:val="left" w:pos="9781"/>
              </w:tabs>
              <w:spacing w:line="360" w:lineRule="auto"/>
              <w:jc w:val="center"/>
              <w:rPr>
                <w:rFonts w:hint="eastAsia" w:ascii="宋体" w:hAnsi="宋体"/>
                <w:color w:val="auto"/>
                <w:kern w:val="0"/>
                <w:szCs w:val="21"/>
                <w:highlight w:val="none"/>
              </w:rPr>
            </w:pPr>
          </w:p>
        </w:tc>
      </w:tr>
      <w:tr w14:paraId="21D4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251DCB47">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7</w:t>
            </w:r>
          </w:p>
        </w:tc>
        <w:tc>
          <w:tcPr>
            <w:tcW w:w="2631" w:type="dxa"/>
            <w:noWrap w:val="0"/>
            <w:vAlign w:val="center"/>
          </w:tcPr>
          <w:p w14:paraId="34D5A0CB">
            <w:pPr>
              <w:widowControl/>
              <w:tabs>
                <w:tab w:val="left" w:pos="9072"/>
                <w:tab w:val="left" w:pos="9781"/>
              </w:tabs>
              <w:spacing w:line="360" w:lineRule="auto"/>
              <w:jc w:val="center"/>
              <w:rPr>
                <w:rFonts w:hint="eastAsia" w:ascii="宋体" w:hAnsi="宋体"/>
                <w:color w:val="auto"/>
                <w:kern w:val="0"/>
                <w:szCs w:val="21"/>
                <w:highlight w:val="none"/>
              </w:rPr>
            </w:pPr>
          </w:p>
        </w:tc>
        <w:tc>
          <w:tcPr>
            <w:tcW w:w="900" w:type="dxa"/>
            <w:noWrap w:val="0"/>
            <w:vAlign w:val="center"/>
          </w:tcPr>
          <w:p w14:paraId="33508273">
            <w:pPr>
              <w:widowControl/>
              <w:tabs>
                <w:tab w:val="left" w:pos="9072"/>
                <w:tab w:val="left" w:pos="9781"/>
              </w:tabs>
              <w:spacing w:line="360" w:lineRule="auto"/>
              <w:jc w:val="center"/>
              <w:rPr>
                <w:rFonts w:hint="eastAsia" w:ascii="宋体" w:hAnsi="宋体"/>
                <w:color w:val="auto"/>
                <w:kern w:val="0"/>
                <w:szCs w:val="21"/>
                <w:highlight w:val="none"/>
              </w:rPr>
            </w:pPr>
          </w:p>
        </w:tc>
        <w:tc>
          <w:tcPr>
            <w:tcW w:w="3982" w:type="dxa"/>
            <w:noWrap w:val="0"/>
            <w:vAlign w:val="center"/>
          </w:tcPr>
          <w:p w14:paraId="6841131D">
            <w:pPr>
              <w:widowControl/>
              <w:tabs>
                <w:tab w:val="left" w:pos="9072"/>
                <w:tab w:val="left" w:pos="9781"/>
              </w:tabs>
              <w:spacing w:line="360" w:lineRule="auto"/>
              <w:jc w:val="center"/>
              <w:rPr>
                <w:rFonts w:hint="eastAsia" w:ascii="宋体" w:hAnsi="宋体"/>
                <w:color w:val="auto"/>
                <w:kern w:val="0"/>
                <w:szCs w:val="21"/>
                <w:highlight w:val="none"/>
              </w:rPr>
            </w:pPr>
          </w:p>
        </w:tc>
        <w:tc>
          <w:tcPr>
            <w:tcW w:w="706" w:type="dxa"/>
            <w:noWrap w:val="0"/>
            <w:vAlign w:val="top"/>
          </w:tcPr>
          <w:p w14:paraId="04B47D40">
            <w:pPr>
              <w:widowControl/>
              <w:tabs>
                <w:tab w:val="left" w:pos="9072"/>
                <w:tab w:val="left" w:pos="9781"/>
              </w:tabs>
              <w:spacing w:line="360" w:lineRule="auto"/>
              <w:jc w:val="center"/>
              <w:rPr>
                <w:rFonts w:hint="eastAsia" w:ascii="宋体" w:hAnsi="宋体"/>
                <w:color w:val="auto"/>
                <w:kern w:val="0"/>
                <w:szCs w:val="21"/>
                <w:highlight w:val="none"/>
              </w:rPr>
            </w:pPr>
          </w:p>
        </w:tc>
      </w:tr>
      <w:tr w14:paraId="7394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top"/>
          </w:tcPr>
          <w:p w14:paraId="2AE6732B">
            <w:pPr>
              <w:widowControl/>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说明</w:t>
            </w:r>
          </w:p>
        </w:tc>
        <w:tc>
          <w:tcPr>
            <w:tcW w:w="8219" w:type="dxa"/>
            <w:gridSpan w:val="4"/>
            <w:noWrap w:val="0"/>
            <w:vAlign w:val="top"/>
          </w:tcPr>
          <w:p w14:paraId="0E96EA7F">
            <w:pPr>
              <w:widowControl/>
              <w:tabs>
                <w:tab w:val="left" w:pos="9072"/>
                <w:tab w:val="left" w:pos="9781"/>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1.纸质文件应当加盖单位法定名称章、单位设计资质章和规定的注册执业印章；电子文件中的文字为</w:t>
            </w:r>
            <w:r>
              <w:rPr>
                <w:rFonts w:ascii="宋体" w:hAnsi="宋体"/>
                <w:color w:val="auto"/>
                <w:kern w:val="0"/>
                <w:szCs w:val="21"/>
                <w:highlight w:val="none"/>
                <w:u w:val="single"/>
              </w:rPr>
              <w:t xml:space="preserve">    </w:t>
            </w:r>
            <w:r>
              <w:rPr>
                <w:rFonts w:ascii="宋体" w:hAnsi="宋体"/>
                <w:color w:val="auto"/>
                <w:kern w:val="0"/>
                <w:szCs w:val="21"/>
                <w:highlight w:val="none"/>
              </w:rPr>
              <w:t>格式、图形为</w:t>
            </w:r>
            <w:r>
              <w:rPr>
                <w:rFonts w:ascii="宋体" w:hAnsi="宋体"/>
                <w:color w:val="auto"/>
                <w:kern w:val="0"/>
                <w:szCs w:val="21"/>
                <w:highlight w:val="none"/>
                <w:u w:val="single"/>
              </w:rPr>
              <w:t xml:space="preserve">    </w:t>
            </w:r>
            <w:r>
              <w:rPr>
                <w:rFonts w:ascii="宋体" w:hAnsi="宋体"/>
                <w:color w:val="auto"/>
                <w:kern w:val="0"/>
                <w:szCs w:val="21"/>
                <w:highlight w:val="none"/>
              </w:rPr>
              <w:t>格式，并应使用光盘和 U 盘分别贮存。</w:t>
            </w:r>
          </w:p>
          <w:p w14:paraId="3100BCAF">
            <w:pPr>
              <w:widowControl/>
              <w:tabs>
                <w:tab w:val="left" w:pos="9072"/>
                <w:tab w:val="left" w:pos="9781"/>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2.在发包人所提供的设计资料（含设计确认单、规划部门批文、政府各部门批文等）能满足设计人进行各阶段设计的前提下开始计算各阶段的设计时间。</w:t>
            </w:r>
          </w:p>
          <w:p w14:paraId="59CF282A">
            <w:pPr>
              <w:widowControl/>
              <w:tabs>
                <w:tab w:val="left" w:pos="9072"/>
                <w:tab w:val="left" w:pos="9781"/>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3.如发包人要求提供超过合同约定份数的工程设计文件，则设计人仍应按发包人的要求提供，但发包人应向设计人支付增加的工本费。</w:t>
            </w:r>
          </w:p>
        </w:tc>
      </w:tr>
    </w:tbl>
    <w:p w14:paraId="5D79673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8.1.4设计文件纸质版的送达时间：</w:t>
      </w:r>
      <w:r>
        <w:rPr>
          <w:rFonts w:ascii="宋体" w:hAnsi="宋体"/>
          <w:color w:val="auto"/>
          <w:kern w:val="0"/>
          <w:szCs w:val="21"/>
          <w:highlight w:val="none"/>
          <w:u w:val="single"/>
        </w:rPr>
        <w:t xml:space="preserve">         </w:t>
      </w:r>
      <w:r>
        <w:rPr>
          <w:rFonts w:ascii="宋体" w:hAnsi="宋体"/>
          <w:color w:val="auto"/>
          <w:kern w:val="0"/>
          <w:szCs w:val="21"/>
          <w:highlight w:val="none"/>
        </w:rPr>
        <w:t>，送达形式：</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D1C178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设计文件电子版的送达时间：</w:t>
      </w:r>
      <w:r>
        <w:rPr>
          <w:rFonts w:ascii="宋体" w:hAnsi="宋体"/>
          <w:color w:val="auto"/>
          <w:kern w:val="0"/>
          <w:szCs w:val="21"/>
          <w:highlight w:val="none"/>
          <w:u w:val="single"/>
        </w:rPr>
        <w:t xml:space="preserve">         </w:t>
      </w:r>
      <w:r>
        <w:rPr>
          <w:rFonts w:ascii="宋体" w:hAnsi="宋体"/>
          <w:color w:val="auto"/>
          <w:kern w:val="0"/>
          <w:szCs w:val="21"/>
          <w:highlight w:val="none"/>
        </w:rPr>
        <w:t>，送达形式：</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F8A517A">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到达指定地点或邮箱，对双方具有约束力。</w:t>
      </w:r>
    </w:p>
    <w:p w14:paraId="080B158F">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指定联系人：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电话：</w:t>
      </w:r>
      <w:r>
        <w:rPr>
          <w:rFonts w:ascii="宋体" w:hAnsi="宋体"/>
          <w:color w:val="auto"/>
          <w:kern w:val="0"/>
          <w:szCs w:val="21"/>
          <w:highlight w:val="none"/>
          <w:u w:val="single"/>
        </w:rPr>
        <w:t xml:space="preserve">       </w:t>
      </w:r>
      <w:r>
        <w:rPr>
          <w:rFonts w:ascii="宋体" w:hAnsi="宋体"/>
          <w:color w:val="auto"/>
          <w:kern w:val="0"/>
          <w:szCs w:val="21"/>
          <w:highlight w:val="none"/>
        </w:rPr>
        <w:t>通讯地址：</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邮箱：</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4A2587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8.2 发包人审查设计文件</w:t>
      </w:r>
    </w:p>
    <w:p w14:paraId="4A316EA6">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8.2.1发包人接收设计文件之后，可以自行或者组织专家会或者</w:t>
      </w:r>
      <w:r>
        <w:rPr>
          <w:rFonts w:hint="eastAsia" w:ascii="宋体" w:hAnsi="宋体"/>
          <w:color w:val="auto"/>
          <w:kern w:val="0"/>
          <w:szCs w:val="21"/>
          <w:highlight w:val="none"/>
        </w:rPr>
        <w:t>委托第三方进行审查，设计人应当给予配合。审查范围、内容：</w:t>
      </w:r>
      <w:r>
        <w:rPr>
          <w:rFonts w:ascii="宋体" w:hAnsi="宋体"/>
          <w:color w:val="auto"/>
          <w:kern w:val="0"/>
          <w:szCs w:val="21"/>
          <w:highlight w:val="none"/>
          <w:u w:val="single"/>
        </w:rPr>
        <w:t xml:space="preserve">     </w:t>
      </w:r>
      <w:r>
        <w:rPr>
          <w:rFonts w:hint="eastAsia" w:ascii="宋体" w:hAnsi="宋体"/>
          <w:color w:val="auto"/>
          <w:kern w:val="0"/>
          <w:szCs w:val="21"/>
          <w:highlight w:val="none"/>
        </w:rPr>
        <w:t>，费用由</w:t>
      </w:r>
      <w:r>
        <w:rPr>
          <w:rFonts w:ascii="宋体" w:hAnsi="宋体"/>
          <w:color w:val="auto"/>
          <w:kern w:val="0"/>
          <w:szCs w:val="21"/>
          <w:highlight w:val="none"/>
          <w:u w:val="single"/>
        </w:rPr>
        <w:t xml:space="preserve">     </w:t>
      </w:r>
      <w:r>
        <w:rPr>
          <w:rFonts w:hint="eastAsia" w:ascii="宋体" w:hAnsi="宋体"/>
          <w:color w:val="auto"/>
          <w:kern w:val="0"/>
          <w:szCs w:val="21"/>
          <w:highlight w:val="none"/>
        </w:rPr>
        <w:t>承担。</w:t>
      </w:r>
    </w:p>
    <w:p w14:paraId="26D8CF02">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8.2.2发包人对于设计文件的审查期限，自文件送达之日起不应超过</w:t>
      </w:r>
      <w:r>
        <w:rPr>
          <w:rFonts w:ascii="宋体" w:hAnsi="宋体"/>
          <w:color w:val="auto"/>
          <w:kern w:val="0"/>
          <w:szCs w:val="21"/>
          <w:highlight w:val="none"/>
          <w:u w:val="single"/>
        </w:rPr>
        <w:t xml:space="preserve">   </w:t>
      </w:r>
      <w:r>
        <w:rPr>
          <w:rFonts w:ascii="宋体" w:hAnsi="宋体"/>
          <w:color w:val="auto"/>
          <w:kern w:val="0"/>
          <w:szCs w:val="21"/>
          <w:highlight w:val="none"/>
        </w:rPr>
        <w:t>天。</w:t>
      </w:r>
      <w:bookmarkStart w:id="374" w:name="_Toc531632621"/>
      <w:r>
        <w:rPr>
          <w:rFonts w:ascii="宋体" w:hAnsi="宋体"/>
          <w:color w:val="auto"/>
          <w:kern w:val="0"/>
          <w:szCs w:val="21"/>
          <w:highlight w:val="none"/>
        </w:rPr>
        <w:t>因发包人委托第三方对设计文件进行审查，需延期提供审查意见的，发包人应书面通知设计人。具体延长时间以发包人书面通知为准。</w:t>
      </w:r>
    </w:p>
    <w:p w14:paraId="2B7D9CC9">
      <w:pPr>
        <w:pStyle w:val="3"/>
        <w:rPr>
          <w:rFonts w:hint="eastAsia" w:ascii="宋体" w:hAnsi="宋体"/>
          <w:b w:val="0"/>
          <w:snapToGrid w:val="0"/>
          <w:color w:val="auto"/>
          <w:sz w:val="24"/>
          <w:szCs w:val="24"/>
          <w:highlight w:val="none"/>
        </w:rPr>
      </w:pPr>
      <w:bookmarkStart w:id="375" w:name="_Toc174350668"/>
      <w:bookmarkStart w:id="376" w:name="_Toc532384186"/>
      <w:r>
        <w:rPr>
          <w:rFonts w:ascii="宋体" w:hAnsi="宋体"/>
          <w:b w:val="0"/>
          <w:snapToGrid w:val="0"/>
          <w:color w:val="auto"/>
          <w:sz w:val="24"/>
          <w:szCs w:val="24"/>
          <w:highlight w:val="none"/>
        </w:rPr>
        <w:t>9.设计责任与保险</w:t>
      </w:r>
      <w:bookmarkEnd w:id="374"/>
      <w:bookmarkEnd w:id="375"/>
      <w:bookmarkEnd w:id="376"/>
    </w:p>
    <w:p w14:paraId="415EE72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9.4 设计责任保险</w:t>
      </w:r>
    </w:p>
    <w:p w14:paraId="52001835">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9.4.1设计人购买保险类型：</w:t>
      </w:r>
      <w:r>
        <w:rPr>
          <w:rFonts w:ascii="宋体" w:hAnsi="宋体"/>
          <w:color w:val="auto"/>
          <w:kern w:val="0"/>
          <w:szCs w:val="21"/>
          <w:highlight w:val="none"/>
          <w:u w:val="single"/>
        </w:rPr>
        <w:t>（单位险/项目险</w:t>
      </w:r>
      <w:r>
        <w:rPr>
          <w:rFonts w:hint="eastAsia" w:ascii="宋体" w:hAnsi="宋体"/>
          <w:color w:val="auto"/>
          <w:kern w:val="0"/>
          <w:szCs w:val="21"/>
          <w:highlight w:val="none"/>
          <w:u w:val="single"/>
        </w:rPr>
        <w:t>/不采用</w:t>
      </w:r>
      <w:r>
        <w:rPr>
          <w:rFonts w:ascii="宋体" w:hAnsi="宋体"/>
          <w:color w:val="auto"/>
          <w:kern w:val="0"/>
          <w:szCs w:val="21"/>
          <w:highlight w:val="none"/>
          <w:u w:val="single"/>
        </w:rPr>
        <w:t>）</w:t>
      </w:r>
      <w:r>
        <w:rPr>
          <w:rFonts w:ascii="宋体" w:hAnsi="宋体"/>
          <w:color w:val="auto"/>
          <w:kern w:val="0"/>
          <w:szCs w:val="21"/>
          <w:highlight w:val="none"/>
        </w:rPr>
        <w:t>，购买时间：</w:t>
      </w:r>
      <w:r>
        <w:rPr>
          <w:rFonts w:ascii="宋体" w:hAnsi="宋体"/>
          <w:color w:val="auto"/>
          <w:kern w:val="0"/>
          <w:szCs w:val="21"/>
          <w:highlight w:val="none"/>
          <w:u w:val="single"/>
        </w:rPr>
        <w:t xml:space="preserve">      </w:t>
      </w:r>
      <w:r>
        <w:rPr>
          <w:rFonts w:ascii="宋体" w:hAnsi="宋体"/>
          <w:color w:val="auto"/>
          <w:kern w:val="0"/>
          <w:szCs w:val="21"/>
          <w:highlight w:val="none"/>
        </w:rPr>
        <w:t>，保额：</w:t>
      </w:r>
      <w:r>
        <w:rPr>
          <w:rFonts w:ascii="宋体" w:hAnsi="宋体"/>
          <w:color w:val="auto"/>
          <w:kern w:val="0"/>
          <w:szCs w:val="21"/>
          <w:highlight w:val="none"/>
          <w:u w:val="single"/>
        </w:rPr>
        <w:tab/>
      </w:r>
      <w:r>
        <w:rPr>
          <w:rFonts w:ascii="宋体" w:hAnsi="宋体"/>
          <w:color w:val="auto"/>
          <w:kern w:val="0"/>
          <w:szCs w:val="21"/>
          <w:highlight w:val="none"/>
        </w:rPr>
        <w:t>。</w:t>
      </w:r>
    </w:p>
    <w:p w14:paraId="3A605FFF">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发包人购买保险类型：</w:t>
      </w:r>
      <w:r>
        <w:rPr>
          <w:rFonts w:ascii="宋体" w:hAnsi="宋体"/>
          <w:color w:val="auto"/>
          <w:kern w:val="0"/>
          <w:szCs w:val="21"/>
          <w:highlight w:val="none"/>
          <w:u w:val="single"/>
        </w:rPr>
        <w:t xml:space="preserve">     （项目险</w:t>
      </w:r>
      <w:r>
        <w:rPr>
          <w:rFonts w:hint="eastAsia" w:ascii="宋体" w:hAnsi="宋体"/>
          <w:color w:val="auto"/>
          <w:kern w:val="0"/>
          <w:szCs w:val="21"/>
          <w:highlight w:val="none"/>
          <w:u w:val="single"/>
        </w:rPr>
        <w:t>/不采用</w:t>
      </w:r>
      <w:r>
        <w:rPr>
          <w:rFonts w:ascii="宋体" w:hAnsi="宋体"/>
          <w:color w:val="auto"/>
          <w:kern w:val="0"/>
          <w:szCs w:val="21"/>
          <w:highlight w:val="none"/>
          <w:u w:val="single"/>
        </w:rPr>
        <w:t xml:space="preserve">）       </w:t>
      </w:r>
      <w:r>
        <w:rPr>
          <w:rFonts w:ascii="宋体" w:hAnsi="宋体"/>
          <w:color w:val="auto"/>
          <w:kern w:val="0"/>
          <w:szCs w:val="21"/>
          <w:highlight w:val="none"/>
        </w:rPr>
        <w:t>，购买时间：</w:t>
      </w:r>
      <w:r>
        <w:rPr>
          <w:rFonts w:ascii="宋体" w:hAnsi="宋体"/>
          <w:color w:val="auto"/>
          <w:kern w:val="0"/>
          <w:szCs w:val="21"/>
          <w:highlight w:val="none"/>
          <w:u w:val="single"/>
        </w:rPr>
        <w:t xml:space="preserve">       </w:t>
      </w:r>
      <w:r>
        <w:rPr>
          <w:rFonts w:ascii="宋体" w:hAnsi="宋体"/>
          <w:color w:val="auto"/>
          <w:kern w:val="0"/>
          <w:szCs w:val="21"/>
          <w:highlight w:val="none"/>
        </w:rPr>
        <w:t>，保额：</w:t>
      </w:r>
      <w:r>
        <w:rPr>
          <w:rFonts w:ascii="宋体" w:hAnsi="宋体"/>
          <w:color w:val="auto"/>
          <w:kern w:val="0"/>
          <w:szCs w:val="21"/>
          <w:highlight w:val="none"/>
          <w:u w:val="single"/>
        </w:rPr>
        <w:tab/>
      </w:r>
      <w:r>
        <w:rPr>
          <w:rFonts w:ascii="宋体" w:hAnsi="宋体"/>
          <w:color w:val="auto"/>
          <w:kern w:val="0"/>
          <w:szCs w:val="21"/>
          <w:highlight w:val="none"/>
        </w:rPr>
        <w:t>。</w:t>
      </w:r>
    </w:p>
    <w:p w14:paraId="31D10F24">
      <w:pPr>
        <w:pStyle w:val="3"/>
        <w:rPr>
          <w:rFonts w:hint="eastAsia" w:ascii="宋体" w:hAnsi="宋体"/>
          <w:b w:val="0"/>
          <w:snapToGrid w:val="0"/>
          <w:color w:val="auto"/>
          <w:sz w:val="24"/>
          <w:szCs w:val="24"/>
          <w:highlight w:val="none"/>
        </w:rPr>
      </w:pPr>
      <w:bookmarkStart w:id="377" w:name="_Toc531632623"/>
      <w:bookmarkStart w:id="378" w:name="_Toc174350669"/>
      <w:bookmarkStart w:id="379" w:name="_Toc532384188"/>
      <w:r>
        <w:rPr>
          <w:rFonts w:ascii="宋体" w:hAnsi="宋体"/>
          <w:b w:val="0"/>
          <w:snapToGrid w:val="0"/>
          <w:color w:val="auto"/>
          <w:sz w:val="24"/>
          <w:szCs w:val="24"/>
          <w:highlight w:val="none"/>
        </w:rPr>
        <w:t>11.合同变更</w:t>
      </w:r>
      <w:bookmarkEnd w:id="377"/>
      <w:bookmarkEnd w:id="378"/>
      <w:bookmarkEnd w:id="379"/>
    </w:p>
    <w:p w14:paraId="362D7E9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 变更情形</w:t>
      </w:r>
    </w:p>
    <w:p w14:paraId="21B107D1">
      <w:pPr>
        <w:widowControl/>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11.1.1设计服务期和设计费用的调整方法：</w:t>
      </w:r>
      <w:r>
        <w:rPr>
          <w:rFonts w:ascii="宋体" w:hAnsi="宋体"/>
          <w:color w:val="auto"/>
          <w:kern w:val="0"/>
          <w:szCs w:val="21"/>
          <w:highlight w:val="none"/>
          <w:u w:val="single"/>
        </w:rPr>
        <w:t xml:space="preserve">                 </w:t>
      </w:r>
    </w:p>
    <w:p w14:paraId="02A9064E">
      <w:pPr>
        <w:widowControl/>
        <w:tabs>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46EB95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 合理化建议</w:t>
      </w:r>
    </w:p>
    <w:p w14:paraId="2E296C92">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设计人提出的合理化建议降低了工程投资、缩短了施工期限或者提高了工程经济效益的奖励的方法和金额为：</w:t>
      </w:r>
      <w:r>
        <w:rPr>
          <w:rFonts w:ascii="宋体" w:hAnsi="宋体"/>
          <w:color w:val="auto"/>
          <w:kern w:val="0"/>
          <w:szCs w:val="21"/>
          <w:highlight w:val="none"/>
          <w:u w:val="single"/>
        </w:rPr>
        <w:tab/>
      </w:r>
    </w:p>
    <w:p w14:paraId="0F49AE2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68FBF7C">
      <w:pPr>
        <w:pStyle w:val="3"/>
        <w:rPr>
          <w:rFonts w:hint="eastAsia" w:ascii="宋体" w:hAnsi="宋体"/>
          <w:b w:val="0"/>
          <w:snapToGrid w:val="0"/>
          <w:color w:val="auto"/>
          <w:sz w:val="24"/>
          <w:szCs w:val="24"/>
          <w:highlight w:val="none"/>
        </w:rPr>
      </w:pPr>
      <w:bookmarkStart w:id="380" w:name="_Toc531632624"/>
      <w:bookmarkStart w:id="381" w:name="_Toc532384189"/>
      <w:bookmarkStart w:id="382" w:name="_Toc174350670"/>
      <w:r>
        <w:rPr>
          <w:rFonts w:ascii="宋体" w:hAnsi="宋体"/>
          <w:b w:val="0"/>
          <w:snapToGrid w:val="0"/>
          <w:color w:val="auto"/>
          <w:sz w:val="24"/>
          <w:szCs w:val="24"/>
          <w:highlight w:val="none"/>
        </w:rPr>
        <w:t>12.合同价格与支付</w:t>
      </w:r>
      <w:bookmarkEnd w:id="380"/>
      <w:bookmarkEnd w:id="381"/>
      <w:bookmarkEnd w:id="382"/>
    </w:p>
    <w:p w14:paraId="1212CDEA">
      <w:pPr>
        <w:keepNext/>
        <w:keepLines/>
        <w:spacing w:before="120" w:after="120" w:line="360" w:lineRule="auto"/>
        <w:ind w:firstLine="420" w:firstLineChars="200"/>
        <w:outlineLvl w:val="4"/>
        <w:rPr>
          <w:rFonts w:hint="eastAsia" w:ascii="宋体" w:hAnsi="宋体" w:cs="Arial"/>
          <w:bCs/>
          <w:color w:val="auto"/>
          <w:szCs w:val="21"/>
          <w:highlight w:val="none"/>
        </w:rPr>
      </w:pPr>
      <w:r>
        <w:rPr>
          <w:rFonts w:ascii="宋体" w:hAnsi="宋体"/>
          <w:bCs/>
          <w:color w:val="auto"/>
          <w:szCs w:val="21"/>
          <w:highlight w:val="none"/>
        </w:rPr>
        <w:t>12.1 合同价格</w:t>
      </w:r>
    </w:p>
    <w:p w14:paraId="4E858DC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12.1.1合同价格：按以下第</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三</w:t>
      </w:r>
      <w:r>
        <w:rPr>
          <w:rFonts w:ascii="宋体" w:hAnsi="宋体"/>
          <w:color w:val="auto"/>
          <w:kern w:val="0"/>
          <w:szCs w:val="21"/>
          <w:highlight w:val="none"/>
          <w:u w:val="single"/>
        </w:rPr>
        <w:t xml:space="preserve"> </w:t>
      </w:r>
      <w:r>
        <w:rPr>
          <w:rFonts w:ascii="宋体" w:hAnsi="宋体"/>
          <w:color w:val="auto"/>
          <w:kern w:val="0"/>
          <w:szCs w:val="21"/>
          <w:highlight w:val="none"/>
        </w:rPr>
        <w:t>种方式结算。</w:t>
      </w:r>
    </w:p>
    <w:p w14:paraId="7CE4CE12">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方式一：</w:t>
      </w:r>
      <w:r>
        <w:rPr>
          <w:rFonts w:hint="eastAsia" w:ascii="宋体" w:hAnsi="宋体"/>
          <w:color w:val="auto"/>
          <w:kern w:val="0"/>
          <w:szCs w:val="21"/>
          <w:highlight w:val="none"/>
        </w:rPr>
        <w:t>固定费率</w:t>
      </w:r>
      <w:r>
        <w:rPr>
          <w:rFonts w:ascii="宋体" w:hAnsi="宋体"/>
          <w:color w:val="auto"/>
          <w:kern w:val="0"/>
          <w:szCs w:val="21"/>
          <w:highlight w:val="none"/>
        </w:rPr>
        <w:t>结算。</w:t>
      </w:r>
    </w:p>
    <w:p w14:paraId="7212B4BE">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双方商定，设计费按</w:t>
      </w:r>
      <w:r>
        <w:rPr>
          <w:rFonts w:hint="eastAsia" w:ascii="宋体" w:hAnsi="宋体"/>
          <w:color w:val="auto"/>
          <w:kern w:val="0"/>
          <w:szCs w:val="21"/>
          <w:highlight w:val="none"/>
          <w:u w:val="single"/>
        </w:rPr>
        <w:t>固定</w:t>
      </w:r>
      <w:r>
        <w:rPr>
          <w:rFonts w:ascii="宋体" w:hAnsi="宋体"/>
          <w:color w:val="auto"/>
          <w:kern w:val="0"/>
          <w:szCs w:val="21"/>
          <w:highlight w:val="none"/>
          <w:u w:val="single"/>
        </w:rPr>
        <w:t>费率     %，根据</w:t>
      </w:r>
      <w:r>
        <w:rPr>
          <w:rFonts w:hint="eastAsia" w:ascii="宋体" w:hAnsi="宋体"/>
          <w:color w:val="auto"/>
          <w:kern w:val="0"/>
          <w:szCs w:val="21"/>
          <w:highlight w:val="none"/>
          <w:u w:val="single"/>
        </w:rPr>
        <w:t>设计费计费基数</w:t>
      </w:r>
      <w:r>
        <w:rPr>
          <w:rFonts w:ascii="宋体" w:hAnsi="宋体"/>
          <w:color w:val="auto"/>
          <w:kern w:val="0"/>
          <w:szCs w:val="21"/>
          <w:highlight w:val="none"/>
          <w:u w:val="single"/>
        </w:rPr>
        <w:t xml:space="preserve">     元，计算设计费暂定</w:t>
      </w:r>
      <w:r>
        <w:rPr>
          <w:rFonts w:hint="eastAsia" w:ascii="宋体" w:hAnsi="宋体"/>
          <w:color w:val="auto"/>
          <w:kern w:val="0"/>
          <w:szCs w:val="21"/>
          <w:highlight w:val="none"/>
          <w:u w:val="single"/>
        </w:rPr>
        <w:t>金额</w:t>
      </w:r>
      <w:r>
        <w:rPr>
          <w:rFonts w:ascii="宋体" w:hAnsi="宋体"/>
          <w:color w:val="auto"/>
          <w:kern w:val="0"/>
          <w:szCs w:val="21"/>
          <w:highlight w:val="none"/>
          <w:u w:val="single"/>
        </w:rPr>
        <w:t>为￥     元（大写：人民币     元）。</w:t>
      </w:r>
      <w:r>
        <w:rPr>
          <w:color w:val="auto"/>
          <w:highlight w:val="none"/>
          <w:u w:val="single"/>
        </w:rPr>
        <w:t>最终结算价=</w:t>
      </w:r>
      <w:r>
        <w:rPr>
          <w:rFonts w:hint="eastAsia"/>
          <w:color w:val="auto"/>
          <w:highlight w:val="none"/>
          <w:u w:val="single"/>
        </w:rPr>
        <w:t>结算设计费计费基数</w:t>
      </w:r>
      <w:r>
        <w:rPr>
          <w:color w:val="auto"/>
          <w:highlight w:val="none"/>
          <w:u w:val="single"/>
        </w:rPr>
        <w:t>×</w:t>
      </w:r>
      <w:r>
        <w:rPr>
          <w:rFonts w:hint="eastAsia"/>
          <w:color w:val="auto"/>
          <w:highlight w:val="none"/>
          <w:u w:val="single"/>
        </w:rPr>
        <w:t>中标固定</w:t>
      </w:r>
      <w:r>
        <w:rPr>
          <w:color w:val="auto"/>
          <w:highlight w:val="none"/>
          <w:u w:val="single"/>
        </w:rPr>
        <w:t>费率</w:t>
      </w:r>
      <w:r>
        <w:rPr>
          <w:rFonts w:hint="eastAsia"/>
          <w:color w:val="auto"/>
          <w:highlight w:val="none"/>
          <w:u w:val="single"/>
        </w:rPr>
        <w:t>+□BIM技术费用+□专项设计费用</w:t>
      </w:r>
      <w:r>
        <w:rPr>
          <w:color w:val="auto"/>
          <w:highlight w:val="none"/>
          <w:u w:val="single"/>
        </w:rPr>
        <w:t>±合同约定的其他费用。</w:t>
      </w:r>
      <w:r>
        <w:rPr>
          <w:rFonts w:hint="eastAsia"/>
          <w:color w:val="auto"/>
          <w:highlight w:val="none"/>
          <w:u w:val="single"/>
        </w:rPr>
        <w:t>结算</w:t>
      </w:r>
      <w:r>
        <w:rPr>
          <w:color w:val="auto"/>
          <w:highlight w:val="none"/>
          <w:u w:val="single"/>
        </w:rPr>
        <w:t>设计费计费</w:t>
      </w:r>
      <w:r>
        <w:rPr>
          <w:rFonts w:hint="eastAsia"/>
          <w:color w:val="auto"/>
          <w:highlight w:val="none"/>
          <w:u w:val="single"/>
        </w:rPr>
        <w:t>基数为：□</w:t>
      </w:r>
      <w:r>
        <w:rPr>
          <w:color w:val="auto"/>
          <w:highlight w:val="none"/>
          <w:u w:val="single"/>
        </w:rPr>
        <w:t>经审核的</w:t>
      </w:r>
      <w:r>
        <w:rPr>
          <w:rFonts w:hint="eastAsia"/>
          <w:color w:val="auto"/>
          <w:highlight w:val="none"/>
          <w:u w:val="single"/>
        </w:rPr>
        <w:t>工程量</w:t>
      </w:r>
      <w:r>
        <w:rPr>
          <w:color w:val="auto"/>
          <w:highlight w:val="none"/>
          <w:u w:val="single"/>
        </w:rPr>
        <w:t>清单</w:t>
      </w:r>
      <w:r>
        <w:rPr>
          <w:rFonts w:hint="eastAsia"/>
          <w:color w:val="auto"/>
          <w:highlight w:val="none"/>
          <w:u w:val="single"/>
        </w:rPr>
        <w:t>招标</w:t>
      </w:r>
      <w:r>
        <w:rPr>
          <w:color w:val="auto"/>
          <w:highlight w:val="none"/>
          <w:u w:val="single"/>
        </w:rPr>
        <w:t>控制价（扣除预留金）</w:t>
      </w:r>
      <w:r>
        <w:rPr>
          <w:rFonts w:hint="eastAsia"/>
          <w:color w:val="auto"/>
          <w:highlight w:val="none"/>
          <w:u w:val="single"/>
        </w:rPr>
        <w:t>，□</w:t>
      </w:r>
      <w:r>
        <w:rPr>
          <w:color w:val="auto"/>
          <w:highlight w:val="none"/>
          <w:u w:val="single"/>
        </w:rPr>
        <w:t>初步设计批复概算中的工程费</w:t>
      </w:r>
      <w:r>
        <w:rPr>
          <w:rFonts w:hint="eastAsia"/>
          <w:color w:val="auto"/>
          <w:highlight w:val="none"/>
          <w:u w:val="single"/>
        </w:rPr>
        <w:t>，□经审定的工程竣工结算</w:t>
      </w:r>
      <w:r>
        <w:rPr>
          <w:color w:val="auto"/>
          <w:highlight w:val="none"/>
          <w:u w:val="single"/>
        </w:rPr>
        <w:t>工程费</w:t>
      </w:r>
      <w:r>
        <w:rPr>
          <w:rFonts w:hint="eastAsia"/>
          <w:color w:val="auto"/>
          <w:highlight w:val="none"/>
          <w:u w:val="single"/>
        </w:rPr>
        <w:t>。</w:t>
      </w:r>
    </w:p>
    <w:p w14:paraId="1943345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方式二：</w:t>
      </w:r>
      <w:r>
        <w:rPr>
          <w:rFonts w:hint="eastAsia" w:ascii="宋体" w:hAnsi="宋体"/>
          <w:color w:val="auto"/>
          <w:kern w:val="0"/>
          <w:szCs w:val="21"/>
          <w:highlight w:val="none"/>
        </w:rPr>
        <w:t>固定单价</w:t>
      </w:r>
      <w:r>
        <w:rPr>
          <w:rFonts w:ascii="宋体" w:hAnsi="宋体"/>
          <w:color w:val="auto"/>
          <w:kern w:val="0"/>
          <w:szCs w:val="21"/>
          <w:highlight w:val="none"/>
        </w:rPr>
        <w:t>结算。</w:t>
      </w:r>
    </w:p>
    <w:p w14:paraId="61380CD8">
      <w:pPr>
        <w:widowControl/>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u w:val="single"/>
        </w:rPr>
        <w:t>双方商定，设计费按    元/（计量单位）。根据</w:t>
      </w:r>
      <w:r>
        <w:rPr>
          <w:rFonts w:hint="eastAsia" w:ascii="宋体" w:hAnsi="宋体"/>
          <w:color w:val="auto"/>
          <w:kern w:val="0"/>
          <w:szCs w:val="21"/>
          <w:highlight w:val="none"/>
          <w:u w:val="single"/>
        </w:rPr>
        <w:t>暂定工程量</w:t>
      </w:r>
      <w:r>
        <w:rPr>
          <w:rFonts w:ascii="宋体" w:hAnsi="宋体"/>
          <w:color w:val="auto"/>
          <w:kern w:val="0"/>
          <w:szCs w:val="21"/>
          <w:highlight w:val="none"/>
          <w:u w:val="single"/>
        </w:rPr>
        <w:t xml:space="preserve">        ，计算设计费暂定</w:t>
      </w:r>
      <w:r>
        <w:rPr>
          <w:rFonts w:hint="eastAsia" w:ascii="宋体" w:hAnsi="宋体"/>
          <w:color w:val="auto"/>
          <w:kern w:val="0"/>
          <w:szCs w:val="21"/>
          <w:highlight w:val="none"/>
          <w:u w:val="single"/>
        </w:rPr>
        <w:t>金额</w:t>
      </w:r>
      <w:r>
        <w:rPr>
          <w:rFonts w:ascii="宋体" w:hAnsi="宋体"/>
          <w:color w:val="auto"/>
          <w:kern w:val="0"/>
          <w:szCs w:val="21"/>
          <w:highlight w:val="none"/>
          <w:u w:val="single"/>
        </w:rPr>
        <w:t>为￥     元（大写：人民币      元）。最终结算价=∑验收合格的工</w:t>
      </w:r>
      <w:r>
        <w:rPr>
          <w:rFonts w:hint="eastAsia" w:ascii="宋体" w:hAnsi="宋体"/>
          <w:color w:val="auto"/>
          <w:kern w:val="0"/>
          <w:szCs w:val="21"/>
          <w:highlight w:val="none"/>
          <w:u w:val="single"/>
        </w:rPr>
        <w:t>程</w:t>
      </w:r>
      <w:r>
        <w:rPr>
          <w:rFonts w:ascii="宋体" w:hAnsi="宋体"/>
          <w:color w:val="auto"/>
          <w:kern w:val="0"/>
          <w:szCs w:val="21"/>
          <w:highlight w:val="none"/>
          <w:u w:val="single"/>
        </w:rPr>
        <w:t>量×</w:t>
      </w:r>
      <w:r>
        <w:rPr>
          <w:rFonts w:hint="eastAsia" w:ascii="宋体" w:hAnsi="宋体"/>
          <w:color w:val="auto"/>
          <w:kern w:val="0"/>
          <w:szCs w:val="21"/>
          <w:highlight w:val="none"/>
          <w:u w:val="single"/>
        </w:rPr>
        <w:t>中标固定</w:t>
      </w:r>
      <w:r>
        <w:rPr>
          <w:rFonts w:ascii="宋体" w:hAnsi="宋体"/>
          <w:color w:val="auto"/>
          <w:kern w:val="0"/>
          <w:szCs w:val="21"/>
          <w:highlight w:val="none"/>
          <w:u w:val="single"/>
        </w:rPr>
        <w:t>单价</w:t>
      </w:r>
      <w:r>
        <w:rPr>
          <w:rFonts w:hint="eastAsia"/>
          <w:color w:val="auto"/>
          <w:highlight w:val="none"/>
          <w:u w:val="single"/>
        </w:rPr>
        <w:t>+□BIM技术费用+□专项设计费用</w:t>
      </w:r>
      <w:r>
        <w:rPr>
          <w:rFonts w:ascii="宋体" w:hAnsi="宋体"/>
          <w:color w:val="auto"/>
          <w:kern w:val="0"/>
          <w:szCs w:val="21"/>
          <w:highlight w:val="none"/>
          <w:u w:val="single"/>
        </w:rPr>
        <w:t>±合同约定的其他费用。</w:t>
      </w:r>
    </w:p>
    <w:p w14:paraId="228DBB28">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方式三：</w:t>
      </w:r>
      <w:r>
        <w:rPr>
          <w:rFonts w:hint="eastAsia" w:ascii="宋体" w:hAnsi="宋体"/>
          <w:color w:val="auto"/>
          <w:kern w:val="0"/>
          <w:szCs w:val="21"/>
          <w:highlight w:val="none"/>
        </w:rPr>
        <w:t>固定总价</w:t>
      </w:r>
      <w:r>
        <w:rPr>
          <w:rFonts w:ascii="宋体" w:hAnsi="宋体"/>
          <w:color w:val="auto"/>
          <w:kern w:val="0"/>
          <w:szCs w:val="21"/>
          <w:highlight w:val="none"/>
        </w:rPr>
        <w:t>结算。双方商定，设计费按</w:t>
      </w:r>
      <w:r>
        <w:rPr>
          <w:rFonts w:hint="eastAsia" w:ascii="宋体" w:hAnsi="宋体"/>
          <w:color w:val="auto"/>
          <w:kern w:val="0"/>
          <w:szCs w:val="21"/>
          <w:highlight w:val="none"/>
        </w:rPr>
        <w:t>中标固定总价</w:t>
      </w:r>
      <w:r>
        <w:rPr>
          <w:rFonts w:ascii="宋体" w:hAnsi="宋体"/>
          <w:color w:val="auto"/>
          <w:kern w:val="0"/>
          <w:szCs w:val="21"/>
          <w:highlight w:val="none"/>
          <w:u w:val="single"/>
        </w:rPr>
        <w:t xml:space="preserve">     </w:t>
      </w:r>
      <w:r>
        <w:rPr>
          <w:rFonts w:ascii="宋体" w:hAnsi="宋体"/>
          <w:color w:val="auto"/>
          <w:kern w:val="0"/>
          <w:szCs w:val="21"/>
          <w:highlight w:val="none"/>
        </w:rPr>
        <w:t>元（大写：人民币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元）包干使用。最终结算价=</w:t>
      </w:r>
      <w:r>
        <w:rPr>
          <w:rFonts w:hint="eastAsia" w:ascii="宋体" w:hAnsi="宋体"/>
          <w:color w:val="auto"/>
          <w:kern w:val="0"/>
          <w:szCs w:val="21"/>
          <w:highlight w:val="none"/>
        </w:rPr>
        <w:t>中标固定总价</w:t>
      </w:r>
      <w:r>
        <w:rPr>
          <w:rFonts w:ascii="宋体" w:hAnsi="宋体"/>
          <w:color w:val="auto"/>
          <w:kern w:val="0"/>
          <w:szCs w:val="21"/>
          <w:highlight w:val="none"/>
        </w:rPr>
        <w:t>±合同约定的其他费用。除此之外，发包人不再支付其他费用。</w:t>
      </w:r>
    </w:p>
    <w:p w14:paraId="3E324D66">
      <w:pPr>
        <w:widowControl/>
        <w:tabs>
          <w:tab w:val="left" w:pos="9072"/>
          <w:tab w:val="left" w:pos="9781"/>
        </w:tabs>
        <w:spacing w:line="360" w:lineRule="auto"/>
        <w:ind w:firstLine="420" w:firstLineChars="200"/>
        <w:jc w:val="left"/>
        <w:rPr>
          <w:color w:val="auto"/>
          <w:highlight w:val="none"/>
        </w:rPr>
      </w:pPr>
      <w:r>
        <w:rPr>
          <w:rFonts w:hint="eastAsia"/>
          <w:color w:val="auto"/>
          <w:highlight w:val="none"/>
        </w:rPr>
        <w:t>方式四：</w:t>
      </w:r>
      <w:r>
        <w:rPr>
          <w:rFonts w:ascii="宋体" w:hAnsi="宋体"/>
          <w:color w:val="auto"/>
          <w:kern w:val="0"/>
          <w:szCs w:val="21"/>
          <w:highlight w:val="none"/>
          <w:u w:val="single"/>
        </w:rPr>
        <w:t xml:space="preserve">     </w:t>
      </w:r>
    </w:p>
    <w:p w14:paraId="29D3BE31">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12.1.2</w:t>
      </w:r>
      <w:r>
        <w:rPr>
          <w:rFonts w:hint="eastAsia" w:ascii="宋体" w:hAnsi="宋体"/>
          <w:color w:val="auto"/>
          <w:kern w:val="0"/>
          <w:szCs w:val="21"/>
          <w:highlight w:val="none"/>
        </w:rPr>
        <w:t xml:space="preserve"> 本合同设计费按以下阶段分批次支付：</w:t>
      </w:r>
    </w:p>
    <w:p w14:paraId="39DC17EC">
      <w:pPr>
        <w:widowControl/>
        <w:tabs>
          <w:tab w:val="left" w:pos="9072"/>
          <w:tab w:val="left" w:pos="9781"/>
        </w:tabs>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完成初步设计</w:t>
      </w:r>
      <w:r>
        <w:rPr>
          <w:rFonts w:hint="eastAsia" w:ascii="宋体" w:hAnsi="宋体"/>
          <w:color w:val="auto"/>
          <w:szCs w:val="21"/>
          <w:highlight w:val="none"/>
          <w:u w:val="single"/>
          <w:lang w:eastAsia="zh-CN"/>
        </w:rPr>
        <w:t>和概算编制配合完成争资</w:t>
      </w:r>
      <w:r>
        <w:rPr>
          <w:rFonts w:hint="eastAsia" w:ascii="宋体" w:hAnsi="宋体"/>
          <w:color w:val="auto"/>
          <w:szCs w:val="21"/>
          <w:highlight w:val="none"/>
          <w:u w:val="single"/>
        </w:rPr>
        <w:t>工作后支付到合同金额的</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取得方案审查意见支付至合同金额的</w:t>
      </w:r>
      <w:r>
        <w:rPr>
          <w:rFonts w:hint="eastAsia" w:ascii="宋体" w:hAnsi="宋体"/>
          <w:color w:val="auto"/>
          <w:szCs w:val="21"/>
          <w:highlight w:val="none"/>
          <w:u w:val="single"/>
          <w:lang w:val="en-US" w:eastAsia="zh-CN"/>
        </w:rPr>
        <w:t>60%</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完成施工图设计及审查至支付合同</w:t>
      </w:r>
      <w:r>
        <w:rPr>
          <w:rFonts w:hint="eastAsia" w:ascii="宋体" w:hAnsi="宋体"/>
          <w:color w:val="auto"/>
          <w:szCs w:val="21"/>
          <w:highlight w:val="none"/>
          <w:u w:val="single"/>
          <w:lang w:val="en-US" w:eastAsia="zh-CN"/>
        </w:rPr>
        <w:t>95%</w:t>
      </w:r>
      <w:r>
        <w:rPr>
          <w:rFonts w:hint="eastAsia" w:ascii="宋体" w:hAnsi="宋体"/>
          <w:color w:val="auto"/>
          <w:szCs w:val="21"/>
          <w:highlight w:val="none"/>
          <w:u w:val="single"/>
        </w:rPr>
        <w:t>，剩余</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%在工程竣工验收后予以支付。</w:t>
      </w:r>
    </w:p>
    <w:p w14:paraId="248DE524">
      <w:pPr>
        <w:widowControl/>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12.1.3本项目合同设计费包含：</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9C08FE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12.1.4发包人要求设计人进行外出考察、试验检测、专项咨询或专家评审的相应费用</w:t>
      </w:r>
      <w:r>
        <w:rPr>
          <w:rFonts w:ascii="宋体" w:hAnsi="宋体"/>
          <w:color w:val="auto"/>
          <w:kern w:val="0"/>
          <w:szCs w:val="21"/>
          <w:highlight w:val="none"/>
          <w:u w:val="single"/>
        </w:rPr>
        <w:t xml:space="preserve">  （是/否） </w:t>
      </w:r>
      <w:r>
        <w:rPr>
          <w:rFonts w:ascii="宋体" w:hAnsi="宋体"/>
          <w:color w:val="auto"/>
          <w:kern w:val="0"/>
          <w:szCs w:val="21"/>
          <w:highlight w:val="none"/>
        </w:rPr>
        <w:t>包含在本项目合同设计费中。</w:t>
      </w:r>
    </w:p>
    <w:p w14:paraId="40F4002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12.2 定金或预付款</w:t>
      </w:r>
    </w:p>
    <w:p w14:paraId="32F7306A">
      <w:pPr>
        <w:keepNext/>
        <w:keepLines/>
        <w:spacing w:before="120" w:after="120" w:line="360" w:lineRule="auto"/>
        <w:ind w:firstLine="420" w:firstLineChars="200"/>
        <w:outlineLvl w:val="4"/>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不支付</w:t>
      </w:r>
      <w:r>
        <w:rPr>
          <w:rFonts w:ascii="宋体" w:hAnsi="宋体"/>
          <w:color w:val="auto"/>
          <w:kern w:val="0"/>
          <w:szCs w:val="21"/>
          <w:highlight w:val="none"/>
        </w:rPr>
        <w:t>定金或预付款</w:t>
      </w:r>
      <w:r>
        <w:rPr>
          <w:rFonts w:hint="eastAsia" w:ascii="宋体" w:hAnsi="宋体"/>
          <w:color w:val="auto"/>
          <w:kern w:val="0"/>
          <w:szCs w:val="21"/>
          <w:highlight w:val="none"/>
          <w:lang w:eastAsia="zh-CN"/>
        </w:rPr>
        <w:t>。</w:t>
      </w:r>
    </w:p>
    <w:p w14:paraId="7C9B97E2">
      <w:pPr>
        <w:keepNext/>
        <w:keepLines/>
        <w:spacing w:before="120" w:after="120" w:line="360" w:lineRule="auto"/>
        <w:ind w:firstLine="420" w:firstLineChars="200"/>
        <w:outlineLvl w:val="4"/>
        <w:rPr>
          <w:rFonts w:hint="eastAsia" w:ascii="宋体" w:hAnsi="宋体"/>
          <w:bCs/>
          <w:color w:val="auto"/>
          <w:szCs w:val="21"/>
          <w:highlight w:val="none"/>
        </w:rPr>
      </w:pPr>
      <w:r>
        <w:rPr>
          <w:rFonts w:hint="eastAsia" w:ascii="宋体" w:hAnsi="宋体"/>
          <w:bCs/>
          <w:color w:val="auto"/>
          <w:szCs w:val="21"/>
          <w:highlight w:val="none"/>
        </w:rPr>
        <w:t>12.3中期支付</w:t>
      </w:r>
    </w:p>
    <w:p w14:paraId="285D03A8">
      <w:pPr>
        <w:keepNext/>
        <w:keepLines/>
        <w:spacing w:before="120" w:after="120" w:line="360" w:lineRule="auto"/>
        <w:ind w:firstLine="420" w:firstLineChars="200"/>
        <w:outlineLvl w:val="4"/>
        <w:rPr>
          <w:rFonts w:hint="eastAsia" w:ascii="宋体" w:hAnsi="宋体"/>
          <w:bCs/>
          <w:color w:val="auto"/>
          <w:szCs w:val="21"/>
          <w:highlight w:val="none"/>
        </w:rPr>
      </w:pPr>
      <w:r>
        <w:rPr>
          <w:rFonts w:hint="eastAsia" w:ascii="宋体" w:hAnsi="宋体"/>
          <w:bCs/>
          <w:color w:val="auto"/>
          <w:szCs w:val="21"/>
          <w:highlight w:val="none"/>
        </w:rPr>
        <w:t>12.3.1中期支付申请的格式及份数：</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CFC65C2">
      <w:pPr>
        <w:keepNext/>
        <w:keepLines/>
        <w:spacing w:before="120" w:after="120" w:line="360" w:lineRule="auto"/>
        <w:ind w:firstLine="420" w:firstLineChars="200"/>
        <w:outlineLvl w:val="4"/>
        <w:rPr>
          <w:rFonts w:hint="eastAsia" w:ascii="宋体" w:hAnsi="宋体"/>
          <w:bCs/>
          <w:color w:val="auto"/>
          <w:szCs w:val="21"/>
          <w:highlight w:val="none"/>
        </w:rPr>
      </w:pPr>
      <w:r>
        <w:rPr>
          <w:rFonts w:hint="eastAsia" w:ascii="宋体" w:hAnsi="宋体"/>
          <w:bCs/>
          <w:color w:val="auto"/>
          <w:szCs w:val="21"/>
          <w:highlight w:val="none"/>
        </w:rPr>
        <w:t>12.3.2</w:t>
      </w:r>
      <w:r>
        <w:rPr>
          <w:rFonts w:ascii="宋体" w:hAnsi="宋体"/>
          <w:color w:val="auto"/>
          <w:kern w:val="0"/>
          <w:szCs w:val="21"/>
          <w:highlight w:val="none"/>
        </w:rPr>
        <w:t>发包人不按期支付的，按专用合同条款</w:t>
      </w:r>
      <w:r>
        <w:rPr>
          <w:rFonts w:hint="eastAsia" w:ascii="宋体" w:hAnsi="宋体"/>
          <w:color w:val="auto"/>
          <w:kern w:val="0"/>
          <w:szCs w:val="21"/>
          <w:highlight w:val="none"/>
        </w:rPr>
        <w:t>14.2.3项支付</w:t>
      </w:r>
      <w:r>
        <w:rPr>
          <w:rFonts w:ascii="宋体" w:hAnsi="宋体"/>
          <w:color w:val="auto"/>
          <w:kern w:val="0"/>
          <w:szCs w:val="21"/>
          <w:highlight w:val="none"/>
        </w:rPr>
        <w:t>违约金。</w:t>
      </w:r>
    </w:p>
    <w:p w14:paraId="47E4680F">
      <w:pPr>
        <w:keepNext/>
        <w:keepLines/>
        <w:spacing w:before="120" w:after="120" w:line="360" w:lineRule="auto"/>
        <w:ind w:firstLine="420" w:firstLineChars="200"/>
        <w:outlineLvl w:val="4"/>
        <w:rPr>
          <w:rFonts w:hint="eastAsia" w:ascii="宋体" w:hAnsi="宋体"/>
          <w:bCs/>
          <w:color w:val="auto"/>
          <w:szCs w:val="21"/>
          <w:highlight w:val="none"/>
          <w:u w:val="single"/>
        </w:rPr>
      </w:pPr>
      <w:r>
        <w:rPr>
          <w:rFonts w:hint="eastAsia" w:ascii="宋体" w:hAnsi="宋体"/>
          <w:bCs/>
          <w:color w:val="auto"/>
          <w:szCs w:val="21"/>
          <w:highlight w:val="none"/>
        </w:rPr>
        <w:t>12.3.3</w:t>
      </w:r>
      <w:r>
        <w:rPr>
          <w:rFonts w:ascii="宋体" w:hAnsi="宋体"/>
          <w:color w:val="auto"/>
          <w:kern w:val="0"/>
          <w:szCs w:val="21"/>
          <w:highlight w:val="none"/>
        </w:rPr>
        <w:t>中期支付涉及政府投资资金的，按照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执行。</w:t>
      </w:r>
    </w:p>
    <w:p w14:paraId="48FD2F2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12.4</w:t>
      </w:r>
      <w:r>
        <w:rPr>
          <w:rFonts w:hint="eastAsia" w:ascii="宋体" w:hAnsi="宋体"/>
          <w:bCs/>
          <w:color w:val="auto"/>
          <w:szCs w:val="21"/>
          <w:highlight w:val="none"/>
        </w:rPr>
        <w:t>费用结算</w:t>
      </w:r>
    </w:p>
    <w:p w14:paraId="4184D88F">
      <w:pPr>
        <w:widowControl/>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12.4.1设计人提交设计费用结算申请的份数、期限及证明材料要求：</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7C186BFF">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12.4.2</w:t>
      </w:r>
      <w:r>
        <w:rPr>
          <w:rFonts w:ascii="宋体" w:hAnsi="宋体"/>
          <w:color w:val="auto"/>
          <w:kern w:val="0"/>
          <w:szCs w:val="21"/>
          <w:highlight w:val="none"/>
        </w:rPr>
        <w:t>双方约定按以下方式支付：</w:t>
      </w:r>
    </w:p>
    <w:p w14:paraId="47E1475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发包人以</w:t>
      </w:r>
      <w:r>
        <w:rPr>
          <w:rFonts w:ascii="宋体" w:hAnsi="宋体"/>
          <w:color w:val="auto"/>
          <w:kern w:val="0"/>
          <w:szCs w:val="21"/>
          <w:highlight w:val="none"/>
          <w:u w:val="single"/>
        </w:rPr>
        <w:t>（</w:t>
      </w:r>
      <w:r>
        <w:rPr>
          <w:rFonts w:hint="eastAsia" w:ascii="宋体" w:hAnsi="宋体"/>
          <w:color w:val="auto"/>
          <w:kern w:val="0"/>
          <w:szCs w:val="21"/>
          <w:highlight w:val="none"/>
          <w:u w:val="single"/>
        </w:rPr>
        <w:t>电汇形式/转账支票</w:t>
      </w:r>
      <w:r>
        <w:rPr>
          <w:rFonts w:ascii="宋体" w:hAnsi="宋体"/>
          <w:color w:val="auto"/>
          <w:kern w:val="0"/>
          <w:szCs w:val="21"/>
          <w:highlight w:val="none"/>
          <w:u w:val="single"/>
        </w:rPr>
        <w:t>）</w:t>
      </w:r>
      <w:r>
        <w:rPr>
          <w:rFonts w:ascii="宋体" w:hAnsi="宋体"/>
          <w:color w:val="auto"/>
          <w:kern w:val="0"/>
          <w:szCs w:val="21"/>
          <w:highlight w:val="none"/>
        </w:rPr>
        <w:t>支付给设计人，设计人应当于每次支付前向发包人提交增值税专用发票。否则，发包人有权延期付款，并不承担逾期付款的违约责任。同时，设计人不得以此为理由拒绝履行合同义务。</w:t>
      </w:r>
      <w:r>
        <w:rPr>
          <w:rFonts w:hint="eastAsia" w:ascii="宋体" w:hAnsi="宋体"/>
          <w:color w:val="auto"/>
          <w:kern w:val="0"/>
          <w:szCs w:val="21"/>
          <w:highlight w:val="none"/>
        </w:rPr>
        <w:t>发包人不按期支付的，按</w:t>
      </w:r>
      <w:r>
        <w:rPr>
          <w:rFonts w:ascii="宋体" w:hAnsi="宋体"/>
          <w:color w:val="auto"/>
          <w:kern w:val="0"/>
          <w:szCs w:val="21"/>
          <w:highlight w:val="none"/>
        </w:rPr>
        <w:t>专用合同条款</w:t>
      </w:r>
      <w:r>
        <w:rPr>
          <w:rFonts w:hint="eastAsia" w:ascii="宋体" w:hAnsi="宋体"/>
          <w:color w:val="auto"/>
          <w:kern w:val="0"/>
          <w:szCs w:val="21"/>
          <w:highlight w:val="none"/>
        </w:rPr>
        <w:t>14.2.3项支付</w:t>
      </w:r>
      <w:r>
        <w:rPr>
          <w:rFonts w:ascii="宋体" w:hAnsi="宋体"/>
          <w:color w:val="auto"/>
          <w:kern w:val="0"/>
          <w:szCs w:val="21"/>
          <w:highlight w:val="none"/>
        </w:rPr>
        <w:t>违约金。</w:t>
      </w:r>
    </w:p>
    <w:p w14:paraId="5EC02B73">
      <w:pPr>
        <w:keepNext/>
        <w:keepLines/>
        <w:spacing w:before="120" w:after="120" w:line="360" w:lineRule="auto"/>
        <w:ind w:firstLine="420" w:firstLineChars="200"/>
        <w:outlineLvl w:val="4"/>
        <w:rPr>
          <w:rFonts w:hint="eastAsia" w:ascii="宋体" w:hAnsi="宋体"/>
          <w:b/>
          <w:bCs/>
          <w:color w:val="auto"/>
          <w:szCs w:val="21"/>
          <w:highlight w:val="none"/>
        </w:rPr>
      </w:pPr>
      <w:r>
        <w:rPr>
          <w:rFonts w:ascii="宋体" w:hAnsi="宋体"/>
          <w:bCs/>
          <w:color w:val="auto"/>
          <w:szCs w:val="21"/>
          <w:highlight w:val="none"/>
        </w:rPr>
        <w:t xml:space="preserve">12.5 </w:t>
      </w:r>
      <w:r>
        <w:rPr>
          <w:rFonts w:hint="eastAsia" w:ascii="宋体" w:hAnsi="宋体"/>
          <w:bCs/>
          <w:color w:val="auto"/>
          <w:szCs w:val="21"/>
          <w:highlight w:val="none"/>
        </w:rPr>
        <w:t>暂列金额</w:t>
      </w:r>
    </w:p>
    <w:p w14:paraId="4455CFF1">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12.5.1 本合同的暂列金额为</w:t>
      </w:r>
      <w:r>
        <w:rPr>
          <w:rFonts w:ascii="宋体" w:hAnsi="宋体"/>
          <w:color w:val="auto"/>
          <w:kern w:val="0"/>
          <w:szCs w:val="21"/>
          <w:highlight w:val="none"/>
          <w:u w:val="single"/>
        </w:rPr>
        <w:tab/>
      </w:r>
      <w:r>
        <w:rPr>
          <w:rFonts w:hint="eastAsia" w:ascii="宋体" w:hAnsi="宋体"/>
          <w:color w:val="auto"/>
          <w:kern w:val="0"/>
          <w:szCs w:val="21"/>
          <w:highlight w:val="none"/>
        </w:rPr>
        <w:t>。</w:t>
      </w:r>
    </w:p>
    <w:p w14:paraId="4E601B54">
      <w:pPr>
        <w:pStyle w:val="3"/>
        <w:rPr>
          <w:rFonts w:hint="eastAsia" w:ascii="宋体" w:hAnsi="宋体"/>
          <w:b w:val="0"/>
          <w:snapToGrid w:val="0"/>
          <w:color w:val="auto"/>
          <w:sz w:val="24"/>
          <w:szCs w:val="24"/>
          <w:highlight w:val="none"/>
        </w:rPr>
      </w:pPr>
      <w:bookmarkStart w:id="383" w:name="_Toc532384190"/>
      <w:bookmarkStart w:id="384" w:name="_Toc174350671"/>
      <w:r>
        <w:rPr>
          <w:rFonts w:ascii="宋体" w:hAnsi="宋体"/>
          <w:b w:val="0"/>
          <w:snapToGrid w:val="0"/>
          <w:color w:val="auto"/>
          <w:sz w:val="24"/>
          <w:szCs w:val="24"/>
          <w:highlight w:val="none"/>
        </w:rPr>
        <w:t>13.不可抗力</w:t>
      </w:r>
      <w:bookmarkEnd w:id="383"/>
      <w:bookmarkEnd w:id="384"/>
    </w:p>
    <w:p w14:paraId="0DE3067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13.1不可抗力的确认</w:t>
      </w:r>
    </w:p>
    <w:p w14:paraId="20E83983">
      <w:pPr>
        <w:widowControl/>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除通用合同条款约定的不可抗力事件之外，视为不可抗力的其他情形：</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B9B4E9F">
      <w:pPr>
        <w:pStyle w:val="3"/>
        <w:rPr>
          <w:rFonts w:hint="eastAsia" w:ascii="宋体" w:hAnsi="宋体"/>
          <w:b w:val="0"/>
          <w:snapToGrid w:val="0"/>
          <w:color w:val="auto"/>
          <w:sz w:val="24"/>
          <w:szCs w:val="24"/>
          <w:highlight w:val="none"/>
        </w:rPr>
      </w:pPr>
      <w:bookmarkStart w:id="385" w:name="_Toc532384191"/>
      <w:bookmarkStart w:id="386" w:name="_Toc531632625"/>
      <w:bookmarkStart w:id="387" w:name="_Toc174350672"/>
      <w:r>
        <w:rPr>
          <w:rFonts w:ascii="宋体" w:hAnsi="宋体"/>
          <w:b w:val="0"/>
          <w:snapToGrid w:val="0"/>
          <w:color w:val="auto"/>
          <w:sz w:val="24"/>
          <w:szCs w:val="24"/>
          <w:highlight w:val="none"/>
        </w:rPr>
        <w:t>14.违约</w:t>
      </w:r>
      <w:bookmarkEnd w:id="385"/>
      <w:bookmarkEnd w:id="386"/>
      <w:bookmarkEnd w:id="387"/>
    </w:p>
    <w:p w14:paraId="4EABD66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14.1 设计人违约</w:t>
      </w:r>
    </w:p>
    <w:p w14:paraId="378B6D96">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 xml:space="preserve"> </w:t>
      </w:r>
      <w:r>
        <w:rPr>
          <w:rFonts w:hint="eastAsia" w:ascii="宋体" w:hAnsi="宋体"/>
          <w:color w:val="auto"/>
          <w:kern w:val="0"/>
          <w:szCs w:val="21"/>
          <w:highlight w:val="none"/>
        </w:rPr>
        <w:t>设计人未按合同条款要求，发生违约情况时，将根据以下约定进行相应的处罚：</w:t>
      </w:r>
    </w:p>
    <w:p w14:paraId="25DE614D">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.1项目主要设计人员配备，违反合同文件及相关约定</w:t>
      </w:r>
    </w:p>
    <w:p w14:paraId="0CB83C51">
      <w:pPr>
        <w:widowControl/>
        <w:tabs>
          <w:tab w:val="left" w:pos="9072"/>
          <w:tab w:val="left" w:pos="9781"/>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（1）经发包人同意，更换主要设计人员的，按照以下方式承担违约责任：</w:t>
      </w:r>
    </w:p>
    <w:p w14:paraId="10F7FA24">
      <w:pPr>
        <w:widowControl/>
        <w:tabs>
          <w:tab w:val="left" w:pos="9072"/>
          <w:tab w:val="left" w:pos="9781"/>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①更换项目负责人的，设计人每更换一次向发包人支付违约金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元(不超过签约合同价的0.5%)；</w:t>
      </w:r>
    </w:p>
    <w:p w14:paraId="386AB6A2">
      <w:pPr>
        <w:widowControl/>
        <w:tabs>
          <w:tab w:val="left" w:pos="9072"/>
          <w:tab w:val="left" w:pos="9781"/>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②更换除项目负责人外的其他主要设计人员的，每更换一人，设计人向发包人支付违约金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元(不超过签约合同价的0.3%)。</w:t>
      </w:r>
    </w:p>
    <w:p w14:paraId="51972335">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未经发包人同意，擅自更换主要设计人员的，按照以下方式承担违约责任：</w:t>
      </w:r>
    </w:p>
    <w:p w14:paraId="0CE7A78D">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擅自更换项目负责人的，设计人每更换一次向发包人支付</w:t>
      </w:r>
      <w:r>
        <w:rPr>
          <w:rFonts w:hint="eastAsia" w:ascii="宋体" w:hAnsi="宋体"/>
          <w:color w:val="auto"/>
          <w:kern w:val="0"/>
          <w:szCs w:val="21"/>
          <w:highlight w:val="none"/>
        </w:rPr>
        <w:t>违约金</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元(不超过签约合同价的1%)</w:t>
      </w:r>
      <w:r>
        <w:rPr>
          <w:rFonts w:ascii="宋体" w:hAnsi="宋体"/>
          <w:color w:val="auto"/>
          <w:kern w:val="0"/>
          <w:szCs w:val="21"/>
          <w:highlight w:val="none"/>
        </w:rPr>
        <w:t>；</w:t>
      </w:r>
    </w:p>
    <w:p w14:paraId="1A1EF57E">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擅自更换除项目负责人外的其他主要设计人员的，每更换一人，设计人向发包人支付</w:t>
      </w:r>
      <w:r>
        <w:rPr>
          <w:rFonts w:hint="eastAsia" w:ascii="宋体" w:hAnsi="宋体"/>
          <w:color w:val="auto"/>
          <w:kern w:val="0"/>
          <w:szCs w:val="21"/>
          <w:highlight w:val="none"/>
          <w:u w:val="single"/>
        </w:rPr>
        <w:t>违约金   元(不超过签约合同价的0.5%)</w:t>
      </w:r>
      <w:r>
        <w:rPr>
          <w:rFonts w:ascii="宋体" w:hAnsi="宋体"/>
          <w:color w:val="auto"/>
          <w:kern w:val="0"/>
          <w:szCs w:val="21"/>
          <w:highlight w:val="none"/>
        </w:rPr>
        <w:t>；</w:t>
      </w:r>
    </w:p>
    <w:p w14:paraId="6D9E8992">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未经发包人同意，擅自更换项目主要设计人员超过三次的，发包人有权终止合同。设计人应承担由此给发包人造成的经济损失。</w:t>
      </w:r>
    </w:p>
    <w:p w14:paraId="320DD6C0">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因下列原因之一，发包人有权要求更换项目主要设计人员。</w:t>
      </w:r>
    </w:p>
    <w:p w14:paraId="572A81D2">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严重过失行为的；</w:t>
      </w:r>
      <w:r>
        <w:rPr>
          <w:rFonts w:hint="eastAsia" w:ascii="宋体" w:hAnsi="宋体" w:cs="宋体"/>
          <w:color w:val="auto"/>
          <w:kern w:val="0"/>
          <w:szCs w:val="21"/>
          <w:highlight w:val="none"/>
        </w:rPr>
        <w:t>②</w:t>
      </w:r>
      <w:r>
        <w:rPr>
          <w:rFonts w:ascii="宋体" w:hAnsi="宋体"/>
          <w:color w:val="auto"/>
          <w:kern w:val="0"/>
          <w:szCs w:val="21"/>
          <w:highlight w:val="none"/>
        </w:rPr>
        <w:t>有违法行为不能履行职责的；</w:t>
      </w:r>
      <w:r>
        <w:rPr>
          <w:rFonts w:hint="eastAsia" w:ascii="宋体" w:hAnsi="宋体" w:cs="宋体"/>
          <w:color w:val="auto"/>
          <w:kern w:val="0"/>
          <w:szCs w:val="21"/>
          <w:highlight w:val="none"/>
        </w:rPr>
        <w:t>③</w:t>
      </w:r>
      <w:r>
        <w:rPr>
          <w:rFonts w:ascii="宋体" w:hAnsi="宋体"/>
          <w:color w:val="auto"/>
          <w:kern w:val="0"/>
          <w:szCs w:val="21"/>
          <w:highlight w:val="none"/>
        </w:rPr>
        <w:t>涉嫌犯罪的；</w:t>
      </w:r>
      <w:r>
        <w:rPr>
          <w:rFonts w:hint="eastAsia" w:ascii="宋体" w:hAnsi="宋体" w:cs="宋体"/>
          <w:color w:val="auto"/>
          <w:kern w:val="0"/>
          <w:szCs w:val="21"/>
          <w:highlight w:val="none"/>
        </w:rPr>
        <w:t>④</w:t>
      </w:r>
      <w:r>
        <w:rPr>
          <w:rFonts w:ascii="宋体" w:hAnsi="宋体"/>
          <w:color w:val="auto"/>
          <w:kern w:val="0"/>
          <w:szCs w:val="21"/>
          <w:highlight w:val="none"/>
        </w:rPr>
        <w:t>不能胜任岗位职责的；</w:t>
      </w:r>
      <w:r>
        <w:rPr>
          <w:rFonts w:hint="eastAsia" w:ascii="宋体" w:hAnsi="宋体" w:cs="宋体"/>
          <w:color w:val="auto"/>
          <w:kern w:val="0"/>
          <w:szCs w:val="21"/>
          <w:highlight w:val="none"/>
        </w:rPr>
        <w:t>⑤</w:t>
      </w:r>
      <w:r>
        <w:rPr>
          <w:rFonts w:ascii="宋体" w:hAnsi="宋体"/>
          <w:color w:val="auto"/>
          <w:kern w:val="0"/>
          <w:szCs w:val="21"/>
          <w:highlight w:val="none"/>
        </w:rPr>
        <w:t>严重违反职业道德的；</w:t>
      </w:r>
      <w:r>
        <w:rPr>
          <w:rFonts w:hint="eastAsia" w:ascii="宋体" w:hAnsi="宋体" w:cs="宋体"/>
          <w:color w:val="auto"/>
          <w:kern w:val="0"/>
          <w:szCs w:val="21"/>
          <w:highlight w:val="none"/>
        </w:rPr>
        <w:t>⑥</w:t>
      </w:r>
      <w:r>
        <w:rPr>
          <w:rFonts w:ascii="宋体" w:hAnsi="宋体"/>
          <w:color w:val="auto"/>
          <w:kern w:val="0"/>
          <w:szCs w:val="21"/>
          <w:highlight w:val="none"/>
        </w:rPr>
        <w:t>其他不能履约的情形；</w:t>
      </w:r>
    </w:p>
    <w:p w14:paraId="55BC8A8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发包人要求更换项目主要设计人员的，设计人应向发包人承担下述违约责任：</w:t>
      </w:r>
    </w:p>
    <w:p w14:paraId="460C558D">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更换项目负责人的，设计人每更换一次向发包人支付</w:t>
      </w:r>
      <w:r>
        <w:rPr>
          <w:rFonts w:hint="eastAsia" w:ascii="宋体" w:hAnsi="宋体"/>
          <w:color w:val="auto"/>
          <w:kern w:val="0"/>
          <w:szCs w:val="21"/>
          <w:highlight w:val="none"/>
          <w:u w:val="single"/>
        </w:rPr>
        <w:t>违约金   元(不超过签约合同价的1%)</w:t>
      </w:r>
      <w:r>
        <w:rPr>
          <w:rFonts w:ascii="宋体" w:hAnsi="宋体"/>
          <w:color w:val="auto"/>
          <w:kern w:val="0"/>
          <w:szCs w:val="21"/>
          <w:highlight w:val="none"/>
        </w:rPr>
        <w:t>；</w:t>
      </w:r>
    </w:p>
    <w:p w14:paraId="2BA38773">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更换除项目负责人外的其他主要设计人员的，每更换一名设计人向发包人支付</w:t>
      </w:r>
      <w:r>
        <w:rPr>
          <w:rFonts w:hint="eastAsia" w:ascii="宋体" w:hAnsi="宋体"/>
          <w:color w:val="auto"/>
          <w:kern w:val="0"/>
          <w:szCs w:val="21"/>
          <w:highlight w:val="none"/>
          <w:u w:val="single"/>
        </w:rPr>
        <w:t>违约金   元(不超过签约合同价的0.5%)</w:t>
      </w:r>
      <w:r>
        <w:rPr>
          <w:rFonts w:ascii="宋体" w:hAnsi="宋体"/>
          <w:color w:val="auto"/>
          <w:kern w:val="0"/>
          <w:szCs w:val="21"/>
          <w:highlight w:val="none"/>
        </w:rPr>
        <w:t xml:space="preserve">； </w:t>
      </w:r>
    </w:p>
    <w:p w14:paraId="01B48C30">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因设计人原因，导致发包人要求更换项目主要设计人员变更超过三次的，发包人有权终止合同。</w:t>
      </w:r>
    </w:p>
    <w:p w14:paraId="750F7C9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.2 设计人提交设计成果，违反合同约定期限及相关规定</w:t>
      </w:r>
    </w:p>
    <w:p w14:paraId="15B5C485">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因设计人原因，延迟提交设计成果或变更图纸及意见的，设计人应向发包人承担下述违约责任：</w:t>
      </w:r>
    </w:p>
    <w:p w14:paraId="20BA810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第一次延迟提交设计成果或变更图纸及意见的，每逾期一天设计人向发包人支付</w:t>
      </w:r>
      <w:r>
        <w:rPr>
          <w:rFonts w:hint="eastAsia" w:ascii="宋体" w:hAnsi="宋体"/>
          <w:color w:val="auto"/>
          <w:kern w:val="0"/>
          <w:szCs w:val="21"/>
          <w:highlight w:val="none"/>
          <w:u w:val="single"/>
        </w:rPr>
        <w:t>违约金   元(不超过签约合同价的0.2%)</w:t>
      </w:r>
      <w:r>
        <w:rPr>
          <w:rFonts w:ascii="宋体" w:hAnsi="宋体"/>
          <w:color w:val="auto"/>
          <w:kern w:val="0"/>
          <w:szCs w:val="21"/>
          <w:highlight w:val="none"/>
        </w:rPr>
        <w:t>；影响开工时间或工程进度的，设计人向发包人支付</w:t>
      </w:r>
      <w:r>
        <w:rPr>
          <w:rFonts w:hint="eastAsia" w:ascii="宋体" w:hAnsi="宋体"/>
          <w:color w:val="auto"/>
          <w:kern w:val="0"/>
          <w:szCs w:val="21"/>
          <w:highlight w:val="none"/>
          <w:u w:val="single"/>
        </w:rPr>
        <w:t>违约金   元(不超过签约合同价的5%)</w:t>
      </w:r>
      <w:r>
        <w:rPr>
          <w:rFonts w:ascii="宋体" w:hAnsi="宋体"/>
          <w:color w:val="auto"/>
          <w:kern w:val="0"/>
          <w:szCs w:val="21"/>
          <w:highlight w:val="none"/>
        </w:rPr>
        <w:t>，且发包人有权要求设计人撤换项目负责人；</w:t>
      </w:r>
    </w:p>
    <w:p w14:paraId="3A5AC768">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第二次及以上延迟提交设计成果或变更图纸及意见的，每逾期一天设计人向发包人支付</w:t>
      </w:r>
      <w:r>
        <w:rPr>
          <w:rFonts w:hint="eastAsia" w:ascii="宋体" w:hAnsi="宋体"/>
          <w:color w:val="auto"/>
          <w:kern w:val="0"/>
          <w:szCs w:val="21"/>
          <w:highlight w:val="none"/>
          <w:u w:val="single"/>
        </w:rPr>
        <w:t>违约金   元(不超过签约合同价的0.5%)</w:t>
      </w:r>
      <w:r>
        <w:rPr>
          <w:rFonts w:ascii="宋体" w:hAnsi="宋体"/>
          <w:color w:val="auto"/>
          <w:kern w:val="0"/>
          <w:szCs w:val="21"/>
          <w:highlight w:val="none"/>
        </w:rPr>
        <w:t>；影响开工时间或工程进度的，可根据情况拒付全部或部分设计费用，同时发包人有权终止合同。</w:t>
      </w:r>
    </w:p>
    <w:p w14:paraId="44A2958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设计人出现设计成果文件未盖章、责任人未</w:t>
      </w:r>
      <w:r>
        <w:rPr>
          <w:rFonts w:hint="eastAsia" w:ascii="宋体" w:hAnsi="宋体"/>
          <w:color w:val="auto"/>
          <w:kern w:val="0"/>
          <w:szCs w:val="21"/>
          <w:highlight w:val="none"/>
        </w:rPr>
        <w:t>签名</w:t>
      </w:r>
      <w:r>
        <w:rPr>
          <w:rFonts w:ascii="宋体" w:hAnsi="宋体"/>
          <w:color w:val="auto"/>
          <w:kern w:val="0"/>
          <w:szCs w:val="21"/>
          <w:highlight w:val="none"/>
        </w:rPr>
        <w:t>或</w:t>
      </w:r>
      <w:r>
        <w:rPr>
          <w:rFonts w:hint="eastAsia" w:ascii="宋体" w:hAnsi="宋体"/>
          <w:color w:val="auto"/>
          <w:kern w:val="0"/>
          <w:szCs w:val="21"/>
          <w:highlight w:val="none"/>
        </w:rPr>
        <w:t>签名</w:t>
      </w:r>
      <w:r>
        <w:rPr>
          <w:rFonts w:ascii="宋体" w:hAnsi="宋体"/>
          <w:color w:val="auto"/>
          <w:kern w:val="0"/>
          <w:szCs w:val="21"/>
          <w:highlight w:val="none"/>
        </w:rPr>
        <w:t>不全、盖章不规范，设计人应向发包人承担下述违约责任：</w:t>
      </w:r>
    </w:p>
    <w:p w14:paraId="5C6BC444">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重新提交并向发包人支付</w:t>
      </w:r>
      <w:r>
        <w:rPr>
          <w:rFonts w:hint="eastAsia" w:ascii="宋体" w:hAnsi="宋体"/>
          <w:color w:val="auto"/>
          <w:kern w:val="0"/>
          <w:szCs w:val="21"/>
          <w:highlight w:val="none"/>
          <w:u w:val="single"/>
        </w:rPr>
        <w:t>违约金   元(不超过签约合同价的0.25%)</w:t>
      </w:r>
      <w:r>
        <w:rPr>
          <w:rFonts w:ascii="宋体" w:hAnsi="宋体"/>
          <w:color w:val="auto"/>
          <w:kern w:val="0"/>
          <w:szCs w:val="21"/>
          <w:highlight w:val="none"/>
        </w:rPr>
        <w:t>；</w:t>
      </w:r>
    </w:p>
    <w:p w14:paraId="040649C0">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两次重新提交并向发包人支付</w:t>
      </w:r>
      <w:r>
        <w:rPr>
          <w:rFonts w:hint="eastAsia" w:ascii="宋体" w:hAnsi="宋体"/>
          <w:color w:val="auto"/>
          <w:kern w:val="0"/>
          <w:szCs w:val="21"/>
          <w:highlight w:val="none"/>
          <w:u w:val="single"/>
        </w:rPr>
        <w:t>违约金   元(不超过签约合同价的0.5%)</w:t>
      </w:r>
      <w:r>
        <w:rPr>
          <w:rFonts w:ascii="宋体" w:hAnsi="宋体"/>
          <w:color w:val="auto"/>
          <w:kern w:val="0"/>
          <w:szCs w:val="21"/>
          <w:highlight w:val="none"/>
        </w:rPr>
        <w:t>；</w:t>
      </w:r>
    </w:p>
    <w:p w14:paraId="47BBC39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连续出现三次及以上出现设计成果文件未盖章、责任人未</w:t>
      </w:r>
      <w:r>
        <w:rPr>
          <w:rFonts w:hint="eastAsia" w:ascii="宋体" w:hAnsi="宋体"/>
          <w:color w:val="auto"/>
          <w:kern w:val="0"/>
          <w:szCs w:val="21"/>
          <w:highlight w:val="none"/>
        </w:rPr>
        <w:t>签名</w:t>
      </w:r>
      <w:r>
        <w:rPr>
          <w:rFonts w:ascii="宋体" w:hAnsi="宋体"/>
          <w:color w:val="auto"/>
          <w:kern w:val="0"/>
          <w:szCs w:val="21"/>
          <w:highlight w:val="none"/>
        </w:rPr>
        <w:t>或</w:t>
      </w:r>
      <w:r>
        <w:rPr>
          <w:rFonts w:hint="eastAsia" w:ascii="宋体" w:hAnsi="宋体"/>
          <w:color w:val="auto"/>
          <w:kern w:val="0"/>
          <w:szCs w:val="21"/>
          <w:highlight w:val="none"/>
        </w:rPr>
        <w:t>签名</w:t>
      </w:r>
      <w:r>
        <w:rPr>
          <w:rFonts w:ascii="宋体" w:hAnsi="宋体"/>
          <w:color w:val="auto"/>
          <w:kern w:val="0"/>
          <w:szCs w:val="21"/>
          <w:highlight w:val="none"/>
        </w:rPr>
        <w:t>不全、盖章不规范的情形，发包人有权终止合同；</w:t>
      </w:r>
    </w:p>
    <w:p w14:paraId="67649FD8">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设计人对提交的设计成果弄虚作假、提供虚假成果资料，被查证属实：</w:t>
      </w:r>
    </w:p>
    <w:p w14:paraId="3AECD0E0">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未造成不良后果，并限时纠正，设计人向发包人支付</w:t>
      </w:r>
      <w:r>
        <w:rPr>
          <w:rFonts w:hint="eastAsia" w:ascii="宋体" w:hAnsi="宋体"/>
          <w:color w:val="auto"/>
          <w:kern w:val="0"/>
          <w:szCs w:val="21"/>
          <w:highlight w:val="none"/>
          <w:u w:val="single"/>
        </w:rPr>
        <w:t>违约金   元(不超过签约合同价的5%)</w:t>
      </w:r>
      <w:r>
        <w:rPr>
          <w:rFonts w:ascii="宋体" w:hAnsi="宋体"/>
          <w:color w:val="auto"/>
          <w:kern w:val="0"/>
          <w:szCs w:val="21"/>
          <w:highlight w:val="none"/>
        </w:rPr>
        <w:t>；</w:t>
      </w:r>
    </w:p>
    <w:p w14:paraId="6A447144">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造成不良后果，发包人有权要求撤换项目负责人，追究设计人责任，设计人向发包人支付</w:t>
      </w:r>
      <w:r>
        <w:rPr>
          <w:rFonts w:hint="eastAsia" w:ascii="宋体" w:hAnsi="宋体"/>
          <w:color w:val="auto"/>
          <w:kern w:val="0"/>
          <w:szCs w:val="21"/>
          <w:highlight w:val="none"/>
          <w:u w:val="single"/>
        </w:rPr>
        <w:t>违约金   元(不超过签约合同价的10%)</w:t>
      </w:r>
      <w:r>
        <w:rPr>
          <w:rFonts w:ascii="宋体" w:hAnsi="宋体"/>
          <w:color w:val="auto"/>
          <w:kern w:val="0"/>
          <w:szCs w:val="21"/>
          <w:highlight w:val="none"/>
        </w:rPr>
        <w:t>。</w:t>
      </w:r>
    </w:p>
    <w:p w14:paraId="39F4C85D">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因设计人过失引起的设计变更，造成工程投资增加超过</w:t>
      </w:r>
      <w:r>
        <w:rPr>
          <w:rFonts w:hint="eastAsia" w:ascii="宋体" w:hAnsi="宋体"/>
          <w:color w:val="auto"/>
          <w:kern w:val="0"/>
          <w:szCs w:val="21"/>
          <w:highlight w:val="none"/>
        </w:rPr>
        <w:t>概算</w:t>
      </w:r>
      <w:r>
        <w:rPr>
          <w:rFonts w:ascii="宋体" w:hAnsi="宋体"/>
          <w:color w:val="auto"/>
          <w:kern w:val="0"/>
          <w:szCs w:val="21"/>
          <w:highlight w:val="none"/>
        </w:rPr>
        <w:t>5%的，视情节轻重扣除</w:t>
      </w:r>
      <w:r>
        <w:rPr>
          <w:rFonts w:hint="eastAsia" w:ascii="宋体" w:hAnsi="宋体"/>
          <w:color w:val="auto"/>
          <w:kern w:val="0"/>
          <w:szCs w:val="21"/>
          <w:highlight w:val="none"/>
          <w:u w:val="single"/>
        </w:rPr>
        <w:t xml:space="preserve">   元(不超过签约合同价的30%)</w:t>
      </w:r>
      <w:r>
        <w:rPr>
          <w:rFonts w:ascii="宋体" w:hAnsi="宋体"/>
          <w:color w:val="auto"/>
          <w:kern w:val="0"/>
          <w:szCs w:val="21"/>
          <w:highlight w:val="none"/>
        </w:rPr>
        <w:t>的设计费，并报主管部门予以处罚。</w:t>
      </w:r>
    </w:p>
    <w:p w14:paraId="7FDBF616">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（5）</w:t>
      </w:r>
      <w:r>
        <w:rPr>
          <w:rFonts w:ascii="宋体" w:hAnsi="宋体"/>
          <w:color w:val="auto"/>
          <w:kern w:val="0"/>
          <w:szCs w:val="21"/>
          <w:highlight w:val="none"/>
        </w:rPr>
        <w:t>设计人转包、违法分包或者未经发包人同意擅自分包的。一经查实，设计人的履约保证金不予退还，设计人另向发包人支付</w:t>
      </w:r>
      <w:r>
        <w:rPr>
          <w:rFonts w:hint="eastAsia" w:ascii="宋体" w:hAnsi="宋体"/>
          <w:color w:val="auto"/>
          <w:kern w:val="0"/>
          <w:szCs w:val="21"/>
          <w:highlight w:val="none"/>
          <w:u w:val="single"/>
        </w:rPr>
        <w:t>违约金   元(不超过签约合同价的30%)</w:t>
      </w:r>
      <w:r>
        <w:rPr>
          <w:rFonts w:ascii="宋体" w:hAnsi="宋体"/>
          <w:color w:val="auto"/>
          <w:kern w:val="0"/>
          <w:szCs w:val="21"/>
          <w:highlight w:val="none"/>
        </w:rPr>
        <w:t>，同时发包人报请相关行政监管部门对设计人进行罚款、限制投标、降低资质等处罚、公开曝光，记入不良行为记录，且发包人有权单方解除合同。</w:t>
      </w:r>
    </w:p>
    <w:p w14:paraId="2A101BF6">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（6）</w:t>
      </w:r>
      <w:r>
        <w:rPr>
          <w:rFonts w:ascii="宋体" w:hAnsi="宋体"/>
          <w:color w:val="auto"/>
          <w:kern w:val="0"/>
          <w:szCs w:val="21"/>
          <w:highlight w:val="none"/>
        </w:rPr>
        <w:t>设计人串通或参与串通其他参建方，谋取非法利益的，由监察部门、主管部门给予处罚，构成犯罪的，移交司法机关处理。</w:t>
      </w:r>
    </w:p>
    <w:p w14:paraId="692424C2">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.3设计人提交设计成果，存在明显不合理，较大缺漏项及设计错误</w:t>
      </w:r>
    </w:p>
    <w:p w14:paraId="6735E8B2">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方案设计及初步设计阶段经专家评审时，发现设计有存在明显不合理或存在较大缺漏项及错误，导致</w:t>
      </w:r>
      <w:r>
        <w:rPr>
          <w:rFonts w:hint="eastAsia" w:ascii="宋体" w:hAnsi="宋体"/>
          <w:color w:val="auto"/>
          <w:kern w:val="0"/>
          <w:szCs w:val="21"/>
          <w:highlight w:val="none"/>
        </w:rPr>
        <w:t>送审的</w:t>
      </w:r>
      <w:r>
        <w:rPr>
          <w:rFonts w:ascii="宋体" w:hAnsi="宋体"/>
          <w:color w:val="auto"/>
          <w:kern w:val="0"/>
          <w:szCs w:val="21"/>
          <w:highlight w:val="none"/>
        </w:rPr>
        <w:t>设计方案调整较大，设计人负责补充或修改，最终概算调整超过上报概算5%的，且视情节轻重扣除该阶段</w:t>
      </w:r>
      <w:r>
        <w:rPr>
          <w:rFonts w:hint="eastAsia" w:ascii="宋体" w:hAnsi="宋体"/>
          <w:color w:val="auto"/>
          <w:kern w:val="0"/>
          <w:szCs w:val="21"/>
          <w:highlight w:val="none"/>
          <w:u w:val="single"/>
        </w:rPr>
        <w:t xml:space="preserve">   元(不超过该阶段签约合同价的30%)</w:t>
      </w:r>
      <w:r>
        <w:rPr>
          <w:rFonts w:ascii="宋体" w:hAnsi="宋体"/>
          <w:color w:val="auto"/>
          <w:kern w:val="0"/>
          <w:szCs w:val="21"/>
          <w:highlight w:val="none"/>
        </w:rPr>
        <w:t>的设计费，并记入履约不良行为记录。</w:t>
      </w:r>
    </w:p>
    <w:p w14:paraId="27FA093E">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对审核通过的施工图纸进行定期抽查，发现仍有设计明显不合理或缺漏项及错误的，设计人负责补充或修改。同时，每发现一次，设计人向发包人支付</w:t>
      </w:r>
      <w:r>
        <w:rPr>
          <w:rFonts w:hint="eastAsia" w:ascii="宋体" w:hAnsi="宋体"/>
          <w:color w:val="auto"/>
          <w:kern w:val="0"/>
          <w:szCs w:val="21"/>
          <w:highlight w:val="none"/>
          <w:u w:val="single"/>
        </w:rPr>
        <w:t>违约金   元(不超过签约合同价的0.5%)</w:t>
      </w:r>
      <w:r>
        <w:rPr>
          <w:rFonts w:ascii="宋体" w:hAnsi="宋体"/>
          <w:color w:val="auto"/>
          <w:kern w:val="0"/>
          <w:szCs w:val="21"/>
          <w:highlight w:val="none"/>
        </w:rPr>
        <w:t>。</w:t>
      </w:r>
    </w:p>
    <w:p w14:paraId="5616409A">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因设计人原因，施工图与初步设计差异较大，最终清单控制价高于初步设计概算5%的，设计人负责补充或修改，应向发包人支付</w:t>
      </w:r>
      <w:r>
        <w:rPr>
          <w:rFonts w:hint="eastAsia" w:ascii="宋体" w:hAnsi="宋体"/>
          <w:color w:val="auto"/>
          <w:kern w:val="0"/>
          <w:szCs w:val="21"/>
          <w:highlight w:val="none"/>
          <w:u w:val="single"/>
        </w:rPr>
        <w:t>违约金   元(不超过签约合同价的0.5%)</w:t>
      </w:r>
      <w:r>
        <w:rPr>
          <w:rFonts w:ascii="宋体" w:hAnsi="宋体"/>
          <w:color w:val="auto"/>
          <w:kern w:val="0"/>
          <w:szCs w:val="21"/>
          <w:highlight w:val="none"/>
        </w:rPr>
        <w:t>。未经业主同意，设计人私下调整施工图纸的，应向发包人支付</w:t>
      </w:r>
      <w:r>
        <w:rPr>
          <w:rFonts w:hint="eastAsia" w:ascii="宋体" w:hAnsi="宋体"/>
          <w:color w:val="auto"/>
          <w:kern w:val="0"/>
          <w:szCs w:val="21"/>
          <w:highlight w:val="none"/>
          <w:u w:val="single"/>
        </w:rPr>
        <w:t>违约金   元(不超过签约合同价的1%)</w:t>
      </w:r>
      <w:r>
        <w:rPr>
          <w:rFonts w:ascii="宋体" w:hAnsi="宋体"/>
          <w:color w:val="auto"/>
          <w:kern w:val="0"/>
          <w:szCs w:val="21"/>
          <w:highlight w:val="none"/>
        </w:rPr>
        <w:t>，并接受主管部门的处理；情节严重的，发包人有权解除或终止合同。</w:t>
      </w:r>
    </w:p>
    <w:p w14:paraId="5C1F58DE">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工程施工阶段，发现设计人的设计文件有缺漏项或设计错误的，设计人除负责补充或修改外，还应视情节严重程度，并接受违约处理：</w:t>
      </w:r>
    </w:p>
    <w:p w14:paraId="1F82663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施工图设计文件本身存在漏项、缺项、错误而产生设计变更，设计人负责补充修改，当设计变更造成</w:t>
      </w:r>
      <w:r>
        <w:rPr>
          <w:rFonts w:hint="eastAsia" w:ascii="宋体" w:hAnsi="宋体"/>
          <w:color w:val="auto"/>
          <w:kern w:val="0"/>
          <w:szCs w:val="21"/>
          <w:highlight w:val="none"/>
        </w:rPr>
        <w:t>工程造价</w:t>
      </w:r>
      <w:r>
        <w:rPr>
          <w:rFonts w:ascii="宋体" w:hAnsi="宋体"/>
          <w:color w:val="auto"/>
          <w:kern w:val="0"/>
          <w:szCs w:val="21"/>
          <w:highlight w:val="none"/>
        </w:rPr>
        <w:t>累计变更超过施工合同总价5%的，设计人向发包人支付</w:t>
      </w:r>
      <w:r>
        <w:rPr>
          <w:rFonts w:hint="eastAsia" w:ascii="宋体" w:hAnsi="宋体"/>
          <w:color w:val="auto"/>
          <w:kern w:val="0"/>
          <w:szCs w:val="21"/>
          <w:highlight w:val="none"/>
          <w:u w:val="single"/>
        </w:rPr>
        <w:t>违约金   元(不超过签约合同价的10%)</w:t>
      </w:r>
      <w:r>
        <w:rPr>
          <w:rFonts w:ascii="宋体" w:hAnsi="宋体"/>
          <w:color w:val="auto"/>
          <w:kern w:val="0"/>
          <w:szCs w:val="21"/>
          <w:highlight w:val="none"/>
        </w:rPr>
        <w:t>。</w:t>
      </w:r>
    </w:p>
    <w:p w14:paraId="758F516B">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由于设计人的原因，造成工程质量事故的，设计人除向发包人支付</w:t>
      </w:r>
      <w:r>
        <w:rPr>
          <w:rFonts w:hint="eastAsia" w:ascii="宋体" w:hAnsi="宋体"/>
          <w:color w:val="auto"/>
          <w:kern w:val="0"/>
          <w:szCs w:val="21"/>
          <w:highlight w:val="none"/>
          <w:u w:val="single"/>
        </w:rPr>
        <w:t>违约金   元(不超过签约合同价的30%)</w:t>
      </w:r>
      <w:r>
        <w:rPr>
          <w:rFonts w:ascii="宋体" w:hAnsi="宋体"/>
          <w:color w:val="auto"/>
          <w:kern w:val="0"/>
          <w:szCs w:val="21"/>
          <w:highlight w:val="none"/>
        </w:rPr>
        <w:t>、采取补救措施、向发包人承担直接经济损失外，还需按照相关规定承担其他法律责任。</w:t>
      </w:r>
    </w:p>
    <w:p w14:paraId="42DEC6B1">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.4项目服务期内，设计人未按要求提供相应服务</w:t>
      </w:r>
    </w:p>
    <w:p w14:paraId="53332206">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设计人须根据发包人要求，积极配合完成方案汇报及审批工作，专题会议项目负责人或专业负责人缺席参会的按照下列方式处理：</w:t>
      </w:r>
    </w:p>
    <w:p w14:paraId="6FF28688">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spacing w:val="-6"/>
          <w:kern w:val="0"/>
          <w:szCs w:val="21"/>
          <w:highlight w:val="none"/>
        </w:rPr>
        <w:t>第一次缺席参会的，设计人应向发包人支付</w:t>
      </w:r>
      <w:r>
        <w:rPr>
          <w:rFonts w:hint="eastAsia" w:ascii="宋体" w:hAnsi="宋体"/>
          <w:color w:val="auto"/>
          <w:kern w:val="0"/>
          <w:szCs w:val="21"/>
          <w:highlight w:val="none"/>
          <w:u w:val="single"/>
        </w:rPr>
        <w:t>违约金   元(不超过5000元)</w:t>
      </w:r>
      <w:r>
        <w:rPr>
          <w:rFonts w:ascii="宋体" w:hAnsi="宋体"/>
          <w:color w:val="auto"/>
          <w:spacing w:val="-6"/>
          <w:kern w:val="0"/>
          <w:szCs w:val="21"/>
          <w:highlight w:val="none"/>
        </w:rPr>
        <w:t>；</w:t>
      </w:r>
    </w:p>
    <w:p w14:paraId="41790AD2">
      <w:pPr>
        <w:widowControl/>
        <w:tabs>
          <w:tab w:val="left" w:pos="9072"/>
          <w:tab w:val="left" w:pos="9781"/>
        </w:tabs>
        <w:spacing w:line="360" w:lineRule="auto"/>
        <w:ind w:firstLine="396" w:firstLineChars="200"/>
        <w:jc w:val="left"/>
        <w:rPr>
          <w:rFonts w:hint="eastAsia" w:ascii="宋体" w:hAnsi="宋体"/>
          <w:color w:val="auto"/>
          <w:spacing w:val="-6"/>
          <w:kern w:val="0"/>
          <w:szCs w:val="21"/>
          <w:highlight w:val="none"/>
        </w:rPr>
      </w:pPr>
      <w:r>
        <w:rPr>
          <w:rFonts w:hint="eastAsia" w:ascii="宋体" w:hAnsi="宋体" w:cs="宋体"/>
          <w:color w:val="auto"/>
          <w:spacing w:val="-6"/>
          <w:kern w:val="0"/>
          <w:szCs w:val="21"/>
          <w:highlight w:val="none"/>
        </w:rPr>
        <w:t>②</w:t>
      </w:r>
      <w:r>
        <w:rPr>
          <w:rFonts w:ascii="宋体" w:hAnsi="宋体"/>
          <w:color w:val="auto"/>
          <w:spacing w:val="-6"/>
          <w:kern w:val="0"/>
          <w:szCs w:val="21"/>
          <w:highlight w:val="none"/>
        </w:rPr>
        <w:t>第二次缺席参会的，设计人应向发包人支付</w:t>
      </w:r>
      <w:r>
        <w:rPr>
          <w:rFonts w:hint="eastAsia" w:ascii="宋体" w:hAnsi="宋体"/>
          <w:color w:val="auto"/>
          <w:kern w:val="0"/>
          <w:szCs w:val="21"/>
          <w:highlight w:val="none"/>
          <w:u w:val="single"/>
        </w:rPr>
        <w:t>违约金   元(不超过10000元)</w:t>
      </w:r>
      <w:r>
        <w:rPr>
          <w:rFonts w:ascii="宋体" w:hAnsi="宋体"/>
          <w:color w:val="auto"/>
          <w:spacing w:val="-6"/>
          <w:kern w:val="0"/>
          <w:szCs w:val="21"/>
          <w:highlight w:val="none"/>
        </w:rPr>
        <w:t>；</w:t>
      </w:r>
    </w:p>
    <w:p w14:paraId="653A521A">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第三次缺席参会的，设计人除按照发包人要求更换项目负责人外，还应向发包人支付</w:t>
      </w:r>
      <w:r>
        <w:rPr>
          <w:rFonts w:hint="eastAsia" w:ascii="宋体" w:hAnsi="宋体"/>
          <w:color w:val="auto"/>
          <w:kern w:val="0"/>
          <w:szCs w:val="21"/>
          <w:highlight w:val="none"/>
          <w:u w:val="single"/>
        </w:rPr>
        <w:t>违约金   元(不超过20000元)</w:t>
      </w:r>
      <w:r>
        <w:rPr>
          <w:rFonts w:ascii="宋体" w:hAnsi="宋体"/>
          <w:color w:val="auto"/>
          <w:kern w:val="0"/>
          <w:szCs w:val="21"/>
          <w:highlight w:val="none"/>
        </w:rPr>
        <w:t>。</w:t>
      </w:r>
    </w:p>
    <w:p w14:paraId="1EBB681D">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施工服务期内，设计人指定的现场设计服务人员达不到现场工作要求的，应在（</w:t>
      </w:r>
      <w:r>
        <w:rPr>
          <w:rFonts w:ascii="宋体" w:hAnsi="宋体"/>
          <w:color w:val="auto"/>
          <w:kern w:val="0"/>
          <w:szCs w:val="21"/>
          <w:highlight w:val="none"/>
          <w:u w:val="single"/>
        </w:rPr>
        <w:t>4</w:t>
      </w:r>
      <w:r>
        <w:rPr>
          <w:rFonts w:hint="eastAsia" w:ascii="宋体" w:hAnsi="宋体"/>
          <w:color w:val="auto"/>
          <w:kern w:val="0"/>
          <w:szCs w:val="21"/>
          <w:highlight w:val="none"/>
          <w:u w:val="single"/>
        </w:rPr>
        <w:t>~</w:t>
      </w:r>
      <w:r>
        <w:rPr>
          <w:rFonts w:ascii="宋体" w:hAnsi="宋体"/>
          <w:color w:val="auto"/>
          <w:kern w:val="0"/>
          <w:szCs w:val="21"/>
          <w:highlight w:val="none"/>
          <w:u w:val="single"/>
        </w:rPr>
        <w:t>24）</w:t>
      </w:r>
      <w:r>
        <w:rPr>
          <w:rFonts w:ascii="宋体" w:hAnsi="宋体"/>
          <w:color w:val="auto"/>
          <w:kern w:val="0"/>
          <w:szCs w:val="21"/>
          <w:highlight w:val="none"/>
        </w:rPr>
        <w:t>小时内另行指派能解决问题的现场设计服务人员到达现场，并向发包人支付</w:t>
      </w:r>
      <w:r>
        <w:rPr>
          <w:rFonts w:hint="eastAsia" w:ascii="宋体" w:hAnsi="宋体"/>
          <w:color w:val="auto"/>
          <w:kern w:val="0"/>
          <w:szCs w:val="21"/>
          <w:highlight w:val="none"/>
          <w:u w:val="single"/>
        </w:rPr>
        <w:t>违约金   元(不超过5000元)</w:t>
      </w:r>
      <w:r>
        <w:rPr>
          <w:rFonts w:ascii="宋体" w:hAnsi="宋体"/>
          <w:color w:val="auto"/>
          <w:kern w:val="0"/>
          <w:szCs w:val="21"/>
          <w:highlight w:val="none"/>
        </w:rPr>
        <w:t>。</w:t>
      </w:r>
    </w:p>
    <w:p w14:paraId="1A4AAD50">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项目负责人在施工关键节点和出现关键性技术问题时，应及时赶到现场。否则，视为设计人违约，每发生一次设计人向发包人支付</w:t>
      </w:r>
      <w:r>
        <w:rPr>
          <w:rFonts w:hint="eastAsia" w:ascii="宋体" w:hAnsi="宋体"/>
          <w:color w:val="auto"/>
          <w:kern w:val="0"/>
          <w:szCs w:val="21"/>
          <w:highlight w:val="none"/>
          <w:u w:val="single"/>
        </w:rPr>
        <w:t>违约金   元(不超过10000元)</w:t>
      </w:r>
      <w:r>
        <w:rPr>
          <w:rFonts w:ascii="宋体" w:hAnsi="宋体"/>
          <w:color w:val="auto"/>
          <w:kern w:val="0"/>
          <w:szCs w:val="21"/>
          <w:highlight w:val="none"/>
        </w:rPr>
        <w:t>。</w:t>
      </w:r>
    </w:p>
    <w:p w14:paraId="1A4C5ECB">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设计人现场勘查、交底、验收缺位的，应向发包人承担下述违约责任：</w:t>
      </w:r>
    </w:p>
    <w:p w14:paraId="2AFDCEC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第一次不到位，设计人向发包人支付</w:t>
      </w:r>
      <w:r>
        <w:rPr>
          <w:rFonts w:hint="eastAsia" w:ascii="宋体" w:hAnsi="宋体"/>
          <w:color w:val="auto"/>
          <w:kern w:val="0"/>
          <w:szCs w:val="21"/>
          <w:highlight w:val="none"/>
          <w:u w:val="single"/>
        </w:rPr>
        <w:t>违约金   元(不超过10000元)</w:t>
      </w:r>
      <w:r>
        <w:rPr>
          <w:rFonts w:ascii="宋体" w:hAnsi="宋体"/>
          <w:color w:val="auto"/>
          <w:kern w:val="0"/>
          <w:szCs w:val="21"/>
          <w:highlight w:val="none"/>
        </w:rPr>
        <w:t>。</w:t>
      </w:r>
    </w:p>
    <w:p w14:paraId="41E39510">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第二次及以上每发生一次设计人向发包人支付</w:t>
      </w:r>
      <w:r>
        <w:rPr>
          <w:rFonts w:hint="eastAsia" w:ascii="宋体" w:hAnsi="宋体"/>
          <w:color w:val="auto"/>
          <w:kern w:val="0"/>
          <w:szCs w:val="21"/>
          <w:highlight w:val="none"/>
          <w:u w:val="single"/>
        </w:rPr>
        <w:t>违约金   元(不超过20000元)</w:t>
      </w:r>
      <w:r>
        <w:rPr>
          <w:rFonts w:ascii="宋体" w:hAnsi="宋体"/>
          <w:color w:val="auto"/>
          <w:kern w:val="0"/>
          <w:szCs w:val="21"/>
          <w:highlight w:val="none"/>
        </w:rPr>
        <w:t>。</w:t>
      </w:r>
    </w:p>
    <w:p w14:paraId="2D4A2C3A">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连续发生三次的将书面上报主管部门进行处理。</w:t>
      </w:r>
    </w:p>
    <w:p w14:paraId="1DEE63CA">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（5）</w:t>
      </w:r>
      <w:r>
        <w:rPr>
          <w:rFonts w:ascii="宋体" w:hAnsi="宋体"/>
          <w:color w:val="auto"/>
          <w:kern w:val="0"/>
          <w:szCs w:val="21"/>
          <w:highlight w:val="none"/>
        </w:rPr>
        <w:t>设计人工程质量问题处理缺位的，应向发包人承担下述违约责任：</w:t>
      </w:r>
    </w:p>
    <w:p w14:paraId="398A243A">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未造成不良后果，记录在案，设计人向发包人支付</w:t>
      </w:r>
      <w:r>
        <w:rPr>
          <w:rFonts w:hint="eastAsia" w:ascii="宋体" w:hAnsi="宋体"/>
          <w:color w:val="auto"/>
          <w:kern w:val="0"/>
          <w:szCs w:val="21"/>
          <w:highlight w:val="none"/>
          <w:u w:val="single"/>
        </w:rPr>
        <w:t>违约金   元(不超过签约合同价的0.05%)</w:t>
      </w:r>
      <w:r>
        <w:rPr>
          <w:rFonts w:ascii="宋体" w:hAnsi="宋体"/>
          <w:color w:val="auto"/>
          <w:kern w:val="0"/>
          <w:szCs w:val="21"/>
          <w:highlight w:val="none"/>
        </w:rPr>
        <w:t>。</w:t>
      </w:r>
    </w:p>
    <w:p w14:paraId="52B9057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造成不良后果，撤换项目负责人，设计人向发包人支付</w:t>
      </w:r>
      <w:r>
        <w:rPr>
          <w:rFonts w:hint="eastAsia" w:ascii="宋体" w:hAnsi="宋体"/>
          <w:color w:val="auto"/>
          <w:kern w:val="0"/>
          <w:szCs w:val="21"/>
          <w:highlight w:val="none"/>
          <w:u w:val="single"/>
        </w:rPr>
        <w:t>违约金   元(不超过签约合同价的0.3%)</w:t>
      </w:r>
      <w:r>
        <w:rPr>
          <w:rFonts w:ascii="宋体" w:hAnsi="宋体"/>
          <w:color w:val="auto"/>
          <w:kern w:val="0"/>
          <w:szCs w:val="21"/>
          <w:highlight w:val="none"/>
        </w:rPr>
        <w:t>。</w:t>
      </w:r>
    </w:p>
    <w:p w14:paraId="6223229E">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（6）</w:t>
      </w:r>
      <w:r>
        <w:rPr>
          <w:rFonts w:ascii="宋体" w:hAnsi="宋体"/>
          <w:color w:val="auto"/>
          <w:kern w:val="0"/>
          <w:szCs w:val="21"/>
          <w:highlight w:val="none"/>
        </w:rPr>
        <w:t>设计人未按照规定程序修改、变更设计文件的，应向发包人承担下述违约责任：</w:t>
      </w:r>
    </w:p>
    <w:p w14:paraId="0FE9382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未造成不良后果的，限时纠正，设计人向发包人支付</w:t>
      </w:r>
      <w:r>
        <w:rPr>
          <w:rFonts w:hint="eastAsia" w:ascii="宋体" w:hAnsi="宋体"/>
          <w:color w:val="auto"/>
          <w:kern w:val="0"/>
          <w:szCs w:val="21"/>
          <w:highlight w:val="none"/>
          <w:u w:val="single"/>
        </w:rPr>
        <w:t>违约金   元(不超过签约合同价的0.05%)</w:t>
      </w:r>
      <w:r>
        <w:rPr>
          <w:rFonts w:ascii="宋体" w:hAnsi="宋体"/>
          <w:color w:val="auto"/>
          <w:kern w:val="0"/>
          <w:szCs w:val="21"/>
          <w:highlight w:val="none"/>
        </w:rPr>
        <w:t>。</w:t>
      </w:r>
    </w:p>
    <w:p w14:paraId="4FA8E65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已造成不良后果的，变更不予认可，设计人向发包人支付</w:t>
      </w:r>
      <w:r>
        <w:rPr>
          <w:rFonts w:hint="eastAsia" w:ascii="宋体" w:hAnsi="宋体"/>
          <w:color w:val="auto"/>
          <w:kern w:val="0"/>
          <w:szCs w:val="21"/>
          <w:highlight w:val="none"/>
          <w:u w:val="single"/>
        </w:rPr>
        <w:t>违约金   元(不超过签约合同价的0.3%)</w:t>
      </w:r>
      <w:r>
        <w:rPr>
          <w:rFonts w:hint="eastAsia" w:ascii="宋体" w:hAnsi="宋体"/>
          <w:color w:val="auto"/>
          <w:kern w:val="0"/>
          <w:szCs w:val="21"/>
          <w:highlight w:val="none"/>
        </w:rPr>
        <w:t>。</w:t>
      </w:r>
    </w:p>
    <w:p w14:paraId="19D0543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14.2 发包人违约</w:t>
      </w:r>
    </w:p>
    <w:p w14:paraId="68D9B9A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14.2.3发包人违约其他情形</w:t>
      </w:r>
    </w:p>
    <w:p w14:paraId="0A61B48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14.2.3.1发包人应按本合同规定的金额和日期向设计人支付设计费，每逾期支付</w:t>
      </w:r>
      <w:r>
        <w:rPr>
          <w:rFonts w:ascii="宋体" w:hAnsi="宋体"/>
          <w:color w:val="auto"/>
          <w:kern w:val="0"/>
          <w:szCs w:val="21"/>
          <w:highlight w:val="none"/>
          <w:u w:val="single"/>
        </w:rPr>
        <w:t>1</w:t>
      </w:r>
      <w:r>
        <w:rPr>
          <w:rFonts w:ascii="宋体" w:hAnsi="宋体"/>
          <w:color w:val="auto"/>
          <w:kern w:val="0"/>
          <w:szCs w:val="21"/>
          <w:highlight w:val="none"/>
        </w:rPr>
        <w:t>天，应按照当期应</w:t>
      </w:r>
      <w:r>
        <w:rPr>
          <w:rFonts w:hint="eastAsia" w:ascii="宋体" w:hAnsi="宋体"/>
          <w:color w:val="auto"/>
          <w:kern w:val="0"/>
          <w:szCs w:val="21"/>
          <w:highlight w:val="none"/>
        </w:rPr>
        <w:t>支</w:t>
      </w:r>
      <w:r>
        <w:rPr>
          <w:rFonts w:ascii="宋体" w:hAnsi="宋体"/>
          <w:color w:val="auto"/>
          <w:kern w:val="0"/>
          <w:szCs w:val="21"/>
          <w:highlight w:val="none"/>
        </w:rPr>
        <w:t>付</w:t>
      </w:r>
      <w:r>
        <w:rPr>
          <w:rFonts w:hint="eastAsia" w:ascii="宋体" w:hAnsi="宋体"/>
          <w:color w:val="auto"/>
          <w:kern w:val="0"/>
          <w:szCs w:val="21"/>
          <w:highlight w:val="none"/>
          <w:u w:val="single"/>
        </w:rPr>
        <w:t>违约金   元(不超过签约合同价的0.2%)</w:t>
      </w:r>
      <w:r>
        <w:rPr>
          <w:rFonts w:ascii="宋体" w:hAnsi="宋体"/>
          <w:color w:val="auto"/>
          <w:kern w:val="0"/>
          <w:szCs w:val="21"/>
          <w:highlight w:val="none"/>
        </w:rPr>
        <w:t>，且设计人提交设计文件的时间顺延。逾期超过</w:t>
      </w:r>
      <w:r>
        <w:rPr>
          <w:rFonts w:ascii="宋体" w:hAnsi="宋体"/>
          <w:color w:val="auto"/>
          <w:kern w:val="0"/>
          <w:szCs w:val="21"/>
          <w:highlight w:val="none"/>
          <w:u w:val="single"/>
        </w:rPr>
        <w:t>28天</w:t>
      </w:r>
      <w:r>
        <w:rPr>
          <w:rFonts w:ascii="宋体" w:hAnsi="宋体"/>
          <w:b/>
          <w:color w:val="auto"/>
          <w:kern w:val="0"/>
          <w:szCs w:val="21"/>
          <w:highlight w:val="none"/>
          <w:u w:val="single"/>
        </w:rPr>
        <w:t xml:space="preserve"> </w:t>
      </w:r>
      <w:r>
        <w:rPr>
          <w:rFonts w:ascii="宋体" w:hAnsi="宋体"/>
          <w:color w:val="auto"/>
          <w:kern w:val="0"/>
          <w:szCs w:val="21"/>
          <w:highlight w:val="none"/>
        </w:rPr>
        <w:t>以上时，设计人有权暂停履行下阶段工作，并书面通知发包人。</w:t>
      </w:r>
    </w:p>
    <w:p w14:paraId="2615D23B">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14.2.3.2在设计人已开始设计工作，因发包人原因，导致合同不能履行的，设计人已完成的设计工作不足该阶段的一半时，发包人按该阶段设计费的一半支付；超过一半时，发包人按该阶段设计费的全部支付。</w:t>
      </w:r>
    </w:p>
    <w:p w14:paraId="2D5C4311">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发包人需支付的设计费的计费依据按下列方式确定：（下列方式与合同方式对应选择一种）</w:t>
      </w:r>
    </w:p>
    <w:p w14:paraId="01B66E7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方式一、合同价格采用费率包干形式的： </w:t>
      </w:r>
    </w:p>
    <w:p w14:paraId="0A011169">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 xml:space="preserve">方案设计阶段合同不能履行的，以经批准的立项批复建筑安装工程费与设备购置费之和为计费额。 </w:t>
      </w:r>
    </w:p>
    <w:p w14:paraId="07952301">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初步设计阶段合同不能履行的，以经批准的方案设计批复的建筑安装工程费与设备购置费之和为计费额。</w:t>
      </w:r>
    </w:p>
    <w:p w14:paraId="07989C10">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施工图设计阶段合同不能履行的，以经批准的初步设计批复的建筑安装工程费与设备购置费之和为计费额。</w:t>
      </w:r>
    </w:p>
    <w:p w14:paraId="61A9E35B">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方式二、合同价格采用单价包干形式的：</w:t>
      </w:r>
    </w:p>
    <w:p w14:paraId="0345F39D">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 xml:space="preserve">方案设计阶段合同不能履行的，以经批准的立项批复建设规模为依据。 </w:t>
      </w:r>
    </w:p>
    <w:p w14:paraId="3A908F7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初步设计阶段合同不能履行的，以经批准的方案设计批复的建设规模为依据。</w:t>
      </w:r>
    </w:p>
    <w:p w14:paraId="0BB0C29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施工图设计阶段合同不能履行的，以经批准的初步设计批复的建设规模为依据。</w:t>
      </w:r>
    </w:p>
    <w:p w14:paraId="304A170C">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方式三、合同价格采用总价包干形式的：</w:t>
      </w:r>
    </w:p>
    <w:p w14:paraId="4AEAC20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以签约合同价格为依据。</w:t>
      </w:r>
    </w:p>
    <w:p w14:paraId="2969FCE5">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设计各阶段工作费用比例：</w:t>
      </w:r>
    </w:p>
    <w:p w14:paraId="210049B8">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方案设计阶段的设计费占本合同设计费总额的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，初步设计阶段的设计费占本合同设计费总额的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施工图设计阶段的设计费占本合同设计费总额的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，施工配合阶段的设计费占本合同设计费总额的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85EB4AA">
      <w:pPr>
        <w:widowControl/>
        <w:tabs>
          <w:tab w:val="left" w:pos="9072"/>
          <w:tab w:val="left" w:pos="9781"/>
        </w:tabs>
        <w:spacing w:line="360" w:lineRule="auto"/>
        <w:ind w:firstLine="420" w:firstLineChars="200"/>
        <w:jc w:val="left"/>
        <w:rPr>
          <w:rFonts w:hint="eastAsia" w:ascii="宋体" w:hAnsi="宋体"/>
          <w:snapToGrid w:val="0"/>
          <w:color w:val="auto"/>
          <w:kern w:val="0"/>
          <w:szCs w:val="21"/>
          <w:highlight w:val="none"/>
        </w:rPr>
      </w:pPr>
      <w:r>
        <w:rPr>
          <w:rFonts w:ascii="宋体" w:hAnsi="宋体"/>
          <w:color w:val="auto"/>
          <w:kern w:val="0"/>
          <w:szCs w:val="21"/>
          <w:highlight w:val="none"/>
        </w:rPr>
        <w:t>14.2.3.3发包人逾期提交资料及文件的，超过的期限相应顺延，但不增加设计费用。若发包人提供的资料有误或违法违规要求造成设计修改，发包人应承担修改部分相应设计费（</w:t>
      </w:r>
      <w:r>
        <w:rPr>
          <w:rFonts w:ascii="宋体" w:hAnsi="宋体"/>
          <w:color w:val="auto"/>
          <w:kern w:val="0"/>
          <w:szCs w:val="21"/>
          <w:highlight w:val="none"/>
          <w:u w:val="single"/>
        </w:rPr>
        <w:t>70%</w:t>
      </w:r>
      <w:r>
        <w:rPr>
          <w:rFonts w:hint="eastAsia" w:ascii="宋体" w:hAnsi="宋体"/>
          <w:color w:val="auto"/>
          <w:kern w:val="0"/>
          <w:szCs w:val="21"/>
          <w:highlight w:val="none"/>
          <w:u w:val="single"/>
        </w:rPr>
        <w:t>~</w:t>
      </w:r>
      <w:r>
        <w:rPr>
          <w:rFonts w:ascii="宋体" w:hAnsi="宋体"/>
          <w:snapToGrid w:val="0"/>
          <w:color w:val="auto"/>
          <w:kern w:val="0"/>
          <w:szCs w:val="21"/>
          <w:highlight w:val="none"/>
          <w:u w:val="single"/>
        </w:rPr>
        <w:t>100%</w:t>
      </w:r>
      <w:r>
        <w:rPr>
          <w:rFonts w:ascii="宋体" w:hAnsi="宋体"/>
          <w:snapToGrid w:val="0"/>
          <w:color w:val="auto"/>
          <w:kern w:val="0"/>
          <w:szCs w:val="21"/>
          <w:highlight w:val="none"/>
        </w:rPr>
        <w:t>）,</w:t>
      </w:r>
      <w:r>
        <w:rPr>
          <w:rFonts w:ascii="宋体" w:hAnsi="宋体"/>
          <w:color w:val="auto"/>
          <w:kern w:val="0"/>
          <w:szCs w:val="21"/>
          <w:highlight w:val="none"/>
        </w:rPr>
        <w:t>超过的期限相应顺延</w:t>
      </w:r>
      <w:r>
        <w:rPr>
          <w:rFonts w:ascii="宋体" w:hAnsi="宋体"/>
          <w:snapToGrid w:val="0"/>
          <w:color w:val="auto"/>
          <w:kern w:val="0"/>
          <w:szCs w:val="21"/>
          <w:highlight w:val="none"/>
        </w:rPr>
        <w:t>。</w:t>
      </w:r>
    </w:p>
    <w:p w14:paraId="70FE38B4">
      <w:pPr>
        <w:widowControl/>
        <w:autoSpaceDE w:val="0"/>
        <w:autoSpaceDN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14.2.3.4因发包人原因未能及时办理完毕专用合同条款2.3款的相关许可、核准或备案手续，导致设计工作量增加和（或）设计周期延长时，由发包人承担由此增加的设计费用和（或）延长的设计周期。</w:t>
      </w:r>
    </w:p>
    <w:p w14:paraId="4D2B055F">
      <w:pPr>
        <w:pStyle w:val="3"/>
        <w:rPr>
          <w:rFonts w:hint="eastAsia" w:ascii="宋体" w:hAnsi="宋体"/>
          <w:b w:val="0"/>
          <w:snapToGrid w:val="0"/>
          <w:color w:val="auto"/>
          <w:sz w:val="24"/>
          <w:szCs w:val="24"/>
          <w:highlight w:val="none"/>
        </w:rPr>
      </w:pPr>
      <w:bookmarkStart w:id="388" w:name="_Toc531632626"/>
      <w:bookmarkStart w:id="389" w:name="_Toc174350673"/>
      <w:bookmarkStart w:id="390" w:name="_Toc532384192"/>
      <w:r>
        <w:rPr>
          <w:rFonts w:ascii="宋体" w:hAnsi="宋体"/>
          <w:b w:val="0"/>
          <w:snapToGrid w:val="0"/>
          <w:color w:val="auto"/>
          <w:sz w:val="24"/>
          <w:szCs w:val="24"/>
          <w:highlight w:val="none"/>
        </w:rPr>
        <w:t>15.争议的解决</w:t>
      </w:r>
      <w:bookmarkEnd w:id="388"/>
      <w:bookmarkEnd w:id="389"/>
      <w:bookmarkEnd w:id="390"/>
    </w:p>
    <w:p w14:paraId="4B7F0C97">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因合同履行发生争议的，双方同意按下列第</w:t>
      </w:r>
      <w:r>
        <w:rPr>
          <w:rFonts w:ascii="宋体" w:hAnsi="宋体"/>
          <w:color w:val="auto"/>
          <w:kern w:val="0"/>
          <w:szCs w:val="21"/>
          <w:highlight w:val="none"/>
          <w:u w:val="single"/>
        </w:rPr>
        <w:t xml:space="preserve">     </w:t>
      </w:r>
      <w:r>
        <w:rPr>
          <w:rFonts w:ascii="宋体" w:hAnsi="宋体"/>
          <w:color w:val="auto"/>
          <w:kern w:val="0"/>
          <w:szCs w:val="21"/>
          <w:highlight w:val="none"/>
        </w:rPr>
        <w:t>种方式解决：</w:t>
      </w:r>
    </w:p>
    <w:p w14:paraId="42EBD3D3">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 xml:space="preserve">）向 </w:t>
      </w:r>
      <w:r>
        <w:rPr>
          <w:rFonts w:ascii="宋体" w:hAnsi="宋体"/>
          <w:color w:val="auto"/>
          <w:kern w:val="0"/>
          <w:szCs w:val="21"/>
          <w:highlight w:val="none"/>
          <w:u w:val="single"/>
        </w:rPr>
        <w:t xml:space="preserve">（发包人所在地） </w:t>
      </w:r>
      <w:r>
        <w:rPr>
          <w:rFonts w:ascii="宋体" w:hAnsi="宋体"/>
          <w:color w:val="auto"/>
          <w:kern w:val="0"/>
          <w:szCs w:val="21"/>
          <w:highlight w:val="none"/>
        </w:rPr>
        <w:t>仲裁委员会申请仲裁；</w:t>
      </w:r>
    </w:p>
    <w:p w14:paraId="7B5F189B">
      <w:pPr>
        <w:widowControl/>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（2）向 </w:t>
      </w:r>
      <w:r>
        <w:rPr>
          <w:rFonts w:ascii="宋体" w:hAnsi="宋体"/>
          <w:color w:val="auto"/>
          <w:kern w:val="0"/>
          <w:szCs w:val="21"/>
          <w:highlight w:val="none"/>
          <w:u w:val="single"/>
        </w:rPr>
        <w:t xml:space="preserve">（发包人所在地） </w:t>
      </w:r>
      <w:r>
        <w:rPr>
          <w:rFonts w:ascii="宋体" w:hAnsi="宋体"/>
          <w:color w:val="auto"/>
          <w:kern w:val="0"/>
          <w:szCs w:val="21"/>
          <w:highlight w:val="none"/>
        </w:rPr>
        <w:t>人民法院起诉。</w:t>
      </w:r>
    </w:p>
    <w:p w14:paraId="5D859401">
      <w:pPr>
        <w:pStyle w:val="3"/>
        <w:rPr>
          <w:rFonts w:hint="eastAsia" w:ascii="宋体" w:hAnsi="宋体"/>
          <w:b w:val="0"/>
          <w:snapToGrid w:val="0"/>
          <w:color w:val="auto"/>
          <w:sz w:val="24"/>
          <w:szCs w:val="24"/>
          <w:highlight w:val="none"/>
        </w:rPr>
      </w:pPr>
      <w:bookmarkStart w:id="391" w:name="_Toc174350674"/>
      <w:r>
        <w:rPr>
          <w:rFonts w:ascii="宋体" w:hAnsi="宋体"/>
          <w:b w:val="0"/>
          <w:snapToGrid w:val="0"/>
          <w:color w:val="auto"/>
          <w:sz w:val="24"/>
          <w:szCs w:val="24"/>
          <w:highlight w:val="none"/>
        </w:rPr>
        <w:t>1</w:t>
      </w:r>
      <w:r>
        <w:rPr>
          <w:rFonts w:hint="eastAsia" w:ascii="宋体" w:hAnsi="宋体"/>
          <w:b w:val="0"/>
          <w:snapToGrid w:val="0"/>
          <w:color w:val="auto"/>
          <w:sz w:val="24"/>
          <w:szCs w:val="24"/>
          <w:highlight w:val="none"/>
        </w:rPr>
        <w:t>6</w:t>
      </w:r>
      <w:r>
        <w:rPr>
          <w:rFonts w:ascii="宋体" w:hAnsi="宋体"/>
          <w:b w:val="0"/>
          <w:snapToGrid w:val="0"/>
          <w:color w:val="auto"/>
          <w:sz w:val="24"/>
          <w:szCs w:val="24"/>
          <w:highlight w:val="none"/>
        </w:rPr>
        <w:t>.</w:t>
      </w:r>
      <w:r>
        <w:rPr>
          <w:rFonts w:hint="eastAsia" w:ascii="宋体" w:hAnsi="宋体"/>
          <w:b w:val="0"/>
          <w:snapToGrid w:val="0"/>
          <w:color w:val="auto"/>
          <w:sz w:val="24"/>
          <w:szCs w:val="24"/>
          <w:highlight w:val="none"/>
        </w:rPr>
        <w:t>补充条款</w:t>
      </w:r>
      <w:bookmarkEnd w:id="391"/>
    </w:p>
    <w:p w14:paraId="3BFFCC53">
      <w:pPr>
        <w:pStyle w:val="18"/>
        <w:rPr>
          <w:color w:val="auto"/>
          <w:highlight w:val="none"/>
        </w:rPr>
      </w:pPr>
    </w:p>
    <w:p w14:paraId="4E67E9AC">
      <w:pPr>
        <w:pStyle w:val="18"/>
        <w:rPr>
          <w:rFonts w:hint="eastAsia"/>
          <w:color w:val="auto"/>
          <w:highlight w:val="none"/>
        </w:rPr>
      </w:pPr>
    </w:p>
    <w:p w14:paraId="17605CB3">
      <w:pPr>
        <w:autoSpaceDE w:val="0"/>
        <w:autoSpaceDN w:val="0"/>
        <w:adjustRightInd w:val="0"/>
        <w:spacing w:before="16" w:line="360" w:lineRule="auto"/>
        <w:jc w:val="left"/>
        <w:outlineLvl w:val="2"/>
        <w:rPr>
          <w:rFonts w:hint="eastAsia" w:ascii="宋体" w:hAnsi="宋体"/>
          <w:color w:val="auto"/>
          <w:kern w:val="0"/>
          <w:szCs w:val="21"/>
          <w:highlight w:val="none"/>
        </w:rPr>
      </w:pPr>
      <w:bookmarkStart w:id="392" w:name="_Toc531632627"/>
      <w:bookmarkStart w:id="393" w:name="_Toc532384193"/>
    </w:p>
    <w:bookmarkEnd w:id="392"/>
    <w:bookmarkEnd w:id="393"/>
    <w:p w14:paraId="0125B3E8">
      <w:pPr>
        <w:spacing w:line="360" w:lineRule="auto"/>
        <w:rPr>
          <w:rFonts w:hint="eastAsia" w:ascii="宋体" w:hAnsi="宋体"/>
          <w:color w:val="auto"/>
          <w:szCs w:val="21"/>
          <w:highlight w:val="none"/>
        </w:rPr>
      </w:pPr>
      <w:bookmarkStart w:id="394" w:name="baidusnap7"/>
      <w:bookmarkEnd w:id="394"/>
      <w:bookmarkStart w:id="395" w:name="baidusnap3"/>
      <w:bookmarkEnd w:id="395"/>
      <w:r>
        <w:rPr>
          <w:rFonts w:hint="eastAsia" w:ascii="宋体" w:hAnsi="宋体"/>
          <w:color w:val="auto"/>
          <w:szCs w:val="21"/>
          <w:highlight w:val="none"/>
        </w:rPr>
        <w:t xml:space="preserve"> </w:t>
      </w:r>
    </w:p>
    <w:p w14:paraId="6D169C7B">
      <w:pPr>
        <w:pStyle w:val="18"/>
        <w:rPr>
          <w:rFonts w:ascii="宋体" w:hAnsi="宋体"/>
          <w:color w:val="auto"/>
          <w:sz w:val="24"/>
          <w:highlight w:val="none"/>
        </w:rPr>
      </w:pPr>
      <w:r>
        <w:rPr>
          <w:rFonts w:hint="eastAsia" w:ascii="宋体" w:hAnsi="宋体"/>
          <w:color w:val="auto"/>
          <w:szCs w:val="21"/>
          <w:highlight w:val="none"/>
        </w:rPr>
        <w:br w:type="page"/>
      </w:r>
    </w:p>
    <w:p w14:paraId="60DF1A2B">
      <w:pPr>
        <w:rPr>
          <w:rFonts w:ascii="宋体" w:hAnsi="宋体"/>
          <w:color w:val="auto"/>
          <w:sz w:val="24"/>
          <w:highlight w:val="none"/>
        </w:rPr>
      </w:pPr>
    </w:p>
    <w:p w14:paraId="01644123">
      <w:pPr>
        <w:pStyle w:val="2"/>
        <w:spacing w:before="0" w:after="0" w:line="360" w:lineRule="auto"/>
        <w:jc w:val="center"/>
        <w:rPr>
          <w:rFonts w:ascii="宋体" w:hAnsi="宋体"/>
          <w:color w:val="auto"/>
          <w:sz w:val="52"/>
          <w:szCs w:val="52"/>
          <w:highlight w:val="none"/>
        </w:rPr>
      </w:pPr>
      <w:bookmarkStart w:id="396" w:name="_Toc8183"/>
      <w:bookmarkStart w:id="397" w:name="_Toc534185823"/>
      <w:bookmarkStart w:id="398" w:name="_Toc509218844"/>
      <w:bookmarkStart w:id="399" w:name="_Toc13474"/>
      <w:r>
        <w:rPr>
          <w:rFonts w:ascii="宋体" w:hAnsi="宋体"/>
          <w:color w:val="auto"/>
          <w:sz w:val="52"/>
          <w:szCs w:val="52"/>
          <w:highlight w:val="none"/>
        </w:rPr>
        <w:t>第 二 卷</w:t>
      </w:r>
      <w:bookmarkEnd w:id="396"/>
      <w:bookmarkEnd w:id="397"/>
      <w:bookmarkEnd w:id="398"/>
      <w:bookmarkEnd w:id="399"/>
    </w:p>
    <w:p w14:paraId="5EC8DEB6">
      <w:pPr>
        <w:spacing w:line="360" w:lineRule="auto"/>
        <w:rPr>
          <w:rFonts w:ascii="宋体" w:hAnsi="宋体"/>
          <w:color w:val="auto"/>
          <w:szCs w:val="20"/>
          <w:highlight w:val="none"/>
        </w:rPr>
      </w:pPr>
      <w:r>
        <w:rPr>
          <w:rFonts w:ascii="宋体" w:hAnsi="宋体"/>
          <w:color w:val="auto"/>
          <w:szCs w:val="20"/>
          <w:highlight w:val="none"/>
        </w:rPr>
        <w:br w:type="page"/>
      </w:r>
    </w:p>
    <w:p w14:paraId="629EAF8C">
      <w:pPr>
        <w:pStyle w:val="2"/>
        <w:spacing w:line="360" w:lineRule="auto"/>
        <w:jc w:val="center"/>
        <w:rPr>
          <w:rFonts w:ascii="宋体" w:hAnsi="宋体"/>
          <w:color w:val="auto"/>
          <w:highlight w:val="none"/>
        </w:rPr>
      </w:pPr>
      <w:bookmarkStart w:id="400" w:name="招标文件06章图纸"/>
      <w:bookmarkEnd w:id="400"/>
      <w:bookmarkStart w:id="401" w:name="_Toc287620803"/>
      <w:bookmarkStart w:id="402" w:name="_Toc22154"/>
      <w:bookmarkStart w:id="403" w:name="_Toc509218846"/>
      <w:bookmarkStart w:id="404" w:name="_Toc287607861"/>
      <w:bookmarkStart w:id="405" w:name="_Toc534185825"/>
      <w:bookmarkStart w:id="406" w:name="_Toc430530519"/>
      <w:bookmarkStart w:id="407" w:name="_Toc6385"/>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 xml:space="preserve">章  </w:t>
      </w:r>
      <w:bookmarkEnd w:id="401"/>
      <w:bookmarkEnd w:id="402"/>
      <w:bookmarkEnd w:id="403"/>
      <w:bookmarkEnd w:id="404"/>
      <w:bookmarkEnd w:id="405"/>
      <w:bookmarkEnd w:id="406"/>
      <w:r>
        <w:rPr>
          <w:rFonts w:hint="eastAsia" w:ascii="宋体" w:hAnsi="宋体"/>
          <w:color w:val="auto"/>
          <w:highlight w:val="none"/>
        </w:rPr>
        <w:t>发包人要求</w:t>
      </w:r>
      <w:bookmarkEnd w:id="407"/>
    </w:p>
    <w:p w14:paraId="0C7F285B">
      <w:pPr>
        <w:widowControl/>
        <w:spacing w:line="360" w:lineRule="auto"/>
        <w:ind w:firstLine="482" w:firstLineChars="200"/>
        <w:jc w:val="left"/>
        <w:rPr>
          <w:rFonts w:ascii="宋体" w:hAnsi="宋体"/>
          <w:color w:val="auto"/>
          <w:kern w:val="0"/>
          <w:sz w:val="24"/>
          <w:highlight w:val="none"/>
        </w:rPr>
      </w:pPr>
      <w:bookmarkStart w:id="408" w:name="招标文件06章图纸01"/>
      <w:bookmarkEnd w:id="408"/>
      <w:bookmarkStart w:id="409" w:name="_Toc287620804"/>
      <w:bookmarkStart w:id="410" w:name="_Toc430530520"/>
      <w:r>
        <w:rPr>
          <w:rFonts w:hint="eastAsia" w:ascii="宋体" w:hAnsi="宋体"/>
          <w:b/>
          <w:bCs/>
          <w:color w:val="auto"/>
          <w:kern w:val="0"/>
          <w:sz w:val="24"/>
          <w:highlight w:val="none"/>
        </w:rPr>
        <w:t>以国家和行业规范标准，按行政主管部门要求执行，比选人要求中标后提供。</w:t>
      </w:r>
    </w:p>
    <w:p w14:paraId="203009A5">
      <w:pPr>
        <w:spacing w:line="360" w:lineRule="auto"/>
        <w:rPr>
          <w:rFonts w:ascii="宋体" w:hAnsi="宋体"/>
          <w:color w:val="auto"/>
          <w:szCs w:val="20"/>
          <w:highlight w:val="none"/>
        </w:rPr>
      </w:pPr>
    </w:p>
    <w:bookmarkEnd w:id="409"/>
    <w:bookmarkEnd w:id="410"/>
    <w:p w14:paraId="1C451C71">
      <w:pPr>
        <w:spacing w:line="360" w:lineRule="auto"/>
        <w:rPr>
          <w:rFonts w:ascii="宋体" w:hAnsi="宋体"/>
          <w:color w:val="auto"/>
          <w:highlight w:val="none"/>
        </w:rPr>
      </w:pPr>
      <w:r>
        <w:rPr>
          <w:rFonts w:ascii="宋体" w:hAnsi="宋体"/>
          <w:color w:val="auto"/>
          <w:szCs w:val="20"/>
          <w:highlight w:val="none"/>
        </w:rPr>
        <w:br w:type="page"/>
      </w:r>
    </w:p>
    <w:p w14:paraId="741FC071">
      <w:pPr>
        <w:pStyle w:val="2"/>
        <w:spacing w:before="0" w:after="0" w:line="360" w:lineRule="auto"/>
        <w:jc w:val="center"/>
        <w:rPr>
          <w:rFonts w:ascii="宋体" w:hAnsi="宋体"/>
          <w:color w:val="auto"/>
          <w:sz w:val="52"/>
          <w:szCs w:val="52"/>
          <w:highlight w:val="none"/>
        </w:rPr>
      </w:pPr>
      <w:bookmarkStart w:id="411" w:name="_Toc17367"/>
      <w:bookmarkStart w:id="412" w:name="_Toc8804"/>
      <w:r>
        <w:rPr>
          <w:rFonts w:hint="eastAsia" w:ascii="宋体" w:hAnsi="宋体"/>
          <w:color w:val="auto"/>
          <w:sz w:val="52"/>
          <w:szCs w:val="52"/>
          <w:highlight w:val="none"/>
        </w:rPr>
        <w:t>第 三 卷</w:t>
      </w:r>
      <w:bookmarkEnd w:id="411"/>
      <w:bookmarkEnd w:id="412"/>
      <w:bookmarkStart w:id="413" w:name="_Toc509218847"/>
      <w:bookmarkStart w:id="414" w:name="_Toc536797390"/>
      <w:bookmarkStart w:id="415" w:name="_Toc536797121"/>
      <w:bookmarkStart w:id="416" w:name="_Toc13211764"/>
      <w:bookmarkStart w:id="417" w:name="_Toc536796986"/>
      <w:bookmarkStart w:id="418" w:name="_Toc13210772"/>
      <w:bookmarkStart w:id="419" w:name="_Toc536620100"/>
      <w:bookmarkStart w:id="420" w:name="_Toc536797255"/>
      <w:bookmarkStart w:id="421" w:name="_Toc536619968"/>
      <w:bookmarkStart w:id="422" w:name="_Toc536621880"/>
      <w:bookmarkStart w:id="423" w:name="_Toc536628344"/>
      <w:bookmarkStart w:id="424" w:name="_Toc536796850"/>
      <w:bookmarkStart w:id="425" w:name="_Toc13211206"/>
      <w:bookmarkStart w:id="426" w:name="_Toc534185826"/>
    </w:p>
    <w:bookmarkEnd w:id="413"/>
    <w:p w14:paraId="3493C41E">
      <w:pPr>
        <w:rPr>
          <w:color w:val="auto"/>
          <w:highlight w:val="none"/>
        </w:rPr>
      </w:pPr>
      <w:r>
        <w:rPr>
          <w:color w:val="auto"/>
          <w:highlight w:val="none"/>
        </w:rPr>
        <w:br w:type="page"/>
      </w:r>
      <w:bookmarkEnd w:id="414"/>
      <w:bookmarkEnd w:id="415"/>
      <w:bookmarkEnd w:id="416"/>
      <w:bookmarkEnd w:id="417"/>
      <w:bookmarkEnd w:id="418"/>
      <w:bookmarkEnd w:id="419"/>
      <w:bookmarkEnd w:id="420"/>
      <w:bookmarkEnd w:id="421"/>
      <w:bookmarkEnd w:id="422"/>
      <w:bookmarkEnd w:id="423"/>
      <w:bookmarkEnd w:id="424"/>
      <w:bookmarkEnd w:id="425"/>
      <w:bookmarkEnd w:id="426"/>
    </w:p>
    <w:bookmarkEnd w:id="276"/>
    <w:bookmarkEnd w:id="277"/>
    <w:bookmarkEnd w:id="278"/>
    <w:p w14:paraId="79D3936F">
      <w:pPr>
        <w:pStyle w:val="2"/>
        <w:spacing w:line="360" w:lineRule="auto"/>
        <w:jc w:val="center"/>
        <w:rPr>
          <w:rFonts w:ascii="宋体" w:hAnsi="宋体"/>
          <w:color w:val="auto"/>
          <w:highlight w:val="none"/>
        </w:rPr>
      </w:pPr>
      <w:bookmarkStart w:id="427" w:name="招标文件07章技术标准和要求"/>
      <w:bookmarkEnd w:id="427"/>
      <w:bookmarkStart w:id="428" w:name="_Toc855"/>
      <w:bookmarkStart w:id="429" w:name="_Toc23843"/>
      <w:bookmarkStart w:id="430" w:name="_Toc287620812"/>
      <w:bookmarkStart w:id="431" w:name="_Toc430530528"/>
      <w:bookmarkStart w:id="432" w:name="_Toc534185829"/>
      <w:bookmarkStart w:id="433" w:name="_Toc287607865"/>
      <w:bookmarkStart w:id="434" w:name="_Toc509218852"/>
      <w:r>
        <w:rPr>
          <w:rFonts w:hint="eastAsia" w:ascii="宋体" w:hAnsi="宋体"/>
          <w:color w:val="auto"/>
          <w:highlight w:val="none"/>
        </w:rPr>
        <w:t>第六章  竞标文件格式</w:t>
      </w:r>
      <w:bookmarkEnd w:id="428"/>
      <w:bookmarkEnd w:id="429"/>
      <w:bookmarkEnd w:id="430"/>
      <w:bookmarkEnd w:id="431"/>
      <w:bookmarkEnd w:id="432"/>
      <w:bookmarkEnd w:id="433"/>
      <w:bookmarkEnd w:id="434"/>
    </w:p>
    <w:p w14:paraId="204CF058">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szCs w:val="20"/>
          <w:highlight w:val="none"/>
        </w:rPr>
        <w:br w:type="page"/>
      </w:r>
    </w:p>
    <w:p w14:paraId="28D339A4">
      <w:pPr>
        <w:autoSpaceDE w:val="0"/>
        <w:autoSpaceDN w:val="0"/>
        <w:adjustRightInd w:val="0"/>
        <w:snapToGrid w:val="0"/>
        <w:spacing w:line="360" w:lineRule="auto"/>
        <w:jc w:val="center"/>
        <w:rPr>
          <w:rFonts w:ascii="宋体" w:hAnsi="宋体"/>
          <w:color w:val="auto"/>
          <w:kern w:val="0"/>
          <w:sz w:val="24"/>
          <w:szCs w:val="21"/>
          <w:highlight w:val="none"/>
        </w:rPr>
      </w:pPr>
    </w:p>
    <w:p w14:paraId="51E87613">
      <w:pPr>
        <w:spacing w:line="360" w:lineRule="auto"/>
        <w:jc w:val="center"/>
        <w:rPr>
          <w:rFonts w:ascii="宋体" w:hAnsi="宋体"/>
          <w:color w:val="auto"/>
          <w:sz w:val="36"/>
          <w:szCs w:val="36"/>
          <w:highlight w:val="none"/>
        </w:rPr>
      </w:pPr>
      <w:bookmarkStart w:id="435" w:name="_Toc224103493"/>
      <w:bookmarkStart w:id="436" w:name="_Toc430530530"/>
      <w:bookmarkStart w:id="437" w:name="_Toc287607867"/>
      <w:bookmarkStart w:id="438" w:name="_Toc277082643"/>
      <w:bookmarkStart w:id="439" w:name="_Toc509218854"/>
      <w:bookmarkStart w:id="440" w:name="_Toc224103495"/>
      <w:bookmarkStart w:id="441" w:name="_Toc287620814"/>
      <w:bookmarkStart w:id="442" w:name="_Toc534185831"/>
      <w:r>
        <w:rPr>
          <w:rFonts w:hint="eastAsia" w:ascii="宋体" w:hAnsi="宋体"/>
          <w:color w:val="auto"/>
          <w:sz w:val="36"/>
          <w:szCs w:val="36"/>
          <w:highlight w:val="none"/>
        </w:rPr>
        <w:t>目  录</w:t>
      </w:r>
      <w:bookmarkEnd w:id="435"/>
    </w:p>
    <w:p w14:paraId="7E7717B4">
      <w:pPr>
        <w:spacing w:line="360" w:lineRule="auto"/>
        <w:jc w:val="center"/>
        <w:rPr>
          <w:rFonts w:ascii="宋体" w:hAnsi="宋体"/>
          <w:color w:val="auto"/>
          <w:szCs w:val="20"/>
          <w:highlight w:val="none"/>
        </w:rPr>
      </w:pPr>
    </w:p>
    <w:p w14:paraId="79A4893A">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rPr>
        <w:t>竞标</w:t>
      </w:r>
      <w:r>
        <w:rPr>
          <w:rFonts w:ascii="宋体" w:hAnsi="宋体"/>
          <w:b/>
          <w:color w:val="auto"/>
          <w:highlight w:val="none"/>
        </w:rPr>
        <w:t>函部分</w:t>
      </w:r>
    </w:p>
    <w:p w14:paraId="0F76D1BD">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竞标</w:t>
      </w:r>
      <w:r>
        <w:rPr>
          <w:rFonts w:ascii="宋体" w:hAnsi="宋体"/>
          <w:color w:val="auto"/>
          <w:highlight w:val="none"/>
        </w:rPr>
        <w:t>函</w:t>
      </w:r>
    </w:p>
    <w:p w14:paraId="32C9A6B7">
      <w:pPr>
        <w:pStyle w:val="18"/>
        <w:ind w:firstLine="420" w:firstLineChars="200"/>
        <w:rPr>
          <w:color w:val="auto"/>
          <w:highlight w:val="none"/>
        </w:rPr>
      </w:pPr>
      <w:r>
        <w:rPr>
          <w:rFonts w:hint="eastAsia"/>
          <w:color w:val="auto"/>
          <w:highlight w:val="none"/>
        </w:rPr>
        <w:t>（二）法定代表人身份证明或附有法定代表人身份证明的授权委托书</w:t>
      </w:r>
    </w:p>
    <w:p w14:paraId="6DB40C3F">
      <w:pPr>
        <w:spacing w:line="360" w:lineRule="auto"/>
        <w:rPr>
          <w:rFonts w:ascii="宋体" w:hAnsi="宋体"/>
          <w:b/>
          <w:color w:val="auto"/>
          <w:highlight w:val="none"/>
        </w:rPr>
      </w:pPr>
      <w:r>
        <w:rPr>
          <w:rFonts w:hint="eastAsia" w:ascii="宋体" w:hAnsi="宋体"/>
          <w:b/>
          <w:color w:val="auto"/>
          <w:highlight w:val="none"/>
        </w:rPr>
        <w:t xml:space="preserve">二 </w:t>
      </w:r>
      <w:r>
        <w:rPr>
          <w:rFonts w:ascii="宋体" w:hAnsi="宋体"/>
          <w:b/>
          <w:color w:val="auto"/>
          <w:highlight w:val="none"/>
        </w:rPr>
        <w:t>、技术部分（不设置</w:t>
      </w:r>
      <w:r>
        <w:rPr>
          <w:rFonts w:hint="eastAsia" w:ascii="宋体" w:hAnsi="宋体"/>
          <w:b/>
          <w:color w:val="auto"/>
          <w:highlight w:val="none"/>
        </w:rPr>
        <w:t>技术方案</w:t>
      </w:r>
      <w:r>
        <w:rPr>
          <w:rFonts w:ascii="宋体" w:hAnsi="宋体"/>
          <w:b/>
          <w:color w:val="auto"/>
          <w:highlight w:val="none"/>
        </w:rPr>
        <w:t>评审的不设此部分）</w:t>
      </w:r>
    </w:p>
    <w:p w14:paraId="56930981">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6C826872">
      <w:pPr>
        <w:spacing w:line="360" w:lineRule="auto"/>
        <w:rPr>
          <w:rFonts w:ascii="宋体" w:hAnsi="宋体"/>
          <w:b/>
          <w:color w:val="auto"/>
          <w:highlight w:val="none"/>
        </w:rPr>
      </w:pPr>
      <w:r>
        <w:rPr>
          <w:rFonts w:hint="eastAsia" w:ascii="宋体" w:hAnsi="宋体"/>
          <w:b/>
          <w:color w:val="auto"/>
          <w:highlight w:val="none"/>
        </w:rPr>
        <w:t>三</w:t>
      </w:r>
      <w:r>
        <w:rPr>
          <w:rFonts w:ascii="宋体" w:hAnsi="宋体"/>
          <w:b/>
          <w:color w:val="auto"/>
          <w:highlight w:val="none"/>
        </w:rPr>
        <w:t>、</w:t>
      </w:r>
      <w:r>
        <w:rPr>
          <w:rFonts w:hint="eastAsia" w:ascii="宋体" w:hAnsi="宋体"/>
          <w:b/>
          <w:color w:val="auto"/>
          <w:highlight w:val="none"/>
        </w:rPr>
        <w:t>资格审查部分（含商务部分）</w:t>
      </w:r>
    </w:p>
    <w:p w14:paraId="46882223">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2F037C6A">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23995D86">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4ED3A2D1">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3F2E10BB">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14:paraId="1A47AF87">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p>
    <w:bookmarkEnd w:id="436"/>
    <w:bookmarkEnd w:id="437"/>
    <w:bookmarkEnd w:id="438"/>
    <w:bookmarkEnd w:id="439"/>
    <w:bookmarkEnd w:id="440"/>
    <w:bookmarkEnd w:id="441"/>
    <w:bookmarkEnd w:id="442"/>
    <w:p w14:paraId="4149ADB3">
      <w:pPr>
        <w:pStyle w:val="3"/>
        <w:spacing w:line="360" w:lineRule="auto"/>
        <w:jc w:val="center"/>
        <w:rPr>
          <w:rFonts w:ascii="宋体" w:hAnsi="宋体"/>
          <w:b w:val="0"/>
          <w:bCs w:val="0"/>
          <w:color w:val="auto"/>
          <w:sz w:val="44"/>
          <w:szCs w:val="44"/>
          <w:highlight w:val="none"/>
        </w:rPr>
      </w:pPr>
      <w:bookmarkStart w:id="443" w:name="_Toc16177"/>
      <w:bookmarkStart w:id="444" w:name="_Toc19476"/>
      <w:bookmarkStart w:id="445" w:name="_Toc804"/>
      <w:bookmarkStart w:id="446" w:name="_Toc29644"/>
      <w:bookmarkStart w:id="447" w:name="_Toc277082656"/>
      <w:bookmarkStart w:id="448" w:name="_Toc430530545"/>
      <w:bookmarkStart w:id="449" w:name="_Toc224103510"/>
      <w:bookmarkStart w:id="450" w:name="_Toc287607882"/>
      <w:bookmarkStart w:id="451" w:name="_Toc287620829"/>
      <w:bookmarkStart w:id="452" w:name="_Toc27141"/>
      <w:r>
        <w:rPr>
          <w:rFonts w:hint="eastAsia" w:ascii="宋体" w:hAnsi="宋体"/>
          <w:b w:val="0"/>
          <w:bCs w:val="0"/>
          <w:color w:val="auto"/>
          <w:sz w:val="44"/>
          <w:szCs w:val="44"/>
          <w:highlight w:val="none"/>
        </w:rPr>
        <w:t>一、竞标函部分</w:t>
      </w:r>
      <w:bookmarkEnd w:id="443"/>
      <w:bookmarkEnd w:id="444"/>
    </w:p>
    <w:p w14:paraId="689655C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9E684B3">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758B5B1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31243AC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75EE4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FF20E9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927E54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2200C3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16EB6BA">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5A29EBA1">
      <w:pPr>
        <w:autoSpaceDE w:val="0"/>
        <w:autoSpaceDN w:val="0"/>
        <w:adjustRightInd w:val="0"/>
        <w:snapToGrid w:val="0"/>
        <w:spacing w:line="360" w:lineRule="auto"/>
        <w:jc w:val="left"/>
        <w:rPr>
          <w:rFonts w:ascii="宋体" w:hAnsi="宋体"/>
          <w:color w:val="auto"/>
          <w:kern w:val="0"/>
          <w:sz w:val="16"/>
          <w:szCs w:val="16"/>
          <w:highlight w:val="none"/>
        </w:rPr>
      </w:pPr>
    </w:p>
    <w:p w14:paraId="3474AF1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竞标函部分</w:t>
      </w:r>
    </w:p>
    <w:p w14:paraId="1395EB45">
      <w:pPr>
        <w:autoSpaceDE w:val="0"/>
        <w:autoSpaceDN w:val="0"/>
        <w:adjustRightInd w:val="0"/>
        <w:snapToGrid w:val="0"/>
        <w:spacing w:line="360" w:lineRule="auto"/>
        <w:jc w:val="left"/>
        <w:rPr>
          <w:rFonts w:ascii="宋体" w:hAnsi="宋体"/>
          <w:b/>
          <w:color w:val="auto"/>
          <w:kern w:val="0"/>
          <w:sz w:val="20"/>
          <w:szCs w:val="20"/>
          <w:highlight w:val="none"/>
        </w:rPr>
      </w:pPr>
    </w:p>
    <w:p w14:paraId="267E1F96">
      <w:pPr>
        <w:autoSpaceDE w:val="0"/>
        <w:autoSpaceDN w:val="0"/>
        <w:adjustRightInd w:val="0"/>
        <w:snapToGrid w:val="0"/>
        <w:spacing w:line="360" w:lineRule="auto"/>
        <w:jc w:val="left"/>
        <w:rPr>
          <w:rFonts w:ascii="宋体" w:hAnsi="宋体"/>
          <w:b/>
          <w:color w:val="auto"/>
          <w:kern w:val="0"/>
          <w:sz w:val="20"/>
          <w:szCs w:val="20"/>
          <w:highlight w:val="none"/>
        </w:rPr>
      </w:pPr>
    </w:p>
    <w:p w14:paraId="54A5EE69">
      <w:pPr>
        <w:autoSpaceDE w:val="0"/>
        <w:autoSpaceDN w:val="0"/>
        <w:adjustRightInd w:val="0"/>
        <w:snapToGrid w:val="0"/>
        <w:spacing w:line="360" w:lineRule="auto"/>
        <w:jc w:val="left"/>
        <w:rPr>
          <w:rFonts w:ascii="宋体" w:hAnsi="宋体"/>
          <w:b/>
          <w:color w:val="auto"/>
          <w:kern w:val="0"/>
          <w:sz w:val="20"/>
          <w:szCs w:val="20"/>
          <w:highlight w:val="none"/>
        </w:rPr>
      </w:pPr>
    </w:p>
    <w:p w14:paraId="78432AD3">
      <w:pPr>
        <w:autoSpaceDE w:val="0"/>
        <w:autoSpaceDN w:val="0"/>
        <w:adjustRightInd w:val="0"/>
        <w:snapToGrid w:val="0"/>
        <w:spacing w:line="360" w:lineRule="auto"/>
        <w:jc w:val="left"/>
        <w:rPr>
          <w:rFonts w:ascii="宋体" w:hAnsi="宋体"/>
          <w:b/>
          <w:color w:val="auto"/>
          <w:kern w:val="0"/>
          <w:sz w:val="20"/>
          <w:szCs w:val="20"/>
          <w:highlight w:val="none"/>
        </w:rPr>
      </w:pPr>
    </w:p>
    <w:p w14:paraId="5EEE9C6C">
      <w:pPr>
        <w:autoSpaceDE w:val="0"/>
        <w:autoSpaceDN w:val="0"/>
        <w:adjustRightInd w:val="0"/>
        <w:snapToGrid w:val="0"/>
        <w:spacing w:line="360" w:lineRule="auto"/>
        <w:jc w:val="left"/>
        <w:rPr>
          <w:rFonts w:ascii="宋体" w:hAnsi="宋体"/>
          <w:b/>
          <w:color w:val="auto"/>
          <w:kern w:val="0"/>
          <w:sz w:val="20"/>
          <w:szCs w:val="20"/>
          <w:highlight w:val="none"/>
        </w:rPr>
      </w:pPr>
    </w:p>
    <w:p w14:paraId="4E1721FC">
      <w:pPr>
        <w:autoSpaceDE w:val="0"/>
        <w:autoSpaceDN w:val="0"/>
        <w:adjustRightInd w:val="0"/>
        <w:snapToGrid w:val="0"/>
        <w:spacing w:line="360" w:lineRule="auto"/>
        <w:jc w:val="left"/>
        <w:rPr>
          <w:rFonts w:ascii="宋体" w:hAnsi="宋体"/>
          <w:b/>
          <w:color w:val="auto"/>
          <w:kern w:val="0"/>
          <w:sz w:val="20"/>
          <w:szCs w:val="20"/>
          <w:highlight w:val="none"/>
        </w:rPr>
      </w:pPr>
    </w:p>
    <w:p w14:paraId="34C2A9AE">
      <w:pPr>
        <w:autoSpaceDE w:val="0"/>
        <w:autoSpaceDN w:val="0"/>
        <w:adjustRightInd w:val="0"/>
        <w:snapToGrid w:val="0"/>
        <w:spacing w:line="360" w:lineRule="auto"/>
        <w:jc w:val="left"/>
        <w:rPr>
          <w:rFonts w:ascii="宋体" w:hAnsi="宋体"/>
          <w:b/>
          <w:color w:val="auto"/>
          <w:kern w:val="0"/>
          <w:sz w:val="20"/>
          <w:szCs w:val="20"/>
          <w:highlight w:val="none"/>
        </w:rPr>
      </w:pPr>
    </w:p>
    <w:p w14:paraId="1CBFEBAF">
      <w:pPr>
        <w:autoSpaceDE w:val="0"/>
        <w:autoSpaceDN w:val="0"/>
        <w:adjustRightInd w:val="0"/>
        <w:snapToGrid w:val="0"/>
        <w:spacing w:line="360" w:lineRule="auto"/>
        <w:jc w:val="left"/>
        <w:rPr>
          <w:rFonts w:ascii="宋体" w:hAnsi="宋体"/>
          <w:b/>
          <w:color w:val="auto"/>
          <w:kern w:val="0"/>
          <w:sz w:val="20"/>
          <w:szCs w:val="20"/>
          <w:highlight w:val="none"/>
        </w:rPr>
      </w:pPr>
    </w:p>
    <w:p w14:paraId="33D02C70">
      <w:pPr>
        <w:autoSpaceDE w:val="0"/>
        <w:autoSpaceDN w:val="0"/>
        <w:adjustRightInd w:val="0"/>
        <w:snapToGrid w:val="0"/>
        <w:spacing w:line="360" w:lineRule="auto"/>
        <w:jc w:val="left"/>
        <w:rPr>
          <w:rFonts w:ascii="宋体" w:hAnsi="宋体"/>
          <w:b/>
          <w:color w:val="auto"/>
          <w:kern w:val="0"/>
          <w:sz w:val="20"/>
          <w:szCs w:val="20"/>
          <w:highlight w:val="none"/>
        </w:rPr>
      </w:pPr>
    </w:p>
    <w:p w14:paraId="43178A44">
      <w:pPr>
        <w:autoSpaceDE w:val="0"/>
        <w:autoSpaceDN w:val="0"/>
        <w:adjustRightInd w:val="0"/>
        <w:snapToGrid w:val="0"/>
        <w:spacing w:line="360" w:lineRule="auto"/>
        <w:jc w:val="left"/>
        <w:rPr>
          <w:rFonts w:ascii="宋体" w:hAnsi="宋体"/>
          <w:b/>
          <w:color w:val="auto"/>
          <w:kern w:val="0"/>
          <w:sz w:val="20"/>
          <w:szCs w:val="20"/>
          <w:highlight w:val="none"/>
        </w:rPr>
      </w:pPr>
    </w:p>
    <w:p w14:paraId="7CA7C743">
      <w:pPr>
        <w:autoSpaceDE w:val="0"/>
        <w:autoSpaceDN w:val="0"/>
        <w:adjustRightInd w:val="0"/>
        <w:snapToGrid w:val="0"/>
        <w:spacing w:line="360" w:lineRule="auto"/>
        <w:jc w:val="left"/>
        <w:rPr>
          <w:rFonts w:ascii="宋体" w:hAnsi="宋体"/>
          <w:b/>
          <w:color w:val="auto"/>
          <w:kern w:val="0"/>
          <w:sz w:val="20"/>
          <w:szCs w:val="20"/>
          <w:highlight w:val="none"/>
        </w:rPr>
      </w:pPr>
    </w:p>
    <w:p w14:paraId="286D3CBE">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12FDF82">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190985DF">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1F176714">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B078E50">
      <w:pPr>
        <w:autoSpaceDE w:val="0"/>
        <w:autoSpaceDN w:val="0"/>
        <w:adjustRightInd w:val="0"/>
        <w:snapToGrid w:val="0"/>
        <w:spacing w:line="360" w:lineRule="auto"/>
        <w:jc w:val="left"/>
        <w:rPr>
          <w:rFonts w:ascii="宋体" w:hAnsi="宋体"/>
          <w:color w:val="auto"/>
          <w:kern w:val="0"/>
          <w:sz w:val="24"/>
          <w:szCs w:val="21"/>
          <w:highlight w:val="none"/>
        </w:rPr>
      </w:pPr>
    </w:p>
    <w:p w14:paraId="7A8D50B9">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w:t>
      </w:r>
      <w:r>
        <w:rPr>
          <w:rFonts w:hint="eastAsia" w:ascii="宋体" w:hAnsi="宋体"/>
          <w:color w:val="auto"/>
          <w:kern w:val="0"/>
          <w:sz w:val="24"/>
          <w:highlight w:val="none"/>
        </w:rPr>
        <w:t>竞标</w:t>
      </w:r>
      <w:r>
        <w:rPr>
          <w:rFonts w:ascii="宋体" w:hAnsi="宋体"/>
          <w:color w:val="auto"/>
          <w:kern w:val="0"/>
          <w:sz w:val="24"/>
          <w:highlight w:val="none"/>
        </w:rPr>
        <w:t>函</w:t>
      </w:r>
    </w:p>
    <w:p w14:paraId="51F7F961">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二</w:t>
      </w:r>
      <w:r>
        <w:rPr>
          <w:rFonts w:ascii="宋体" w:hAnsi="宋体"/>
          <w:color w:val="auto"/>
          <w:kern w:val="0"/>
          <w:sz w:val="24"/>
          <w:highlight w:val="none"/>
        </w:rPr>
        <w:t>）</w:t>
      </w:r>
      <w:r>
        <w:rPr>
          <w:rFonts w:hint="eastAsia" w:ascii="宋体" w:hAnsi="宋体"/>
          <w:color w:val="auto"/>
          <w:kern w:val="0"/>
          <w:sz w:val="24"/>
          <w:highlight w:val="none"/>
        </w:rPr>
        <w:t>法定代表人身份证明或附有法定代表人身份证明的授权委托书</w:t>
      </w:r>
    </w:p>
    <w:p w14:paraId="6D38CAAE">
      <w:pPr>
        <w:autoSpaceDE w:val="0"/>
        <w:autoSpaceDN w:val="0"/>
        <w:adjustRightInd w:val="0"/>
        <w:snapToGrid w:val="0"/>
        <w:spacing w:line="360" w:lineRule="auto"/>
        <w:jc w:val="left"/>
        <w:rPr>
          <w:rFonts w:ascii="宋体" w:hAnsi="宋体"/>
          <w:color w:val="auto"/>
          <w:w w:val="99"/>
          <w:kern w:val="0"/>
          <w:sz w:val="28"/>
          <w:szCs w:val="28"/>
          <w:highlight w:val="none"/>
        </w:rPr>
      </w:pPr>
    </w:p>
    <w:p w14:paraId="0E66E388">
      <w:pPr>
        <w:pStyle w:val="4"/>
        <w:spacing w:before="0" w:after="0" w:line="400" w:lineRule="exact"/>
        <w:jc w:val="center"/>
        <w:rPr>
          <w:rFonts w:ascii="宋体" w:hAnsi="宋体"/>
          <w:b w:val="0"/>
          <w:color w:val="auto"/>
          <w:highlight w:val="none"/>
        </w:rPr>
      </w:pPr>
      <w:r>
        <w:rPr>
          <w:rFonts w:ascii="宋体" w:hAnsi="宋体"/>
          <w:color w:val="auto"/>
          <w:highlight w:val="none"/>
        </w:rPr>
        <w:br w:type="page"/>
      </w:r>
      <w:bookmarkStart w:id="453" w:name="_Toc26071"/>
      <w:bookmarkStart w:id="454" w:name="_Toc11204"/>
      <w:r>
        <w:rPr>
          <w:rFonts w:hint="eastAsia"/>
          <w:color w:val="auto"/>
          <w:highlight w:val="none"/>
        </w:rPr>
        <w:t>（一）竞标函</w:t>
      </w:r>
      <w:bookmarkEnd w:id="453"/>
      <w:bookmarkEnd w:id="454"/>
    </w:p>
    <w:p w14:paraId="57AEBC51">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val="en-US"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1904DD8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（项目名称）招标项目招标文件的全部内容，愿意以</w:t>
      </w:r>
      <w:r>
        <w:rPr>
          <w:rFonts w:hint="eastAsia" w:ascii="宋体" w:hAnsi="宋体"/>
          <w:snapToGrid w:val="0"/>
          <w:color w:val="auto"/>
          <w:kern w:val="0"/>
          <w:szCs w:val="21"/>
          <w:highlight w:val="none"/>
          <w:lang w:val="en-US" w:eastAsia="zh-CN"/>
        </w:rPr>
        <w:t>投标总报价</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进行报价</w:t>
      </w:r>
      <w:r>
        <w:rPr>
          <w:rFonts w:hint="eastAsia" w:ascii="宋体" w:hAnsi="宋体" w:cs="宋体"/>
          <w:color w:val="auto"/>
          <w:szCs w:val="21"/>
          <w:highlight w:val="none"/>
        </w:rPr>
        <w:t>；</w:t>
      </w:r>
      <w:r>
        <w:rPr>
          <w:rFonts w:hint="eastAsia" w:ascii="宋体" w:hAnsi="宋体"/>
          <w:snapToGrid w:val="0"/>
          <w:color w:val="auto"/>
          <w:kern w:val="0"/>
          <w:szCs w:val="21"/>
          <w:highlight w:val="none"/>
        </w:rPr>
        <w:t>项目负责人为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服务期限</w:t>
      </w:r>
      <w:r>
        <w:rPr>
          <w:rFonts w:hint="eastAsia" w:ascii="宋体" w:hAnsi="宋体"/>
          <w:snapToGrid w:val="0"/>
          <w:color w:val="auto"/>
          <w:kern w:val="0"/>
          <w:szCs w:val="21"/>
          <w:highlight w:val="none"/>
          <w:u w:val="single"/>
        </w:rPr>
        <w:t>符合比选文件的要求</w:t>
      </w:r>
      <w:r>
        <w:rPr>
          <w:rFonts w:ascii="宋体" w:hAnsi="宋体"/>
          <w:snapToGrid w:val="0"/>
          <w:color w:val="auto"/>
          <w:kern w:val="0"/>
          <w:szCs w:val="21"/>
          <w:highlight w:val="none"/>
        </w:rPr>
        <w:t>，</w:t>
      </w:r>
      <w:r>
        <w:rPr>
          <w:rFonts w:hint="eastAsia" w:ascii="宋体" w:hAnsi="宋体" w:cs="宋体"/>
          <w:color w:val="auto"/>
          <w:szCs w:val="21"/>
          <w:highlight w:val="none"/>
        </w:rPr>
        <w:t>服务质量</w:t>
      </w:r>
      <w:r>
        <w:rPr>
          <w:rFonts w:hint="eastAsia" w:ascii="宋体" w:hAnsi="宋体" w:cs="宋体"/>
          <w:color w:val="auto"/>
          <w:szCs w:val="21"/>
          <w:highlight w:val="none"/>
          <w:u w:val="single"/>
        </w:rPr>
        <w:t>达到比选文件的要求</w:t>
      </w:r>
      <w:r>
        <w:rPr>
          <w:rFonts w:hint="eastAsia" w:ascii="宋体" w:hAnsi="宋体" w:cs="宋体"/>
          <w:color w:val="auto"/>
          <w:szCs w:val="21"/>
          <w:highlight w:val="none"/>
        </w:rPr>
        <w:t>，</w:t>
      </w:r>
      <w:r>
        <w:rPr>
          <w:rFonts w:ascii="宋体" w:hAnsi="宋体"/>
          <w:snapToGrid w:val="0"/>
          <w:color w:val="auto"/>
          <w:kern w:val="0"/>
          <w:szCs w:val="21"/>
          <w:highlight w:val="none"/>
        </w:rPr>
        <w:t>按合同约定完成</w:t>
      </w:r>
      <w:r>
        <w:rPr>
          <w:rFonts w:hint="eastAsia" w:ascii="宋体" w:hAnsi="宋体"/>
          <w:snapToGrid w:val="0"/>
          <w:color w:val="auto"/>
          <w:kern w:val="0"/>
          <w:szCs w:val="21"/>
          <w:highlight w:val="none"/>
          <w:lang w:val="en-US" w:eastAsia="zh-CN"/>
        </w:rPr>
        <w:t>服务</w:t>
      </w:r>
      <w:r>
        <w:rPr>
          <w:rFonts w:ascii="宋体" w:hAnsi="宋体"/>
          <w:snapToGrid w:val="0"/>
          <w:color w:val="auto"/>
          <w:kern w:val="0"/>
          <w:szCs w:val="21"/>
          <w:highlight w:val="none"/>
        </w:rPr>
        <w:t>工作。</w:t>
      </w:r>
    </w:p>
    <w:p w14:paraId="4DD21580">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文件规定的投标有效期，</w:t>
      </w:r>
      <w:r>
        <w:rPr>
          <w:rFonts w:ascii="宋体" w:hAnsi="宋体"/>
          <w:snapToGrid w:val="0"/>
          <w:color w:val="auto"/>
          <w:kern w:val="0"/>
          <w:szCs w:val="21"/>
          <w:highlight w:val="none"/>
        </w:rPr>
        <w:t>在投标有效期内不修改、撤销投标文件。</w:t>
      </w:r>
    </w:p>
    <w:p w14:paraId="7F0D93EA">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竞标函</w:t>
      </w:r>
      <w:r>
        <w:rPr>
          <w:rFonts w:ascii="宋体" w:hAnsi="宋体"/>
          <w:snapToGrid w:val="0"/>
          <w:color w:val="auto"/>
          <w:kern w:val="0"/>
          <w:szCs w:val="21"/>
          <w:highlight w:val="none"/>
        </w:rPr>
        <w:t>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文件的相关规定，投标保证金的受益人为</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人。</w:t>
      </w:r>
    </w:p>
    <w:p w14:paraId="32C6481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14D4ABC5">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（1）在收到中标通知书后，在中标通知书规定的期限内与你方签订合同；</w:t>
      </w:r>
    </w:p>
    <w:p w14:paraId="44FF5683">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2B4B27D9">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（3）按照招标文件要求提交履约保证金</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w:t>
      </w:r>
    </w:p>
    <w:p w14:paraId="41B66828">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245452F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（5）我方承诺以不低于招标文件第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lang w:val="en-US" w:eastAsia="zh-CN"/>
        </w:rPr>
        <w:t>咨询</w:t>
      </w:r>
      <w:r>
        <w:rPr>
          <w:rFonts w:hint="eastAsia" w:ascii="宋体" w:hAnsi="宋体"/>
          <w:snapToGrid w:val="0"/>
          <w:color w:val="auto"/>
          <w:kern w:val="0"/>
          <w:szCs w:val="21"/>
          <w:highlight w:val="none"/>
        </w:rPr>
        <w:t>工作</w:t>
      </w:r>
      <w:r>
        <w:rPr>
          <w:rFonts w:ascii="宋体" w:hAnsi="宋体"/>
          <w:snapToGrid w:val="0"/>
          <w:color w:val="auto"/>
          <w:kern w:val="0"/>
          <w:szCs w:val="21"/>
          <w:highlight w:val="none"/>
        </w:rPr>
        <w:t>。</w:t>
      </w:r>
    </w:p>
    <w:p w14:paraId="29CA351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color w:val="auto"/>
          <w:szCs w:val="21"/>
          <w:highlight w:val="none"/>
        </w:rPr>
        <w:t>（6）</w:t>
      </w:r>
      <w:r>
        <w:rPr>
          <w:rFonts w:hint="eastAsia"/>
          <w:color w:val="auto"/>
          <w:szCs w:val="21"/>
          <w:highlight w:val="none"/>
          <w:lang w:val="en-US" w:eastAsia="zh-CN"/>
        </w:rPr>
        <w:t>咨询</w:t>
      </w:r>
      <w:r>
        <w:rPr>
          <w:rFonts w:hint="eastAsia"/>
          <w:color w:val="auto"/>
          <w:szCs w:val="21"/>
          <w:highlight w:val="none"/>
        </w:rPr>
        <w:t>成果符合相关行业标准，满足相关部门验收要求。</w:t>
      </w:r>
    </w:p>
    <w:p w14:paraId="4409E87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w:t>
      </w:r>
      <w:r>
        <w:rPr>
          <w:rFonts w:hint="eastAsia" w:ascii="宋体" w:hAnsi="宋体"/>
          <w:snapToGrid w:val="0"/>
          <w:color w:val="auto"/>
          <w:spacing w:val="-2"/>
          <w:kern w:val="0"/>
          <w:szCs w:val="21"/>
          <w:highlight w:val="none"/>
          <w:lang w:val="en-US" w:eastAsia="zh-CN"/>
        </w:rPr>
        <w:t>竞标</w:t>
      </w:r>
      <w:r>
        <w:rPr>
          <w:rFonts w:ascii="宋体" w:hAnsi="宋体"/>
          <w:snapToGrid w:val="0"/>
          <w:color w:val="auto"/>
          <w:spacing w:val="-2"/>
          <w:kern w:val="0"/>
          <w:szCs w:val="21"/>
          <w:highlight w:val="none"/>
        </w:rPr>
        <w:t>人</w:t>
      </w:r>
      <w:r>
        <w:rPr>
          <w:rFonts w:ascii="宋体" w:hAnsi="宋体"/>
          <w:snapToGrid w:val="0"/>
          <w:color w:val="auto"/>
          <w:kern w:val="0"/>
          <w:szCs w:val="21"/>
          <w:highlight w:val="none"/>
        </w:rPr>
        <w:t>须知”第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0CFBC6C0">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DC6FCD1">
      <w:pPr>
        <w:pStyle w:val="18"/>
        <w:rPr>
          <w:color w:val="auto"/>
          <w:highlight w:val="none"/>
        </w:rPr>
      </w:pPr>
    </w:p>
    <w:p w14:paraId="4D581C9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竞标人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1DA036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6F0A7F8E">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11AE6848">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40D5CCF">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62626B53">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257B76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B979207">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6A32FF0A">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FF8A1DB">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2180F843">
      <w:pPr>
        <w:tabs>
          <w:tab w:val="left" w:pos="8300"/>
        </w:tabs>
        <w:autoSpaceDE w:val="0"/>
        <w:autoSpaceDN w:val="0"/>
        <w:adjustRightInd w:val="0"/>
        <w:spacing w:line="400" w:lineRule="exact"/>
        <w:jc w:val="both"/>
        <w:rPr>
          <w:rFonts w:ascii="宋体" w:hAnsi="宋体"/>
          <w:b w:val="0"/>
          <w:snapToGrid w:val="0"/>
          <w:color w:val="auto"/>
          <w:kern w:val="0"/>
          <w:sz w:val="30"/>
          <w:szCs w:val="30"/>
          <w:highlight w:val="none"/>
        </w:rPr>
      </w:pPr>
      <w:bookmarkStart w:id="455" w:name="_Toc430530531"/>
      <w:bookmarkStart w:id="456" w:name="_Toc287620815"/>
      <w:bookmarkStart w:id="457" w:name="_Toc287607868"/>
      <w:bookmarkStart w:id="458" w:name="_Toc224103496"/>
      <w:bookmarkStart w:id="459" w:name="_Toc277082644"/>
      <w:r>
        <w:rPr>
          <w:rFonts w:ascii="宋体" w:hAnsi="宋体"/>
          <w:color w:val="auto"/>
          <w:sz w:val="28"/>
          <w:highlight w:val="none"/>
        </w:rPr>
        <w:br w:type="page"/>
      </w:r>
      <w:bookmarkEnd w:id="455"/>
      <w:bookmarkEnd w:id="456"/>
      <w:bookmarkEnd w:id="457"/>
      <w:bookmarkEnd w:id="458"/>
      <w:bookmarkEnd w:id="459"/>
      <w:bookmarkStart w:id="460" w:name="_Toc287620816"/>
      <w:bookmarkStart w:id="461" w:name="_Toc430530532"/>
      <w:bookmarkStart w:id="462" w:name="_Toc287607869"/>
      <w:bookmarkStart w:id="463" w:name="_Toc8650"/>
      <w:bookmarkStart w:id="464" w:name="_Toc224103497"/>
      <w:bookmarkStart w:id="465" w:name="_Toc277082645"/>
      <w:r>
        <w:rPr>
          <w:color w:val="auto"/>
          <w:sz w:val="30"/>
          <w:szCs w:val="30"/>
          <w:highlight w:val="none"/>
        </w:rPr>
        <w:t>（</w:t>
      </w:r>
      <w:r>
        <w:rPr>
          <w:rFonts w:hint="eastAsia"/>
          <w:color w:val="auto"/>
          <w:sz w:val="30"/>
          <w:szCs w:val="30"/>
          <w:highlight w:val="none"/>
        </w:rPr>
        <w:t>二</w:t>
      </w:r>
      <w:r>
        <w:rPr>
          <w:color w:val="auto"/>
          <w:sz w:val="30"/>
          <w:szCs w:val="30"/>
          <w:highlight w:val="none"/>
        </w:rPr>
        <w:t>）</w:t>
      </w:r>
      <w:r>
        <w:rPr>
          <w:rFonts w:hint="eastAsia"/>
          <w:color w:val="auto"/>
          <w:sz w:val="30"/>
          <w:szCs w:val="30"/>
          <w:highlight w:val="none"/>
        </w:rPr>
        <w:t>法定代表人身份证明或附有法定代表人身份证明的授权委托书</w:t>
      </w:r>
      <w:bookmarkEnd w:id="460"/>
      <w:bookmarkEnd w:id="461"/>
      <w:bookmarkEnd w:id="462"/>
      <w:bookmarkEnd w:id="463"/>
      <w:bookmarkEnd w:id="464"/>
      <w:bookmarkEnd w:id="465"/>
    </w:p>
    <w:p w14:paraId="0D7AC33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76B9BD86">
      <w:pPr>
        <w:spacing w:line="480" w:lineRule="auto"/>
        <w:jc w:val="center"/>
        <w:rPr>
          <w:rFonts w:ascii="宋体" w:hAnsi="宋体"/>
          <w:color w:val="auto"/>
          <w:highlight w:val="none"/>
        </w:rPr>
      </w:pPr>
    </w:p>
    <w:p w14:paraId="544C0A02">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BB1B9F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DB76D8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450663B">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329DD3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6D65B8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7A82EF7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3540F8C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616EB1A2">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1DE21F8D">
      <w:pPr>
        <w:pStyle w:val="18"/>
        <w:spacing w:after="0" w:line="360" w:lineRule="auto"/>
        <w:rPr>
          <w:rFonts w:ascii="宋体" w:hAnsi="宋体"/>
          <w:color w:val="auto"/>
          <w:szCs w:val="21"/>
          <w:highlight w:val="none"/>
        </w:rPr>
      </w:pPr>
    </w:p>
    <w:p w14:paraId="6AD2F834">
      <w:pPr>
        <w:pStyle w:val="18"/>
        <w:spacing w:after="0" w:line="360" w:lineRule="auto"/>
        <w:rPr>
          <w:rFonts w:ascii="宋体" w:hAnsi="宋体"/>
          <w:color w:val="auto"/>
          <w:szCs w:val="21"/>
          <w:highlight w:val="none"/>
        </w:rPr>
      </w:pPr>
    </w:p>
    <w:p w14:paraId="0E0864A9">
      <w:pPr>
        <w:pStyle w:val="18"/>
        <w:spacing w:after="0" w:line="360" w:lineRule="auto"/>
        <w:rPr>
          <w:rFonts w:ascii="宋体" w:hAnsi="宋体"/>
          <w:color w:val="auto"/>
          <w:szCs w:val="21"/>
          <w:highlight w:val="none"/>
        </w:rPr>
      </w:pPr>
    </w:p>
    <w:p w14:paraId="44919CCF">
      <w:pPr>
        <w:pStyle w:val="18"/>
        <w:spacing w:after="0" w:line="360" w:lineRule="auto"/>
        <w:rPr>
          <w:rFonts w:ascii="宋体" w:hAnsi="宋体"/>
          <w:color w:val="auto"/>
          <w:szCs w:val="21"/>
          <w:highlight w:val="none"/>
        </w:rPr>
      </w:pPr>
    </w:p>
    <w:p w14:paraId="249155FA">
      <w:pPr>
        <w:pStyle w:val="18"/>
        <w:spacing w:after="0" w:line="360" w:lineRule="auto"/>
        <w:rPr>
          <w:rFonts w:ascii="宋体" w:hAnsi="宋体"/>
          <w:color w:val="auto"/>
          <w:szCs w:val="21"/>
          <w:highlight w:val="none"/>
        </w:rPr>
      </w:pPr>
    </w:p>
    <w:p w14:paraId="4BE1FA5E">
      <w:pPr>
        <w:pStyle w:val="18"/>
        <w:spacing w:after="0" w:line="360" w:lineRule="auto"/>
        <w:rPr>
          <w:rFonts w:ascii="宋体" w:hAnsi="宋体"/>
          <w:color w:val="auto"/>
          <w:szCs w:val="21"/>
          <w:highlight w:val="none"/>
        </w:rPr>
      </w:pPr>
    </w:p>
    <w:p w14:paraId="3073BE10">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9762800">
      <w:pPr>
        <w:autoSpaceDE w:val="0"/>
        <w:autoSpaceDN w:val="0"/>
        <w:adjustRightInd w:val="0"/>
        <w:snapToGrid w:val="0"/>
        <w:spacing w:line="480" w:lineRule="auto"/>
        <w:jc w:val="left"/>
        <w:rPr>
          <w:rFonts w:ascii="宋体" w:hAnsi="宋体"/>
          <w:color w:val="auto"/>
          <w:kern w:val="0"/>
          <w:sz w:val="20"/>
          <w:szCs w:val="20"/>
          <w:highlight w:val="none"/>
        </w:rPr>
      </w:pPr>
    </w:p>
    <w:p w14:paraId="743E394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3A9210ED">
      <w:pPr>
        <w:autoSpaceDE w:val="0"/>
        <w:autoSpaceDN w:val="0"/>
        <w:adjustRightInd w:val="0"/>
        <w:snapToGrid w:val="0"/>
        <w:spacing w:line="360" w:lineRule="auto"/>
        <w:jc w:val="left"/>
        <w:rPr>
          <w:rFonts w:ascii="宋体" w:hAnsi="宋体"/>
          <w:color w:val="auto"/>
          <w:kern w:val="0"/>
          <w:highlight w:val="none"/>
        </w:rPr>
      </w:pPr>
    </w:p>
    <w:p w14:paraId="559235F9">
      <w:pPr>
        <w:autoSpaceDE w:val="0"/>
        <w:autoSpaceDN w:val="0"/>
        <w:adjustRightInd w:val="0"/>
        <w:snapToGrid w:val="0"/>
        <w:spacing w:line="360" w:lineRule="auto"/>
        <w:jc w:val="left"/>
        <w:rPr>
          <w:rFonts w:ascii="宋体" w:hAnsi="宋体"/>
          <w:color w:val="auto"/>
          <w:kern w:val="0"/>
          <w:highlight w:val="none"/>
        </w:rPr>
      </w:pPr>
    </w:p>
    <w:p w14:paraId="682FCBE3">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52A119B4">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106E39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3C4CF56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1837F69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8FBAF4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7A57850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0329541">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7AE85F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4705A9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7C9CB23A">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A844B9E">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4A3308E">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5DF04E15">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13762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746C60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F616A3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9D9CE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B0B0B9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D69915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5102AD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9DAC7F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2EF42EF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65D1DE71">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3CFCCBFD">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31DAE1BF">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0BA130C7">
      <w:pPr>
        <w:pStyle w:val="3"/>
        <w:spacing w:line="360" w:lineRule="auto"/>
        <w:jc w:val="center"/>
        <w:rPr>
          <w:rFonts w:hint="eastAsia" w:ascii="宋体" w:hAnsi="宋体"/>
          <w:b w:val="0"/>
          <w:bCs w:val="0"/>
          <w:color w:val="auto"/>
          <w:sz w:val="44"/>
          <w:szCs w:val="44"/>
          <w:highlight w:val="none"/>
        </w:rPr>
      </w:pPr>
      <w:bookmarkStart w:id="466" w:name="_Toc6167"/>
      <w:r>
        <w:rPr>
          <w:rFonts w:hint="eastAsia" w:ascii="宋体" w:hAnsi="宋体"/>
          <w:b w:val="0"/>
          <w:bCs w:val="0"/>
          <w:color w:val="auto"/>
          <w:sz w:val="44"/>
          <w:szCs w:val="44"/>
          <w:highlight w:val="none"/>
        </w:rPr>
        <w:t>二、技术部分</w:t>
      </w:r>
      <w:bookmarkEnd w:id="445"/>
      <w:bookmarkEnd w:id="446"/>
      <w:bookmarkEnd w:id="466"/>
    </w:p>
    <w:p w14:paraId="5C7A2002">
      <w:pPr>
        <w:jc w:val="center"/>
        <w:rPr>
          <w:rFonts w:hint="eastAsia" w:eastAsia="宋体"/>
          <w:color w:val="auto"/>
          <w:sz w:val="18"/>
          <w:szCs w:val="18"/>
          <w:highlight w:val="none"/>
          <w:lang w:eastAsia="zh-CN"/>
        </w:rPr>
      </w:pPr>
      <w:r>
        <w:rPr>
          <w:rFonts w:hint="eastAsia" w:ascii="宋体" w:hAnsi="宋体"/>
          <w:b w:val="0"/>
          <w:bCs w:val="0"/>
          <w:color w:val="auto"/>
          <w:sz w:val="18"/>
          <w:szCs w:val="18"/>
          <w:highlight w:val="none"/>
          <w:lang w:eastAsia="zh-CN"/>
        </w:rPr>
        <w:t>（</w:t>
      </w:r>
      <w:r>
        <w:rPr>
          <w:rFonts w:hint="eastAsia" w:ascii="宋体" w:hAnsi="宋体"/>
          <w:b w:val="0"/>
          <w:bCs w:val="0"/>
          <w:color w:val="auto"/>
          <w:sz w:val="18"/>
          <w:szCs w:val="18"/>
          <w:highlight w:val="none"/>
          <w:lang w:val="en-US" w:eastAsia="zh-CN"/>
        </w:rPr>
        <w:t>技术部分格式自拟</w:t>
      </w:r>
      <w:r>
        <w:rPr>
          <w:rFonts w:hint="eastAsia" w:ascii="宋体" w:hAnsi="宋体"/>
          <w:b w:val="0"/>
          <w:bCs w:val="0"/>
          <w:color w:val="auto"/>
          <w:sz w:val="18"/>
          <w:szCs w:val="18"/>
          <w:highlight w:val="none"/>
          <w:lang w:eastAsia="zh-CN"/>
        </w:rPr>
        <w:t>）</w:t>
      </w:r>
    </w:p>
    <w:p w14:paraId="062D96F9">
      <w:pPr>
        <w:rPr>
          <w:rFonts w:ascii="宋体" w:hAnsi="宋体"/>
          <w:color w:val="auto"/>
          <w:kern w:val="0"/>
          <w:sz w:val="32"/>
          <w:szCs w:val="32"/>
          <w:highlight w:val="none"/>
          <w:u w:val="single"/>
        </w:rPr>
      </w:pPr>
      <w:r>
        <w:rPr>
          <w:rFonts w:ascii="宋体" w:hAnsi="宋体"/>
          <w:color w:val="auto"/>
          <w:kern w:val="0"/>
          <w:sz w:val="32"/>
          <w:szCs w:val="32"/>
          <w:highlight w:val="none"/>
          <w:u w:val="single"/>
        </w:rPr>
        <w:br w:type="page"/>
      </w:r>
    </w:p>
    <w:p w14:paraId="6990EC1D">
      <w:pPr>
        <w:pStyle w:val="18"/>
        <w:rPr>
          <w:color w:val="auto"/>
          <w:highlight w:val="none"/>
        </w:rPr>
      </w:pPr>
    </w:p>
    <w:p w14:paraId="40B72CB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CF2557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624595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29857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E7DA0D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33F83C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45806BFA">
      <w:pPr>
        <w:autoSpaceDE w:val="0"/>
        <w:autoSpaceDN w:val="0"/>
        <w:adjustRightInd w:val="0"/>
        <w:snapToGrid w:val="0"/>
        <w:spacing w:line="360" w:lineRule="auto"/>
        <w:jc w:val="left"/>
        <w:rPr>
          <w:rFonts w:ascii="宋体" w:hAnsi="宋体"/>
          <w:color w:val="auto"/>
          <w:kern w:val="0"/>
          <w:sz w:val="16"/>
          <w:szCs w:val="16"/>
          <w:highlight w:val="none"/>
        </w:rPr>
      </w:pPr>
    </w:p>
    <w:p w14:paraId="587889DE">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技术部分</w:t>
      </w:r>
    </w:p>
    <w:p w14:paraId="32779912">
      <w:pPr>
        <w:autoSpaceDE w:val="0"/>
        <w:autoSpaceDN w:val="0"/>
        <w:adjustRightInd w:val="0"/>
        <w:snapToGrid w:val="0"/>
        <w:spacing w:line="360" w:lineRule="auto"/>
        <w:jc w:val="left"/>
        <w:rPr>
          <w:rFonts w:ascii="宋体" w:hAnsi="宋体"/>
          <w:b/>
          <w:color w:val="auto"/>
          <w:kern w:val="0"/>
          <w:sz w:val="20"/>
          <w:szCs w:val="20"/>
          <w:highlight w:val="none"/>
        </w:rPr>
      </w:pPr>
    </w:p>
    <w:p w14:paraId="66097583">
      <w:pPr>
        <w:autoSpaceDE w:val="0"/>
        <w:autoSpaceDN w:val="0"/>
        <w:adjustRightInd w:val="0"/>
        <w:snapToGrid w:val="0"/>
        <w:spacing w:line="360" w:lineRule="auto"/>
        <w:jc w:val="left"/>
        <w:rPr>
          <w:rFonts w:ascii="宋体" w:hAnsi="宋体"/>
          <w:b/>
          <w:color w:val="auto"/>
          <w:kern w:val="0"/>
          <w:sz w:val="20"/>
          <w:szCs w:val="20"/>
          <w:highlight w:val="none"/>
        </w:rPr>
      </w:pPr>
    </w:p>
    <w:p w14:paraId="6CBEF626">
      <w:pPr>
        <w:autoSpaceDE w:val="0"/>
        <w:autoSpaceDN w:val="0"/>
        <w:adjustRightInd w:val="0"/>
        <w:snapToGrid w:val="0"/>
        <w:spacing w:line="360" w:lineRule="auto"/>
        <w:jc w:val="left"/>
        <w:rPr>
          <w:rFonts w:ascii="宋体" w:hAnsi="宋体"/>
          <w:b/>
          <w:color w:val="auto"/>
          <w:kern w:val="0"/>
          <w:sz w:val="20"/>
          <w:szCs w:val="20"/>
          <w:highlight w:val="none"/>
        </w:rPr>
      </w:pPr>
    </w:p>
    <w:p w14:paraId="7FA27608">
      <w:pPr>
        <w:autoSpaceDE w:val="0"/>
        <w:autoSpaceDN w:val="0"/>
        <w:adjustRightInd w:val="0"/>
        <w:snapToGrid w:val="0"/>
        <w:spacing w:line="360" w:lineRule="auto"/>
        <w:jc w:val="left"/>
        <w:rPr>
          <w:rFonts w:ascii="宋体" w:hAnsi="宋体"/>
          <w:b/>
          <w:color w:val="auto"/>
          <w:kern w:val="0"/>
          <w:sz w:val="20"/>
          <w:szCs w:val="20"/>
          <w:highlight w:val="none"/>
        </w:rPr>
      </w:pPr>
    </w:p>
    <w:p w14:paraId="420C55EA">
      <w:pPr>
        <w:autoSpaceDE w:val="0"/>
        <w:autoSpaceDN w:val="0"/>
        <w:adjustRightInd w:val="0"/>
        <w:snapToGrid w:val="0"/>
        <w:spacing w:line="360" w:lineRule="auto"/>
        <w:jc w:val="left"/>
        <w:rPr>
          <w:rFonts w:ascii="宋体" w:hAnsi="宋体"/>
          <w:b/>
          <w:color w:val="auto"/>
          <w:kern w:val="0"/>
          <w:sz w:val="20"/>
          <w:szCs w:val="20"/>
          <w:highlight w:val="none"/>
        </w:rPr>
      </w:pPr>
    </w:p>
    <w:p w14:paraId="4659F233">
      <w:pPr>
        <w:autoSpaceDE w:val="0"/>
        <w:autoSpaceDN w:val="0"/>
        <w:adjustRightInd w:val="0"/>
        <w:snapToGrid w:val="0"/>
        <w:spacing w:line="360" w:lineRule="auto"/>
        <w:jc w:val="left"/>
        <w:rPr>
          <w:rFonts w:ascii="宋体" w:hAnsi="宋体"/>
          <w:b/>
          <w:color w:val="auto"/>
          <w:kern w:val="0"/>
          <w:sz w:val="20"/>
          <w:szCs w:val="20"/>
          <w:highlight w:val="none"/>
        </w:rPr>
      </w:pPr>
    </w:p>
    <w:p w14:paraId="755202CF">
      <w:pPr>
        <w:autoSpaceDE w:val="0"/>
        <w:autoSpaceDN w:val="0"/>
        <w:adjustRightInd w:val="0"/>
        <w:snapToGrid w:val="0"/>
        <w:spacing w:line="360" w:lineRule="auto"/>
        <w:jc w:val="left"/>
        <w:rPr>
          <w:rFonts w:ascii="宋体" w:hAnsi="宋体"/>
          <w:b/>
          <w:color w:val="auto"/>
          <w:kern w:val="0"/>
          <w:sz w:val="20"/>
          <w:szCs w:val="20"/>
          <w:highlight w:val="none"/>
        </w:rPr>
      </w:pPr>
    </w:p>
    <w:p w14:paraId="5EC8AC24">
      <w:pPr>
        <w:autoSpaceDE w:val="0"/>
        <w:autoSpaceDN w:val="0"/>
        <w:adjustRightInd w:val="0"/>
        <w:snapToGrid w:val="0"/>
        <w:spacing w:line="360" w:lineRule="auto"/>
        <w:jc w:val="left"/>
        <w:rPr>
          <w:rFonts w:ascii="宋体" w:hAnsi="宋体"/>
          <w:b/>
          <w:color w:val="auto"/>
          <w:kern w:val="0"/>
          <w:sz w:val="20"/>
          <w:szCs w:val="20"/>
          <w:highlight w:val="none"/>
        </w:rPr>
      </w:pPr>
    </w:p>
    <w:p w14:paraId="1752FA78">
      <w:pPr>
        <w:autoSpaceDE w:val="0"/>
        <w:autoSpaceDN w:val="0"/>
        <w:adjustRightInd w:val="0"/>
        <w:snapToGrid w:val="0"/>
        <w:spacing w:line="360" w:lineRule="auto"/>
        <w:jc w:val="left"/>
        <w:rPr>
          <w:rFonts w:ascii="宋体" w:hAnsi="宋体"/>
          <w:b/>
          <w:color w:val="auto"/>
          <w:kern w:val="0"/>
          <w:sz w:val="20"/>
          <w:szCs w:val="20"/>
          <w:highlight w:val="none"/>
        </w:rPr>
      </w:pPr>
    </w:p>
    <w:p w14:paraId="60EF58CF">
      <w:pPr>
        <w:autoSpaceDE w:val="0"/>
        <w:autoSpaceDN w:val="0"/>
        <w:adjustRightInd w:val="0"/>
        <w:snapToGrid w:val="0"/>
        <w:spacing w:line="360" w:lineRule="auto"/>
        <w:jc w:val="left"/>
        <w:rPr>
          <w:rFonts w:ascii="宋体" w:hAnsi="宋体"/>
          <w:b/>
          <w:color w:val="auto"/>
          <w:kern w:val="0"/>
          <w:sz w:val="20"/>
          <w:szCs w:val="20"/>
          <w:highlight w:val="none"/>
        </w:rPr>
      </w:pPr>
    </w:p>
    <w:p w14:paraId="2B07FC1B">
      <w:pPr>
        <w:autoSpaceDE w:val="0"/>
        <w:autoSpaceDN w:val="0"/>
        <w:adjustRightInd w:val="0"/>
        <w:snapToGrid w:val="0"/>
        <w:spacing w:line="360" w:lineRule="auto"/>
        <w:jc w:val="left"/>
        <w:rPr>
          <w:rFonts w:ascii="宋体" w:hAnsi="宋体"/>
          <w:b/>
          <w:color w:val="auto"/>
          <w:kern w:val="0"/>
          <w:sz w:val="20"/>
          <w:szCs w:val="20"/>
          <w:highlight w:val="none"/>
        </w:rPr>
      </w:pPr>
    </w:p>
    <w:p w14:paraId="53ADCAA9">
      <w:pPr>
        <w:autoSpaceDE w:val="0"/>
        <w:autoSpaceDN w:val="0"/>
        <w:adjustRightInd w:val="0"/>
        <w:snapToGrid w:val="0"/>
        <w:spacing w:line="360" w:lineRule="auto"/>
        <w:jc w:val="left"/>
        <w:rPr>
          <w:rFonts w:ascii="宋体" w:hAnsi="宋体"/>
          <w:b/>
          <w:color w:val="auto"/>
          <w:kern w:val="0"/>
          <w:sz w:val="20"/>
          <w:szCs w:val="20"/>
          <w:highlight w:val="none"/>
        </w:rPr>
      </w:pPr>
    </w:p>
    <w:p w14:paraId="29FAC283">
      <w:pPr>
        <w:autoSpaceDE w:val="0"/>
        <w:autoSpaceDN w:val="0"/>
        <w:adjustRightInd w:val="0"/>
        <w:snapToGrid w:val="0"/>
        <w:spacing w:line="360" w:lineRule="auto"/>
        <w:jc w:val="left"/>
        <w:rPr>
          <w:rFonts w:ascii="宋体" w:hAnsi="宋体"/>
          <w:b/>
          <w:color w:val="auto"/>
          <w:kern w:val="0"/>
          <w:sz w:val="20"/>
          <w:szCs w:val="20"/>
          <w:highlight w:val="none"/>
        </w:rPr>
      </w:pPr>
    </w:p>
    <w:p w14:paraId="30AA0A20">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0FCAC05">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7FA02EC">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452CD2D2">
      <w:pPr>
        <w:autoSpaceDE w:val="0"/>
        <w:autoSpaceDN w:val="0"/>
        <w:adjustRightInd w:val="0"/>
        <w:snapToGrid w:val="0"/>
        <w:spacing w:line="360" w:lineRule="auto"/>
        <w:jc w:val="center"/>
        <w:rPr>
          <w:rFonts w:ascii="宋体" w:hAnsi="宋体"/>
          <w:color w:val="auto"/>
          <w:kern w:val="0"/>
          <w:sz w:val="36"/>
          <w:szCs w:val="36"/>
          <w:highlight w:val="none"/>
        </w:rPr>
      </w:pPr>
    </w:p>
    <w:p w14:paraId="5D09851F">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64C2AB9D">
      <w:pPr>
        <w:autoSpaceDE w:val="0"/>
        <w:autoSpaceDN w:val="0"/>
        <w:adjustRightInd w:val="0"/>
        <w:snapToGrid w:val="0"/>
        <w:spacing w:line="360" w:lineRule="auto"/>
        <w:jc w:val="left"/>
        <w:rPr>
          <w:rFonts w:ascii="宋体" w:hAnsi="宋体"/>
          <w:color w:val="auto"/>
          <w:kern w:val="0"/>
          <w:sz w:val="32"/>
          <w:szCs w:val="32"/>
          <w:highlight w:val="none"/>
        </w:rPr>
      </w:pPr>
    </w:p>
    <w:p w14:paraId="5DCDE8E6">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竞标人</w:t>
      </w:r>
      <w:r>
        <w:rPr>
          <w:rFonts w:ascii="宋体" w:hAnsi="宋体"/>
          <w:i/>
          <w:iCs/>
          <w:color w:val="auto"/>
          <w:kern w:val="0"/>
          <w:szCs w:val="21"/>
          <w:highlight w:val="none"/>
        </w:rPr>
        <w:t>自行编制]</w:t>
      </w:r>
    </w:p>
    <w:p w14:paraId="3B354A6D">
      <w:pPr>
        <w:autoSpaceDE w:val="0"/>
        <w:autoSpaceDN w:val="0"/>
        <w:adjustRightInd w:val="0"/>
        <w:snapToGrid w:val="0"/>
        <w:spacing w:line="360" w:lineRule="auto"/>
        <w:jc w:val="left"/>
        <w:rPr>
          <w:rFonts w:ascii="宋体" w:hAnsi="宋体"/>
          <w:color w:val="auto"/>
          <w:w w:val="99"/>
          <w:kern w:val="0"/>
          <w:sz w:val="28"/>
          <w:szCs w:val="28"/>
          <w:highlight w:val="none"/>
        </w:rPr>
      </w:pPr>
    </w:p>
    <w:p w14:paraId="6CDB88C2">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467" w:name="_Toc17837"/>
      <w:bookmarkStart w:id="468" w:name="_Toc29745"/>
      <w:bookmarkStart w:id="469" w:name="_Toc299"/>
      <w:r>
        <w:rPr>
          <w:rStyle w:val="327"/>
          <w:rFonts w:hint="eastAsia"/>
          <w:color w:val="auto"/>
          <w:highlight w:val="none"/>
        </w:rPr>
        <w:t>（一）技术方案</w:t>
      </w:r>
      <w:bookmarkEnd w:id="467"/>
      <w:bookmarkEnd w:id="468"/>
      <w:bookmarkEnd w:id="469"/>
    </w:p>
    <w:p w14:paraId="79192A8D">
      <w:pPr>
        <w:autoSpaceDE w:val="0"/>
        <w:autoSpaceDN w:val="0"/>
        <w:adjustRightInd w:val="0"/>
        <w:snapToGrid w:val="0"/>
        <w:spacing w:line="360" w:lineRule="auto"/>
        <w:jc w:val="left"/>
        <w:rPr>
          <w:rFonts w:ascii="宋体" w:hAnsi="宋体"/>
          <w:color w:val="auto"/>
          <w:kern w:val="0"/>
          <w:sz w:val="12"/>
          <w:szCs w:val="12"/>
          <w:highlight w:val="none"/>
        </w:rPr>
      </w:pPr>
    </w:p>
    <w:p w14:paraId="2C6972C1">
      <w:pPr>
        <w:pStyle w:val="18"/>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[提示：竞标人应根据比选文件的要求编制技术方案]</w:t>
      </w:r>
    </w:p>
    <w:p w14:paraId="670686C3">
      <w:pPr>
        <w:pStyle w:val="3"/>
        <w:spacing w:line="360" w:lineRule="auto"/>
        <w:jc w:val="center"/>
        <w:rPr>
          <w:rFonts w:ascii="宋体" w:hAnsi="宋体"/>
          <w:b w:val="0"/>
          <w:bCs w:val="0"/>
          <w:color w:val="auto"/>
          <w:sz w:val="44"/>
          <w:szCs w:val="44"/>
          <w:highlight w:val="none"/>
        </w:rPr>
      </w:pPr>
    </w:p>
    <w:p w14:paraId="5A66788D">
      <w:pPr>
        <w:pStyle w:val="3"/>
        <w:spacing w:line="360" w:lineRule="auto"/>
        <w:jc w:val="center"/>
        <w:rPr>
          <w:rFonts w:ascii="宋体" w:hAnsi="宋体"/>
          <w:b w:val="0"/>
          <w:bCs w:val="0"/>
          <w:color w:val="auto"/>
          <w:sz w:val="44"/>
          <w:szCs w:val="44"/>
          <w:highlight w:val="none"/>
        </w:rPr>
      </w:pPr>
    </w:p>
    <w:p w14:paraId="10A01904">
      <w:pPr>
        <w:pStyle w:val="3"/>
        <w:spacing w:line="360" w:lineRule="auto"/>
        <w:jc w:val="center"/>
        <w:rPr>
          <w:rFonts w:ascii="宋体" w:hAnsi="宋体"/>
          <w:b w:val="0"/>
          <w:bCs w:val="0"/>
          <w:color w:val="auto"/>
          <w:sz w:val="44"/>
          <w:szCs w:val="44"/>
          <w:highlight w:val="none"/>
        </w:rPr>
      </w:pPr>
    </w:p>
    <w:p w14:paraId="3D21E187">
      <w:pPr>
        <w:pStyle w:val="3"/>
        <w:spacing w:line="360" w:lineRule="auto"/>
        <w:jc w:val="center"/>
        <w:rPr>
          <w:rFonts w:ascii="宋体" w:hAnsi="宋体"/>
          <w:b w:val="0"/>
          <w:bCs w:val="0"/>
          <w:color w:val="auto"/>
          <w:sz w:val="44"/>
          <w:szCs w:val="44"/>
          <w:highlight w:val="none"/>
        </w:rPr>
      </w:pPr>
    </w:p>
    <w:p w14:paraId="26B23BC7">
      <w:pPr>
        <w:pStyle w:val="3"/>
        <w:spacing w:line="360" w:lineRule="auto"/>
        <w:jc w:val="center"/>
        <w:rPr>
          <w:rFonts w:ascii="宋体" w:hAnsi="宋体"/>
          <w:b w:val="0"/>
          <w:bCs w:val="0"/>
          <w:color w:val="auto"/>
          <w:sz w:val="44"/>
          <w:szCs w:val="44"/>
          <w:highlight w:val="none"/>
        </w:rPr>
      </w:pPr>
    </w:p>
    <w:p w14:paraId="448A1BF9">
      <w:pPr>
        <w:pStyle w:val="3"/>
        <w:spacing w:line="360" w:lineRule="auto"/>
        <w:jc w:val="center"/>
        <w:rPr>
          <w:rFonts w:ascii="宋体" w:hAnsi="宋体"/>
          <w:b w:val="0"/>
          <w:bCs w:val="0"/>
          <w:color w:val="auto"/>
          <w:sz w:val="44"/>
          <w:szCs w:val="44"/>
          <w:highlight w:val="none"/>
        </w:rPr>
      </w:pPr>
    </w:p>
    <w:p w14:paraId="4774B10E">
      <w:pPr>
        <w:pStyle w:val="3"/>
        <w:spacing w:line="360" w:lineRule="auto"/>
        <w:jc w:val="center"/>
        <w:rPr>
          <w:rFonts w:ascii="宋体" w:hAnsi="宋体"/>
          <w:b w:val="0"/>
          <w:bCs w:val="0"/>
          <w:color w:val="auto"/>
          <w:sz w:val="44"/>
          <w:szCs w:val="44"/>
          <w:highlight w:val="none"/>
        </w:rPr>
      </w:pPr>
    </w:p>
    <w:p w14:paraId="77C26A64">
      <w:pPr>
        <w:pStyle w:val="3"/>
        <w:spacing w:line="360" w:lineRule="auto"/>
        <w:jc w:val="center"/>
        <w:rPr>
          <w:rFonts w:ascii="宋体" w:hAnsi="宋体"/>
          <w:b w:val="0"/>
          <w:bCs w:val="0"/>
          <w:color w:val="auto"/>
          <w:sz w:val="44"/>
          <w:szCs w:val="44"/>
          <w:highlight w:val="none"/>
        </w:rPr>
      </w:pPr>
    </w:p>
    <w:p w14:paraId="3A9C1A08">
      <w:pPr>
        <w:pStyle w:val="3"/>
        <w:spacing w:line="360" w:lineRule="auto"/>
        <w:jc w:val="center"/>
        <w:rPr>
          <w:rFonts w:ascii="宋体" w:hAnsi="宋体"/>
          <w:b w:val="0"/>
          <w:bCs w:val="0"/>
          <w:color w:val="auto"/>
          <w:sz w:val="44"/>
          <w:szCs w:val="44"/>
          <w:highlight w:val="none"/>
        </w:rPr>
      </w:pPr>
    </w:p>
    <w:p w14:paraId="1517BFD5">
      <w:pPr>
        <w:pStyle w:val="3"/>
        <w:spacing w:line="360" w:lineRule="auto"/>
        <w:jc w:val="center"/>
        <w:rPr>
          <w:rFonts w:ascii="宋体" w:hAnsi="宋体"/>
          <w:b w:val="0"/>
          <w:bCs w:val="0"/>
          <w:color w:val="auto"/>
          <w:sz w:val="44"/>
          <w:szCs w:val="44"/>
          <w:highlight w:val="none"/>
        </w:rPr>
      </w:pPr>
    </w:p>
    <w:p w14:paraId="601195F6">
      <w:pPr>
        <w:pStyle w:val="3"/>
        <w:spacing w:line="360" w:lineRule="auto"/>
        <w:jc w:val="center"/>
        <w:rPr>
          <w:rFonts w:ascii="宋体" w:hAnsi="宋体"/>
          <w:b w:val="0"/>
          <w:bCs w:val="0"/>
          <w:color w:val="auto"/>
          <w:sz w:val="44"/>
          <w:szCs w:val="44"/>
          <w:highlight w:val="none"/>
        </w:rPr>
      </w:pPr>
    </w:p>
    <w:p w14:paraId="397D7BC2">
      <w:pPr>
        <w:pStyle w:val="3"/>
        <w:spacing w:line="360" w:lineRule="auto"/>
        <w:jc w:val="center"/>
        <w:rPr>
          <w:rFonts w:ascii="宋体" w:hAnsi="宋体"/>
          <w:b w:val="0"/>
          <w:bCs w:val="0"/>
          <w:color w:val="auto"/>
          <w:sz w:val="44"/>
          <w:szCs w:val="44"/>
          <w:highlight w:val="none"/>
        </w:rPr>
      </w:pPr>
    </w:p>
    <w:p w14:paraId="71FF7D32">
      <w:pPr>
        <w:pStyle w:val="3"/>
        <w:spacing w:line="360" w:lineRule="auto"/>
        <w:jc w:val="center"/>
        <w:rPr>
          <w:rFonts w:ascii="宋体" w:hAnsi="宋体"/>
          <w:b w:val="0"/>
          <w:bCs w:val="0"/>
          <w:color w:val="auto"/>
          <w:sz w:val="44"/>
          <w:szCs w:val="44"/>
          <w:highlight w:val="none"/>
        </w:rPr>
      </w:pPr>
    </w:p>
    <w:p w14:paraId="0E1C5241">
      <w:pPr>
        <w:rPr>
          <w:rFonts w:ascii="宋体" w:hAnsi="宋体"/>
          <w:color w:val="auto"/>
          <w:sz w:val="44"/>
          <w:szCs w:val="44"/>
          <w:highlight w:val="none"/>
        </w:rPr>
      </w:pPr>
    </w:p>
    <w:p w14:paraId="208F8410">
      <w:pPr>
        <w:rPr>
          <w:rFonts w:ascii="宋体" w:hAnsi="宋体"/>
          <w:color w:val="auto"/>
          <w:sz w:val="44"/>
          <w:szCs w:val="44"/>
          <w:highlight w:val="none"/>
        </w:rPr>
      </w:pPr>
    </w:p>
    <w:p w14:paraId="64F9431C">
      <w:pPr>
        <w:pStyle w:val="3"/>
        <w:spacing w:line="360" w:lineRule="auto"/>
        <w:jc w:val="center"/>
        <w:rPr>
          <w:rFonts w:ascii="宋体" w:hAnsi="宋体"/>
          <w:b w:val="0"/>
          <w:bCs w:val="0"/>
          <w:color w:val="auto"/>
          <w:sz w:val="44"/>
          <w:szCs w:val="44"/>
          <w:highlight w:val="none"/>
        </w:rPr>
      </w:pPr>
      <w:bookmarkStart w:id="470" w:name="_Toc2857"/>
      <w:r>
        <w:rPr>
          <w:rFonts w:hint="eastAsia" w:ascii="宋体" w:hAnsi="宋体"/>
          <w:b w:val="0"/>
          <w:bCs w:val="0"/>
          <w:color w:val="auto"/>
          <w:sz w:val="44"/>
          <w:szCs w:val="44"/>
          <w:highlight w:val="none"/>
        </w:rPr>
        <w:t>三、</w:t>
      </w:r>
      <w:bookmarkEnd w:id="447"/>
      <w:bookmarkEnd w:id="448"/>
      <w:bookmarkEnd w:id="449"/>
      <w:bookmarkEnd w:id="450"/>
      <w:bookmarkEnd w:id="451"/>
      <w:r>
        <w:rPr>
          <w:rFonts w:hint="eastAsia" w:ascii="宋体" w:hAnsi="宋体"/>
          <w:b w:val="0"/>
          <w:bCs w:val="0"/>
          <w:color w:val="auto"/>
          <w:sz w:val="44"/>
          <w:szCs w:val="44"/>
          <w:highlight w:val="none"/>
        </w:rPr>
        <w:t>资格审查部分</w:t>
      </w:r>
      <w:bookmarkEnd w:id="452"/>
      <w:bookmarkEnd w:id="470"/>
    </w:p>
    <w:p w14:paraId="252BFE54">
      <w:pPr>
        <w:spacing w:line="360" w:lineRule="auto"/>
        <w:rPr>
          <w:rFonts w:ascii="宋体" w:hAnsi="宋体"/>
          <w:color w:val="auto"/>
          <w:sz w:val="32"/>
          <w:szCs w:val="32"/>
          <w:highlight w:val="none"/>
        </w:rPr>
      </w:pPr>
    </w:p>
    <w:p w14:paraId="2204E387">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46A2DFE5">
      <w:pPr>
        <w:spacing w:line="360" w:lineRule="auto"/>
        <w:jc w:val="center"/>
        <w:rPr>
          <w:rFonts w:ascii="宋体" w:hAnsi="宋体"/>
          <w:color w:val="auto"/>
          <w:kern w:val="0"/>
          <w:sz w:val="32"/>
          <w:szCs w:val="32"/>
          <w:highlight w:val="none"/>
        </w:rPr>
      </w:pPr>
      <w:bookmarkStart w:id="471" w:name="_Toc5633"/>
      <w:bookmarkStart w:id="472" w:name="_Toc287620830"/>
      <w:bookmarkStart w:id="473" w:name="_Toc430530546"/>
      <w:bookmarkStart w:id="474" w:name="_Toc287607883"/>
      <w:bookmarkStart w:id="475" w:name="_Toc224103511"/>
      <w:bookmarkStart w:id="476" w:name="_Toc277082657"/>
      <w:r>
        <w:rPr>
          <w:rFonts w:hint="eastAsia" w:ascii="宋体" w:hAnsi="宋体"/>
          <w:color w:val="auto"/>
          <w:kern w:val="0"/>
          <w:sz w:val="32"/>
          <w:szCs w:val="32"/>
          <w:highlight w:val="none"/>
          <w:u w:val="single"/>
        </w:rPr>
        <w:t xml:space="preserve">                   （项目名称）</w:t>
      </w:r>
    </w:p>
    <w:p w14:paraId="5953718F">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1DBA179">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262E12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7782FC9">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3873AD95">
      <w:pPr>
        <w:autoSpaceDE w:val="0"/>
        <w:autoSpaceDN w:val="0"/>
        <w:adjustRightInd w:val="0"/>
        <w:snapToGrid w:val="0"/>
        <w:spacing w:line="360" w:lineRule="auto"/>
        <w:jc w:val="left"/>
        <w:rPr>
          <w:rFonts w:ascii="宋体" w:hAnsi="宋体"/>
          <w:color w:val="auto"/>
          <w:kern w:val="0"/>
          <w:sz w:val="16"/>
          <w:szCs w:val="16"/>
          <w:highlight w:val="none"/>
        </w:rPr>
      </w:pPr>
    </w:p>
    <w:p w14:paraId="04FC71F1">
      <w:pPr>
        <w:autoSpaceDE w:val="0"/>
        <w:autoSpaceDN w:val="0"/>
        <w:adjustRightInd w:val="0"/>
        <w:snapToGrid w:val="0"/>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rPr>
        <w:t>资格审查部分</w:t>
      </w:r>
      <w:r>
        <w:rPr>
          <w:rFonts w:hint="eastAsia" w:ascii="宋体" w:hAnsi="宋体"/>
          <w:color w:val="auto"/>
          <w:kern w:val="0"/>
          <w:sz w:val="36"/>
          <w:szCs w:val="36"/>
          <w:highlight w:val="none"/>
          <w:lang w:eastAsia="zh-CN"/>
        </w:rPr>
        <w:t>（</w:t>
      </w:r>
      <w:r>
        <w:rPr>
          <w:rFonts w:hint="eastAsia" w:ascii="宋体" w:hAnsi="宋体"/>
          <w:color w:val="auto"/>
          <w:kern w:val="0"/>
          <w:sz w:val="36"/>
          <w:szCs w:val="36"/>
          <w:highlight w:val="none"/>
          <w:lang w:val="en-US" w:eastAsia="zh-CN"/>
        </w:rPr>
        <w:t>含商务部分</w:t>
      </w:r>
      <w:r>
        <w:rPr>
          <w:rFonts w:hint="eastAsia" w:ascii="宋体" w:hAnsi="宋体"/>
          <w:color w:val="auto"/>
          <w:kern w:val="0"/>
          <w:sz w:val="36"/>
          <w:szCs w:val="36"/>
          <w:highlight w:val="none"/>
          <w:lang w:eastAsia="zh-CN"/>
        </w:rPr>
        <w:t>）</w:t>
      </w:r>
    </w:p>
    <w:p w14:paraId="408B4DC4">
      <w:pPr>
        <w:autoSpaceDE w:val="0"/>
        <w:autoSpaceDN w:val="0"/>
        <w:adjustRightInd w:val="0"/>
        <w:snapToGrid w:val="0"/>
        <w:spacing w:line="360" w:lineRule="auto"/>
        <w:jc w:val="left"/>
        <w:rPr>
          <w:rFonts w:ascii="宋体" w:hAnsi="宋体" w:cs="MingLiU"/>
          <w:color w:val="auto"/>
          <w:kern w:val="0"/>
          <w:sz w:val="20"/>
          <w:szCs w:val="20"/>
          <w:highlight w:val="none"/>
        </w:rPr>
      </w:pPr>
    </w:p>
    <w:p w14:paraId="376EF394">
      <w:pPr>
        <w:adjustRightInd w:val="0"/>
        <w:snapToGrid w:val="0"/>
        <w:spacing w:line="264" w:lineRule="auto"/>
        <w:rPr>
          <w:rFonts w:ascii="宋体" w:hAnsi="宋体"/>
          <w:color w:val="auto"/>
          <w:szCs w:val="21"/>
          <w:highlight w:val="none"/>
        </w:rPr>
      </w:pPr>
    </w:p>
    <w:p w14:paraId="16518C98">
      <w:pPr>
        <w:autoSpaceDE w:val="0"/>
        <w:autoSpaceDN w:val="0"/>
        <w:adjustRightInd w:val="0"/>
        <w:snapToGrid w:val="0"/>
        <w:spacing w:line="360" w:lineRule="auto"/>
        <w:jc w:val="left"/>
        <w:rPr>
          <w:rFonts w:ascii="宋体" w:hAnsi="宋体" w:cs="MingLiU"/>
          <w:color w:val="auto"/>
          <w:kern w:val="0"/>
          <w:sz w:val="20"/>
          <w:szCs w:val="20"/>
          <w:highlight w:val="none"/>
        </w:rPr>
      </w:pPr>
    </w:p>
    <w:p w14:paraId="747788BD">
      <w:pPr>
        <w:autoSpaceDE w:val="0"/>
        <w:autoSpaceDN w:val="0"/>
        <w:adjustRightInd w:val="0"/>
        <w:snapToGrid w:val="0"/>
        <w:spacing w:line="360" w:lineRule="auto"/>
        <w:jc w:val="left"/>
        <w:rPr>
          <w:rFonts w:ascii="宋体" w:hAnsi="宋体" w:cs="MingLiU"/>
          <w:color w:val="auto"/>
          <w:kern w:val="0"/>
          <w:sz w:val="20"/>
          <w:szCs w:val="20"/>
          <w:highlight w:val="none"/>
        </w:rPr>
      </w:pPr>
    </w:p>
    <w:p w14:paraId="43D8F339">
      <w:pPr>
        <w:autoSpaceDE w:val="0"/>
        <w:autoSpaceDN w:val="0"/>
        <w:adjustRightInd w:val="0"/>
        <w:snapToGrid w:val="0"/>
        <w:spacing w:line="360" w:lineRule="auto"/>
        <w:jc w:val="left"/>
        <w:rPr>
          <w:rFonts w:ascii="宋体" w:hAnsi="宋体" w:cs="MingLiU"/>
          <w:color w:val="auto"/>
          <w:kern w:val="0"/>
          <w:sz w:val="20"/>
          <w:szCs w:val="20"/>
          <w:highlight w:val="none"/>
        </w:rPr>
      </w:pPr>
    </w:p>
    <w:p w14:paraId="03FA520B">
      <w:pPr>
        <w:autoSpaceDE w:val="0"/>
        <w:autoSpaceDN w:val="0"/>
        <w:adjustRightInd w:val="0"/>
        <w:snapToGrid w:val="0"/>
        <w:spacing w:line="360" w:lineRule="auto"/>
        <w:jc w:val="left"/>
        <w:rPr>
          <w:rFonts w:ascii="宋体" w:hAnsi="宋体" w:cs="MingLiU"/>
          <w:color w:val="auto"/>
          <w:kern w:val="0"/>
          <w:sz w:val="20"/>
          <w:szCs w:val="20"/>
          <w:highlight w:val="none"/>
        </w:rPr>
      </w:pPr>
    </w:p>
    <w:p w14:paraId="6053B6B7">
      <w:pPr>
        <w:autoSpaceDE w:val="0"/>
        <w:autoSpaceDN w:val="0"/>
        <w:adjustRightInd w:val="0"/>
        <w:snapToGrid w:val="0"/>
        <w:spacing w:line="360" w:lineRule="auto"/>
        <w:jc w:val="left"/>
        <w:rPr>
          <w:rFonts w:ascii="宋体" w:hAnsi="宋体" w:cs="MingLiU"/>
          <w:color w:val="auto"/>
          <w:kern w:val="0"/>
          <w:sz w:val="20"/>
          <w:szCs w:val="20"/>
          <w:highlight w:val="none"/>
        </w:rPr>
      </w:pPr>
    </w:p>
    <w:p w14:paraId="45CDD080">
      <w:pPr>
        <w:autoSpaceDE w:val="0"/>
        <w:autoSpaceDN w:val="0"/>
        <w:adjustRightInd w:val="0"/>
        <w:snapToGrid w:val="0"/>
        <w:spacing w:line="360" w:lineRule="auto"/>
        <w:jc w:val="left"/>
        <w:rPr>
          <w:rFonts w:ascii="宋体" w:hAnsi="宋体" w:cs="MingLiU"/>
          <w:color w:val="auto"/>
          <w:kern w:val="0"/>
          <w:sz w:val="20"/>
          <w:szCs w:val="20"/>
          <w:highlight w:val="none"/>
        </w:rPr>
      </w:pPr>
    </w:p>
    <w:p w14:paraId="71A61860">
      <w:pPr>
        <w:autoSpaceDE w:val="0"/>
        <w:autoSpaceDN w:val="0"/>
        <w:adjustRightInd w:val="0"/>
        <w:snapToGrid w:val="0"/>
        <w:spacing w:line="360" w:lineRule="auto"/>
        <w:jc w:val="left"/>
        <w:rPr>
          <w:rFonts w:ascii="宋体" w:hAnsi="宋体" w:cs="MingLiU"/>
          <w:color w:val="auto"/>
          <w:kern w:val="0"/>
          <w:sz w:val="20"/>
          <w:szCs w:val="20"/>
          <w:highlight w:val="none"/>
        </w:rPr>
      </w:pPr>
    </w:p>
    <w:p w14:paraId="6494DAAA">
      <w:pPr>
        <w:autoSpaceDE w:val="0"/>
        <w:autoSpaceDN w:val="0"/>
        <w:adjustRightInd w:val="0"/>
        <w:snapToGrid w:val="0"/>
        <w:spacing w:line="360" w:lineRule="auto"/>
        <w:jc w:val="left"/>
        <w:rPr>
          <w:rFonts w:ascii="宋体" w:hAnsi="宋体" w:cs="MingLiU"/>
          <w:color w:val="auto"/>
          <w:kern w:val="0"/>
          <w:sz w:val="20"/>
          <w:szCs w:val="20"/>
          <w:highlight w:val="none"/>
        </w:rPr>
      </w:pPr>
    </w:p>
    <w:p w14:paraId="4F714D9E">
      <w:pPr>
        <w:autoSpaceDE w:val="0"/>
        <w:autoSpaceDN w:val="0"/>
        <w:adjustRightInd w:val="0"/>
        <w:snapToGrid w:val="0"/>
        <w:spacing w:line="360" w:lineRule="auto"/>
        <w:jc w:val="left"/>
        <w:rPr>
          <w:rFonts w:ascii="宋体" w:hAnsi="宋体" w:cs="MingLiU"/>
          <w:color w:val="auto"/>
          <w:kern w:val="0"/>
          <w:sz w:val="20"/>
          <w:szCs w:val="20"/>
          <w:highlight w:val="none"/>
        </w:rPr>
      </w:pPr>
    </w:p>
    <w:p w14:paraId="2828A863">
      <w:pPr>
        <w:autoSpaceDE w:val="0"/>
        <w:autoSpaceDN w:val="0"/>
        <w:adjustRightInd w:val="0"/>
        <w:snapToGrid w:val="0"/>
        <w:spacing w:line="360" w:lineRule="auto"/>
        <w:jc w:val="left"/>
        <w:rPr>
          <w:rFonts w:ascii="宋体" w:hAnsi="宋体" w:cs="MingLiU"/>
          <w:color w:val="auto"/>
          <w:kern w:val="0"/>
          <w:sz w:val="20"/>
          <w:szCs w:val="20"/>
          <w:highlight w:val="none"/>
        </w:rPr>
      </w:pPr>
    </w:p>
    <w:p w14:paraId="4635E8AA">
      <w:pPr>
        <w:autoSpaceDE w:val="0"/>
        <w:autoSpaceDN w:val="0"/>
        <w:adjustRightInd w:val="0"/>
        <w:snapToGrid w:val="0"/>
        <w:spacing w:line="360" w:lineRule="auto"/>
        <w:jc w:val="left"/>
        <w:rPr>
          <w:rFonts w:ascii="宋体" w:hAnsi="宋体" w:cs="MingLiU"/>
          <w:color w:val="auto"/>
          <w:kern w:val="0"/>
          <w:sz w:val="20"/>
          <w:szCs w:val="20"/>
          <w:highlight w:val="none"/>
        </w:rPr>
      </w:pPr>
    </w:p>
    <w:p w14:paraId="7E6E1ECC">
      <w:pPr>
        <w:autoSpaceDE w:val="0"/>
        <w:autoSpaceDN w:val="0"/>
        <w:adjustRightInd w:val="0"/>
        <w:snapToGrid w:val="0"/>
        <w:spacing w:line="360" w:lineRule="auto"/>
        <w:jc w:val="left"/>
        <w:rPr>
          <w:rFonts w:ascii="宋体" w:hAnsi="宋体" w:cs="MingLiU"/>
          <w:color w:val="auto"/>
          <w:kern w:val="0"/>
          <w:sz w:val="20"/>
          <w:szCs w:val="20"/>
          <w:highlight w:val="none"/>
        </w:rPr>
      </w:pPr>
    </w:p>
    <w:p w14:paraId="7CAD6C50">
      <w:pPr>
        <w:autoSpaceDE w:val="0"/>
        <w:autoSpaceDN w:val="0"/>
        <w:adjustRightInd w:val="0"/>
        <w:snapToGrid w:val="0"/>
        <w:spacing w:line="360" w:lineRule="auto"/>
        <w:jc w:val="left"/>
        <w:rPr>
          <w:rFonts w:ascii="宋体" w:hAnsi="宋体" w:cs="MingLiU"/>
          <w:color w:val="auto"/>
          <w:kern w:val="0"/>
          <w:sz w:val="20"/>
          <w:szCs w:val="20"/>
          <w:highlight w:val="none"/>
        </w:rPr>
      </w:pPr>
    </w:p>
    <w:p w14:paraId="2EFB2CCB">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31ECD35">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908B0CF">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77A96F2">
      <w:pPr>
        <w:autoSpaceDE w:val="0"/>
        <w:autoSpaceDN w:val="0"/>
        <w:adjustRightInd w:val="0"/>
        <w:snapToGrid w:val="0"/>
        <w:jc w:val="center"/>
        <w:rPr>
          <w:rFonts w:ascii="宋体" w:hAnsi="宋体"/>
          <w:color w:val="auto"/>
          <w:kern w:val="0"/>
          <w:sz w:val="36"/>
          <w:szCs w:val="36"/>
          <w:highlight w:val="none"/>
        </w:rPr>
      </w:pPr>
    </w:p>
    <w:p w14:paraId="73213AD0">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4FED89AD">
      <w:pPr>
        <w:spacing w:line="360" w:lineRule="auto"/>
        <w:jc w:val="center"/>
        <w:rPr>
          <w:rFonts w:ascii="宋体" w:hAnsi="宋体"/>
          <w:b/>
          <w:color w:val="auto"/>
          <w:kern w:val="0"/>
          <w:sz w:val="32"/>
          <w:szCs w:val="32"/>
          <w:highlight w:val="none"/>
        </w:rPr>
      </w:pPr>
    </w:p>
    <w:p w14:paraId="2B9B5CC5">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5EB68331">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34D9F43D">
      <w:pPr>
        <w:spacing w:line="360" w:lineRule="auto"/>
        <w:ind w:firstLine="420" w:firstLineChars="200"/>
        <w:rPr>
          <w:rFonts w:ascii="宋体" w:hAnsi="宋体"/>
          <w:color w:val="auto"/>
          <w:szCs w:val="21"/>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25730472">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w:t>
      </w:r>
      <w:r>
        <w:rPr>
          <w:rFonts w:hint="eastAsia" w:ascii="宋体" w:hAnsi="宋体"/>
          <w:color w:val="auto"/>
          <w:szCs w:val="21"/>
          <w:highlight w:val="none"/>
        </w:rPr>
        <w:t>承诺</w:t>
      </w:r>
    </w:p>
    <w:p w14:paraId="001C51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五</w:t>
      </w:r>
      <w:r>
        <w:rPr>
          <w:rFonts w:ascii="宋体" w:hAnsi="宋体"/>
          <w:color w:val="auto"/>
          <w:szCs w:val="21"/>
          <w:highlight w:val="none"/>
        </w:rPr>
        <w:t>）其他资料</w:t>
      </w:r>
    </w:p>
    <w:p w14:paraId="7657C798">
      <w:pPr>
        <w:spacing w:line="360" w:lineRule="auto"/>
        <w:jc w:val="center"/>
        <w:rPr>
          <w:rFonts w:ascii="宋体" w:hAnsi="宋体"/>
          <w:b/>
          <w:color w:val="auto"/>
          <w:kern w:val="0"/>
          <w:sz w:val="32"/>
          <w:szCs w:val="32"/>
          <w:highlight w:val="none"/>
        </w:rPr>
      </w:pPr>
    </w:p>
    <w:p w14:paraId="2869F4C6">
      <w:pPr>
        <w:spacing w:line="360" w:lineRule="auto"/>
        <w:jc w:val="center"/>
        <w:rPr>
          <w:rFonts w:ascii="宋体" w:hAnsi="宋体"/>
          <w:b/>
          <w:color w:val="auto"/>
          <w:kern w:val="0"/>
          <w:sz w:val="32"/>
          <w:szCs w:val="32"/>
          <w:highlight w:val="none"/>
        </w:rPr>
      </w:pPr>
    </w:p>
    <w:p w14:paraId="178CE6D4">
      <w:pPr>
        <w:pStyle w:val="4"/>
        <w:jc w:val="center"/>
        <w:rPr>
          <w:rFonts w:ascii="宋体" w:hAnsi="宋体"/>
          <w:snapToGrid w:val="0"/>
          <w:color w:val="auto"/>
          <w:kern w:val="0"/>
          <w:sz w:val="30"/>
          <w:szCs w:val="30"/>
          <w:highlight w:val="none"/>
        </w:rPr>
      </w:pPr>
      <w:r>
        <w:rPr>
          <w:rFonts w:ascii="宋体" w:hAnsi="宋体"/>
          <w:color w:val="auto"/>
          <w:highlight w:val="none"/>
        </w:rPr>
        <w:br w:type="page"/>
      </w:r>
      <w:bookmarkStart w:id="477" w:name="_Toc7724"/>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471"/>
      <w:bookmarkEnd w:id="477"/>
    </w:p>
    <w:p w14:paraId="59B26347">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0998DB6B">
      <w:pPr>
        <w:spacing w:line="480" w:lineRule="auto"/>
        <w:jc w:val="center"/>
        <w:rPr>
          <w:rFonts w:ascii="宋体" w:hAnsi="宋体"/>
          <w:color w:val="auto"/>
          <w:highlight w:val="none"/>
        </w:rPr>
      </w:pPr>
    </w:p>
    <w:p w14:paraId="24CADC45">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80D078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9E77F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2768492">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B58055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B334C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4DA7570">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554FB391">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FCD69DB">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05BADC00">
      <w:pPr>
        <w:autoSpaceDE w:val="0"/>
        <w:autoSpaceDN w:val="0"/>
        <w:adjustRightInd w:val="0"/>
        <w:snapToGrid w:val="0"/>
        <w:spacing w:line="360" w:lineRule="auto"/>
        <w:jc w:val="left"/>
        <w:rPr>
          <w:rFonts w:ascii="宋体" w:hAnsi="宋体"/>
          <w:color w:val="auto"/>
          <w:szCs w:val="21"/>
          <w:highlight w:val="none"/>
        </w:rPr>
      </w:pPr>
    </w:p>
    <w:p w14:paraId="2EEB01AA">
      <w:pPr>
        <w:pStyle w:val="18"/>
        <w:spacing w:after="0" w:line="360" w:lineRule="auto"/>
        <w:rPr>
          <w:rFonts w:ascii="宋体" w:hAnsi="宋体"/>
          <w:color w:val="auto"/>
          <w:szCs w:val="21"/>
          <w:highlight w:val="none"/>
        </w:rPr>
      </w:pPr>
    </w:p>
    <w:p w14:paraId="1F6F3041">
      <w:pPr>
        <w:pStyle w:val="18"/>
        <w:spacing w:after="0" w:line="360" w:lineRule="auto"/>
        <w:rPr>
          <w:rFonts w:ascii="宋体" w:hAnsi="宋体"/>
          <w:color w:val="auto"/>
          <w:szCs w:val="21"/>
          <w:highlight w:val="none"/>
        </w:rPr>
      </w:pPr>
    </w:p>
    <w:p w14:paraId="6B95C609">
      <w:pPr>
        <w:pStyle w:val="18"/>
        <w:spacing w:after="0" w:line="360" w:lineRule="auto"/>
        <w:rPr>
          <w:rFonts w:ascii="宋体" w:hAnsi="宋体"/>
          <w:color w:val="auto"/>
          <w:szCs w:val="21"/>
          <w:highlight w:val="none"/>
        </w:rPr>
      </w:pPr>
    </w:p>
    <w:p w14:paraId="54429F12">
      <w:pPr>
        <w:pStyle w:val="18"/>
        <w:spacing w:after="0" w:line="360" w:lineRule="auto"/>
        <w:rPr>
          <w:rFonts w:ascii="宋体" w:hAnsi="宋体"/>
          <w:color w:val="auto"/>
          <w:szCs w:val="21"/>
          <w:highlight w:val="none"/>
        </w:rPr>
      </w:pPr>
    </w:p>
    <w:p w14:paraId="389669AD">
      <w:pPr>
        <w:pStyle w:val="18"/>
        <w:spacing w:after="0" w:line="360" w:lineRule="auto"/>
        <w:rPr>
          <w:rFonts w:ascii="宋体" w:hAnsi="宋体"/>
          <w:color w:val="auto"/>
          <w:szCs w:val="21"/>
          <w:highlight w:val="none"/>
        </w:rPr>
      </w:pPr>
    </w:p>
    <w:p w14:paraId="38D544BB">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5856785E">
      <w:pPr>
        <w:autoSpaceDE w:val="0"/>
        <w:autoSpaceDN w:val="0"/>
        <w:adjustRightInd w:val="0"/>
        <w:snapToGrid w:val="0"/>
        <w:spacing w:line="480" w:lineRule="auto"/>
        <w:jc w:val="left"/>
        <w:rPr>
          <w:rFonts w:ascii="宋体" w:hAnsi="宋体"/>
          <w:color w:val="auto"/>
          <w:kern w:val="0"/>
          <w:sz w:val="20"/>
          <w:szCs w:val="20"/>
          <w:highlight w:val="none"/>
        </w:rPr>
      </w:pPr>
    </w:p>
    <w:p w14:paraId="5BA7323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C9F1145">
      <w:pPr>
        <w:autoSpaceDE w:val="0"/>
        <w:autoSpaceDN w:val="0"/>
        <w:adjustRightInd w:val="0"/>
        <w:snapToGrid w:val="0"/>
        <w:spacing w:line="360" w:lineRule="auto"/>
        <w:jc w:val="left"/>
        <w:rPr>
          <w:rFonts w:ascii="宋体" w:hAnsi="宋体"/>
          <w:color w:val="auto"/>
          <w:kern w:val="0"/>
          <w:highlight w:val="none"/>
        </w:rPr>
      </w:pPr>
    </w:p>
    <w:p w14:paraId="6387CA74">
      <w:pPr>
        <w:autoSpaceDE w:val="0"/>
        <w:autoSpaceDN w:val="0"/>
        <w:adjustRightInd w:val="0"/>
        <w:snapToGrid w:val="0"/>
        <w:spacing w:line="360" w:lineRule="auto"/>
        <w:jc w:val="left"/>
        <w:rPr>
          <w:rFonts w:ascii="宋体" w:hAnsi="宋体"/>
          <w:color w:val="auto"/>
          <w:kern w:val="0"/>
          <w:highlight w:val="none"/>
        </w:rPr>
      </w:pPr>
    </w:p>
    <w:p w14:paraId="3978B927">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472"/>
      <w:bookmarkEnd w:id="473"/>
      <w:bookmarkEnd w:id="474"/>
      <w:bookmarkEnd w:id="475"/>
      <w:bookmarkEnd w:id="476"/>
      <w:r>
        <w:rPr>
          <w:rFonts w:hint="eastAsia" w:ascii="宋体" w:hAnsi="宋体"/>
          <w:color w:val="auto"/>
          <w:kern w:val="0"/>
          <w:szCs w:val="21"/>
          <w:highlight w:val="none"/>
        </w:rPr>
        <w:t>。</w:t>
      </w:r>
    </w:p>
    <w:p w14:paraId="2B23B8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52175C4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4C50FFD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5F4B35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0C9F95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526EAB9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B02307F">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52BF54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0E0F506">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56FBF90">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056BC4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0930EB16">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2E36A332">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666FE3B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C963A5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B024AD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867485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2F986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B18065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3DDBB06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848F2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643B6C07">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7EDFD651">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38C75994">
      <w:pPr>
        <w:tabs>
          <w:tab w:val="left" w:pos="5760"/>
        </w:tabs>
        <w:autoSpaceDE w:val="0"/>
        <w:autoSpaceDN w:val="0"/>
        <w:adjustRightInd w:val="0"/>
        <w:spacing w:line="360" w:lineRule="auto"/>
        <w:ind w:firstLine="420" w:firstLineChars="200"/>
        <w:rPr>
          <w:rFonts w:ascii="宋体" w:hAnsi="宋体" w:cs="Times New Roman"/>
          <w:color w:val="auto"/>
          <w:kern w:val="0"/>
          <w:szCs w:val="21"/>
          <w:highlight w:val="none"/>
        </w:rPr>
      </w:pPr>
      <w:r>
        <w:rPr>
          <w:rFonts w:hint="eastAsia" w:ascii="宋体" w:hAnsi="宋体" w:cs="Times New Roman"/>
          <w:color w:val="auto"/>
          <w:kern w:val="0"/>
          <w:szCs w:val="21"/>
          <w:highlight w:val="none"/>
        </w:rPr>
        <w:t>3.授权委托书</w:t>
      </w:r>
      <w:r>
        <w:rPr>
          <w:rFonts w:ascii="宋体" w:hAnsi="宋体" w:cs="Times New Roman"/>
          <w:color w:val="auto"/>
          <w:kern w:val="0"/>
          <w:szCs w:val="21"/>
          <w:highlight w:val="none"/>
        </w:rPr>
        <w:t>需按上述格式填写完整，不可缺少内容。在此基础上增加内容的不影响其有效性。</w:t>
      </w:r>
      <w:bookmarkStart w:id="478" w:name="_Toc2972"/>
    </w:p>
    <w:bookmarkEnd w:id="478"/>
    <w:p w14:paraId="27AE218A">
      <w:pPr>
        <w:pStyle w:val="4"/>
        <w:spacing w:before="0" w:after="0" w:line="240" w:lineRule="auto"/>
        <w:jc w:val="center"/>
        <w:rPr>
          <w:rFonts w:ascii="宋体" w:hAnsi="宋体"/>
          <w:color w:val="auto"/>
          <w:highlight w:val="none"/>
        </w:rPr>
      </w:pPr>
      <w:bookmarkStart w:id="479" w:name="_Toc430530547"/>
      <w:bookmarkStart w:id="480" w:name="_Toc277082658"/>
      <w:bookmarkStart w:id="481" w:name="_Toc224103512"/>
      <w:bookmarkStart w:id="482" w:name="_Toc287620831"/>
      <w:bookmarkStart w:id="483" w:name="_Toc287607884"/>
      <w:bookmarkStart w:id="484" w:name="_Toc30898"/>
      <w:r>
        <w:rPr>
          <w:color w:val="auto"/>
          <w:highlight w:val="none"/>
        </w:rPr>
        <w:t>（</w:t>
      </w:r>
      <w:r>
        <w:rPr>
          <w:rFonts w:hint="eastAsia"/>
          <w:color w:val="auto"/>
          <w:highlight w:val="none"/>
          <w:lang w:val="en-US" w:eastAsia="zh-CN"/>
        </w:rPr>
        <w:t>二</w:t>
      </w:r>
      <w:r>
        <w:rPr>
          <w:color w:val="auto"/>
          <w:highlight w:val="none"/>
        </w:rPr>
        <w:t>）</w:t>
      </w:r>
      <w:bookmarkEnd w:id="479"/>
      <w:bookmarkEnd w:id="480"/>
      <w:bookmarkEnd w:id="481"/>
      <w:bookmarkEnd w:id="482"/>
      <w:bookmarkEnd w:id="483"/>
      <w:bookmarkStart w:id="485" w:name="_Toc277082659"/>
      <w:bookmarkStart w:id="486" w:name="_Toc287607887"/>
      <w:r>
        <w:rPr>
          <w:rFonts w:hint="eastAsia" w:ascii="宋体" w:hAnsi="宋体"/>
          <w:b w:val="0"/>
          <w:bCs w:val="0"/>
          <w:color w:val="auto"/>
          <w:highlight w:val="none"/>
        </w:rPr>
        <w:t>竞标人基本情况表</w:t>
      </w:r>
      <w:bookmarkEnd w:id="484"/>
    </w:p>
    <w:tbl>
      <w:tblPr>
        <w:tblStyle w:val="48"/>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11590B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045E1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竞标人名称</w:t>
            </w:r>
          </w:p>
        </w:tc>
        <w:tc>
          <w:tcPr>
            <w:tcW w:w="7607" w:type="dxa"/>
            <w:gridSpan w:val="9"/>
            <w:vAlign w:val="center"/>
          </w:tcPr>
          <w:p w14:paraId="340EBB30">
            <w:pPr>
              <w:autoSpaceDE w:val="0"/>
              <w:autoSpaceDN w:val="0"/>
              <w:adjustRightInd w:val="0"/>
              <w:snapToGrid w:val="0"/>
              <w:jc w:val="center"/>
              <w:rPr>
                <w:rFonts w:ascii="宋体" w:hAnsi="宋体"/>
                <w:color w:val="auto"/>
                <w:kern w:val="0"/>
                <w:szCs w:val="21"/>
                <w:highlight w:val="none"/>
              </w:rPr>
            </w:pPr>
          </w:p>
        </w:tc>
      </w:tr>
      <w:tr w14:paraId="411681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DE41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5C5468CC">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03813F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39881106">
            <w:pPr>
              <w:autoSpaceDE w:val="0"/>
              <w:autoSpaceDN w:val="0"/>
              <w:adjustRightInd w:val="0"/>
              <w:snapToGrid w:val="0"/>
              <w:jc w:val="center"/>
              <w:rPr>
                <w:rFonts w:ascii="宋体" w:hAnsi="宋体"/>
                <w:color w:val="auto"/>
                <w:kern w:val="0"/>
                <w:szCs w:val="21"/>
                <w:highlight w:val="none"/>
              </w:rPr>
            </w:pPr>
          </w:p>
        </w:tc>
      </w:tr>
      <w:tr w14:paraId="0C00B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5030BE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409BFEB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57A85347">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1E70B3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5F114782">
            <w:pPr>
              <w:autoSpaceDE w:val="0"/>
              <w:autoSpaceDN w:val="0"/>
              <w:adjustRightInd w:val="0"/>
              <w:snapToGrid w:val="0"/>
              <w:jc w:val="center"/>
              <w:rPr>
                <w:rFonts w:ascii="宋体" w:hAnsi="宋体"/>
                <w:color w:val="auto"/>
                <w:kern w:val="0"/>
                <w:szCs w:val="21"/>
                <w:highlight w:val="none"/>
              </w:rPr>
            </w:pPr>
          </w:p>
        </w:tc>
      </w:tr>
      <w:tr w14:paraId="21BA75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9F23FB8">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412214A5">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01FC51BA">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44BD8B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BDF7E2F">
            <w:pPr>
              <w:autoSpaceDE w:val="0"/>
              <w:autoSpaceDN w:val="0"/>
              <w:adjustRightInd w:val="0"/>
              <w:snapToGrid w:val="0"/>
              <w:jc w:val="center"/>
              <w:rPr>
                <w:rFonts w:ascii="宋体" w:hAnsi="宋体"/>
                <w:color w:val="auto"/>
                <w:kern w:val="0"/>
                <w:szCs w:val="21"/>
                <w:highlight w:val="none"/>
              </w:rPr>
            </w:pPr>
          </w:p>
        </w:tc>
      </w:tr>
      <w:tr w14:paraId="0917BF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350DF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2C759876">
            <w:pPr>
              <w:autoSpaceDE w:val="0"/>
              <w:autoSpaceDN w:val="0"/>
              <w:adjustRightInd w:val="0"/>
              <w:snapToGrid w:val="0"/>
              <w:jc w:val="center"/>
              <w:rPr>
                <w:rFonts w:ascii="宋体" w:hAnsi="宋体"/>
                <w:color w:val="auto"/>
                <w:kern w:val="0"/>
                <w:szCs w:val="21"/>
                <w:highlight w:val="none"/>
              </w:rPr>
            </w:pPr>
          </w:p>
        </w:tc>
      </w:tr>
      <w:tr w14:paraId="37F1B2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155536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68A9205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34B8B55D">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44C718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55EDF4F2">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59E96F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6EEB10A">
            <w:pPr>
              <w:autoSpaceDE w:val="0"/>
              <w:autoSpaceDN w:val="0"/>
              <w:adjustRightInd w:val="0"/>
              <w:snapToGrid w:val="0"/>
              <w:jc w:val="center"/>
              <w:rPr>
                <w:rFonts w:ascii="宋体" w:hAnsi="宋体"/>
                <w:color w:val="auto"/>
                <w:kern w:val="0"/>
                <w:szCs w:val="21"/>
                <w:highlight w:val="none"/>
              </w:rPr>
            </w:pPr>
          </w:p>
        </w:tc>
      </w:tr>
      <w:tr w14:paraId="7DC76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7FDC3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5B645AA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3596ADF8">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031D95D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2064504">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2022FA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71094798">
            <w:pPr>
              <w:autoSpaceDE w:val="0"/>
              <w:autoSpaceDN w:val="0"/>
              <w:adjustRightInd w:val="0"/>
              <w:snapToGrid w:val="0"/>
              <w:jc w:val="center"/>
              <w:rPr>
                <w:rFonts w:ascii="宋体" w:hAnsi="宋体"/>
                <w:color w:val="auto"/>
                <w:kern w:val="0"/>
                <w:szCs w:val="21"/>
                <w:highlight w:val="none"/>
              </w:rPr>
            </w:pPr>
          </w:p>
        </w:tc>
      </w:tr>
      <w:tr w14:paraId="6B520B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C0B5A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34CA6B21">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310F34E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66863E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A8452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299DB965">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3D0BC6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12DEBE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26DE7A10">
            <w:pPr>
              <w:autoSpaceDE w:val="0"/>
              <w:autoSpaceDN w:val="0"/>
              <w:adjustRightInd w:val="0"/>
              <w:snapToGrid w:val="0"/>
              <w:jc w:val="center"/>
              <w:rPr>
                <w:rFonts w:ascii="宋体" w:hAnsi="宋体"/>
                <w:color w:val="auto"/>
                <w:kern w:val="0"/>
                <w:szCs w:val="21"/>
                <w:highlight w:val="none"/>
              </w:rPr>
            </w:pPr>
          </w:p>
        </w:tc>
      </w:tr>
      <w:tr w14:paraId="103E02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342A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192E504A">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4F0D0BB4">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46622FC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6CBE1FE3">
            <w:pPr>
              <w:autoSpaceDE w:val="0"/>
              <w:autoSpaceDN w:val="0"/>
              <w:adjustRightInd w:val="0"/>
              <w:snapToGrid w:val="0"/>
              <w:jc w:val="center"/>
              <w:rPr>
                <w:rFonts w:ascii="宋体" w:hAnsi="宋体"/>
                <w:color w:val="auto"/>
                <w:kern w:val="0"/>
                <w:szCs w:val="21"/>
                <w:highlight w:val="none"/>
              </w:rPr>
            </w:pPr>
          </w:p>
        </w:tc>
      </w:tr>
      <w:tr w14:paraId="625B4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4EB186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62078832">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7D466BB">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32CE970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5E3BC322">
            <w:pPr>
              <w:autoSpaceDE w:val="0"/>
              <w:autoSpaceDN w:val="0"/>
              <w:adjustRightInd w:val="0"/>
              <w:snapToGrid w:val="0"/>
              <w:jc w:val="center"/>
              <w:rPr>
                <w:rFonts w:ascii="宋体" w:hAnsi="宋体"/>
                <w:color w:val="auto"/>
                <w:kern w:val="0"/>
                <w:szCs w:val="21"/>
                <w:highlight w:val="none"/>
              </w:rPr>
            </w:pPr>
          </w:p>
        </w:tc>
      </w:tr>
      <w:tr w14:paraId="413BBE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E2A97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41969D7C">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5FEFCB52">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2EF0A8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2DA1FE74">
            <w:pPr>
              <w:autoSpaceDE w:val="0"/>
              <w:autoSpaceDN w:val="0"/>
              <w:adjustRightInd w:val="0"/>
              <w:snapToGrid w:val="0"/>
              <w:jc w:val="center"/>
              <w:rPr>
                <w:rFonts w:ascii="宋体" w:hAnsi="宋体"/>
                <w:color w:val="auto"/>
                <w:kern w:val="0"/>
                <w:szCs w:val="21"/>
                <w:highlight w:val="none"/>
              </w:rPr>
            </w:pPr>
          </w:p>
        </w:tc>
      </w:tr>
      <w:tr w14:paraId="1341A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8211D8E">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40A7452F">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2792736E">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117D5208">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6F051745">
            <w:pPr>
              <w:autoSpaceDE w:val="0"/>
              <w:autoSpaceDN w:val="0"/>
              <w:adjustRightInd w:val="0"/>
              <w:snapToGrid w:val="0"/>
              <w:jc w:val="center"/>
              <w:rPr>
                <w:rFonts w:ascii="宋体" w:hAnsi="宋体"/>
                <w:color w:val="auto"/>
                <w:kern w:val="0"/>
                <w:szCs w:val="21"/>
                <w:highlight w:val="none"/>
              </w:rPr>
            </w:pPr>
          </w:p>
        </w:tc>
      </w:tr>
      <w:tr w14:paraId="23B39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3D6CD7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5C00465F">
            <w:pPr>
              <w:autoSpaceDE w:val="0"/>
              <w:autoSpaceDN w:val="0"/>
              <w:adjustRightInd w:val="0"/>
              <w:snapToGrid w:val="0"/>
              <w:jc w:val="center"/>
              <w:rPr>
                <w:rFonts w:ascii="宋体" w:hAnsi="宋体"/>
                <w:color w:val="auto"/>
                <w:kern w:val="0"/>
                <w:szCs w:val="21"/>
                <w:highlight w:val="none"/>
              </w:rPr>
            </w:pPr>
          </w:p>
        </w:tc>
      </w:tr>
      <w:tr w14:paraId="59D5A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84EC4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70F82D74">
            <w:pPr>
              <w:autoSpaceDE w:val="0"/>
              <w:autoSpaceDN w:val="0"/>
              <w:adjustRightInd w:val="0"/>
              <w:snapToGrid w:val="0"/>
              <w:jc w:val="center"/>
              <w:rPr>
                <w:rFonts w:ascii="宋体" w:hAnsi="宋体"/>
                <w:color w:val="auto"/>
                <w:kern w:val="0"/>
                <w:szCs w:val="21"/>
                <w:highlight w:val="none"/>
              </w:rPr>
            </w:pPr>
          </w:p>
        </w:tc>
      </w:tr>
    </w:tbl>
    <w:p w14:paraId="780D4724">
      <w:pPr>
        <w:spacing w:line="360" w:lineRule="auto"/>
        <w:jc w:val="center"/>
        <w:rPr>
          <w:rFonts w:ascii="宋体" w:hAnsi="宋体"/>
          <w:color w:val="auto"/>
          <w:szCs w:val="21"/>
          <w:highlight w:val="none"/>
        </w:rPr>
      </w:pPr>
    </w:p>
    <w:p w14:paraId="3E57C973">
      <w:pPr>
        <w:rPr>
          <w:rFonts w:ascii="宋体" w:hAnsi="宋体"/>
          <w:color w:val="auto"/>
          <w:highlight w:val="none"/>
        </w:rPr>
      </w:pPr>
      <w:r>
        <w:rPr>
          <w:rFonts w:ascii="宋体" w:hAnsi="宋体"/>
          <w:color w:val="auto"/>
          <w:szCs w:val="21"/>
          <w:highlight w:val="none"/>
        </w:rPr>
        <w:br w:type="page"/>
      </w:r>
      <w:bookmarkEnd w:id="485"/>
      <w:bookmarkEnd w:id="486"/>
    </w:p>
    <w:p w14:paraId="7F2F4B89">
      <w:pPr>
        <w:pStyle w:val="4"/>
        <w:spacing w:before="0" w:after="0" w:line="240" w:lineRule="auto"/>
        <w:jc w:val="center"/>
        <w:rPr>
          <w:rFonts w:ascii="宋体" w:hAnsi="宋体"/>
          <w:b w:val="0"/>
          <w:bCs w:val="0"/>
          <w:color w:val="auto"/>
          <w:highlight w:val="none"/>
        </w:rPr>
      </w:pPr>
      <w:bookmarkStart w:id="487" w:name="_Toc1142"/>
      <w:bookmarkStart w:id="488" w:name="_Toc509218863"/>
      <w:bookmarkStart w:id="489" w:name="_Toc534185840"/>
      <w:bookmarkStart w:id="490" w:name="_Toc31370"/>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487"/>
      <w:bookmarkEnd w:id="488"/>
      <w:bookmarkEnd w:id="489"/>
      <w:bookmarkEnd w:id="490"/>
    </w:p>
    <w:p w14:paraId="4DB198D3">
      <w:pPr>
        <w:spacing w:line="360" w:lineRule="auto"/>
        <w:rPr>
          <w:rFonts w:ascii="宋体" w:hAnsi="宋体"/>
          <w:color w:val="auto"/>
          <w:highlight w:val="none"/>
        </w:rPr>
      </w:pPr>
    </w:p>
    <w:p w14:paraId="175790EA">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8"/>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97B59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BEF244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6609246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3D68AEA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258257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A4C25B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170A7C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7A8BD752">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12143181">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11A01791">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4C530AC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272F38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68EC140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7F852D3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6138157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3C024909">
            <w:pPr>
              <w:autoSpaceDE w:val="0"/>
              <w:autoSpaceDN w:val="0"/>
              <w:adjustRightInd w:val="0"/>
              <w:snapToGrid w:val="0"/>
              <w:jc w:val="left"/>
              <w:rPr>
                <w:rFonts w:ascii="宋体" w:hAnsi="宋体"/>
                <w:color w:val="auto"/>
                <w:kern w:val="0"/>
                <w:szCs w:val="21"/>
                <w:highlight w:val="none"/>
              </w:rPr>
            </w:pPr>
          </w:p>
        </w:tc>
      </w:tr>
      <w:tr w14:paraId="02388C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71B1A9F4">
            <w:pPr>
              <w:autoSpaceDE w:val="0"/>
              <w:autoSpaceDN w:val="0"/>
              <w:adjustRightInd w:val="0"/>
              <w:snapToGrid w:val="0"/>
              <w:jc w:val="center"/>
              <w:rPr>
                <w:rFonts w:ascii="宋体" w:hAnsi="宋体"/>
                <w:color w:val="auto"/>
                <w:kern w:val="0"/>
                <w:szCs w:val="21"/>
                <w:highlight w:val="none"/>
              </w:rPr>
            </w:pPr>
          </w:p>
        </w:tc>
        <w:tc>
          <w:tcPr>
            <w:tcW w:w="734" w:type="dxa"/>
          </w:tcPr>
          <w:p w14:paraId="303C9A9E">
            <w:pPr>
              <w:autoSpaceDE w:val="0"/>
              <w:autoSpaceDN w:val="0"/>
              <w:adjustRightInd w:val="0"/>
              <w:snapToGrid w:val="0"/>
              <w:jc w:val="left"/>
              <w:rPr>
                <w:rFonts w:ascii="宋体" w:hAnsi="宋体"/>
                <w:color w:val="auto"/>
                <w:kern w:val="0"/>
                <w:szCs w:val="21"/>
                <w:highlight w:val="none"/>
              </w:rPr>
            </w:pPr>
          </w:p>
        </w:tc>
        <w:tc>
          <w:tcPr>
            <w:tcW w:w="776" w:type="dxa"/>
          </w:tcPr>
          <w:p w14:paraId="53F6BA02">
            <w:pPr>
              <w:autoSpaceDE w:val="0"/>
              <w:autoSpaceDN w:val="0"/>
              <w:adjustRightInd w:val="0"/>
              <w:snapToGrid w:val="0"/>
              <w:jc w:val="left"/>
              <w:rPr>
                <w:rFonts w:ascii="宋体" w:hAnsi="宋体"/>
                <w:color w:val="auto"/>
                <w:kern w:val="0"/>
                <w:szCs w:val="21"/>
                <w:highlight w:val="none"/>
              </w:rPr>
            </w:pPr>
          </w:p>
        </w:tc>
        <w:tc>
          <w:tcPr>
            <w:tcW w:w="1167" w:type="dxa"/>
          </w:tcPr>
          <w:p w14:paraId="26523532">
            <w:pPr>
              <w:autoSpaceDE w:val="0"/>
              <w:autoSpaceDN w:val="0"/>
              <w:adjustRightInd w:val="0"/>
              <w:snapToGrid w:val="0"/>
              <w:jc w:val="left"/>
              <w:rPr>
                <w:rFonts w:ascii="宋体" w:hAnsi="宋体"/>
                <w:color w:val="auto"/>
                <w:kern w:val="0"/>
                <w:szCs w:val="21"/>
                <w:highlight w:val="none"/>
              </w:rPr>
            </w:pPr>
          </w:p>
        </w:tc>
        <w:tc>
          <w:tcPr>
            <w:tcW w:w="776" w:type="dxa"/>
          </w:tcPr>
          <w:p w14:paraId="2B52FF1A">
            <w:pPr>
              <w:autoSpaceDE w:val="0"/>
              <w:autoSpaceDN w:val="0"/>
              <w:adjustRightInd w:val="0"/>
              <w:snapToGrid w:val="0"/>
              <w:jc w:val="left"/>
              <w:rPr>
                <w:rFonts w:ascii="宋体" w:hAnsi="宋体"/>
                <w:color w:val="auto"/>
                <w:kern w:val="0"/>
                <w:szCs w:val="21"/>
                <w:highlight w:val="none"/>
              </w:rPr>
            </w:pPr>
          </w:p>
        </w:tc>
        <w:tc>
          <w:tcPr>
            <w:tcW w:w="778" w:type="dxa"/>
          </w:tcPr>
          <w:p w14:paraId="15FE53BD">
            <w:pPr>
              <w:autoSpaceDE w:val="0"/>
              <w:autoSpaceDN w:val="0"/>
              <w:adjustRightInd w:val="0"/>
              <w:snapToGrid w:val="0"/>
              <w:jc w:val="left"/>
              <w:rPr>
                <w:rFonts w:ascii="宋体" w:hAnsi="宋体"/>
                <w:color w:val="auto"/>
                <w:kern w:val="0"/>
                <w:szCs w:val="21"/>
                <w:highlight w:val="none"/>
              </w:rPr>
            </w:pPr>
          </w:p>
        </w:tc>
        <w:tc>
          <w:tcPr>
            <w:tcW w:w="776" w:type="dxa"/>
          </w:tcPr>
          <w:p w14:paraId="5C3632A9">
            <w:pPr>
              <w:autoSpaceDE w:val="0"/>
              <w:autoSpaceDN w:val="0"/>
              <w:adjustRightInd w:val="0"/>
              <w:snapToGrid w:val="0"/>
              <w:jc w:val="left"/>
              <w:rPr>
                <w:rFonts w:ascii="宋体" w:hAnsi="宋体"/>
                <w:color w:val="auto"/>
                <w:kern w:val="0"/>
                <w:szCs w:val="21"/>
                <w:highlight w:val="none"/>
              </w:rPr>
            </w:pPr>
          </w:p>
        </w:tc>
        <w:tc>
          <w:tcPr>
            <w:tcW w:w="2723" w:type="dxa"/>
          </w:tcPr>
          <w:p w14:paraId="6F952D9C">
            <w:pPr>
              <w:autoSpaceDE w:val="0"/>
              <w:autoSpaceDN w:val="0"/>
              <w:adjustRightInd w:val="0"/>
              <w:snapToGrid w:val="0"/>
              <w:jc w:val="left"/>
              <w:rPr>
                <w:rFonts w:ascii="宋体" w:hAnsi="宋体"/>
                <w:color w:val="auto"/>
                <w:kern w:val="0"/>
                <w:szCs w:val="21"/>
                <w:highlight w:val="none"/>
              </w:rPr>
            </w:pPr>
          </w:p>
        </w:tc>
        <w:tc>
          <w:tcPr>
            <w:tcW w:w="896" w:type="dxa"/>
          </w:tcPr>
          <w:p w14:paraId="6BA19F94">
            <w:pPr>
              <w:autoSpaceDE w:val="0"/>
              <w:autoSpaceDN w:val="0"/>
              <w:adjustRightInd w:val="0"/>
              <w:snapToGrid w:val="0"/>
              <w:jc w:val="left"/>
              <w:rPr>
                <w:rFonts w:ascii="宋体" w:hAnsi="宋体"/>
                <w:color w:val="auto"/>
                <w:kern w:val="0"/>
                <w:szCs w:val="21"/>
                <w:highlight w:val="none"/>
              </w:rPr>
            </w:pPr>
          </w:p>
        </w:tc>
      </w:tr>
      <w:tr w14:paraId="374B9B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79713AA0">
            <w:pPr>
              <w:autoSpaceDE w:val="0"/>
              <w:autoSpaceDN w:val="0"/>
              <w:adjustRightInd w:val="0"/>
              <w:snapToGrid w:val="0"/>
              <w:jc w:val="center"/>
              <w:rPr>
                <w:rFonts w:ascii="宋体" w:hAnsi="宋体"/>
                <w:color w:val="auto"/>
                <w:kern w:val="0"/>
                <w:szCs w:val="21"/>
                <w:highlight w:val="none"/>
              </w:rPr>
            </w:pPr>
          </w:p>
        </w:tc>
        <w:tc>
          <w:tcPr>
            <w:tcW w:w="734" w:type="dxa"/>
          </w:tcPr>
          <w:p w14:paraId="670D9938">
            <w:pPr>
              <w:autoSpaceDE w:val="0"/>
              <w:autoSpaceDN w:val="0"/>
              <w:adjustRightInd w:val="0"/>
              <w:snapToGrid w:val="0"/>
              <w:jc w:val="left"/>
              <w:rPr>
                <w:rFonts w:ascii="宋体" w:hAnsi="宋体"/>
                <w:color w:val="auto"/>
                <w:kern w:val="0"/>
                <w:szCs w:val="21"/>
                <w:highlight w:val="none"/>
              </w:rPr>
            </w:pPr>
          </w:p>
        </w:tc>
        <w:tc>
          <w:tcPr>
            <w:tcW w:w="776" w:type="dxa"/>
          </w:tcPr>
          <w:p w14:paraId="4D23FB0C">
            <w:pPr>
              <w:autoSpaceDE w:val="0"/>
              <w:autoSpaceDN w:val="0"/>
              <w:adjustRightInd w:val="0"/>
              <w:snapToGrid w:val="0"/>
              <w:jc w:val="left"/>
              <w:rPr>
                <w:rFonts w:ascii="宋体" w:hAnsi="宋体"/>
                <w:color w:val="auto"/>
                <w:kern w:val="0"/>
                <w:szCs w:val="21"/>
                <w:highlight w:val="none"/>
              </w:rPr>
            </w:pPr>
          </w:p>
        </w:tc>
        <w:tc>
          <w:tcPr>
            <w:tcW w:w="1167" w:type="dxa"/>
          </w:tcPr>
          <w:p w14:paraId="2F017B80">
            <w:pPr>
              <w:autoSpaceDE w:val="0"/>
              <w:autoSpaceDN w:val="0"/>
              <w:adjustRightInd w:val="0"/>
              <w:snapToGrid w:val="0"/>
              <w:jc w:val="left"/>
              <w:rPr>
                <w:rFonts w:ascii="宋体" w:hAnsi="宋体"/>
                <w:color w:val="auto"/>
                <w:kern w:val="0"/>
                <w:szCs w:val="21"/>
                <w:highlight w:val="none"/>
              </w:rPr>
            </w:pPr>
          </w:p>
        </w:tc>
        <w:tc>
          <w:tcPr>
            <w:tcW w:w="776" w:type="dxa"/>
          </w:tcPr>
          <w:p w14:paraId="6C7D4D08">
            <w:pPr>
              <w:autoSpaceDE w:val="0"/>
              <w:autoSpaceDN w:val="0"/>
              <w:adjustRightInd w:val="0"/>
              <w:snapToGrid w:val="0"/>
              <w:jc w:val="left"/>
              <w:rPr>
                <w:rFonts w:ascii="宋体" w:hAnsi="宋体"/>
                <w:color w:val="auto"/>
                <w:kern w:val="0"/>
                <w:szCs w:val="21"/>
                <w:highlight w:val="none"/>
              </w:rPr>
            </w:pPr>
          </w:p>
        </w:tc>
        <w:tc>
          <w:tcPr>
            <w:tcW w:w="778" w:type="dxa"/>
          </w:tcPr>
          <w:p w14:paraId="5E4F32C1">
            <w:pPr>
              <w:autoSpaceDE w:val="0"/>
              <w:autoSpaceDN w:val="0"/>
              <w:adjustRightInd w:val="0"/>
              <w:snapToGrid w:val="0"/>
              <w:jc w:val="left"/>
              <w:rPr>
                <w:rFonts w:ascii="宋体" w:hAnsi="宋体"/>
                <w:color w:val="auto"/>
                <w:kern w:val="0"/>
                <w:szCs w:val="21"/>
                <w:highlight w:val="none"/>
              </w:rPr>
            </w:pPr>
          </w:p>
        </w:tc>
        <w:tc>
          <w:tcPr>
            <w:tcW w:w="776" w:type="dxa"/>
          </w:tcPr>
          <w:p w14:paraId="4CC99929">
            <w:pPr>
              <w:autoSpaceDE w:val="0"/>
              <w:autoSpaceDN w:val="0"/>
              <w:adjustRightInd w:val="0"/>
              <w:snapToGrid w:val="0"/>
              <w:jc w:val="left"/>
              <w:rPr>
                <w:rFonts w:ascii="宋体" w:hAnsi="宋体"/>
                <w:color w:val="auto"/>
                <w:kern w:val="0"/>
                <w:szCs w:val="21"/>
                <w:highlight w:val="none"/>
              </w:rPr>
            </w:pPr>
          </w:p>
        </w:tc>
        <w:tc>
          <w:tcPr>
            <w:tcW w:w="2723" w:type="dxa"/>
          </w:tcPr>
          <w:p w14:paraId="57369A51">
            <w:pPr>
              <w:autoSpaceDE w:val="0"/>
              <w:autoSpaceDN w:val="0"/>
              <w:adjustRightInd w:val="0"/>
              <w:snapToGrid w:val="0"/>
              <w:jc w:val="left"/>
              <w:rPr>
                <w:rFonts w:ascii="宋体" w:hAnsi="宋体"/>
                <w:color w:val="auto"/>
                <w:kern w:val="0"/>
                <w:szCs w:val="21"/>
                <w:highlight w:val="none"/>
              </w:rPr>
            </w:pPr>
          </w:p>
        </w:tc>
        <w:tc>
          <w:tcPr>
            <w:tcW w:w="896" w:type="dxa"/>
          </w:tcPr>
          <w:p w14:paraId="3FAC6A53">
            <w:pPr>
              <w:autoSpaceDE w:val="0"/>
              <w:autoSpaceDN w:val="0"/>
              <w:adjustRightInd w:val="0"/>
              <w:snapToGrid w:val="0"/>
              <w:jc w:val="left"/>
              <w:rPr>
                <w:rFonts w:ascii="宋体" w:hAnsi="宋体"/>
                <w:color w:val="auto"/>
                <w:kern w:val="0"/>
                <w:szCs w:val="21"/>
                <w:highlight w:val="none"/>
              </w:rPr>
            </w:pPr>
          </w:p>
        </w:tc>
      </w:tr>
      <w:tr w14:paraId="665D7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D529ABE">
            <w:pPr>
              <w:autoSpaceDE w:val="0"/>
              <w:autoSpaceDN w:val="0"/>
              <w:adjustRightInd w:val="0"/>
              <w:snapToGrid w:val="0"/>
              <w:jc w:val="left"/>
              <w:rPr>
                <w:rFonts w:ascii="宋体" w:hAnsi="宋体"/>
                <w:color w:val="auto"/>
                <w:kern w:val="0"/>
                <w:szCs w:val="21"/>
                <w:highlight w:val="none"/>
              </w:rPr>
            </w:pPr>
          </w:p>
        </w:tc>
        <w:tc>
          <w:tcPr>
            <w:tcW w:w="734" w:type="dxa"/>
          </w:tcPr>
          <w:p w14:paraId="6410192E">
            <w:pPr>
              <w:autoSpaceDE w:val="0"/>
              <w:autoSpaceDN w:val="0"/>
              <w:adjustRightInd w:val="0"/>
              <w:snapToGrid w:val="0"/>
              <w:jc w:val="left"/>
              <w:rPr>
                <w:rFonts w:ascii="宋体" w:hAnsi="宋体"/>
                <w:color w:val="auto"/>
                <w:kern w:val="0"/>
                <w:szCs w:val="21"/>
                <w:highlight w:val="none"/>
              </w:rPr>
            </w:pPr>
          </w:p>
        </w:tc>
        <w:tc>
          <w:tcPr>
            <w:tcW w:w="776" w:type="dxa"/>
          </w:tcPr>
          <w:p w14:paraId="6CEA6481">
            <w:pPr>
              <w:autoSpaceDE w:val="0"/>
              <w:autoSpaceDN w:val="0"/>
              <w:adjustRightInd w:val="0"/>
              <w:snapToGrid w:val="0"/>
              <w:jc w:val="left"/>
              <w:rPr>
                <w:rFonts w:ascii="宋体" w:hAnsi="宋体"/>
                <w:color w:val="auto"/>
                <w:kern w:val="0"/>
                <w:szCs w:val="21"/>
                <w:highlight w:val="none"/>
              </w:rPr>
            </w:pPr>
          </w:p>
        </w:tc>
        <w:tc>
          <w:tcPr>
            <w:tcW w:w="1167" w:type="dxa"/>
          </w:tcPr>
          <w:p w14:paraId="3D0755C4">
            <w:pPr>
              <w:autoSpaceDE w:val="0"/>
              <w:autoSpaceDN w:val="0"/>
              <w:adjustRightInd w:val="0"/>
              <w:snapToGrid w:val="0"/>
              <w:jc w:val="left"/>
              <w:rPr>
                <w:rFonts w:ascii="宋体" w:hAnsi="宋体"/>
                <w:color w:val="auto"/>
                <w:kern w:val="0"/>
                <w:szCs w:val="21"/>
                <w:highlight w:val="none"/>
              </w:rPr>
            </w:pPr>
          </w:p>
        </w:tc>
        <w:tc>
          <w:tcPr>
            <w:tcW w:w="776" w:type="dxa"/>
          </w:tcPr>
          <w:p w14:paraId="2A4D747E">
            <w:pPr>
              <w:autoSpaceDE w:val="0"/>
              <w:autoSpaceDN w:val="0"/>
              <w:adjustRightInd w:val="0"/>
              <w:snapToGrid w:val="0"/>
              <w:jc w:val="left"/>
              <w:rPr>
                <w:rFonts w:ascii="宋体" w:hAnsi="宋体"/>
                <w:color w:val="auto"/>
                <w:kern w:val="0"/>
                <w:szCs w:val="21"/>
                <w:highlight w:val="none"/>
              </w:rPr>
            </w:pPr>
          </w:p>
        </w:tc>
        <w:tc>
          <w:tcPr>
            <w:tcW w:w="778" w:type="dxa"/>
          </w:tcPr>
          <w:p w14:paraId="3D650D63">
            <w:pPr>
              <w:autoSpaceDE w:val="0"/>
              <w:autoSpaceDN w:val="0"/>
              <w:adjustRightInd w:val="0"/>
              <w:snapToGrid w:val="0"/>
              <w:jc w:val="left"/>
              <w:rPr>
                <w:rFonts w:ascii="宋体" w:hAnsi="宋体"/>
                <w:color w:val="auto"/>
                <w:kern w:val="0"/>
                <w:szCs w:val="21"/>
                <w:highlight w:val="none"/>
              </w:rPr>
            </w:pPr>
          </w:p>
        </w:tc>
        <w:tc>
          <w:tcPr>
            <w:tcW w:w="776" w:type="dxa"/>
          </w:tcPr>
          <w:p w14:paraId="15E456E8">
            <w:pPr>
              <w:autoSpaceDE w:val="0"/>
              <w:autoSpaceDN w:val="0"/>
              <w:adjustRightInd w:val="0"/>
              <w:snapToGrid w:val="0"/>
              <w:jc w:val="left"/>
              <w:rPr>
                <w:rFonts w:ascii="宋体" w:hAnsi="宋体"/>
                <w:color w:val="auto"/>
                <w:kern w:val="0"/>
                <w:szCs w:val="21"/>
                <w:highlight w:val="none"/>
              </w:rPr>
            </w:pPr>
          </w:p>
        </w:tc>
        <w:tc>
          <w:tcPr>
            <w:tcW w:w="2723" w:type="dxa"/>
          </w:tcPr>
          <w:p w14:paraId="5ADF5103">
            <w:pPr>
              <w:autoSpaceDE w:val="0"/>
              <w:autoSpaceDN w:val="0"/>
              <w:adjustRightInd w:val="0"/>
              <w:snapToGrid w:val="0"/>
              <w:jc w:val="left"/>
              <w:rPr>
                <w:rFonts w:ascii="宋体" w:hAnsi="宋体"/>
                <w:color w:val="auto"/>
                <w:kern w:val="0"/>
                <w:szCs w:val="21"/>
                <w:highlight w:val="none"/>
              </w:rPr>
            </w:pPr>
          </w:p>
        </w:tc>
        <w:tc>
          <w:tcPr>
            <w:tcW w:w="896" w:type="dxa"/>
          </w:tcPr>
          <w:p w14:paraId="754184E2">
            <w:pPr>
              <w:autoSpaceDE w:val="0"/>
              <w:autoSpaceDN w:val="0"/>
              <w:adjustRightInd w:val="0"/>
              <w:snapToGrid w:val="0"/>
              <w:jc w:val="left"/>
              <w:rPr>
                <w:rFonts w:ascii="宋体" w:hAnsi="宋体"/>
                <w:color w:val="auto"/>
                <w:kern w:val="0"/>
                <w:szCs w:val="21"/>
                <w:highlight w:val="none"/>
              </w:rPr>
            </w:pPr>
          </w:p>
        </w:tc>
      </w:tr>
      <w:tr w14:paraId="54BAE7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4672EC6">
            <w:pPr>
              <w:autoSpaceDE w:val="0"/>
              <w:autoSpaceDN w:val="0"/>
              <w:adjustRightInd w:val="0"/>
              <w:snapToGrid w:val="0"/>
              <w:jc w:val="left"/>
              <w:rPr>
                <w:rFonts w:ascii="宋体" w:hAnsi="宋体"/>
                <w:color w:val="auto"/>
                <w:kern w:val="0"/>
                <w:szCs w:val="21"/>
                <w:highlight w:val="none"/>
              </w:rPr>
            </w:pPr>
          </w:p>
        </w:tc>
        <w:tc>
          <w:tcPr>
            <w:tcW w:w="734" w:type="dxa"/>
          </w:tcPr>
          <w:p w14:paraId="3DABF2A7">
            <w:pPr>
              <w:autoSpaceDE w:val="0"/>
              <w:autoSpaceDN w:val="0"/>
              <w:adjustRightInd w:val="0"/>
              <w:snapToGrid w:val="0"/>
              <w:jc w:val="left"/>
              <w:rPr>
                <w:rFonts w:ascii="宋体" w:hAnsi="宋体"/>
                <w:color w:val="auto"/>
                <w:kern w:val="0"/>
                <w:szCs w:val="21"/>
                <w:highlight w:val="none"/>
              </w:rPr>
            </w:pPr>
          </w:p>
        </w:tc>
        <w:tc>
          <w:tcPr>
            <w:tcW w:w="776" w:type="dxa"/>
          </w:tcPr>
          <w:p w14:paraId="1075E3C3">
            <w:pPr>
              <w:autoSpaceDE w:val="0"/>
              <w:autoSpaceDN w:val="0"/>
              <w:adjustRightInd w:val="0"/>
              <w:snapToGrid w:val="0"/>
              <w:jc w:val="left"/>
              <w:rPr>
                <w:rFonts w:ascii="宋体" w:hAnsi="宋体"/>
                <w:color w:val="auto"/>
                <w:kern w:val="0"/>
                <w:szCs w:val="21"/>
                <w:highlight w:val="none"/>
              </w:rPr>
            </w:pPr>
          </w:p>
        </w:tc>
        <w:tc>
          <w:tcPr>
            <w:tcW w:w="1167" w:type="dxa"/>
          </w:tcPr>
          <w:p w14:paraId="17087B98">
            <w:pPr>
              <w:autoSpaceDE w:val="0"/>
              <w:autoSpaceDN w:val="0"/>
              <w:adjustRightInd w:val="0"/>
              <w:snapToGrid w:val="0"/>
              <w:jc w:val="left"/>
              <w:rPr>
                <w:rFonts w:ascii="宋体" w:hAnsi="宋体"/>
                <w:color w:val="auto"/>
                <w:kern w:val="0"/>
                <w:szCs w:val="21"/>
                <w:highlight w:val="none"/>
              </w:rPr>
            </w:pPr>
          </w:p>
        </w:tc>
        <w:tc>
          <w:tcPr>
            <w:tcW w:w="776" w:type="dxa"/>
          </w:tcPr>
          <w:p w14:paraId="53FB22D6">
            <w:pPr>
              <w:autoSpaceDE w:val="0"/>
              <w:autoSpaceDN w:val="0"/>
              <w:adjustRightInd w:val="0"/>
              <w:snapToGrid w:val="0"/>
              <w:jc w:val="left"/>
              <w:rPr>
                <w:rFonts w:ascii="宋体" w:hAnsi="宋体"/>
                <w:color w:val="auto"/>
                <w:kern w:val="0"/>
                <w:szCs w:val="21"/>
                <w:highlight w:val="none"/>
              </w:rPr>
            </w:pPr>
          </w:p>
        </w:tc>
        <w:tc>
          <w:tcPr>
            <w:tcW w:w="778" w:type="dxa"/>
          </w:tcPr>
          <w:p w14:paraId="6C0A5C27">
            <w:pPr>
              <w:autoSpaceDE w:val="0"/>
              <w:autoSpaceDN w:val="0"/>
              <w:adjustRightInd w:val="0"/>
              <w:snapToGrid w:val="0"/>
              <w:jc w:val="left"/>
              <w:rPr>
                <w:rFonts w:ascii="宋体" w:hAnsi="宋体"/>
                <w:color w:val="auto"/>
                <w:kern w:val="0"/>
                <w:szCs w:val="21"/>
                <w:highlight w:val="none"/>
              </w:rPr>
            </w:pPr>
          </w:p>
        </w:tc>
        <w:tc>
          <w:tcPr>
            <w:tcW w:w="776" w:type="dxa"/>
          </w:tcPr>
          <w:p w14:paraId="0B9C8025">
            <w:pPr>
              <w:autoSpaceDE w:val="0"/>
              <w:autoSpaceDN w:val="0"/>
              <w:adjustRightInd w:val="0"/>
              <w:snapToGrid w:val="0"/>
              <w:jc w:val="left"/>
              <w:rPr>
                <w:rFonts w:ascii="宋体" w:hAnsi="宋体"/>
                <w:color w:val="auto"/>
                <w:kern w:val="0"/>
                <w:szCs w:val="21"/>
                <w:highlight w:val="none"/>
              </w:rPr>
            </w:pPr>
          </w:p>
        </w:tc>
        <w:tc>
          <w:tcPr>
            <w:tcW w:w="2723" w:type="dxa"/>
          </w:tcPr>
          <w:p w14:paraId="62FF5162">
            <w:pPr>
              <w:autoSpaceDE w:val="0"/>
              <w:autoSpaceDN w:val="0"/>
              <w:adjustRightInd w:val="0"/>
              <w:snapToGrid w:val="0"/>
              <w:jc w:val="left"/>
              <w:rPr>
                <w:rFonts w:ascii="宋体" w:hAnsi="宋体"/>
                <w:color w:val="auto"/>
                <w:kern w:val="0"/>
                <w:szCs w:val="21"/>
                <w:highlight w:val="none"/>
              </w:rPr>
            </w:pPr>
          </w:p>
        </w:tc>
        <w:tc>
          <w:tcPr>
            <w:tcW w:w="896" w:type="dxa"/>
          </w:tcPr>
          <w:p w14:paraId="4AE8BDFB">
            <w:pPr>
              <w:autoSpaceDE w:val="0"/>
              <w:autoSpaceDN w:val="0"/>
              <w:adjustRightInd w:val="0"/>
              <w:snapToGrid w:val="0"/>
              <w:jc w:val="left"/>
              <w:rPr>
                <w:rFonts w:ascii="宋体" w:hAnsi="宋体"/>
                <w:color w:val="auto"/>
                <w:kern w:val="0"/>
                <w:szCs w:val="21"/>
                <w:highlight w:val="none"/>
              </w:rPr>
            </w:pPr>
          </w:p>
        </w:tc>
      </w:tr>
      <w:tr w14:paraId="352C3D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86D8015">
            <w:pPr>
              <w:autoSpaceDE w:val="0"/>
              <w:autoSpaceDN w:val="0"/>
              <w:adjustRightInd w:val="0"/>
              <w:snapToGrid w:val="0"/>
              <w:jc w:val="left"/>
              <w:rPr>
                <w:rFonts w:ascii="宋体" w:hAnsi="宋体"/>
                <w:color w:val="auto"/>
                <w:kern w:val="0"/>
                <w:szCs w:val="21"/>
                <w:highlight w:val="none"/>
              </w:rPr>
            </w:pPr>
          </w:p>
        </w:tc>
        <w:tc>
          <w:tcPr>
            <w:tcW w:w="734" w:type="dxa"/>
          </w:tcPr>
          <w:p w14:paraId="07479791">
            <w:pPr>
              <w:autoSpaceDE w:val="0"/>
              <w:autoSpaceDN w:val="0"/>
              <w:adjustRightInd w:val="0"/>
              <w:snapToGrid w:val="0"/>
              <w:jc w:val="left"/>
              <w:rPr>
                <w:rFonts w:ascii="宋体" w:hAnsi="宋体"/>
                <w:color w:val="auto"/>
                <w:kern w:val="0"/>
                <w:szCs w:val="21"/>
                <w:highlight w:val="none"/>
              </w:rPr>
            </w:pPr>
          </w:p>
        </w:tc>
        <w:tc>
          <w:tcPr>
            <w:tcW w:w="776" w:type="dxa"/>
          </w:tcPr>
          <w:p w14:paraId="425EC9CD">
            <w:pPr>
              <w:autoSpaceDE w:val="0"/>
              <w:autoSpaceDN w:val="0"/>
              <w:adjustRightInd w:val="0"/>
              <w:snapToGrid w:val="0"/>
              <w:jc w:val="left"/>
              <w:rPr>
                <w:rFonts w:ascii="宋体" w:hAnsi="宋体"/>
                <w:color w:val="auto"/>
                <w:kern w:val="0"/>
                <w:szCs w:val="21"/>
                <w:highlight w:val="none"/>
              </w:rPr>
            </w:pPr>
          </w:p>
        </w:tc>
        <w:tc>
          <w:tcPr>
            <w:tcW w:w="1167" w:type="dxa"/>
          </w:tcPr>
          <w:p w14:paraId="3512DA05">
            <w:pPr>
              <w:autoSpaceDE w:val="0"/>
              <w:autoSpaceDN w:val="0"/>
              <w:adjustRightInd w:val="0"/>
              <w:snapToGrid w:val="0"/>
              <w:jc w:val="left"/>
              <w:rPr>
                <w:rFonts w:ascii="宋体" w:hAnsi="宋体"/>
                <w:color w:val="auto"/>
                <w:kern w:val="0"/>
                <w:szCs w:val="21"/>
                <w:highlight w:val="none"/>
              </w:rPr>
            </w:pPr>
          </w:p>
        </w:tc>
        <w:tc>
          <w:tcPr>
            <w:tcW w:w="776" w:type="dxa"/>
          </w:tcPr>
          <w:p w14:paraId="5BBFAEA6">
            <w:pPr>
              <w:autoSpaceDE w:val="0"/>
              <w:autoSpaceDN w:val="0"/>
              <w:adjustRightInd w:val="0"/>
              <w:snapToGrid w:val="0"/>
              <w:jc w:val="left"/>
              <w:rPr>
                <w:rFonts w:ascii="宋体" w:hAnsi="宋体"/>
                <w:color w:val="auto"/>
                <w:kern w:val="0"/>
                <w:szCs w:val="21"/>
                <w:highlight w:val="none"/>
              </w:rPr>
            </w:pPr>
          </w:p>
        </w:tc>
        <w:tc>
          <w:tcPr>
            <w:tcW w:w="778" w:type="dxa"/>
          </w:tcPr>
          <w:p w14:paraId="22A65DB5">
            <w:pPr>
              <w:autoSpaceDE w:val="0"/>
              <w:autoSpaceDN w:val="0"/>
              <w:adjustRightInd w:val="0"/>
              <w:snapToGrid w:val="0"/>
              <w:jc w:val="left"/>
              <w:rPr>
                <w:rFonts w:ascii="宋体" w:hAnsi="宋体"/>
                <w:color w:val="auto"/>
                <w:kern w:val="0"/>
                <w:szCs w:val="21"/>
                <w:highlight w:val="none"/>
              </w:rPr>
            </w:pPr>
          </w:p>
        </w:tc>
        <w:tc>
          <w:tcPr>
            <w:tcW w:w="776" w:type="dxa"/>
          </w:tcPr>
          <w:p w14:paraId="4CE221BE">
            <w:pPr>
              <w:autoSpaceDE w:val="0"/>
              <w:autoSpaceDN w:val="0"/>
              <w:adjustRightInd w:val="0"/>
              <w:snapToGrid w:val="0"/>
              <w:jc w:val="left"/>
              <w:rPr>
                <w:rFonts w:ascii="宋体" w:hAnsi="宋体"/>
                <w:color w:val="auto"/>
                <w:kern w:val="0"/>
                <w:szCs w:val="21"/>
                <w:highlight w:val="none"/>
              </w:rPr>
            </w:pPr>
          </w:p>
        </w:tc>
        <w:tc>
          <w:tcPr>
            <w:tcW w:w="2723" w:type="dxa"/>
          </w:tcPr>
          <w:p w14:paraId="216AFD1E">
            <w:pPr>
              <w:autoSpaceDE w:val="0"/>
              <w:autoSpaceDN w:val="0"/>
              <w:adjustRightInd w:val="0"/>
              <w:snapToGrid w:val="0"/>
              <w:jc w:val="left"/>
              <w:rPr>
                <w:rFonts w:ascii="宋体" w:hAnsi="宋体"/>
                <w:color w:val="auto"/>
                <w:kern w:val="0"/>
                <w:szCs w:val="21"/>
                <w:highlight w:val="none"/>
              </w:rPr>
            </w:pPr>
          </w:p>
        </w:tc>
        <w:tc>
          <w:tcPr>
            <w:tcW w:w="896" w:type="dxa"/>
          </w:tcPr>
          <w:p w14:paraId="5FC4BB7D">
            <w:pPr>
              <w:autoSpaceDE w:val="0"/>
              <w:autoSpaceDN w:val="0"/>
              <w:adjustRightInd w:val="0"/>
              <w:snapToGrid w:val="0"/>
              <w:jc w:val="left"/>
              <w:rPr>
                <w:rFonts w:ascii="宋体" w:hAnsi="宋体"/>
                <w:color w:val="auto"/>
                <w:kern w:val="0"/>
                <w:szCs w:val="21"/>
                <w:highlight w:val="none"/>
              </w:rPr>
            </w:pPr>
          </w:p>
        </w:tc>
      </w:tr>
      <w:tr w14:paraId="303C19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3D9608">
            <w:pPr>
              <w:autoSpaceDE w:val="0"/>
              <w:autoSpaceDN w:val="0"/>
              <w:adjustRightInd w:val="0"/>
              <w:snapToGrid w:val="0"/>
              <w:jc w:val="left"/>
              <w:rPr>
                <w:rFonts w:ascii="宋体" w:hAnsi="宋体"/>
                <w:color w:val="auto"/>
                <w:kern w:val="0"/>
                <w:szCs w:val="21"/>
                <w:highlight w:val="none"/>
              </w:rPr>
            </w:pPr>
          </w:p>
        </w:tc>
        <w:tc>
          <w:tcPr>
            <w:tcW w:w="734" w:type="dxa"/>
          </w:tcPr>
          <w:p w14:paraId="75C6FF6F">
            <w:pPr>
              <w:autoSpaceDE w:val="0"/>
              <w:autoSpaceDN w:val="0"/>
              <w:adjustRightInd w:val="0"/>
              <w:snapToGrid w:val="0"/>
              <w:jc w:val="left"/>
              <w:rPr>
                <w:rFonts w:ascii="宋体" w:hAnsi="宋体"/>
                <w:color w:val="auto"/>
                <w:kern w:val="0"/>
                <w:szCs w:val="21"/>
                <w:highlight w:val="none"/>
              </w:rPr>
            </w:pPr>
          </w:p>
        </w:tc>
        <w:tc>
          <w:tcPr>
            <w:tcW w:w="776" w:type="dxa"/>
          </w:tcPr>
          <w:p w14:paraId="4B95992E">
            <w:pPr>
              <w:autoSpaceDE w:val="0"/>
              <w:autoSpaceDN w:val="0"/>
              <w:adjustRightInd w:val="0"/>
              <w:snapToGrid w:val="0"/>
              <w:jc w:val="left"/>
              <w:rPr>
                <w:rFonts w:ascii="宋体" w:hAnsi="宋体"/>
                <w:color w:val="auto"/>
                <w:kern w:val="0"/>
                <w:szCs w:val="21"/>
                <w:highlight w:val="none"/>
              </w:rPr>
            </w:pPr>
          </w:p>
        </w:tc>
        <w:tc>
          <w:tcPr>
            <w:tcW w:w="1167" w:type="dxa"/>
          </w:tcPr>
          <w:p w14:paraId="03B05CBB">
            <w:pPr>
              <w:autoSpaceDE w:val="0"/>
              <w:autoSpaceDN w:val="0"/>
              <w:adjustRightInd w:val="0"/>
              <w:snapToGrid w:val="0"/>
              <w:jc w:val="left"/>
              <w:rPr>
                <w:rFonts w:ascii="宋体" w:hAnsi="宋体"/>
                <w:color w:val="auto"/>
                <w:kern w:val="0"/>
                <w:szCs w:val="21"/>
                <w:highlight w:val="none"/>
              </w:rPr>
            </w:pPr>
          </w:p>
        </w:tc>
        <w:tc>
          <w:tcPr>
            <w:tcW w:w="776" w:type="dxa"/>
          </w:tcPr>
          <w:p w14:paraId="1F4E0A36">
            <w:pPr>
              <w:autoSpaceDE w:val="0"/>
              <w:autoSpaceDN w:val="0"/>
              <w:adjustRightInd w:val="0"/>
              <w:snapToGrid w:val="0"/>
              <w:jc w:val="left"/>
              <w:rPr>
                <w:rFonts w:ascii="宋体" w:hAnsi="宋体"/>
                <w:color w:val="auto"/>
                <w:kern w:val="0"/>
                <w:szCs w:val="21"/>
                <w:highlight w:val="none"/>
              </w:rPr>
            </w:pPr>
          </w:p>
        </w:tc>
        <w:tc>
          <w:tcPr>
            <w:tcW w:w="778" w:type="dxa"/>
          </w:tcPr>
          <w:p w14:paraId="0D4ABF23">
            <w:pPr>
              <w:autoSpaceDE w:val="0"/>
              <w:autoSpaceDN w:val="0"/>
              <w:adjustRightInd w:val="0"/>
              <w:snapToGrid w:val="0"/>
              <w:jc w:val="left"/>
              <w:rPr>
                <w:rFonts w:ascii="宋体" w:hAnsi="宋体"/>
                <w:color w:val="auto"/>
                <w:kern w:val="0"/>
                <w:szCs w:val="21"/>
                <w:highlight w:val="none"/>
              </w:rPr>
            </w:pPr>
          </w:p>
        </w:tc>
        <w:tc>
          <w:tcPr>
            <w:tcW w:w="776" w:type="dxa"/>
          </w:tcPr>
          <w:p w14:paraId="635C3D22">
            <w:pPr>
              <w:autoSpaceDE w:val="0"/>
              <w:autoSpaceDN w:val="0"/>
              <w:adjustRightInd w:val="0"/>
              <w:snapToGrid w:val="0"/>
              <w:jc w:val="left"/>
              <w:rPr>
                <w:rFonts w:ascii="宋体" w:hAnsi="宋体"/>
                <w:color w:val="auto"/>
                <w:kern w:val="0"/>
                <w:szCs w:val="21"/>
                <w:highlight w:val="none"/>
              </w:rPr>
            </w:pPr>
          </w:p>
        </w:tc>
        <w:tc>
          <w:tcPr>
            <w:tcW w:w="2723" w:type="dxa"/>
          </w:tcPr>
          <w:p w14:paraId="0F97C7F0">
            <w:pPr>
              <w:autoSpaceDE w:val="0"/>
              <w:autoSpaceDN w:val="0"/>
              <w:adjustRightInd w:val="0"/>
              <w:snapToGrid w:val="0"/>
              <w:jc w:val="left"/>
              <w:rPr>
                <w:rFonts w:ascii="宋体" w:hAnsi="宋体"/>
                <w:color w:val="auto"/>
                <w:kern w:val="0"/>
                <w:szCs w:val="21"/>
                <w:highlight w:val="none"/>
              </w:rPr>
            </w:pPr>
          </w:p>
        </w:tc>
        <w:tc>
          <w:tcPr>
            <w:tcW w:w="896" w:type="dxa"/>
          </w:tcPr>
          <w:p w14:paraId="5D265CA3">
            <w:pPr>
              <w:autoSpaceDE w:val="0"/>
              <w:autoSpaceDN w:val="0"/>
              <w:adjustRightInd w:val="0"/>
              <w:snapToGrid w:val="0"/>
              <w:jc w:val="left"/>
              <w:rPr>
                <w:rFonts w:ascii="宋体" w:hAnsi="宋体"/>
                <w:color w:val="auto"/>
                <w:kern w:val="0"/>
                <w:szCs w:val="21"/>
                <w:highlight w:val="none"/>
              </w:rPr>
            </w:pPr>
          </w:p>
        </w:tc>
      </w:tr>
      <w:tr w14:paraId="34D558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CB6789">
            <w:pPr>
              <w:autoSpaceDE w:val="0"/>
              <w:autoSpaceDN w:val="0"/>
              <w:adjustRightInd w:val="0"/>
              <w:snapToGrid w:val="0"/>
              <w:jc w:val="left"/>
              <w:rPr>
                <w:rFonts w:ascii="宋体" w:hAnsi="宋体"/>
                <w:color w:val="auto"/>
                <w:kern w:val="0"/>
                <w:szCs w:val="21"/>
                <w:highlight w:val="none"/>
              </w:rPr>
            </w:pPr>
          </w:p>
        </w:tc>
        <w:tc>
          <w:tcPr>
            <w:tcW w:w="734" w:type="dxa"/>
          </w:tcPr>
          <w:p w14:paraId="1BA01133">
            <w:pPr>
              <w:autoSpaceDE w:val="0"/>
              <w:autoSpaceDN w:val="0"/>
              <w:adjustRightInd w:val="0"/>
              <w:snapToGrid w:val="0"/>
              <w:jc w:val="left"/>
              <w:rPr>
                <w:rFonts w:ascii="宋体" w:hAnsi="宋体"/>
                <w:color w:val="auto"/>
                <w:kern w:val="0"/>
                <w:szCs w:val="21"/>
                <w:highlight w:val="none"/>
              </w:rPr>
            </w:pPr>
          </w:p>
        </w:tc>
        <w:tc>
          <w:tcPr>
            <w:tcW w:w="776" w:type="dxa"/>
          </w:tcPr>
          <w:p w14:paraId="0211B663">
            <w:pPr>
              <w:autoSpaceDE w:val="0"/>
              <w:autoSpaceDN w:val="0"/>
              <w:adjustRightInd w:val="0"/>
              <w:snapToGrid w:val="0"/>
              <w:jc w:val="left"/>
              <w:rPr>
                <w:rFonts w:ascii="宋体" w:hAnsi="宋体"/>
                <w:color w:val="auto"/>
                <w:kern w:val="0"/>
                <w:szCs w:val="21"/>
                <w:highlight w:val="none"/>
              </w:rPr>
            </w:pPr>
          </w:p>
        </w:tc>
        <w:tc>
          <w:tcPr>
            <w:tcW w:w="1167" w:type="dxa"/>
          </w:tcPr>
          <w:p w14:paraId="0193AD87">
            <w:pPr>
              <w:autoSpaceDE w:val="0"/>
              <w:autoSpaceDN w:val="0"/>
              <w:adjustRightInd w:val="0"/>
              <w:snapToGrid w:val="0"/>
              <w:jc w:val="left"/>
              <w:rPr>
                <w:rFonts w:ascii="宋体" w:hAnsi="宋体"/>
                <w:color w:val="auto"/>
                <w:kern w:val="0"/>
                <w:szCs w:val="21"/>
                <w:highlight w:val="none"/>
              </w:rPr>
            </w:pPr>
          </w:p>
        </w:tc>
        <w:tc>
          <w:tcPr>
            <w:tcW w:w="776" w:type="dxa"/>
          </w:tcPr>
          <w:p w14:paraId="46CB9E61">
            <w:pPr>
              <w:autoSpaceDE w:val="0"/>
              <w:autoSpaceDN w:val="0"/>
              <w:adjustRightInd w:val="0"/>
              <w:snapToGrid w:val="0"/>
              <w:jc w:val="left"/>
              <w:rPr>
                <w:rFonts w:ascii="宋体" w:hAnsi="宋体"/>
                <w:color w:val="auto"/>
                <w:kern w:val="0"/>
                <w:szCs w:val="21"/>
                <w:highlight w:val="none"/>
              </w:rPr>
            </w:pPr>
          </w:p>
        </w:tc>
        <w:tc>
          <w:tcPr>
            <w:tcW w:w="778" w:type="dxa"/>
          </w:tcPr>
          <w:p w14:paraId="4D31566C">
            <w:pPr>
              <w:autoSpaceDE w:val="0"/>
              <w:autoSpaceDN w:val="0"/>
              <w:adjustRightInd w:val="0"/>
              <w:snapToGrid w:val="0"/>
              <w:jc w:val="left"/>
              <w:rPr>
                <w:rFonts w:ascii="宋体" w:hAnsi="宋体"/>
                <w:color w:val="auto"/>
                <w:kern w:val="0"/>
                <w:szCs w:val="21"/>
                <w:highlight w:val="none"/>
              </w:rPr>
            </w:pPr>
          </w:p>
        </w:tc>
        <w:tc>
          <w:tcPr>
            <w:tcW w:w="776" w:type="dxa"/>
          </w:tcPr>
          <w:p w14:paraId="7C66A085">
            <w:pPr>
              <w:autoSpaceDE w:val="0"/>
              <w:autoSpaceDN w:val="0"/>
              <w:adjustRightInd w:val="0"/>
              <w:snapToGrid w:val="0"/>
              <w:jc w:val="left"/>
              <w:rPr>
                <w:rFonts w:ascii="宋体" w:hAnsi="宋体"/>
                <w:color w:val="auto"/>
                <w:kern w:val="0"/>
                <w:szCs w:val="21"/>
                <w:highlight w:val="none"/>
              </w:rPr>
            </w:pPr>
          </w:p>
        </w:tc>
        <w:tc>
          <w:tcPr>
            <w:tcW w:w="2723" w:type="dxa"/>
          </w:tcPr>
          <w:p w14:paraId="008E188A">
            <w:pPr>
              <w:autoSpaceDE w:val="0"/>
              <w:autoSpaceDN w:val="0"/>
              <w:adjustRightInd w:val="0"/>
              <w:snapToGrid w:val="0"/>
              <w:jc w:val="left"/>
              <w:rPr>
                <w:rFonts w:ascii="宋体" w:hAnsi="宋体"/>
                <w:color w:val="auto"/>
                <w:kern w:val="0"/>
                <w:szCs w:val="21"/>
                <w:highlight w:val="none"/>
              </w:rPr>
            </w:pPr>
          </w:p>
        </w:tc>
        <w:tc>
          <w:tcPr>
            <w:tcW w:w="896" w:type="dxa"/>
          </w:tcPr>
          <w:p w14:paraId="0301492C">
            <w:pPr>
              <w:autoSpaceDE w:val="0"/>
              <w:autoSpaceDN w:val="0"/>
              <w:adjustRightInd w:val="0"/>
              <w:snapToGrid w:val="0"/>
              <w:jc w:val="left"/>
              <w:rPr>
                <w:rFonts w:ascii="宋体" w:hAnsi="宋体"/>
                <w:color w:val="auto"/>
                <w:kern w:val="0"/>
                <w:szCs w:val="21"/>
                <w:highlight w:val="none"/>
              </w:rPr>
            </w:pPr>
          </w:p>
        </w:tc>
      </w:tr>
      <w:tr w14:paraId="7D4609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2F47AF">
            <w:pPr>
              <w:autoSpaceDE w:val="0"/>
              <w:autoSpaceDN w:val="0"/>
              <w:adjustRightInd w:val="0"/>
              <w:snapToGrid w:val="0"/>
              <w:jc w:val="left"/>
              <w:rPr>
                <w:rFonts w:ascii="宋体" w:hAnsi="宋体"/>
                <w:color w:val="auto"/>
                <w:kern w:val="0"/>
                <w:szCs w:val="21"/>
                <w:highlight w:val="none"/>
              </w:rPr>
            </w:pPr>
          </w:p>
        </w:tc>
        <w:tc>
          <w:tcPr>
            <w:tcW w:w="734" w:type="dxa"/>
          </w:tcPr>
          <w:p w14:paraId="277D4189">
            <w:pPr>
              <w:autoSpaceDE w:val="0"/>
              <w:autoSpaceDN w:val="0"/>
              <w:adjustRightInd w:val="0"/>
              <w:snapToGrid w:val="0"/>
              <w:jc w:val="left"/>
              <w:rPr>
                <w:rFonts w:ascii="宋体" w:hAnsi="宋体"/>
                <w:color w:val="auto"/>
                <w:kern w:val="0"/>
                <w:szCs w:val="21"/>
                <w:highlight w:val="none"/>
              </w:rPr>
            </w:pPr>
          </w:p>
        </w:tc>
        <w:tc>
          <w:tcPr>
            <w:tcW w:w="776" w:type="dxa"/>
          </w:tcPr>
          <w:p w14:paraId="2BACCA37">
            <w:pPr>
              <w:autoSpaceDE w:val="0"/>
              <w:autoSpaceDN w:val="0"/>
              <w:adjustRightInd w:val="0"/>
              <w:snapToGrid w:val="0"/>
              <w:jc w:val="left"/>
              <w:rPr>
                <w:rFonts w:ascii="宋体" w:hAnsi="宋体"/>
                <w:color w:val="auto"/>
                <w:kern w:val="0"/>
                <w:szCs w:val="21"/>
                <w:highlight w:val="none"/>
              </w:rPr>
            </w:pPr>
          </w:p>
        </w:tc>
        <w:tc>
          <w:tcPr>
            <w:tcW w:w="1167" w:type="dxa"/>
          </w:tcPr>
          <w:p w14:paraId="7E9D7989">
            <w:pPr>
              <w:autoSpaceDE w:val="0"/>
              <w:autoSpaceDN w:val="0"/>
              <w:adjustRightInd w:val="0"/>
              <w:snapToGrid w:val="0"/>
              <w:jc w:val="left"/>
              <w:rPr>
                <w:rFonts w:ascii="宋体" w:hAnsi="宋体"/>
                <w:color w:val="auto"/>
                <w:kern w:val="0"/>
                <w:szCs w:val="21"/>
                <w:highlight w:val="none"/>
              </w:rPr>
            </w:pPr>
          </w:p>
        </w:tc>
        <w:tc>
          <w:tcPr>
            <w:tcW w:w="776" w:type="dxa"/>
          </w:tcPr>
          <w:p w14:paraId="2B948E2D">
            <w:pPr>
              <w:autoSpaceDE w:val="0"/>
              <w:autoSpaceDN w:val="0"/>
              <w:adjustRightInd w:val="0"/>
              <w:snapToGrid w:val="0"/>
              <w:jc w:val="left"/>
              <w:rPr>
                <w:rFonts w:ascii="宋体" w:hAnsi="宋体"/>
                <w:color w:val="auto"/>
                <w:kern w:val="0"/>
                <w:szCs w:val="21"/>
                <w:highlight w:val="none"/>
              </w:rPr>
            </w:pPr>
          </w:p>
        </w:tc>
        <w:tc>
          <w:tcPr>
            <w:tcW w:w="778" w:type="dxa"/>
          </w:tcPr>
          <w:p w14:paraId="1441B773">
            <w:pPr>
              <w:autoSpaceDE w:val="0"/>
              <w:autoSpaceDN w:val="0"/>
              <w:adjustRightInd w:val="0"/>
              <w:snapToGrid w:val="0"/>
              <w:jc w:val="left"/>
              <w:rPr>
                <w:rFonts w:ascii="宋体" w:hAnsi="宋体"/>
                <w:color w:val="auto"/>
                <w:kern w:val="0"/>
                <w:szCs w:val="21"/>
                <w:highlight w:val="none"/>
              </w:rPr>
            </w:pPr>
          </w:p>
        </w:tc>
        <w:tc>
          <w:tcPr>
            <w:tcW w:w="776" w:type="dxa"/>
          </w:tcPr>
          <w:p w14:paraId="25359C0F">
            <w:pPr>
              <w:autoSpaceDE w:val="0"/>
              <w:autoSpaceDN w:val="0"/>
              <w:adjustRightInd w:val="0"/>
              <w:snapToGrid w:val="0"/>
              <w:jc w:val="left"/>
              <w:rPr>
                <w:rFonts w:ascii="宋体" w:hAnsi="宋体"/>
                <w:color w:val="auto"/>
                <w:kern w:val="0"/>
                <w:szCs w:val="21"/>
                <w:highlight w:val="none"/>
              </w:rPr>
            </w:pPr>
          </w:p>
        </w:tc>
        <w:tc>
          <w:tcPr>
            <w:tcW w:w="2723" w:type="dxa"/>
          </w:tcPr>
          <w:p w14:paraId="17C5CEDA">
            <w:pPr>
              <w:autoSpaceDE w:val="0"/>
              <w:autoSpaceDN w:val="0"/>
              <w:adjustRightInd w:val="0"/>
              <w:snapToGrid w:val="0"/>
              <w:jc w:val="left"/>
              <w:rPr>
                <w:rFonts w:ascii="宋体" w:hAnsi="宋体"/>
                <w:color w:val="auto"/>
                <w:kern w:val="0"/>
                <w:szCs w:val="21"/>
                <w:highlight w:val="none"/>
              </w:rPr>
            </w:pPr>
          </w:p>
        </w:tc>
        <w:tc>
          <w:tcPr>
            <w:tcW w:w="896" w:type="dxa"/>
          </w:tcPr>
          <w:p w14:paraId="09E75768">
            <w:pPr>
              <w:autoSpaceDE w:val="0"/>
              <w:autoSpaceDN w:val="0"/>
              <w:adjustRightInd w:val="0"/>
              <w:snapToGrid w:val="0"/>
              <w:jc w:val="left"/>
              <w:rPr>
                <w:rFonts w:ascii="宋体" w:hAnsi="宋体"/>
                <w:color w:val="auto"/>
                <w:kern w:val="0"/>
                <w:szCs w:val="21"/>
                <w:highlight w:val="none"/>
              </w:rPr>
            </w:pPr>
          </w:p>
        </w:tc>
      </w:tr>
      <w:tr w14:paraId="2B8331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064581E">
            <w:pPr>
              <w:autoSpaceDE w:val="0"/>
              <w:autoSpaceDN w:val="0"/>
              <w:adjustRightInd w:val="0"/>
              <w:snapToGrid w:val="0"/>
              <w:jc w:val="left"/>
              <w:rPr>
                <w:rFonts w:ascii="宋体" w:hAnsi="宋体"/>
                <w:color w:val="auto"/>
                <w:kern w:val="0"/>
                <w:szCs w:val="21"/>
                <w:highlight w:val="none"/>
              </w:rPr>
            </w:pPr>
          </w:p>
        </w:tc>
        <w:tc>
          <w:tcPr>
            <w:tcW w:w="734" w:type="dxa"/>
          </w:tcPr>
          <w:p w14:paraId="0C249A5D">
            <w:pPr>
              <w:autoSpaceDE w:val="0"/>
              <w:autoSpaceDN w:val="0"/>
              <w:adjustRightInd w:val="0"/>
              <w:snapToGrid w:val="0"/>
              <w:jc w:val="left"/>
              <w:rPr>
                <w:rFonts w:ascii="宋体" w:hAnsi="宋体"/>
                <w:color w:val="auto"/>
                <w:kern w:val="0"/>
                <w:szCs w:val="21"/>
                <w:highlight w:val="none"/>
              </w:rPr>
            </w:pPr>
          </w:p>
        </w:tc>
        <w:tc>
          <w:tcPr>
            <w:tcW w:w="776" w:type="dxa"/>
          </w:tcPr>
          <w:p w14:paraId="33F166FC">
            <w:pPr>
              <w:autoSpaceDE w:val="0"/>
              <w:autoSpaceDN w:val="0"/>
              <w:adjustRightInd w:val="0"/>
              <w:snapToGrid w:val="0"/>
              <w:jc w:val="left"/>
              <w:rPr>
                <w:rFonts w:ascii="宋体" w:hAnsi="宋体"/>
                <w:color w:val="auto"/>
                <w:kern w:val="0"/>
                <w:szCs w:val="21"/>
                <w:highlight w:val="none"/>
              </w:rPr>
            </w:pPr>
          </w:p>
        </w:tc>
        <w:tc>
          <w:tcPr>
            <w:tcW w:w="1167" w:type="dxa"/>
          </w:tcPr>
          <w:p w14:paraId="67B95F1B">
            <w:pPr>
              <w:autoSpaceDE w:val="0"/>
              <w:autoSpaceDN w:val="0"/>
              <w:adjustRightInd w:val="0"/>
              <w:snapToGrid w:val="0"/>
              <w:jc w:val="left"/>
              <w:rPr>
                <w:rFonts w:ascii="宋体" w:hAnsi="宋体"/>
                <w:color w:val="auto"/>
                <w:kern w:val="0"/>
                <w:szCs w:val="21"/>
                <w:highlight w:val="none"/>
              </w:rPr>
            </w:pPr>
          </w:p>
        </w:tc>
        <w:tc>
          <w:tcPr>
            <w:tcW w:w="776" w:type="dxa"/>
          </w:tcPr>
          <w:p w14:paraId="305937C4">
            <w:pPr>
              <w:autoSpaceDE w:val="0"/>
              <w:autoSpaceDN w:val="0"/>
              <w:adjustRightInd w:val="0"/>
              <w:snapToGrid w:val="0"/>
              <w:jc w:val="left"/>
              <w:rPr>
                <w:rFonts w:ascii="宋体" w:hAnsi="宋体"/>
                <w:color w:val="auto"/>
                <w:kern w:val="0"/>
                <w:szCs w:val="21"/>
                <w:highlight w:val="none"/>
              </w:rPr>
            </w:pPr>
          </w:p>
        </w:tc>
        <w:tc>
          <w:tcPr>
            <w:tcW w:w="778" w:type="dxa"/>
          </w:tcPr>
          <w:p w14:paraId="72E24A7E">
            <w:pPr>
              <w:autoSpaceDE w:val="0"/>
              <w:autoSpaceDN w:val="0"/>
              <w:adjustRightInd w:val="0"/>
              <w:snapToGrid w:val="0"/>
              <w:jc w:val="left"/>
              <w:rPr>
                <w:rFonts w:ascii="宋体" w:hAnsi="宋体"/>
                <w:color w:val="auto"/>
                <w:kern w:val="0"/>
                <w:szCs w:val="21"/>
                <w:highlight w:val="none"/>
              </w:rPr>
            </w:pPr>
          </w:p>
        </w:tc>
        <w:tc>
          <w:tcPr>
            <w:tcW w:w="776" w:type="dxa"/>
          </w:tcPr>
          <w:p w14:paraId="51B2217E">
            <w:pPr>
              <w:autoSpaceDE w:val="0"/>
              <w:autoSpaceDN w:val="0"/>
              <w:adjustRightInd w:val="0"/>
              <w:snapToGrid w:val="0"/>
              <w:jc w:val="left"/>
              <w:rPr>
                <w:rFonts w:ascii="宋体" w:hAnsi="宋体"/>
                <w:color w:val="auto"/>
                <w:kern w:val="0"/>
                <w:szCs w:val="21"/>
                <w:highlight w:val="none"/>
              </w:rPr>
            </w:pPr>
          </w:p>
        </w:tc>
        <w:tc>
          <w:tcPr>
            <w:tcW w:w="2723" w:type="dxa"/>
          </w:tcPr>
          <w:p w14:paraId="22F09F20">
            <w:pPr>
              <w:autoSpaceDE w:val="0"/>
              <w:autoSpaceDN w:val="0"/>
              <w:adjustRightInd w:val="0"/>
              <w:snapToGrid w:val="0"/>
              <w:jc w:val="left"/>
              <w:rPr>
                <w:rFonts w:ascii="宋体" w:hAnsi="宋体"/>
                <w:color w:val="auto"/>
                <w:kern w:val="0"/>
                <w:szCs w:val="21"/>
                <w:highlight w:val="none"/>
              </w:rPr>
            </w:pPr>
          </w:p>
        </w:tc>
        <w:tc>
          <w:tcPr>
            <w:tcW w:w="896" w:type="dxa"/>
          </w:tcPr>
          <w:p w14:paraId="3F15D443">
            <w:pPr>
              <w:autoSpaceDE w:val="0"/>
              <w:autoSpaceDN w:val="0"/>
              <w:adjustRightInd w:val="0"/>
              <w:snapToGrid w:val="0"/>
              <w:jc w:val="left"/>
              <w:rPr>
                <w:rFonts w:ascii="宋体" w:hAnsi="宋体"/>
                <w:color w:val="auto"/>
                <w:kern w:val="0"/>
                <w:szCs w:val="21"/>
                <w:highlight w:val="none"/>
              </w:rPr>
            </w:pPr>
          </w:p>
        </w:tc>
      </w:tr>
      <w:tr w14:paraId="519F46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A8A0881">
            <w:pPr>
              <w:autoSpaceDE w:val="0"/>
              <w:autoSpaceDN w:val="0"/>
              <w:adjustRightInd w:val="0"/>
              <w:snapToGrid w:val="0"/>
              <w:jc w:val="left"/>
              <w:rPr>
                <w:rFonts w:ascii="宋体" w:hAnsi="宋体"/>
                <w:color w:val="auto"/>
                <w:kern w:val="0"/>
                <w:szCs w:val="21"/>
                <w:highlight w:val="none"/>
              </w:rPr>
            </w:pPr>
          </w:p>
        </w:tc>
        <w:tc>
          <w:tcPr>
            <w:tcW w:w="734" w:type="dxa"/>
          </w:tcPr>
          <w:p w14:paraId="502A1D20">
            <w:pPr>
              <w:autoSpaceDE w:val="0"/>
              <w:autoSpaceDN w:val="0"/>
              <w:adjustRightInd w:val="0"/>
              <w:snapToGrid w:val="0"/>
              <w:jc w:val="left"/>
              <w:rPr>
                <w:rFonts w:ascii="宋体" w:hAnsi="宋体"/>
                <w:color w:val="auto"/>
                <w:kern w:val="0"/>
                <w:szCs w:val="21"/>
                <w:highlight w:val="none"/>
              </w:rPr>
            </w:pPr>
          </w:p>
        </w:tc>
        <w:tc>
          <w:tcPr>
            <w:tcW w:w="776" w:type="dxa"/>
          </w:tcPr>
          <w:p w14:paraId="0CA81096">
            <w:pPr>
              <w:autoSpaceDE w:val="0"/>
              <w:autoSpaceDN w:val="0"/>
              <w:adjustRightInd w:val="0"/>
              <w:snapToGrid w:val="0"/>
              <w:jc w:val="left"/>
              <w:rPr>
                <w:rFonts w:ascii="宋体" w:hAnsi="宋体"/>
                <w:color w:val="auto"/>
                <w:kern w:val="0"/>
                <w:szCs w:val="21"/>
                <w:highlight w:val="none"/>
              </w:rPr>
            </w:pPr>
          </w:p>
        </w:tc>
        <w:tc>
          <w:tcPr>
            <w:tcW w:w="1167" w:type="dxa"/>
          </w:tcPr>
          <w:p w14:paraId="4DA46783">
            <w:pPr>
              <w:autoSpaceDE w:val="0"/>
              <w:autoSpaceDN w:val="0"/>
              <w:adjustRightInd w:val="0"/>
              <w:snapToGrid w:val="0"/>
              <w:jc w:val="left"/>
              <w:rPr>
                <w:rFonts w:ascii="宋体" w:hAnsi="宋体"/>
                <w:color w:val="auto"/>
                <w:kern w:val="0"/>
                <w:szCs w:val="21"/>
                <w:highlight w:val="none"/>
              </w:rPr>
            </w:pPr>
          </w:p>
        </w:tc>
        <w:tc>
          <w:tcPr>
            <w:tcW w:w="776" w:type="dxa"/>
          </w:tcPr>
          <w:p w14:paraId="3A01DDC9">
            <w:pPr>
              <w:autoSpaceDE w:val="0"/>
              <w:autoSpaceDN w:val="0"/>
              <w:adjustRightInd w:val="0"/>
              <w:snapToGrid w:val="0"/>
              <w:jc w:val="left"/>
              <w:rPr>
                <w:rFonts w:ascii="宋体" w:hAnsi="宋体"/>
                <w:color w:val="auto"/>
                <w:kern w:val="0"/>
                <w:szCs w:val="21"/>
                <w:highlight w:val="none"/>
              </w:rPr>
            </w:pPr>
          </w:p>
        </w:tc>
        <w:tc>
          <w:tcPr>
            <w:tcW w:w="778" w:type="dxa"/>
          </w:tcPr>
          <w:p w14:paraId="7C35B9A1">
            <w:pPr>
              <w:autoSpaceDE w:val="0"/>
              <w:autoSpaceDN w:val="0"/>
              <w:adjustRightInd w:val="0"/>
              <w:snapToGrid w:val="0"/>
              <w:jc w:val="left"/>
              <w:rPr>
                <w:rFonts w:ascii="宋体" w:hAnsi="宋体"/>
                <w:color w:val="auto"/>
                <w:kern w:val="0"/>
                <w:szCs w:val="21"/>
                <w:highlight w:val="none"/>
              </w:rPr>
            </w:pPr>
          </w:p>
        </w:tc>
        <w:tc>
          <w:tcPr>
            <w:tcW w:w="776" w:type="dxa"/>
          </w:tcPr>
          <w:p w14:paraId="4FA65037">
            <w:pPr>
              <w:autoSpaceDE w:val="0"/>
              <w:autoSpaceDN w:val="0"/>
              <w:adjustRightInd w:val="0"/>
              <w:snapToGrid w:val="0"/>
              <w:jc w:val="left"/>
              <w:rPr>
                <w:rFonts w:ascii="宋体" w:hAnsi="宋体"/>
                <w:color w:val="auto"/>
                <w:kern w:val="0"/>
                <w:szCs w:val="21"/>
                <w:highlight w:val="none"/>
              </w:rPr>
            </w:pPr>
          </w:p>
        </w:tc>
        <w:tc>
          <w:tcPr>
            <w:tcW w:w="2723" w:type="dxa"/>
          </w:tcPr>
          <w:p w14:paraId="2F6CE536">
            <w:pPr>
              <w:autoSpaceDE w:val="0"/>
              <w:autoSpaceDN w:val="0"/>
              <w:adjustRightInd w:val="0"/>
              <w:snapToGrid w:val="0"/>
              <w:jc w:val="left"/>
              <w:rPr>
                <w:rFonts w:ascii="宋体" w:hAnsi="宋体"/>
                <w:color w:val="auto"/>
                <w:kern w:val="0"/>
                <w:szCs w:val="21"/>
                <w:highlight w:val="none"/>
              </w:rPr>
            </w:pPr>
          </w:p>
        </w:tc>
        <w:tc>
          <w:tcPr>
            <w:tcW w:w="896" w:type="dxa"/>
          </w:tcPr>
          <w:p w14:paraId="7624446F">
            <w:pPr>
              <w:autoSpaceDE w:val="0"/>
              <w:autoSpaceDN w:val="0"/>
              <w:adjustRightInd w:val="0"/>
              <w:snapToGrid w:val="0"/>
              <w:jc w:val="left"/>
              <w:rPr>
                <w:rFonts w:ascii="宋体" w:hAnsi="宋体"/>
                <w:color w:val="auto"/>
                <w:kern w:val="0"/>
                <w:szCs w:val="21"/>
                <w:highlight w:val="none"/>
              </w:rPr>
            </w:pPr>
          </w:p>
        </w:tc>
      </w:tr>
      <w:tr w14:paraId="617892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7341280">
            <w:pPr>
              <w:autoSpaceDE w:val="0"/>
              <w:autoSpaceDN w:val="0"/>
              <w:adjustRightInd w:val="0"/>
              <w:snapToGrid w:val="0"/>
              <w:jc w:val="left"/>
              <w:rPr>
                <w:rFonts w:ascii="宋体" w:hAnsi="宋体"/>
                <w:color w:val="auto"/>
                <w:kern w:val="0"/>
                <w:szCs w:val="21"/>
                <w:highlight w:val="none"/>
              </w:rPr>
            </w:pPr>
          </w:p>
        </w:tc>
        <w:tc>
          <w:tcPr>
            <w:tcW w:w="734" w:type="dxa"/>
          </w:tcPr>
          <w:p w14:paraId="32F7C4C5">
            <w:pPr>
              <w:autoSpaceDE w:val="0"/>
              <w:autoSpaceDN w:val="0"/>
              <w:adjustRightInd w:val="0"/>
              <w:snapToGrid w:val="0"/>
              <w:jc w:val="left"/>
              <w:rPr>
                <w:rFonts w:ascii="宋体" w:hAnsi="宋体"/>
                <w:color w:val="auto"/>
                <w:kern w:val="0"/>
                <w:szCs w:val="21"/>
                <w:highlight w:val="none"/>
              </w:rPr>
            </w:pPr>
          </w:p>
        </w:tc>
        <w:tc>
          <w:tcPr>
            <w:tcW w:w="776" w:type="dxa"/>
          </w:tcPr>
          <w:p w14:paraId="19684736">
            <w:pPr>
              <w:autoSpaceDE w:val="0"/>
              <w:autoSpaceDN w:val="0"/>
              <w:adjustRightInd w:val="0"/>
              <w:snapToGrid w:val="0"/>
              <w:jc w:val="left"/>
              <w:rPr>
                <w:rFonts w:ascii="宋体" w:hAnsi="宋体"/>
                <w:color w:val="auto"/>
                <w:kern w:val="0"/>
                <w:szCs w:val="21"/>
                <w:highlight w:val="none"/>
              </w:rPr>
            </w:pPr>
          </w:p>
        </w:tc>
        <w:tc>
          <w:tcPr>
            <w:tcW w:w="1167" w:type="dxa"/>
          </w:tcPr>
          <w:p w14:paraId="36E02590">
            <w:pPr>
              <w:autoSpaceDE w:val="0"/>
              <w:autoSpaceDN w:val="0"/>
              <w:adjustRightInd w:val="0"/>
              <w:snapToGrid w:val="0"/>
              <w:jc w:val="left"/>
              <w:rPr>
                <w:rFonts w:ascii="宋体" w:hAnsi="宋体"/>
                <w:color w:val="auto"/>
                <w:kern w:val="0"/>
                <w:szCs w:val="21"/>
                <w:highlight w:val="none"/>
              </w:rPr>
            </w:pPr>
          </w:p>
        </w:tc>
        <w:tc>
          <w:tcPr>
            <w:tcW w:w="776" w:type="dxa"/>
          </w:tcPr>
          <w:p w14:paraId="63D456B9">
            <w:pPr>
              <w:autoSpaceDE w:val="0"/>
              <w:autoSpaceDN w:val="0"/>
              <w:adjustRightInd w:val="0"/>
              <w:snapToGrid w:val="0"/>
              <w:jc w:val="left"/>
              <w:rPr>
                <w:rFonts w:ascii="宋体" w:hAnsi="宋体"/>
                <w:color w:val="auto"/>
                <w:kern w:val="0"/>
                <w:szCs w:val="21"/>
                <w:highlight w:val="none"/>
              </w:rPr>
            </w:pPr>
          </w:p>
        </w:tc>
        <w:tc>
          <w:tcPr>
            <w:tcW w:w="778" w:type="dxa"/>
          </w:tcPr>
          <w:p w14:paraId="0C2E4E1F">
            <w:pPr>
              <w:autoSpaceDE w:val="0"/>
              <w:autoSpaceDN w:val="0"/>
              <w:adjustRightInd w:val="0"/>
              <w:snapToGrid w:val="0"/>
              <w:jc w:val="left"/>
              <w:rPr>
                <w:rFonts w:ascii="宋体" w:hAnsi="宋体"/>
                <w:color w:val="auto"/>
                <w:kern w:val="0"/>
                <w:szCs w:val="21"/>
                <w:highlight w:val="none"/>
              </w:rPr>
            </w:pPr>
          </w:p>
        </w:tc>
        <w:tc>
          <w:tcPr>
            <w:tcW w:w="776" w:type="dxa"/>
          </w:tcPr>
          <w:p w14:paraId="25CAF4CA">
            <w:pPr>
              <w:autoSpaceDE w:val="0"/>
              <w:autoSpaceDN w:val="0"/>
              <w:adjustRightInd w:val="0"/>
              <w:snapToGrid w:val="0"/>
              <w:jc w:val="left"/>
              <w:rPr>
                <w:rFonts w:ascii="宋体" w:hAnsi="宋体"/>
                <w:color w:val="auto"/>
                <w:kern w:val="0"/>
                <w:szCs w:val="21"/>
                <w:highlight w:val="none"/>
              </w:rPr>
            </w:pPr>
          </w:p>
        </w:tc>
        <w:tc>
          <w:tcPr>
            <w:tcW w:w="2723" w:type="dxa"/>
          </w:tcPr>
          <w:p w14:paraId="71684B65">
            <w:pPr>
              <w:autoSpaceDE w:val="0"/>
              <w:autoSpaceDN w:val="0"/>
              <w:adjustRightInd w:val="0"/>
              <w:snapToGrid w:val="0"/>
              <w:jc w:val="left"/>
              <w:rPr>
                <w:rFonts w:ascii="宋体" w:hAnsi="宋体"/>
                <w:color w:val="auto"/>
                <w:kern w:val="0"/>
                <w:szCs w:val="21"/>
                <w:highlight w:val="none"/>
              </w:rPr>
            </w:pPr>
          </w:p>
        </w:tc>
        <w:tc>
          <w:tcPr>
            <w:tcW w:w="896" w:type="dxa"/>
          </w:tcPr>
          <w:p w14:paraId="7433F336">
            <w:pPr>
              <w:autoSpaceDE w:val="0"/>
              <w:autoSpaceDN w:val="0"/>
              <w:adjustRightInd w:val="0"/>
              <w:snapToGrid w:val="0"/>
              <w:jc w:val="left"/>
              <w:rPr>
                <w:rFonts w:ascii="宋体" w:hAnsi="宋体"/>
                <w:color w:val="auto"/>
                <w:kern w:val="0"/>
                <w:szCs w:val="21"/>
                <w:highlight w:val="none"/>
              </w:rPr>
            </w:pPr>
          </w:p>
        </w:tc>
      </w:tr>
      <w:tr w14:paraId="130D0D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857D0DF">
            <w:pPr>
              <w:autoSpaceDE w:val="0"/>
              <w:autoSpaceDN w:val="0"/>
              <w:adjustRightInd w:val="0"/>
              <w:snapToGrid w:val="0"/>
              <w:jc w:val="left"/>
              <w:rPr>
                <w:rFonts w:ascii="宋体" w:hAnsi="宋体"/>
                <w:color w:val="auto"/>
                <w:kern w:val="0"/>
                <w:szCs w:val="21"/>
                <w:highlight w:val="none"/>
              </w:rPr>
            </w:pPr>
          </w:p>
        </w:tc>
        <w:tc>
          <w:tcPr>
            <w:tcW w:w="734" w:type="dxa"/>
          </w:tcPr>
          <w:p w14:paraId="3487AB1B">
            <w:pPr>
              <w:autoSpaceDE w:val="0"/>
              <w:autoSpaceDN w:val="0"/>
              <w:adjustRightInd w:val="0"/>
              <w:snapToGrid w:val="0"/>
              <w:jc w:val="left"/>
              <w:rPr>
                <w:rFonts w:ascii="宋体" w:hAnsi="宋体"/>
                <w:color w:val="auto"/>
                <w:kern w:val="0"/>
                <w:szCs w:val="21"/>
                <w:highlight w:val="none"/>
              </w:rPr>
            </w:pPr>
          </w:p>
        </w:tc>
        <w:tc>
          <w:tcPr>
            <w:tcW w:w="776" w:type="dxa"/>
          </w:tcPr>
          <w:p w14:paraId="209402C7">
            <w:pPr>
              <w:autoSpaceDE w:val="0"/>
              <w:autoSpaceDN w:val="0"/>
              <w:adjustRightInd w:val="0"/>
              <w:snapToGrid w:val="0"/>
              <w:jc w:val="left"/>
              <w:rPr>
                <w:rFonts w:ascii="宋体" w:hAnsi="宋体"/>
                <w:color w:val="auto"/>
                <w:kern w:val="0"/>
                <w:szCs w:val="21"/>
                <w:highlight w:val="none"/>
              </w:rPr>
            </w:pPr>
          </w:p>
        </w:tc>
        <w:tc>
          <w:tcPr>
            <w:tcW w:w="1167" w:type="dxa"/>
          </w:tcPr>
          <w:p w14:paraId="09687147">
            <w:pPr>
              <w:autoSpaceDE w:val="0"/>
              <w:autoSpaceDN w:val="0"/>
              <w:adjustRightInd w:val="0"/>
              <w:snapToGrid w:val="0"/>
              <w:jc w:val="left"/>
              <w:rPr>
                <w:rFonts w:ascii="宋体" w:hAnsi="宋体"/>
                <w:color w:val="auto"/>
                <w:kern w:val="0"/>
                <w:szCs w:val="21"/>
                <w:highlight w:val="none"/>
              </w:rPr>
            </w:pPr>
          </w:p>
        </w:tc>
        <w:tc>
          <w:tcPr>
            <w:tcW w:w="776" w:type="dxa"/>
          </w:tcPr>
          <w:p w14:paraId="3517863F">
            <w:pPr>
              <w:autoSpaceDE w:val="0"/>
              <w:autoSpaceDN w:val="0"/>
              <w:adjustRightInd w:val="0"/>
              <w:snapToGrid w:val="0"/>
              <w:jc w:val="left"/>
              <w:rPr>
                <w:rFonts w:ascii="宋体" w:hAnsi="宋体"/>
                <w:color w:val="auto"/>
                <w:kern w:val="0"/>
                <w:szCs w:val="21"/>
                <w:highlight w:val="none"/>
              </w:rPr>
            </w:pPr>
          </w:p>
        </w:tc>
        <w:tc>
          <w:tcPr>
            <w:tcW w:w="778" w:type="dxa"/>
          </w:tcPr>
          <w:p w14:paraId="228D1D58">
            <w:pPr>
              <w:autoSpaceDE w:val="0"/>
              <w:autoSpaceDN w:val="0"/>
              <w:adjustRightInd w:val="0"/>
              <w:snapToGrid w:val="0"/>
              <w:jc w:val="left"/>
              <w:rPr>
                <w:rFonts w:ascii="宋体" w:hAnsi="宋体"/>
                <w:color w:val="auto"/>
                <w:kern w:val="0"/>
                <w:szCs w:val="21"/>
                <w:highlight w:val="none"/>
              </w:rPr>
            </w:pPr>
          </w:p>
        </w:tc>
        <w:tc>
          <w:tcPr>
            <w:tcW w:w="776" w:type="dxa"/>
          </w:tcPr>
          <w:p w14:paraId="5C3A8970">
            <w:pPr>
              <w:autoSpaceDE w:val="0"/>
              <w:autoSpaceDN w:val="0"/>
              <w:adjustRightInd w:val="0"/>
              <w:snapToGrid w:val="0"/>
              <w:jc w:val="left"/>
              <w:rPr>
                <w:rFonts w:ascii="宋体" w:hAnsi="宋体"/>
                <w:color w:val="auto"/>
                <w:kern w:val="0"/>
                <w:szCs w:val="21"/>
                <w:highlight w:val="none"/>
              </w:rPr>
            </w:pPr>
          </w:p>
        </w:tc>
        <w:tc>
          <w:tcPr>
            <w:tcW w:w="2723" w:type="dxa"/>
          </w:tcPr>
          <w:p w14:paraId="48C14603">
            <w:pPr>
              <w:autoSpaceDE w:val="0"/>
              <w:autoSpaceDN w:val="0"/>
              <w:adjustRightInd w:val="0"/>
              <w:snapToGrid w:val="0"/>
              <w:jc w:val="left"/>
              <w:rPr>
                <w:rFonts w:ascii="宋体" w:hAnsi="宋体"/>
                <w:color w:val="auto"/>
                <w:kern w:val="0"/>
                <w:szCs w:val="21"/>
                <w:highlight w:val="none"/>
              </w:rPr>
            </w:pPr>
          </w:p>
        </w:tc>
        <w:tc>
          <w:tcPr>
            <w:tcW w:w="896" w:type="dxa"/>
          </w:tcPr>
          <w:p w14:paraId="446B39D1">
            <w:pPr>
              <w:autoSpaceDE w:val="0"/>
              <w:autoSpaceDN w:val="0"/>
              <w:adjustRightInd w:val="0"/>
              <w:snapToGrid w:val="0"/>
              <w:jc w:val="left"/>
              <w:rPr>
                <w:rFonts w:ascii="宋体" w:hAnsi="宋体"/>
                <w:color w:val="auto"/>
                <w:kern w:val="0"/>
                <w:szCs w:val="21"/>
                <w:highlight w:val="none"/>
              </w:rPr>
            </w:pPr>
          </w:p>
        </w:tc>
      </w:tr>
      <w:tr w14:paraId="3469E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F720FF">
            <w:pPr>
              <w:autoSpaceDE w:val="0"/>
              <w:autoSpaceDN w:val="0"/>
              <w:adjustRightInd w:val="0"/>
              <w:snapToGrid w:val="0"/>
              <w:jc w:val="left"/>
              <w:rPr>
                <w:rFonts w:ascii="宋体" w:hAnsi="宋体"/>
                <w:color w:val="auto"/>
                <w:kern w:val="0"/>
                <w:szCs w:val="21"/>
                <w:highlight w:val="none"/>
              </w:rPr>
            </w:pPr>
          </w:p>
        </w:tc>
        <w:tc>
          <w:tcPr>
            <w:tcW w:w="734" w:type="dxa"/>
          </w:tcPr>
          <w:p w14:paraId="45B4A5BD">
            <w:pPr>
              <w:autoSpaceDE w:val="0"/>
              <w:autoSpaceDN w:val="0"/>
              <w:adjustRightInd w:val="0"/>
              <w:snapToGrid w:val="0"/>
              <w:jc w:val="left"/>
              <w:rPr>
                <w:rFonts w:ascii="宋体" w:hAnsi="宋体"/>
                <w:color w:val="auto"/>
                <w:kern w:val="0"/>
                <w:szCs w:val="21"/>
                <w:highlight w:val="none"/>
              </w:rPr>
            </w:pPr>
          </w:p>
        </w:tc>
        <w:tc>
          <w:tcPr>
            <w:tcW w:w="776" w:type="dxa"/>
          </w:tcPr>
          <w:p w14:paraId="56B700EC">
            <w:pPr>
              <w:autoSpaceDE w:val="0"/>
              <w:autoSpaceDN w:val="0"/>
              <w:adjustRightInd w:val="0"/>
              <w:snapToGrid w:val="0"/>
              <w:jc w:val="left"/>
              <w:rPr>
                <w:rFonts w:ascii="宋体" w:hAnsi="宋体"/>
                <w:color w:val="auto"/>
                <w:kern w:val="0"/>
                <w:szCs w:val="21"/>
                <w:highlight w:val="none"/>
              </w:rPr>
            </w:pPr>
          </w:p>
        </w:tc>
        <w:tc>
          <w:tcPr>
            <w:tcW w:w="1167" w:type="dxa"/>
          </w:tcPr>
          <w:p w14:paraId="74129E70">
            <w:pPr>
              <w:autoSpaceDE w:val="0"/>
              <w:autoSpaceDN w:val="0"/>
              <w:adjustRightInd w:val="0"/>
              <w:snapToGrid w:val="0"/>
              <w:jc w:val="left"/>
              <w:rPr>
                <w:rFonts w:ascii="宋体" w:hAnsi="宋体"/>
                <w:color w:val="auto"/>
                <w:kern w:val="0"/>
                <w:szCs w:val="21"/>
                <w:highlight w:val="none"/>
              </w:rPr>
            </w:pPr>
          </w:p>
        </w:tc>
        <w:tc>
          <w:tcPr>
            <w:tcW w:w="776" w:type="dxa"/>
          </w:tcPr>
          <w:p w14:paraId="2B2BC7AA">
            <w:pPr>
              <w:autoSpaceDE w:val="0"/>
              <w:autoSpaceDN w:val="0"/>
              <w:adjustRightInd w:val="0"/>
              <w:snapToGrid w:val="0"/>
              <w:jc w:val="left"/>
              <w:rPr>
                <w:rFonts w:ascii="宋体" w:hAnsi="宋体"/>
                <w:color w:val="auto"/>
                <w:kern w:val="0"/>
                <w:szCs w:val="21"/>
                <w:highlight w:val="none"/>
              </w:rPr>
            </w:pPr>
          </w:p>
        </w:tc>
        <w:tc>
          <w:tcPr>
            <w:tcW w:w="778" w:type="dxa"/>
          </w:tcPr>
          <w:p w14:paraId="16AE8D3E">
            <w:pPr>
              <w:autoSpaceDE w:val="0"/>
              <w:autoSpaceDN w:val="0"/>
              <w:adjustRightInd w:val="0"/>
              <w:snapToGrid w:val="0"/>
              <w:jc w:val="left"/>
              <w:rPr>
                <w:rFonts w:ascii="宋体" w:hAnsi="宋体"/>
                <w:color w:val="auto"/>
                <w:kern w:val="0"/>
                <w:szCs w:val="21"/>
                <w:highlight w:val="none"/>
              </w:rPr>
            </w:pPr>
          </w:p>
        </w:tc>
        <w:tc>
          <w:tcPr>
            <w:tcW w:w="776" w:type="dxa"/>
          </w:tcPr>
          <w:p w14:paraId="62493E24">
            <w:pPr>
              <w:autoSpaceDE w:val="0"/>
              <w:autoSpaceDN w:val="0"/>
              <w:adjustRightInd w:val="0"/>
              <w:snapToGrid w:val="0"/>
              <w:jc w:val="left"/>
              <w:rPr>
                <w:rFonts w:ascii="宋体" w:hAnsi="宋体"/>
                <w:color w:val="auto"/>
                <w:kern w:val="0"/>
                <w:szCs w:val="21"/>
                <w:highlight w:val="none"/>
              </w:rPr>
            </w:pPr>
          </w:p>
        </w:tc>
        <w:tc>
          <w:tcPr>
            <w:tcW w:w="2723" w:type="dxa"/>
          </w:tcPr>
          <w:p w14:paraId="6B41C513">
            <w:pPr>
              <w:autoSpaceDE w:val="0"/>
              <w:autoSpaceDN w:val="0"/>
              <w:adjustRightInd w:val="0"/>
              <w:snapToGrid w:val="0"/>
              <w:jc w:val="left"/>
              <w:rPr>
                <w:rFonts w:ascii="宋体" w:hAnsi="宋体"/>
                <w:color w:val="auto"/>
                <w:kern w:val="0"/>
                <w:szCs w:val="21"/>
                <w:highlight w:val="none"/>
              </w:rPr>
            </w:pPr>
          </w:p>
        </w:tc>
        <w:tc>
          <w:tcPr>
            <w:tcW w:w="896" w:type="dxa"/>
          </w:tcPr>
          <w:p w14:paraId="34BCC979">
            <w:pPr>
              <w:autoSpaceDE w:val="0"/>
              <w:autoSpaceDN w:val="0"/>
              <w:adjustRightInd w:val="0"/>
              <w:snapToGrid w:val="0"/>
              <w:jc w:val="left"/>
              <w:rPr>
                <w:rFonts w:ascii="宋体" w:hAnsi="宋体"/>
                <w:color w:val="auto"/>
                <w:kern w:val="0"/>
                <w:szCs w:val="21"/>
                <w:highlight w:val="none"/>
              </w:rPr>
            </w:pPr>
          </w:p>
        </w:tc>
      </w:tr>
      <w:tr w14:paraId="560529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CE1A2F3">
            <w:pPr>
              <w:autoSpaceDE w:val="0"/>
              <w:autoSpaceDN w:val="0"/>
              <w:adjustRightInd w:val="0"/>
              <w:snapToGrid w:val="0"/>
              <w:jc w:val="left"/>
              <w:rPr>
                <w:rFonts w:ascii="宋体" w:hAnsi="宋体"/>
                <w:color w:val="auto"/>
                <w:kern w:val="0"/>
                <w:szCs w:val="21"/>
                <w:highlight w:val="none"/>
              </w:rPr>
            </w:pPr>
          </w:p>
        </w:tc>
        <w:tc>
          <w:tcPr>
            <w:tcW w:w="734" w:type="dxa"/>
          </w:tcPr>
          <w:p w14:paraId="51D56F3E">
            <w:pPr>
              <w:autoSpaceDE w:val="0"/>
              <w:autoSpaceDN w:val="0"/>
              <w:adjustRightInd w:val="0"/>
              <w:snapToGrid w:val="0"/>
              <w:jc w:val="left"/>
              <w:rPr>
                <w:rFonts w:ascii="宋体" w:hAnsi="宋体"/>
                <w:color w:val="auto"/>
                <w:kern w:val="0"/>
                <w:szCs w:val="21"/>
                <w:highlight w:val="none"/>
              </w:rPr>
            </w:pPr>
          </w:p>
        </w:tc>
        <w:tc>
          <w:tcPr>
            <w:tcW w:w="776" w:type="dxa"/>
          </w:tcPr>
          <w:p w14:paraId="1872E65D">
            <w:pPr>
              <w:autoSpaceDE w:val="0"/>
              <w:autoSpaceDN w:val="0"/>
              <w:adjustRightInd w:val="0"/>
              <w:snapToGrid w:val="0"/>
              <w:jc w:val="left"/>
              <w:rPr>
                <w:rFonts w:ascii="宋体" w:hAnsi="宋体"/>
                <w:color w:val="auto"/>
                <w:kern w:val="0"/>
                <w:szCs w:val="21"/>
                <w:highlight w:val="none"/>
              </w:rPr>
            </w:pPr>
          </w:p>
        </w:tc>
        <w:tc>
          <w:tcPr>
            <w:tcW w:w="1167" w:type="dxa"/>
          </w:tcPr>
          <w:p w14:paraId="644A1861">
            <w:pPr>
              <w:autoSpaceDE w:val="0"/>
              <w:autoSpaceDN w:val="0"/>
              <w:adjustRightInd w:val="0"/>
              <w:snapToGrid w:val="0"/>
              <w:jc w:val="left"/>
              <w:rPr>
                <w:rFonts w:ascii="宋体" w:hAnsi="宋体"/>
                <w:color w:val="auto"/>
                <w:kern w:val="0"/>
                <w:szCs w:val="21"/>
                <w:highlight w:val="none"/>
              </w:rPr>
            </w:pPr>
          </w:p>
        </w:tc>
        <w:tc>
          <w:tcPr>
            <w:tcW w:w="776" w:type="dxa"/>
          </w:tcPr>
          <w:p w14:paraId="425E58F0">
            <w:pPr>
              <w:autoSpaceDE w:val="0"/>
              <w:autoSpaceDN w:val="0"/>
              <w:adjustRightInd w:val="0"/>
              <w:snapToGrid w:val="0"/>
              <w:jc w:val="left"/>
              <w:rPr>
                <w:rFonts w:ascii="宋体" w:hAnsi="宋体"/>
                <w:color w:val="auto"/>
                <w:kern w:val="0"/>
                <w:szCs w:val="21"/>
                <w:highlight w:val="none"/>
              </w:rPr>
            </w:pPr>
          </w:p>
        </w:tc>
        <w:tc>
          <w:tcPr>
            <w:tcW w:w="778" w:type="dxa"/>
          </w:tcPr>
          <w:p w14:paraId="41F524CD">
            <w:pPr>
              <w:autoSpaceDE w:val="0"/>
              <w:autoSpaceDN w:val="0"/>
              <w:adjustRightInd w:val="0"/>
              <w:snapToGrid w:val="0"/>
              <w:jc w:val="left"/>
              <w:rPr>
                <w:rFonts w:ascii="宋体" w:hAnsi="宋体"/>
                <w:color w:val="auto"/>
                <w:kern w:val="0"/>
                <w:szCs w:val="21"/>
                <w:highlight w:val="none"/>
              </w:rPr>
            </w:pPr>
          </w:p>
        </w:tc>
        <w:tc>
          <w:tcPr>
            <w:tcW w:w="776" w:type="dxa"/>
          </w:tcPr>
          <w:p w14:paraId="427CA4DD">
            <w:pPr>
              <w:autoSpaceDE w:val="0"/>
              <w:autoSpaceDN w:val="0"/>
              <w:adjustRightInd w:val="0"/>
              <w:snapToGrid w:val="0"/>
              <w:jc w:val="left"/>
              <w:rPr>
                <w:rFonts w:ascii="宋体" w:hAnsi="宋体"/>
                <w:color w:val="auto"/>
                <w:kern w:val="0"/>
                <w:szCs w:val="21"/>
                <w:highlight w:val="none"/>
              </w:rPr>
            </w:pPr>
          </w:p>
        </w:tc>
        <w:tc>
          <w:tcPr>
            <w:tcW w:w="2723" w:type="dxa"/>
          </w:tcPr>
          <w:p w14:paraId="1DA85440">
            <w:pPr>
              <w:autoSpaceDE w:val="0"/>
              <w:autoSpaceDN w:val="0"/>
              <w:adjustRightInd w:val="0"/>
              <w:snapToGrid w:val="0"/>
              <w:jc w:val="left"/>
              <w:rPr>
                <w:rFonts w:ascii="宋体" w:hAnsi="宋体"/>
                <w:color w:val="auto"/>
                <w:kern w:val="0"/>
                <w:szCs w:val="21"/>
                <w:highlight w:val="none"/>
              </w:rPr>
            </w:pPr>
          </w:p>
        </w:tc>
        <w:tc>
          <w:tcPr>
            <w:tcW w:w="896" w:type="dxa"/>
          </w:tcPr>
          <w:p w14:paraId="413F05EE">
            <w:pPr>
              <w:autoSpaceDE w:val="0"/>
              <w:autoSpaceDN w:val="0"/>
              <w:adjustRightInd w:val="0"/>
              <w:snapToGrid w:val="0"/>
              <w:jc w:val="left"/>
              <w:rPr>
                <w:rFonts w:ascii="宋体" w:hAnsi="宋体"/>
                <w:color w:val="auto"/>
                <w:kern w:val="0"/>
                <w:szCs w:val="21"/>
                <w:highlight w:val="none"/>
              </w:rPr>
            </w:pPr>
          </w:p>
        </w:tc>
      </w:tr>
      <w:tr w14:paraId="4435A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F5DB4A2">
            <w:pPr>
              <w:autoSpaceDE w:val="0"/>
              <w:autoSpaceDN w:val="0"/>
              <w:adjustRightInd w:val="0"/>
              <w:snapToGrid w:val="0"/>
              <w:jc w:val="left"/>
              <w:rPr>
                <w:rFonts w:ascii="宋体" w:hAnsi="宋体"/>
                <w:color w:val="auto"/>
                <w:kern w:val="0"/>
                <w:szCs w:val="21"/>
                <w:highlight w:val="none"/>
              </w:rPr>
            </w:pPr>
          </w:p>
        </w:tc>
        <w:tc>
          <w:tcPr>
            <w:tcW w:w="734" w:type="dxa"/>
          </w:tcPr>
          <w:p w14:paraId="07A7E9BF">
            <w:pPr>
              <w:autoSpaceDE w:val="0"/>
              <w:autoSpaceDN w:val="0"/>
              <w:adjustRightInd w:val="0"/>
              <w:snapToGrid w:val="0"/>
              <w:jc w:val="left"/>
              <w:rPr>
                <w:rFonts w:ascii="宋体" w:hAnsi="宋体"/>
                <w:color w:val="auto"/>
                <w:kern w:val="0"/>
                <w:szCs w:val="21"/>
                <w:highlight w:val="none"/>
              </w:rPr>
            </w:pPr>
          </w:p>
        </w:tc>
        <w:tc>
          <w:tcPr>
            <w:tcW w:w="776" w:type="dxa"/>
          </w:tcPr>
          <w:p w14:paraId="2AA60C4C">
            <w:pPr>
              <w:autoSpaceDE w:val="0"/>
              <w:autoSpaceDN w:val="0"/>
              <w:adjustRightInd w:val="0"/>
              <w:snapToGrid w:val="0"/>
              <w:jc w:val="left"/>
              <w:rPr>
                <w:rFonts w:ascii="宋体" w:hAnsi="宋体"/>
                <w:color w:val="auto"/>
                <w:kern w:val="0"/>
                <w:szCs w:val="21"/>
                <w:highlight w:val="none"/>
              </w:rPr>
            </w:pPr>
          </w:p>
        </w:tc>
        <w:tc>
          <w:tcPr>
            <w:tcW w:w="1167" w:type="dxa"/>
          </w:tcPr>
          <w:p w14:paraId="6677C133">
            <w:pPr>
              <w:autoSpaceDE w:val="0"/>
              <w:autoSpaceDN w:val="0"/>
              <w:adjustRightInd w:val="0"/>
              <w:snapToGrid w:val="0"/>
              <w:jc w:val="left"/>
              <w:rPr>
                <w:rFonts w:ascii="宋体" w:hAnsi="宋体"/>
                <w:color w:val="auto"/>
                <w:kern w:val="0"/>
                <w:szCs w:val="21"/>
                <w:highlight w:val="none"/>
              </w:rPr>
            </w:pPr>
          </w:p>
        </w:tc>
        <w:tc>
          <w:tcPr>
            <w:tcW w:w="776" w:type="dxa"/>
          </w:tcPr>
          <w:p w14:paraId="4BC5CFDA">
            <w:pPr>
              <w:autoSpaceDE w:val="0"/>
              <w:autoSpaceDN w:val="0"/>
              <w:adjustRightInd w:val="0"/>
              <w:snapToGrid w:val="0"/>
              <w:jc w:val="left"/>
              <w:rPr>
                <w:rFonts w:ascii="宋体" w:hAnsi="宋体"/>
                <w:color w:val="auto"/>
                <w:kern w:val="0"/>
                <w:szCs w:val="21"/>
                <w:highlight w:val="none"/>
              </w:rPr>
            </w:pPr>
          </w:p>
        </w:tc>
        <w:tc>
          <w:tcPr>
            <w:tcW w:w="778" w:type="dxa"/>
          </w:tcPr>
          <w:p w14:paraId="5C99382F">
            <w:pPr>
              <w:autoSpaceDE w:val="0"/>
              <w:autoSpaceDN w:val="0"/>
              <w:adjustRightInd w:val="0"/>
              <w:snapToGrid w:val="0"/>
              <w:jc w:val="left"/>
              <w:rPr>
                <w:rFonts w:ascii="宋体" w:hAnsi="宋体"/>
                <w:color w:val="auto"/>
                <w:kern w:val="0"/>
                <w:szCs w:val="21"/>
                <w:highlight w:val="none"/>
              </w:rPr>
            </w:pPr>
          </w:p>
        </w:tc>
        <w:tc>
          <w:tcPr>
            <w:tcW w:w="776" w:type="dxa"/>
          </w:tcPr>
          <w:p w14:paraId="409F901F">
            <w:pPr>
              <w:autoSpaceDE w:val="0"/>
              <w:autoSpaceDN w:val="0"/>
              <w:adjustRightInd w:val="0"/>
              <w:snapToGrid w:val="0"/>
              <w:jc w:val="left"/>
              <w:rPr>
                <w:rFonts w:ascii="宋体" w:hAnsi="宋体"/>
                <w:color w:val="auto"/>
                <w:kern w:val="0"/>
                <w:szCs w:val="21"/>
                <w:highlight w:val="none"/>
              </w:rPr>
            </w:pPr>
          </w:p>
        </w:tc>
        <w:tc>
          <w:tcPr>
            <w:tcW w:w="2723" w:type="dxa"/>
          </w:tcPr>
          <w:p w14:paraId="7CDB4B9B">
            <w:pPr>
              <w:autoSpaceDE w:val="0"/>
              <w:autoSpaceDN w:val="0"/>
              <w:adjustRightInd w:val="0"/>
              <w:snapToGrid w:val="0"/>
              <w:jc w:val="left"/>
              <w:rPr>
                <w:rFonts w:ascii="宋体" w:hAnsi="宋体"/>
                <w:color w:val="auto"/>
                <w:kern w:val="0"/>
                <w:szCs w:val="21"/>
                <w:highlight w:val="none"/>
              </w:rPr>
            </w:pPr>
          </w:p>
        </w:tc>
        <w:tc>
          <w:tcPr>
            <w:tcW w:w="896" w:type="dxa"/>
          </w:tcPr>
          <w:p w14:paraId="15596D52">
            <w:pPr>
              <w:autoSpaceDE w:val="0"/>
              <w:autoSpaceDN w:val="0"/>
              <w:adjustRightInd w:val="0"/>
              <w:snapToGrid w:val="0"/>
              <w:jc w:val="left"/>
              <w:rPr>
                <w:rFonts w:ascii="宋体" w:hAnsi="宋体"/>
                <w:color w:val="auto"/>
                <w:kern w:val="0"/>
                <w:szCs w:val="21"/>
                <w:highlight w:val="none"/>
              </w:rPr>
            </w:pPr>
          </w:p>
        </w:tc>
      </w:tr>
      <w:tr w14:paraId="46FFF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5AB9C7">
            <w:pPr>
              <w:autoSpaceDE w:val="0"/>
              <w:autoSpaceDN w:val="0"/>
              <w:adjustRightInd w:val="0"/>
              <w:snapToGrid w:val="0"/>
              <w:jc w:val="left"/>
              <w:rPr>
                <w:rFonts w:ascii="宋体" w:hAnsi="宋体"/>
                <w:color w:val="auto"/>
                <w:kern w:val="0"/>
                <w:szCs w:val="21"/>
                <w:highlight w:val="none"/>
              </w:rPr>
            </w:pPr>
          </w:p>
        </w:tc>
        <w:tc>
          <w:tcPr>
            <w:tcW w:w="734" w:type="dxa"/>
          </w:tcPr>
          <w:p w14:paraId="771537AF">
            <w:pPr>
              <w:autoSpaceDE w:val="0"/>
              <w:autoSpaceDN w:val="0"/>
              <w:adjustRightInd w:val="0"/>
              <w:snapToGrid w:val="0"/>
              <w:jc w:val="left"/>
              <w:rPr>
                <w:rFonts w:ascii="宋体" w:hAnsi="宋体"/>
                <w:color w:val="auto"/>
                <w:kern w:val="0"/>
                <w:szCs w:val="21"/>
                <w:highlight w:val="none"/>
              </w:rPr>
            </w:pPr>
          </w:p>
        </w:tc>
        <w:tc>
          <w:tcPr>
            <w:tcW w:w="776" w:type="dxa"/>
          </w:tcPr>
          <w:p w14:paraId="50EE841B">
            <w:pPr>
              <w:autoSpaceDE w:val="0"/>
              <w:autoSpaceDN w:val="0"/>
              <w:adjustRightInd w:val="0"/>
              <w:snapToGrid w:val="0"/>
              <w:jc w:val="left"/>
              <w:rPr>
                <w:rFonts w:ascii="宋体" w:hAnsi="宋体"/>
                <w:color w:val="auto"/>
                <w:kern w:val="0"/>
                <w:szCs w:val="21"/>
                <w:highlight w:val="none"/>
              </w:rPr>
            </w:pPr>
          </w:p>
        </w:tc>
        <w:tc>
          <w:tcPr>
            <w:tcW w:w="1167" w:type="dxa"/>
          </w:tcPr>
          <w:p w14:paraId="389FE02C">
            <w:pPr>
              <w:autoSpaceDE w:val="0"/>
              <w:autoSpaceDN w:val="0"/>
              <w:adjustRightInd w:val="0"/>
              <w:snapToGrid w:val="0"/>
              <w:jc w:val="left"/>
              <w:rPr>
                <w:rFonts w:ascii="宋体" w:hAnsi="宋体"/>
                <w:color w:val="auto"/>
                <w:kern w:val="0"/>
                <w:szCs w:val="21"/>
                <w:highlight w:val="none"/>
              </w:rPr>
            </w:pPr>
          </w:p>
        </w:tc>
        <w:tc>
          <w:tcPr>
            <w:tcW w:w="776" w:type="dxa"/>
          </w:tcPr>
          <w:p w14:paraId="51D806FF">
            <w:pPr>
              <w:autoSpaceDE w:val="0"/>
              <w:autoSpaceDN w:val="0"/>
              <w:adjustRightInd w:val="0"/>
              <w:snapToGrid w:val="0"/>
              <w:jc w:val="left"/>
              <w:rPr>
                <w:rFonts w:ascii="宋体" w:hAnsi="宋体"/>
                <w:color w:val="auto"/>
                <w:kern w:val="0"/>
                <w:szCs w:val="21"/>
                <w:highlight w:val="none"/>
              </w:rPr>
            </w:pPr>
          </w:p>
        </w:tc>
        <w:tc>
          <w:tcPr>
            <w:tcW w:w="778" w:type="dxa"/>
          </w:tcPr>
          <w:p w14:paraId="45CB2ED1">
            <w:pPr>
              <w:autoSpaceDE w:val="0"/>
              <w:autoSpaceDN w:val="0"/>
              <w:adjustRightInd w:val="0"/>
              <w:snapToGrid w:val="0"/>
              <w:jc w:val="left"/>
              <w:rPr>
                <w:rFonts w:ascii="宋体" w:hAnsi="宋体"/>
                <w:color w:val="auto"/>
                <w:kern w:val="0"/>
                <w:szCs w:val="21"/>
                <w:highlight w:val="none"/>
              </w:rPr>
            </w:pPr>
          </w:p>
        </w:tc>
        <w:tc>
          <w:tcPr>
            <w:tcW w:w="776" w:type="dxa"/>
          </w:tcPr>
          <w:p w14:paraId="4E234FCD">
            <w:pPr>
              <w:autoSpaceDE w:val="0"/>
              <w:autoSpaceDN w:val="0"/>
              <w:adjustRightInd w:val="0"/>
              <w:snapToGrid w:val="0"/>
              <w:jc w:val="left"/>
              <w:rPr>
                <w:rFonts w:ascii="宋体" w:hAnsi="宋体"/>
                <w:color w:val="auto"/>
                <w:kern w:val="0"/>
                <w:szCs w:val="21"/>
                <w:highlight w:val="none"/>
              </w:rPr>
            </w:pPr>
          </w:p>
        </w:tc>
        <w:tc>
          <w:tcPr>
            <w:tcW w:w="2723" w:type="dxa"/>
          </w:tcPr>
          <w:p w14:paraId="1E4C8F61">
            <w:pPr>
              <w:autoSpaceDE w:val="0"/>
              <w:autoSpaceDN w:val="0"/>
              <w:adjustRightInd w:val="0"/>
              <w:snapToGrid w:val="0"/>
              <w:jc w:val="left"/>
              <w:rPr>
                <w:rFonts w:ascii="宋体" w:hAnsi="宋体"/>
                <w:color w:val="auto"/>
                <w:kern w:val="0"/>
                <w:szCs w:val="21"/>
                <w:highlight w:val="none"/>
              </w:rPr>
            </w:pPr>
          </w:p>
        </w:tc>
        <w:tc>
          <w:tcPr>
            <w:tcW w:w="896" w:type="dxa"/>
          </w:tcPr>
          <w:p w14:paraId="2F2BFB0D">
            <w:pPr>
              <w:autoSpaceDE w:val="0"/>
              <w:autoSpaceDN w:val="0"/>
              <w:adjustRightInd w:val="0"/>
              <w:snapToGrid w:val="0"/>
              <w:jc w:val="left"/>
              <w:rPr>
                <w:rFonts w:ascii="宋体" w:hAnsi="宋体"/>
                <w:color w:val="auto"/>
                <w:kern w:val="0"/>
                <w:szCs w:val="21"/>
                <w:highlight w:val="none"/>
              </w:rPr>
            </w:pPr>
          </w:p>
        </w:tc>
      </w:tr>
      <w:tr w14:paraId="6748F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635E3B8">
            <w:pPr>
              <w:autoSpaceDE w:val="0"/>
              <w:autoSpaceDN w:val="0"/>
              <w:adjustRightInd w:val="0"/>
              <w:snapToGrid w:val="0"/>
              <w:jc w:val="left"/>
              <w:rPr>
                <w:rFonts w:ascii="宋体" w:hAnsi="宋体"/>
                <w:color w:val="auto"/>
                <w:kern w:val="0"/>
                <w:szCs w:val="21"/>
                <w:highlight w:val="none"/>
              </w:rPr>
            </w:pPr>
          </w:p>
        </w:tc>
        <w:tc>
          <w:tcPr>
            <w:tcW w:w="734" w:type="dxa"/>
          </w:tcPr>
          <w:p w14:paraId="0A2BB2B0">
            <w:pPr>
              <w:autoSpaceDE w:val="0"/>
              <w:autoSpaceDN w:val="0"/>
              <w:adjustRightInd w:val="0"/>
              <w:snapToGrid w:val="0"/>
              <w:jc w:val="left"/>
              <w:rPr>
                <w:rFonts w:ascii="宋体" w:hAnsi="宋体"/>
                <w:color w:val="auto"/>
                <w:kern w:val="0"/>
                <w:szCs w:val="21"/>
                <w:highlight w:val="none"/>
              </w:rPr>
            </w:pPr>
          </w:p>
        </w:tc>
        <w:tc>
          <w:tcPr>
            <w:tcW w:w="776" w:type="dxa"/>
          </w:tcPr>
          <w:p w14:paraId="5C726A5C">
            <w:pPr>
              <w:autoSpaceDE w:val="0"/>
              <w:autoSpaceDN w:val="0"/>
              <w:adjustRightInd w:val="0"/>
              <w:snapToGrid w:val="0"/>
              <w:jc w:val="left"/>
              <w:rPr>
                <w:rFonts w:ascii="宋体" w:hAnsi="宋体"/>
                <w:color w:val="auto"/>
                <w:kern w:val="0"/>
                <w:szCs w:val="21"/>
                <w:highlight w:val="none"/>
              </w:rPr>
            </w:pPr>
          </w:p>
        </w:tc>
        <w:tc>
          <w:tcPr>
            <w:tcW w:w="1167" w:type="dxa"/>
          </w:tcPr>
          <w:p w14:paraId="1161CFEB">
            <w:pPr>
              <w:autoSpaceDE w:val="0"/>
              <w:autoSpaceDN w:val="0"/>
              <w:adjustRightInd w:val="0"/>
              <w:snapToGrid w:val="0"/>
              <w:jc w:val="left"/>
              <w:rPr>
                <w:rFonts w:ascii="宋体" w:hAnsi="宋体"/>
                <w:color w:val="auto"/>
                <w:kern w:val="0"/>
                <w:szCs w:val="21"/>
                <w:highlight w:val="none"/>
              </w:rPr>
            </w:pPr>
          </w:p>
        </w:tc>
        <w:tc>
          <w:tcPr>
            <w:tcW w:w="776" w:type="dxa"/>
          </w:tcPr>
          <w:p w14:paraId="3B50EC75">
            <w:pPr>
              <w:autoSpaceDE w:val="0"/>
              <w:autoSpaceDN w:val="0"/>
              <w:adjustRightInd w:val="0"/>
              <w:snapToGrid w:val="0"/>
              <w:jc w:val="left"/>
              <w:rPr>
                <w:rFonts w:ascii="宋体" w:hAnsi="宋体"/>
                <w:color w:val="auto"/>
                <w:kern w:val="0"/>
                <w:szCs w:val="21"/>
                <w:highlight w:val="none"/>
              </w:rPr>
            </w:pPr>
          </w:p>
        </w:tc>
        <w:tc>
          <w:tcPr>
            <w:tcW w:w="778" w:type="dxa"/>
          </w:tcPr>
          <w:p w14:paraId="3607F5B8">
            <w:pPr>
              <w:autoSpaceDE w:val="0"/>
              <w:autoSpaceDN w:val="0"/>
              <w:adjustRightInd w:val="0"/>
              <w:snapToGrid w:val="0"/>
              <w:jc w:val="left"/>
              <w:rPr>
                <w:rFonts w:ascii="宋体" w:hAnsi="宋体"/>
                <w:color w:val="auto"/>
                <w:kern w:val="0"/>
                <w:szCs w:val="21"/>
                <w:highlight w:val="none"/>
              </w:rPr>
            </w:pPr>
          </w:p>
        </w:tc>
        <w:tc>
          <w:tcPr>
            <w:tcW w:w="776" w:type="dxa"/>
          </w:tcPr>
          <w:p w14:paraId="16DA2966">
            <w:pPr>
              <w:autoSpaceDE w:val="0"/>
              <w:autoSpaceDN w:val="0"/>
              <w:adjustRightInd w:val="0"/>
              <w:snapToGrid w:val="0"/>
              <w:jc w:val="left"/>
              <w:rPr>
                <w:rFonts w:ascii="宋体" w:hAnsi="宋体"/>
                <w:color w:val="auto"/>
                <w:kern w:val="0"/>
                <w:szCs w:val="21"/>
                <w:highlight w:val="none"/>
              </w:rPr>
            </w:pPr>
          </w:p>
        </w:tc>
        <w:tc>
          <w:tcPr>
            <w:tcW w:w="2723" w:type="dxa"/>
          </w:tcPr>
          <w:p w14:paraId="2B530622">
            <w:pPr>
              <w:autoSpaceDE w:val="0"/>
              <w:autoSpaceDN w:val="0"/>
              <w:adjustRightInd w:val="0"/>
              <w:snapToGrid w:val="0"/>
              <w:jc w:val="left"/>
              <w:rPr>
                <w:rFonts w:ascii="宋体" w:hAnsi="宋体"/>
                <w:color w:val="auto"/>
                <w:kern w:val="0"/>
                <w:szCs w:val="21"/>
                <w:highlight w:val="none"/>
              </w:rPr>
            </w:pPr>
          </w:p>
        </w:tc>
        <w:tc>
          <w:tcPr>
            <w:tcW w:w="896" w:type="dxa"/>
          </w:tcPr>
          <w:p w14:paraId="378D5BC0">
            <w:pPr>
              <w:autoSpaceDE w:val="0"/>
              <w:autoSpaceDN w:val="0"/>
              <w:adjustRightInd w:val="0"/>
              <w:snapToGrid w:val="0"/>
              <w:jc w:val="left"/>
              <w:rPr>
                <w:rFonts w:ascii="宋体" w:hAnsi="宋体"/>
                <w:color w:val="auto"/>
                <w:kern w:val="0"/>
                <w:szCs w:val="21"/>
                <w:highlight w:val="none"/>
              </w:rPr>
            </w:pPr>
          </w:p>
        </w:tc>
      </w:tr>
      <w:tr w14:paraId="60D395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6989CA">
            <w:pPr>
              <w:autoSpaceDE w:val="0"/>
              <w:autoSpaceDN w:val="0"/>
              <w:adjustRightInd w:val="0"/>
              <w:snapToGrid w:val="0"/>
              <w:jc w:val="left"/>
              <w:rPr>
                <w:rFonts w:ascii="宋体" w:hAnsi="宋体"/>
                <w:color w:val="auto"/>
                <w:kern w:val="0"/>
                <w:szCs w:val="21"/>
                <w:highlight w:val="none"/>
              </w:rPr>
            </w:pPr>
          </w:p>
        </w:tc>
        <w:tc>
          <w:tcPr>
            <w:tcW w:w="734" w:type="dxa"/>
          </w:tcPr>
          <w:p w14:paraId="1A5A188E">
            <w:pPr>
              <w:autoSpaceDE w:val="0"/>
              <w:autoSpaceDN w:val="0"/>
              <w:adjustRightInd w:val="0"/>
              <w:snapToGrid w:val="0"/>
              <w:jc w:val="left"/>
              <w:rPr>
                <w:rFonts w:ascii="宋体" w:hAnsi="宋体"/>
                <w:color w:val="auto"/>
                <w:kern w:val="0"/>
                <w:szCs w:val="21"/>
                <w:highlight w:val="none"/>
              </w:rPr>
            </w:pPr>
          </w:p>
        </w:tc>
        <w:tc>
          <w:tcPr>
            <w:tcW w:w="776" w:type="dxa"/>
          </w:tcPr>
          <w:p w14:paraId="160DDD53">
            <w:pPr>
              <w:autoSpaceDE w:val="0"/>
              <w:autoSpaceDN w:val="0"/>
              <w:adjustRightInd w:val="0"/>
              <w:snapToGrid w:val="0"/>
              <w:jc w:val="left"/>
              <w:rPr>
                <w:rFonts w:ascii="宋体" w:hAnsi="宋体"/>
                <w:color w:val="auto"/>
                <w:kern w:val="0"/>
                <w:szCs w:val="21"/>
                <w:highlight w:val="none"/>
              </w:rPr>
            </w:pPr>
          </w:p>
        </w:tc>
        <w:tc>
          <w:tcPr>
            <w:tcW w:w="1167" w:type="dxa"/>
          </w:tcPr>
          <w:p w14:paraId="25F4CBD1">
            <w:pPr>
              <w:autoSpaceDE w:val="0"/>
              <w:autoSpaceDN w:val="0"/>
              <w:adjustRightInd w:val="0"/>
              <w:snapToGrid w:val="0"/>
              <w:jc w:val="left"/>
              <w:rPr>
                <w:rFonts w:ascii="宋体" w:hAnsi="宋体"/>
                <w:color w:val="auto"/>
                <w:kern w:val="0"/>
                <w:szCs w:val="21"/>
                <w:highlight w:val="none"/>
              </w:rPr>
            </w:pPr>
          </w:p>
        </w:tc>
        <w:tc>
          <w:tcPr>
            <w:tcW w:w="776" w:type="dxa"/>
          </w:tcPr>
          <w:p w14:paraId="7F19391B">
            <w:pPr>
              <w:autoSpaceDE w:val="0"/>
              <w:autoSpaceDN w:val="0"/>
              <w:adjustRightInd w:val="0"/>
              <w:snapToGrid w:val="0"/>
              <w:jc w:val="left"/>
              <w:rPr>
                <w:rFonts w:ascii="宋体" w:hAnsi="宋体"/>
                <w:color w:val="auto"/>
                <w:kern w:val="0"/>
                <w:szCs w:val="21"/>
                <w:highlight w:val="none"/>
              </w:rPr>
            </w:pPr>
          </w:p>
        </w:tc>
        <w:tc>
          <w:tcPr>
            <w:tcW w:w="778" w:type="dxa"/>
          </w:tcPr>
          <w:p w14:paraId="25658C32">
            <w:pPr>
              <w:autoSpaceDE w:val="0"/>
              <w:autoSpaceDN w:val="0"/>
              <w:adjustRightInd w:val="0"/>
              <w:snapToGrid w:val="0"/>
              <w:jc w:val="left"/>
              <w:rPr>
                <w:rFonts w:ascii="宋体" w:hAnsi="宋体"/>
                <w:color w:val="auto"/>
                <w:kern w:val="0"/>
                <w:szCs w:val="21"/>
                <w:highlight w:val="none"/>
              </w:rPr>
            </w:pPr>
          </w:p>
        </w:tc>
        <w:tc>
          <w:tcPr>
            <w:tcW w:w="776" w:type="dxa"/>
          </w:tcPr>
          <w:p w14:paraId="6C421CBE">
            <w:pPr>
              <w:autoSpaceDE w:val="0"/>
              <w:autoSpaceDN w:val="0"/>
              <w:adjustRightInd w:val="0"/>
              <w:snapToGrid w:val="0"/>
              <w:jc w:val="left"/>
              <w:rPr>
                <w:rFonts w:ascii="宋体" w:hAnsi="宋体"/>
                <w:color w:val="auto"/>
                <w:kern w:val="0"/>
                <w:szCs w:val="21"/>
                <w:highlight w:val="none"/>
              </w:rPr>
            </w:pPr>
          </w:p>
        </w:tc>
        <w:tc>
          <w:tcPr>
            <w:tcW w:w="2723" w:type="dxa"/>
          </w:tcPr>
          <w:p w14:paraId="2D520061">
            <w:pPr>
              <w:autoSpaceDE w:val="0"/>
              <w:autoSpaceDN w:val="0"/>
              <w:adjustRightInd w:val="0"/>
              <w:snapToGrid w:val="0"/>
              <w:jc w:val="left"/>
              <w:rPr>
                <w:rFonts w:ascii="宋体" w:hAnsi="宋体"/>
                <w:color w:val="auto"/>
                <w:kern w:val="0"/>
                <w:szCs w:val="21"/>
                <w:highlight w:val="none"/>
              </w:rPr>
            </w:pPr>
          </w:p>
        </w:tc>
        <w:tc>
          <w:tcPr>
            <w:tcW w:w="896" w:type="dxa"/>
          </w:tcPr>
          <w:p w14:paraId="38338C88">
            <w:pPr>
              <w:autoSpaceDE w:val="0"/>
              <w:autoSpaceDN w:val="0"/>
              <w:adjustRightInd w:val="0"/>
              <w:snapToGrid w:val="0"/>
              <w:jc w:val="left"/>
              <w:rPr>
                <w:rFonts w:ascii="宋体" w:hAnsi="宋体"/>
                <w:color w:val="auto"/>
                <w:kern w:val="0"/>
                <w:szCs w:val="21"/>
                <w:highlight w:val="none"/>
              </w:rPr>
            </w:pPr>
          </w:p>
        </w:tc>
      </w:tr>
    </w:tbl>
    <w:p w14:paraId="5BEEF61D">
      <w:pPr>
        <w:spacing w:line="20" w:lineRule="exact"/>
        <w:jc w:val="center"/>
        <w:rPr>
          <w:rFonts w:ascii="宋体" w:hAnsi="宋体"/>
          <w:color w:val="auto"/>
          <w:szCs w:val="21"/>
          <w:highlight w:val="none"/>
        </w:rPr>
      </w:pPr>
    </w:p>
    <w:p w14:paraId="2339E497">
      <w:pPr>
        <w:spacing w:line="360" w:lineRule="auto"/>
        <w:ind w:firstLine="640" w:firstLineChars="200"/>
        <w:jc w:val="center"/>
        <w:rPr>
          <w:rFonts w:ascii="宋体" w:hAnsi="宋体"/>
          <w:color w:val="auto"/>
          <w:sz w:val="32"/>
          <w:szCs w:val="32"/>
          <w:highlight w:val="none"/>
        </w:rPr>
      </w:pPr>
      <w:r>
        <w:rPr>
          <w:rFonts w:ascii="宋体" w:hAnsi="宋体"/>
          <w:color w:val="auto"/>
          <w:sz w:val="32"/>
          <w:szCs w:val="32"/>
          <w:highlight w:val="none"/>
        </w:rPr>
        <w:br w:type="page"/>
      </w:r>
      <w:r>
        <w:rPr>
          <w:rFonts w:hint="eastAsia" w:ascii="宋体" w:hAnsi="宋体"/>
          <w:color w:val="auto"/>
          <w:sz w:val="32"/>
          <w:szCs w:val="32"/>
          <w:highlight w:val="none"/>
        </w:rPr>
        <w:t>项目负责人简历表</w:t>
      </w:r>
    </w:p>
    <w:tbl>
      <w:tblPr>
        <w:tblStyle w:val="48"/>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53F6D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66ED318">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1707ADA9">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4EF0DE3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46D42379">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0EFE45D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22A2F753">
            <w:pPr>
              <w:autoSpaceDE w:val="0"/>
              <w:autoSpaceDN w:val="0"/>
              <w:adjustRightInd w:val="0"/>
              <w:snapToGrid w:val="0"/>
              <w:jc w:val="center"/>
              <w:rPr>
                <w:rFonts w:ascii="宋体" w:hAnsi="宋体"/>
                <w:color w:val="auto"/>
                <w:kern w:val="0"/>
                <w:szCs w:val="21"/>
                <w:highlight w:val="none"/>
              </w:rPr>
            </w:pPr>
          </w:p>
        </w:tc>
      </w:tr>
      <w:tr w14:paraId="28AF4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62150D9">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0AD6A15A">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3ED3F88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30742730">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703391A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18B245EC">
            <w:pPr>
              <w:autoSpaceDE w:val="0"/>
              <w:autoSpaceDN w:val="0"/>
              <w:adjustRightInd w:val="0"/>
              <w:snapToGrid w:val="0"/>
              <w:jc w:val="center"/>
              <w:rPr>
                <w:rFonts w:ascii="宋体" w:hAnsi="宋体"/>
                <w:color w:val="auto"/>
                <w:kern w:val="0"/>
                <w:szCs w:val="21"/>
                <w:highlight w:val="none"/>
              </w:rPr>
            </w:pPr>
          </w:p>
        </w:tc>
      </w:tr>
      <w:tr w14:paraId="4CDFDC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472967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279F7681">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469054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F7453B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6707D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C17A25C">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1AEE13E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0FFECF7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6006526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36A08A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3AA62A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3FDFDC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173934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57B51E4">
            <w:pPr>
              <w:autoSpaceDE w:val="0"/>
              <w:autoSpaceDN w:val="0"/>
              <w:adjustRightInd w:val="0"/>
              <w:snapToGrid w:val="0"/>
              <w:jc w:val="center"/>
              <w:rPr>
                <w:rFonts w:ascii="宋体" w:hAnsi="宋体"/>
                <w:color w:val="auto"/>
                <w:kern w:val="0"/>
                <w:szCs w:val="21"/>
                <w:highlight w:val="none"/>
              </w:rPr>
            </w:pPr>
          </w:p>
        </w:tc>
      </w:tr>
      <w:tr w14:paraId="2D50D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84C1F9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EE7CE1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229A8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DF60DEE">
            <w:pPr>
              <w:autoSpaceDE w:val="0"/>
              <w:autoSpaceDN w:val="0"/>
              <w:adjustRightInd w:val="0"/>
              <w:snapToGrid w:val="0"/>
              <w:jc w:val="center"/>
              <w:rPr>
                <w:rFonts w:ascii="宋体" w:hAnsi="宋体"/>
                <w:color w:val="auto"/>
                <w:kern w:val="0"/>
                <w:szCs w:val="21"/>
                <w:highlight w:val="none"/>
              </w:rPr>
            </w:pPr>
          </w:p>
        </w:tc>
      </w:tr>
      <w:tr w14:paraId="2A5683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B2B3A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75F5EB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BB3C83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3C26D72">
            <w:pPr>
              <w:autoSpaceDE w:val="0"/>
              <w:autoSpaceDN w:val="0"/>
              <w:adjustRightInd w:val="0"/>
              <w:snapToGrid w:val="0"/>
              <w:jc w:val="center"/>
              <w:rPr>
                <w:rFonts w:ascii="宋体" w:hAnsi="宋体"/>
                <w:color w:val="auto"/>
                <w:kern w:val="0"/>
                <w:szCs w:val="21"/>
                <w:highlight w:val="none"/>
              </w:rPr>
            </w:pPr>
          </w:p>
        </w:tc>
      </w:tr>
      <w:tr w14:paraId="65D754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2E0B1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8FF761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99E64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EDC8370">
            <w:pPr>
              <w:autoSpaceDE w:val="0"/>
              <w:autoSpaceDN w:val="0"/>
              <w:adjustRightInd w:val="0"/>
              <w:snapToGrid w:val="0"/>
              <w:jc w:val="center"/>
              <w:rPr>
                <w:rFonts w:ascii="宋体" w:hAnsi="宋体"/>
                <w:color w:val="auto"/>
                <w:kern w:val="0"/>
                <w:szCs w:val="21"/>
                <w:highlight w:val="none"/>
              </w:rPr>
            </w:pPr>
          </w:p>
        </w:tc>
      </w:tr>
      <w:tr w14:paraId="382CD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D1193B">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7D52C6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60950BB">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3EF5520">
            <w:pPr>
              <w:autoSpaceDE w:val="0"/>
              <w:autoSpaceDN w:val="0"/>
              <w:adjustRightInd w:val="0"/>
              <w:snapToGrid w:val="0"/>
              <w:jc w:val="center"/>
              <w:rPr>
                <w:rFonts w:ascii="宋体" w:hAnsi="宋体"/>
                <w:color w:val="auto"/>
                <w:kern w:val="0"/>
                <w:szCs w:val="21"/>
                <w:highlight w:val="none"/>
              </w:rPr>
            </w:pPr>
          </w:p>
        </w:tc>
      </w:tr>
      <w:tr w14:paraId="571ED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101288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6F7746F">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99D17C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406A0BC">
            <w:pPr>
              <w:autoSpaceDE w:val="0"/>
              <w:autoSpaceDN w:val="0"/>
              <w:adjustRightInd w:val="0"/>
              <w:snapToGrid w:val="0"/>
              <w:jc w:val="center"/>
              <w:rPr>
                <w:rFonts w:ascii="宋体" w:hAnsi="宋体"/>
                <w:color w:val="auto"/>
                <w:kern w:val="0"/>
                <w:szCs w:val="21"/>
                <w:highlight w:val="none"/>
              </w:rPr>
            </w:pPr>
          </w:p>
        </w:tc>
      </w:tr>
      <w:tr w14:paraId="40AB24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A769334">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7975ED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F8FB5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AA7229A">
            <w:pPr>
              <w:autoSpaceDE w:val="0"/>
              <w:autoSpaceDN w:val="0"/>
              <w:adjustRightInd w:val="0"/>
              <w:snapToGrid w:val="0"/>
              <w:jc w:val="center"/>
              <w:rPr>
                <w:rFonts w:ascii="宋体" w:hAnsi="宋体"/>
                <w:color w:val="auto"/>
                <w:kern w:val="0"/>
                <w:szCs w:val="21"/>
                <w:highlight w:val="none"/>
              </w:rPr>
            </w:pPr>
          </w:p>
        </w:tc>
      </w:tr>
      <w:tr w14:paraId="7144D2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961A23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BA3A22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AA65B9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600D621">
            <w:pPr>
              <w:autoSpaceDE w:val="0"/>
              <w:autoSpaceDN w:val="0"/>
              <w:adjustRightInd w:val="0"/>
              <w:snapToGrid w:val="0"/>
              <w:jc w:val="center"/>
              <w:rPr>
                <w:rFonts w:ascii="宋体" w:hAnsi="宋体"/>
                <w:color w:val="auto"/>
                <w:kern w:val="0"/>
                <w:szCs w:val="21"/>
                <w:highlight w:val="none"/>
              </w:rPr>
            </w:pPr>
          </w:p>
        </w:tc>
      </w:tr>
      <w:tr w14:paraId="3107B3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A8537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F3ED99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4858A0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E9679FC">
            <w:pPr>
              <w:autoSpaceDE w:val="0"/>
              <w:autoSpaceDN w:val="0"/>
              <w:adjustRightInd w:val="0"/>
              <w:snapToGrid w:val="0"/>
              <w:jc w:val="center"/>
              <w:rPr>
                <w:rFonts w:ascii="宋体" w:hAnsi="宋体"/>
                <w:color w:val="auto"/>
                <w:kern w:val="0"/>
                <w:szCs w:val="21"/>
                <w:highlight w:val="none"/>
              </w:rPr>
            </w:pPr>
          </w:p>
        </w:tc>
      </w:tr>
      <w:tr w14:paraId="5960BC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B9BD33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CD85EB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22EA65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BFDB7F4">
            <w:pPr>
              <w:autoSpaceDE w:val="0"/>
              <w:autoSpaceDN w:val="0"/>
              <w:adjustRightInd w:val="0"/>
              <w:snapToGrid w:val="0"/>
              <w:jc w:val="center"/>
              <w:rPr>
                <w:rFonts w:ascii="宋体" w:hAnsi="宋体"/>
                <w:color w:val="auto"/>
                <w:kern w:val="0"/>
                <w:szCs w:val="21"/>
                <w:highlight w:val="none"/>
              </w:rPr>
            </w:pPr>
          </w:p>
        </w:tc>
      </w:tr>
      <w:tr w14:paraId="75234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0D3030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0BDCEE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458A2E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555A736">
            <w:pPr>
              <w:autoSpaceDE w:val="0"/>
              <w:autoSpaceDN w:val="0"/>
              <w:adjustRightInd w:val="0"/>
              <w:snapToGrid w:val="0"/>
              <w:jc w:val="center"/>
              <w:rPr>
                <w:rFonts w:ascii="宋体" w:hAnsi="宋体"/>
                <w:color w:val="auto"/>
                <w:kern w:val="0"/>
                <w:szCs w:val="21"/>
                <w:highlight w:val="none"/>
              </w:rPr>
            </w:pPr>
          </w:p>
        </w:tc>
      </w:tr>
      <w:tr w14:paraId="7DB18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CA24F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7DFB12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6C0795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C16E137">
            <w:pPr>
              <w:autoSpaceDE w:val="0"/>
              <w:autoSpaceDN w:val="0"/>
              <w:adjustRightInd w:val="0"/>
              <w:snapToGrid w:val="0"/>
              <w:jc w:val="center"/>
              <w:rPr>
                <w:rFonts w:ascii="宋体" w:hAnsi="宋体"/>
                <w:color w:val="auto"/>
                <w:kern w:val="0"/>
                <w:szCs w:val="21"/>
                <w:highlight w:val="none"/>
              </w:rPr>
            </w:pPr>
          </w:p>
        </w:tc>
      </w:tr>
      <w:tr w14:paraId="0FC6DE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8B96D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708731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7AEC853">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6BFFDA1">
            <w:pPr>
              <w:autoSpaceDE w:val="0"/>
              <w:autoSpaceDN w:val="0"/>
              <w:adjustRightInd w:val="0"/>
              <w:snapToGrid w:val="0"/>
              <w:jc w:val="center"/>
              <w:rPr>
                <w:rFonts w:ascii="宋体" w:hAnsi="宋体"/>
                <w:color w:val="auto"/>
                <w:kern w:val="0"/>
                <w:szCs w:val="21"/>
                <w:highlight w:val="none"/>
              </w:rPr>
            </w:pPr>
          </w:p>
        </w:tc>
      </w:tr>
    </w:tbl>
    <w:p w14:paraId="0BB8397F">
      <w:pPr>
        <w:spacing w:line="360" w:lineRule="auto"/>
        <w:rPr>
          <w:rFonts w:ascii="宋体" w:hAnsi="宋体"/>
          <w:color w:val="auto"/>
          <w:highlight w:val="none"/>
        </w:rPr>
      </w:pPr>
    </w:p>
    <w:p w14:paraId="493A3A22">
      <w:pPr>
        <w:pStyle w:val="4"/>
        <w:spacing w:before="0" w:line="240" w:lineRule="auto"/>
        <w:rPr>
          <w:rFonts w:ascii="宋体" w:hAnsi="宋体"/>
          <w:b w:val="0"/>
          <w:color w:val="auto"/>
          <w:highlight w:val="none"/>
        </w:rPr>
      </w:pPr>
      <w:bookmarkStart w:id="491" w:name="_Toc287607889"/>
      <w:bookmarkStart w:id="492" w:name="_Toc287620835"/>
      <w:bookmarkStart w:id="493" w:name="_Toc277082661"/>
      <w:bookmarkStart w:id="494" w:name="_Toc224103516"/>
      <w:bookmarkStart w:id="495" w:name="_Toc430530551"/>
      <w:r>
        <w:rPr>
          <w:rFonts w:ascii="宋体" w:hAnsi="宋体"/>
          <w:color w:val="auto"/>
          <w:highlight w:val="none"/>
        </w:rPr>
        <w:br w:type="page"/>
      </w:r>
      <w:bookmarkEnd w:id="491"/>
      <w:bookmarkEnd w:id="492"/>
      <w:bookmarkEnd w:id="493"/>
      <w:bookmarkEnd w:id="494"/>
      <w:bookmarkEnd w:id="495"/>
    </w:p>
    <w:p w14:paraId="3E18C263">
      <w:pPr>
        <w:pStyle w:val="4"/>
        <w:spacing w:before="0" w:after="0" w:line="360" w:lineRule="auto"/>
        <w:jc w:val="center"/>
        <w:rPr>
          <w:rFonts w:ascii="宋体" w:hAnsi="宋体"/>
          <w:b w:val="0"/>
          <w:color w:val="auto"/>
          <w:highlight w:val="none"/>
        </w:rPr>
      </w:pPr>
      <w:bookmarkStart w:id="496" w:name="_Toc287607893"/>
      <w:bookmarkStart w:id="497" w:name="_Toc287620839"/>
      <w:bookmarkStart w:id="498" w:name="_Toc430530552"/>
      <w:bookmarkStart w:id="499" w:name="_Toc277082663"/>
      <w:bookmarkStart w:id="500" w:name="_Toc224103520"/>
      <w:bookmarkStart w:id="501" w:name="_Toc20080"/>
      <w:bookmarkStart w:id="502" w:name="_Toc534185843"/>
      <w:bookmarkStart w:id="503" w:name="_Toc509218866"/>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496"/>
      <w:bookmarkEnd w:id="497"/>
      <w:bookmarkEnd w:id="498"/>
      <w:bookmarkEnd w:id="499"/>
      <w:bookmarkEnd w:id="500"/>
      <w:r>
        <w:rPr>
          <w:rFonts w:hint="eastAsia" w:ascii="宋体" w:hAnsi="宋体"/>
          <w:b w:val="0"/>
          <w:color w:val="auto"/>
          <w:highlight w:val="none"/>
        </w:rPr>
        <w:t>承诺</w:t>
      </w:r>
      <w:bookmarkEnd w:id="501"/>
    </w:p>
    <w:bookmarkEnd w:id="502"/>
    <w:bookmarkEnd w:id="503"/>
    <w:p w14:paraId="670680C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2BA204F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1B32980F">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21718F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76329A9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6B43B5A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5AE3832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097257C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2、项目负责人、</w:t>
      </w:r>
      <w:r>
        <w:rPr>
          <w:rFonts w:hint="eastAsia" w:ascii="宋体" w:hAnsi="宋体"/>
          <w:color w:val="auto"/>
          <w:szCs w:val="21"/>
          <w:highlight w:val="none"/>
          <w:lang w:val="en-US" w:eastAsia="zh-CN"/>
        </w:rPr>
        <w:t>服务</w:t>
      </w:r>
      <w:r>
        <w:rPr>
          <w:rFonts w:hint="eastAsia"/>
          <w:color w:val="auto"/>
          <w:highlight w:val="none"/>
        </w:rPr>
        <w:t>团队其他主要人员</w:t>
      </w:r>
    </w:p>
    <w:p w14:paraId="5912847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2.1我公司承诺拟派项目负责人履职和未被禁止参与投标。</w:t>
      </w:r>
    </w:p>
    <w:p w14:paraId="05B06DA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拟派项目负责人中标后在本项目履职，签订合同时拟派的项目负责人与投标文件中的项目负责人一致，并满足办理相关手续的要求。不能按承诺履职的，按合同相关条款处罚并上报行政主管部门，给贵单位造成损失的，我公司依法承担违约赔偿责任。拟派项目负责人中标后不得随意更换。</w:t>
      </w:r>
    </w:p>
    <w:p w14:paraId="5357E66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拟派项目负责人未被重庆市市级有关行业主管部门暂停在渝承揽新业务。若被暂停在渝承揽新业务但仍参加投标，将被否决投标；已取得中标候选人资格或中标资格的，贵单位有权取消其中标候选人资格或中标资格；给贵单位造成损失的，我公司依法承担赔偿责任或违约责任。</w:t>
      </w:r>
    </w:p>
    <w:p w14:paraId="33B53EB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2.2我公司若中标，在签订合同之前，根据项目实际情况组建项目</w:t>
      </w:r>
      <w:r>
        <w:rPr>
          <w:rFonts w:hint="eastAsia" w:ascii="宋体" w:hAnsi="宋体"/>
          <w:color w:val="auto"/>
          <w:szCs w:val="21"/>
          <w:highlight w:val="none"/>
          <w:lang w:val="en-US" w:eastAsia="zh-CN"/>
        </w:rPr>
        <w:t>编制</w:t>
      </w:r>
      <w:r>
        <w:rPr>
          <w:rFonts w:hint="eastAsia" w:ascii="宋体" w:hAnsi="宋体"/>
          <w:color w:val="auto"/>
          <w:szCs w:val="21"/>
          <w:highlight w:val="none"/>
        </w:rPr>
        <w:t>团队，出具任命文件。任命文件应当明确</w:t>
      </w:r>
      <w:r>
        <w:rPr>
          <w:rFonts w:hint="eastAsia" w:ascii="宋体" w:hAnsi="宋体"/>
          <w:color w:val="auto"/>
          <w:szCs w:val="21"/>
          <w:highlight w:val="none"/>
          <w:lang w:val="en-US" w:eastAsia="zh-CN"/>
        </w:rPr>
        <w:t>编制</w:t>
      </w:r>
      <w:r>
        <w:rPr>
          <w:rFonts w:hint="eastAsia" w:ascii="宋体" w:hAnsi="宋体"/>
          <w:color w:val="auto"/>
          <w:szCs w:val="21"/>
          <w:highlight w:val="none"/>
        </w:rPr>
        <w:t>团队的职责、岗位设置、人员配备，并书面通知贵单位。专业</w:t>
      </w:r>
      <w:r>
        <w:rPr>
          <w:rFonts w:hint="eastAsia" w:ascii="宋体" w:hAnsi="宋体"/>
          <w:color w:val="auto"/>
          <w:szCs w:val="21"/>
          <w:highlight w:val="none"/>
          <w:lang w:val="en-US" w:eastAsia="zh-CN"/>
        </w:rPr>
        <w:t>技术</w:t>
      </w:r>
      <w:r>
        <w:rPr>
          <w:rFonts w:hint="eastAsia" w:ascii="宋体" w:hAnsi="宋体"/>
          <w:color w:val="auto"/>
          <w:szCs w:val="21"/>
          <w:highlight w:val="none"/>
        </w:rPr>
        <w:t>人员应持有建设行政主管部门要求的岗位证书或注册证书或职称证书，并提供投标人为其缴纳的养老保险证明材料。中标后不能满足该要求的，取消我公司中标资格；签订合同后不满足该要求的，按合同相关条款处罚并上报行政主管部门；给贵单位造成损失的，我公司依法承担违约赔偿责任。</w:t>
      </w:r>
    </w:p>
    <w:p w14:paraId="182822A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我公司在资格审查部分及商务部分中提供的相关证明材料真实有效，不存在弄虚作假情形。贵单位在合同签订前均有权对我公司提供的资料进行核实，若发现弄虚作假，取消我公司中标资格，并按相关法律法规报招标投标监督部门，投标保证金不予退还，我公司自愿承担因此造成的相关责任并赔偿相应损失。</w:t>
      </w:r>
    </w:p>
    <w:p w14:paraId="2159F87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4、我公司不存在</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1.4.3 项规定的任何一种情形。</w:t>
      </w:r>
    </w:p>
    <w:p w14:paraId="2A6FA5C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1.4.1 项的规定。</w:t>
      </w:r>
    </w:p>
    <w:p w14:paraId="08AE0FB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文件第四章 合同条款及格式规定，投标文件中没有贵单位不能接受的条件。</w:t>
      </w:r>
    </w:p>
    <w:p w14:paraId="7279BD4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文件第五章“发包人要求”</w:t>
      </w:r>
      <w:r>
        <w:rPr>
          <w:rFonts w:hint="eastAsia" w:ascii="宋体" w:hAnsi="宋体" w:cs="宋体"/>
          <w:color w:val="auto"/>
          <w:kern w:val="0"/>
          <w:highlight w:val="none"/>
        </w:rPr>
        <w:t>中的实质性要求和条件</w:t>
      </w:r>
      <w:r>
        <w:rPr>
          <w:rFonts w:hint="eastAsia" w:ascii="宋体" w:hAnsi="宋体"/>
          <w:color w:val="auto"/>
          <w:szCs w:val="21"/>
          <w:highlight w:val="none"/>
        </w:rPr>
        <w:t>。</w:t>
      </w:r>
    </w:p>
    <w:p w14:paraId="4E3C9CA3">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p w14:paraId="1708DAB5">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E5EF1A1">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A596CF5">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6895FA2A">
      <w:pPr>
        <w:rPr>
          <w:color w:val="auto"/>
          <w:highlight w:val="none"/>
        </w:rPr>
      </w:pPr>
      <w:r>
        <w:rPr>
          <w:color w:val="auto"/>
          <w:highlight w:val="none"/>
        </w:rPr>
        <w:br w:type="page"/>
      </w:r>
    </w:p>
    <w:p w14:paraId="5D90FB0D">
      <w:pPr>
        <w:pStyle w:val="4"/>
        <w:spacing w:before="0" w:line="360" w:lineRule="auto"/>
        <w:jc w:val="center"/>
        <w:rPr>
          <w:rFonts w:ascii="宋体" w:hAnsi="宋体"/>
          <w:b w:val="0"/>
          <w:color w:val="auto"/>
          <w:highlight w:val="none"/>
        </w:rPr>
      </w:pPr>
      <w:bookmarkStart w:id="504" w:name="_Toc12573"/>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504"/>
    </w:p>
    <w:p w14:paraId="364DE1E1">
      <w:pPr>
        <w:rPr>
          <w:rFonts w:ascii="宋体" w:hAnsi="宋体"/>
          <w:b/>
          <w:color w:val="auto"/>
          <w:highlight w:val="none"/>
        </w:rPr>
      </w:pPr>
    </w:p>
    <w:p w14:paraId="672970B3">
      <w:pPr>
        <w:pStyle w:val="18"/>
        <w:rPr>
          <w:rFonts w:ascii="宋体" w:hAnsi="宋体"/>
          <w:b/>
          <w:color w:val="auto"/>
          <w:highlight w:val="none"/>
        </w:rPr>
      </w:pPr>
    </w:p>
    <w:p w14:paraId="2F3CA674">
      <w:pPr>
        <w:rPr>
          <w:rFonts w:ascii="宋体" w:hAnsi="宋体"/>
          <w:b/>
          <w:color w:val="auto"/>
          <w:highlight w:val="none"/>
        </w:rPr>
      </w:pPr>
    </w:p>
    <w:p w14:paraId="71A87A2A">
      <w:pPr>
        <w:rPr>
          <w:rFonts w:ascii="宋体" w:hAnsi="宋体"/>
          <w:b/>
          <w:color w:val="auto"/>
          <w:highlight w:val="none"/>
        </w:rPr>
      </w:pPr>
    </w:p>
    <w:p w14:paraId="10EC09E5">
      <w:pPr>
        <w:rPr>
          <w:rFonts w:hint="eastAsia"/>
          <w:color w:val="auto"/>
          <w:highlight w:val="none"/>
          <w:lang w:val="en-US" w:eastAsia="zh-CN"/>
        </w:rPr>
      </w:pPr>
      <w:r>
        <w:rPr>
          <w:rFonts w:hint="eastAsia"/>
          <w:color w:val="auto"/>
          <w:highlight w:val="none"/>
          <w:lang w:val="en-US" w:eastAsia="zh-CN"/>
        </w:rPr>
        <w:br w:type="page"/>
      </w:r>
    </w:p>
    <w:p w14:paraId="5F0D141B">
      <w:pPr>
        <w:jc w:val="left"/>
        <w:rPr>
          <w:rFonts w:hint="eastAsia"/>
          <w:color w:val="auto"/>
          <w:highlight w:val="none"/>
          <w:lang w:val="en-US" w:eastAsia="zh-CN"/>
        </w:rPr>
      </w:pPr>
      <w:r>
        <w:rPr>
          <w:rFonts w:hint="eastAsia"/>
          <w:color w:val="auto"/>
          <w:highlight w:val="none"/>
          <w:lang w:val="en-US" w:eastAsia="zh-CN"/>
        </w:rPr>
        <w:t>附：</w:t>
      </w:r>
    </w:p>
    <w:p w14:paraId="1F6A8FDC">
      <w:pPr>
        <w:jc w:val="center"/>
        <w:rPr>
          <w:rFonts w:hint="eastAsia" w:eastAsia="黑体"/>
          <w:b/>
          <w:bCs/>
          <w:color w:val="auto"/>
          <w:sz w:val="44"/>
          <w:szCs w:val="44"/>
          <w:highlight w:val="none"/>
          <w:lang w:val="en-US" w:eastAsia="zh-CN"/>
        </w:rPr>
      </w:pPr>
      <w:r>
        <w:rPr>
          <w:rFonts w:hint="eastAsia" w:eastAsia="黑体"/>
          <w:b/>
          <w:bCs/>
          <w:color w:val="auto"/>
          <w:sz w:val="44"/>
          <w:szCs w:val="44"/>
          <w:highlight w:val="none"/>
          <w:lang w:val="en-US" w:eastAsia="zh-CN"/>
        </w:rPr>
        <w:t>比选文件发售登记表</w:t>
      </w:r>
    </w:p>
    <w:p w14:paraId="6D7564FF">
      <w:pPr>
        <w:pStyle w:val="18"/>
        <w:rPr>
          <w:color w:val="auto"/>
          <w:highlight w:val="none"/>
        </w:rPr>
      </w:pPr>
    </w:p>
    <w:tbl>
      <w:tblPr>
        <w:tblStyle w:val="4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030"/>
        <w:gridCol w:w="1015"/>
        <w:gridCol w:w="3476"/>
      </w:tblGrid>
      <w:tr w14:paraId="7720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139" w:type="dxa"/>
            <w:vAlign w:val="center"/>
          </w:tcPr>
          <w:p w14:paraId="52909E9A">
            <w:pPr>
              <w:jc w:val="center"/>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报名时间</w:t>
            </w:r>
          </w:p>
        </w:tc>
        <w:tc>
          <w:tcPr>
            <w:tcW w:w="6521" w:type="dxa"/>
            <w:gridSpan w:val="3"/>
            <w:vAlign w:val="center"/>
          </w:tcPr>
          <w:p w14:paraId="0384D239">
            <w:pPr>
              <w:jc w:val="center"/>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年    月    日</w:t>
            </w:r>
          </w:p>
        </w:tc>
      </w:tr>
      <w:tr w14:paraId="0168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139" w:type="dxa"/>
            <w:vAlign w:val="center"/>
          </w:tcPr>
          <w:p w14:paraId="66D071CD">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项目名称</w:t>
            </w:r>
          </w:p>
        </w:tc>
        <w:tc>
          <w:tcPr>
            <w:tcW w:w="6521" w:type="dxa"/>
            <w:gridSpan w:val="3"/>
            <w:vAlign w:val="center"/>
          </w:tcPr>
          <w:p w14:paraId="3A0AD166">
            <w:pPr>
              <w:jc w:val="center"/>
              <w:rPr>
                <w:rFonts w:ascii="宋体" w:hAnsi="宋体" w:eastAsia="宋体"/>
                <w:color w:val="auto"/>
                <w:sz w:val="28"/>
                <w:szCs w:val="28"/>
                <w:highlight w:val="none"/>
              </w:rPr>
            </w:pPr>
          </w:p>
        </w:tc>
      </w:tr>
      <w:tr w14:paraId="35BB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2139" w:type="dxa"/>
            <w:vAlign w:val="center"/>
          </w:tcPr>
          <w:p w14:paraId="324B2DC6">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单位名称</w:t>
            </w:r>
          </w:p>
        </w:tc>
        <w:tc>
          <w:tcPr>
            <w:tcW w:w="6521" w:type="dxa"/>
            <w:gridSpan w:val="3"/>
            <w:vAlign w:val="bottom"/>
          </w:tcPr>
          <w:p w14:paraId="1CD0C19F">
            <w:pPr>
              <w:jc w:val="right"/>
              <w:rPr>
                <w:rFonts w:ascii="宋体" w:hAnsi="宋体" w:eastAsia="宋体"/>
                <w:color w:val="auto"/>
                <w:sz w:val="28"/>
                <w:szCs w:val="28"/>
                <w:highlight w:val="none"/>
              </w:rPr>
            </w:pPr>
            <w:r>
              <w:rPr>
                <w:rFonts w:hint="eastAsia" w:ascii="宋体" w:hAnsi="宋体" w:eastAsia="宋体"/>
                <w:color w:val="auto"/>
                <w:sz w:val="28"/>
                <w:szCs w:val="28"/>
                <w:highlight w:val="none"/>
              </w:rPr>
              <w:t>（公章）</w:t>
            </w:r>
          </w:p>
        </w:tc>
      </w:tr>
      <w:tr w14:paraId="17D0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608249E0">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联系人</w:t>
            </w:r>
          </w:p>
        </w:tc>
        <w:tc>
          <w:tcPr>
            <w:tcW w:w="2030" w:type="dxa"/>
            <w:vAlign w:val="center"/>
          </w:tcPr>
          <w:p w14:paraId="28792C93">
            <w:pPr>
              <w:jc w:val="left"/>
              <w:rPr>
                <w:rFonts w:ascii="宋体" w:hAnsi="宋体" w:eastAsia="宋体"/>
                <w:color w:val="auto"/>
                <w:sz w:val="28"/>
                <w:szCs w:val="28"/>
                <w:highlight w:val="none"/>
              </w:rPr>
            </w:pPr>
          </w:p>
        </w:tc>
        <w:tc>
          <w:tcPr>
            <w:tcW w:w="1015" w:type="dxa"/>
            <w:vAlign w:val="center"/>
          </w:tcPr>
          <w:p w14:paraId="0F9E53BD">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手机</w:t>
            </w:r>
          </w:p>
        </w:tc>
        <w:tc>
          <w:tcPr>
            <w:tcW w:w="3476" w:type="dxa"/>
            <w:vAlign w:val="center"/>
          </w:tcPr>
          <w:p w14:paraId="4F26404A">
            <w:pPr>
              <w:jc w:val="left"/>
              <w:rPr>
                <w:rFonts w:ascii="宋体" w:hAnsi="宋体" w:eastAsia="宋体"/>
                <w:color w:val="auto"/>
                <w:sz w:val="28"/>
                <w:szCs w:val="28"/>
                <w:highlight w:val="none"/>
              </w:rPr>
            </w:pPr>
          </w:p>
        </w:tc>
      </w:tr>
      <w:tr w14:paraId="1634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2330FFCA">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办公电话</w:t>
            </w:r>
          </w:p>
        </w:tc>
        <w:tc>
          <w:tcPr>
            <w:tcW w:w="2030" w:type="dxa"/>
            <w:vAlign w:val="center"/>
          </w:tcPr>
          <w:p w14:paraId="283D2CDB">
            <w:pPr>
              <w:jc w:val="left"/>
              <w:rPr>
                <w:rFonts w:ascii="宋体" w:hAnsi="宋体" w:eastAsia="宋体"/>
                <w:color w:val="auto"/>
                <w:sz w:val="28"/>
                <w:szCs w:val="28"/>
                <w:highlight w:val="none"/>
              </w:rPr>
            </w:pPr>
          </w:p>
        </w:tc>
        <w:tc>
          <w:tcPr>
            <w:tcW w:w="1015" w:type="dxa"/>
            <w:vAlign w:val="center"/>
          </w:tcPr>
          <w:p w14:paraId="769FFBF8">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传真</w:t>
            </w:r>
          </w:p>
        </w:tc>
        <w:tc>
          <w:tcPr>
            <w:tcW w:w="3476" w:type="dxa"/>
            <w:vAlign w:val="center"/>
          </w:tcPr>
          <w:p w14:paraId="68B2482E">
            <w:pPr>
              <w:jc w:val="left"/>
              <w:rPr>
                <w:rFonts w:ascii="宋体" w:hAnsi="宋体" w:eastAsia="宋体"/>
                <w:color w:val="auto"/>
                <w:sz w:val="28"/>
                <w:szCs w:val="28"/>
                <w:highlight w:val="none"/>
              </w:rPr>
            </w:pPr>
          </w:p>
        </w:tc>
      </w:tr>
      <w:tr w14:paraId="1F0C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139" w:type="dxa"/>
            <w:vAlign w:val="center"/>
          </w:tcPr>
          <w:p w14:paraId="02AC1291">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E-mail</w:t>
            </w:r>
          </w:p>
        </w:tc>
        <w:tc>
          <w:tcPr>
            <w:tcW w:w="6521" w:type="dxa"/>
            <w:gridSpan w:val="3"/>
            <w:vAlign w:val="center"/>
          </w:tcPr>
          <w:p w14:paraId="4CCBA8AA">
            <w:pPr>
              <w:jc w:val="left"/>
              <w:rPr>
                <w:rFonts w:ascii="宋体" w:hAnsi="宋体" w:eastAsia="宋体"/>
                <w:color w:val="auto"/>
                <w:sz w:val="28"/>
                <w:szCs w:val="28"/>
                <w:highlight w:val="none"/>
              </w:rPr>
            </w:pPr>
          </w:p>
        </w:tc>
      </w:tr>
      <w:tr w14:paraId="031A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139" w:type="dxa"/>
            <w:vAlign w:val="center"/>
          </w:tcPr>
          <w:p w14:paraId="0A475876">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单位地址</w:t>
            </w:r>
          </w:p>
        </w:tc>
        <w:tc>
          <w:tcPr>
            <w:tcW w:w="6521" w:type="dxa"/>
            <w:gridSpan w:val="3"/>
            <w:vAlign w:val="center"/>
          </w:tcPr>
          <w:p w14:paraId="3BBDAAC9">
            <w:pPr>
              <w:jc w:val="left"/>
              <w:rPr>
                <w:rFonts w:ascii="宋体" w:hAnsi="宋体" w:eastAsia="宋体"/>
                <w:color w:val="auto"/>
                <w:sz w:val="28"/>
                <w:szCs w:val="28"/>
                <w:highlight w:val="none"/>
              </w:rPr>
            </w:pPr>
          </w:p>
        </w:tc>
      </w:tr>
      <w:tr w14:paraId="1F97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660" w:type="dxa"/>
            <w:gridSpan w:val="4"/>
            <w:vAlign w:val="center"/>
          </w:tcPr>
          <w:p w14:paraId="68B3C8F9">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备注：</w:t>
            </w:r>
          </w:p>
        </w:tc>
      </w:tr>
    </w:tbl>
    <w:p w14:paraId="6E2735F2">
      <w:pPr>
        <w:spacing w:line="48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说明：在</w:t>
      </w:r>
      <w:r>
        <w:rPr>
          <w:rFonts w:hint="eastAsia" w:ascii="宋体" w:hAnsi="宋体"/>
          <w:b/>
          <w:color w:val="auto"/>
          <w:sz w:val="24"/>
          <w:highlight w:val="none"/>
          <w:lang w:eastAsia="zh-CN"/>
        </w:rPr>
        <w:t>规定时间内</w:t>
      </w:r>
      <w:r>
        <w:rPr>
          <w:rFonts w:hint="eastAsia" w:ascii="宋体" w:hAnsi="宋体"/>
          <w:b/>
          <w:color w:val="auto"/>
          <w:sz w:val="24"/>
          <w:highlight w:val="none"/>
          <w:lang w:val="en-US" w:eastAsia="zh-CN"/>
        </w:rPr>
        <w:t>报名</w:t>
      </w:r>
      <w:r>
        <w:rPr>
          <w:rFonts w:hint="eastAsia" w:ascii="宋体" w:hAnsi="宋体"/>
          <w:b/>
          <w:color w:val="auto"/>
          <w:sz w:val="24"/>
          <w:highlight w:val="none"/>
          <w:lang w:eastAsia="zh-CN"/>
        </w:rPr>
        <w:t>的竞选人，其竞选文件才被接收。</w:t>
      </w:r>
    </w:p>
    <w:p w14:paraId="276CD9A1">
      <w:pPr>
        <w:rPr>
          <w:rFonts w:ascii="宋体" w:hAnsi="宋体"/>
          <w:b/>
          <w:color w:val="auto"/>
          <w:highlight w:val="none"/>
        </w:rPr>
      </w:pPr>
    </w:p>
    <w:sectPr>
      <w:footerReference r:id="rId6"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标准粗黑"/>
    <w:panose1 w:val="00000000000000000000"/>
    <w:charset w:val="00"/>
    <w:family w:val="auto"/>
    <w:pitch w:val="default"/>
    <w:sig w:usb0="00000000" w:usb1="00000000" w:usb2="00000000" w:usb3="00000000" w:csb0="00040001" w:csb1="00000000"/>
  </w:font>
  <w:font w:name="标准粗黑">
    <w:panose1 w:val="02000503000000000000"/>
    <w:charset w:val="86"/>
    <w:family w:val="auto"/>
    <w:pitch w:val="default"/>
    <w:sig w:usb0="8000002F" w:usb1="084164FA"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仿宋"/>
    <w:panose1 w:val="00000000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9528">
    <w:pPr>
      <w:pStyle w:val="30"/>
      <w:framePr w:wrap="around" w:vAnchor="text" w:hAnchor="margin" w:xAlign="center" w:y="1"/>
      <w:rPr>
        <w:rStyle w:val="53"/>
      </w:rPr>
    </w:pPr>
    <w:r>
      <w:fldChar w:fldCharType="begin"/>
    </w:r>
    <w:r>
      <w:rPr>
        <w:rStyle w:val="53"/>
      </w:rPr>
      <w:instrText xml:space="preserve">PAGE  </w:instrText>
    </w:r>
    <w:r>
      <w:fldChar w:fldCharType="separate"/>
    </w:r>
    <w:r>
      <w:rPr>
        <w:rStyle w:val="53"/>
      </w:rPr>
      <w:t>- 2 -</w:t>
    </w:r>
    <w:r>
      <w:fldChar w:fldCharType="end"/>
    </w:r>
  </w:p>
  <w:p w14:paraId="7E04B71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9E7B">
    <w:pPr>
      <w:pStyle w:val="3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36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E0136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5F44">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4E1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818AB"/>
    <w:multiLevelType w:val="singleLevel"/>
    <w:tmpl w:val="245818AB"/>
    <w:lvl w:ilvl="0" w:tentative="0">
      <w:start w:val="6"/>
      <w:numFmt w:val="chineseCounting"/>
      <w:suff w:val="space"/>
      <w:lvlText w:val="第%1章"/>
      <w:lvlJc w:val="left"/>
      <w:rPr>
        <w:rFonts w:hint="eastAsia"/>
      </w:rPr>
    </w:lvl>
  </w:abstractNum>
  <w:abstractNum w:abstractNumId="1">
    <w:nsid w:val="69D18A9E"/>
    <w:multiLevelType w:val="singleLevel"/>
    <w:tmpl w:val="69D18A9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jY0Y2RkNWExOGEzYTYwYjdhY2FkODY4NWZlZT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440"/>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0512"/>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1B9E"/>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C7618"/>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EB5"/>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6E9E"/>
    <w:rsid w:val="001A77C4"/>
    <w:rsid w:val="001A7BE0"/>
    <w:rsid w:val="001B15C6"/>
    <w:rsid w:val="001B17D1"/>
    <w:rsid w:val="001B229E"/>
    <w:rsid w:val="001B2B2F"/>
    <w:rsid w:val="001B2DEF"/>
    <w:rsid w:val="001B3B8F"/>
    <w:rsid w:val="001B412E"/>
    <w:rsid w:val="001B48E0"/>
    <w:rsid w:val="001B4A7A"/>
    <w:rsid w:val="001B4B2D"/>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3100"/>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64F"/>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132D"/>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8B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38C8"/>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627"/>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5C82"/>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948"/>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773"/>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286"/>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06EBF"/>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5DF0"/>
    <w:rsid w:val="00756C7E"/>
    <w:rsid w:val="007604FB"/>
    <w:rsid w:val="007615EF"/>
    <w:rsid w:val="00761B67"/>
    <w:rsid w:val="00762375"/>
    <w:rsid w:val="00763440"/>
    <w:rsid w:val="0076352C"/>
    <w:rsid w:val="00763A24"/>
    <w:rsid w:val="00763A72"/>
    <w:rsid w:val="00764085"/>
    <w:rsid w:val="0076426C"/>
    <w:rsid w:val="00767B35"/>
    <w:rsid w:val="007706B0"/>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26D1"/>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49E"/>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033"/>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5CB5"/>
    <w:rsid w:val="00A27A0B"/>
    <w:rsid w:val="00A27BCB"/>
    <w:rsid w:val="00A304D0"/>
    <w:rsid w:val="00A30ED2"/>
    <w:rsid w:val="00A345A7"/>
    <w:rsid w:val="00A364B9"/>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62A"/>
    <w:rsid w:val="00A75C0F"/>
    <w:rsid w:val="00A760F3"/>
    <w:rsid w:val="00A776C2"/>
    <w:rsid w:val="00A776D1"/>
    <w:rsid w:val="00A77E09"/>
    <w:rsid w:val="00A812E1"/>
    <w:rsid w:val="00A816AF"/>
    <w:rsid w:val="00A81720"/>
    <w:rsid w:val="00A818E4"/>
    <w:rsid w:val="00A81E5C"/>
    <w:rsid w:val="00A82B19"/>
    <w:rsid w:val="00A83ED1"/>
    <w:rsid w:val="00A84DE6"/>
    <w:rsid w:val="00A85372"/>
    <w:rsid w:val="00A853D0"/>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3E10"/>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D9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E0C"/>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887"/>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3C10"/>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7B8"/>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79D"/>
    <w:rsid w:val="00E97CAF"/>
    <w:rsid w:val="00EA02C5"/>
    <w:rsid w:val="00EA0800"/>
    <w:rsid w:val="00EA0B57"/>
    <w:rsid w:val="00EA1013"/>
    <w:rsid w:val="00EA1072"/>
    <w:rsid w:val="00EA2AE8"/>
    <w:rsid w:val="00EA415F"/>
    <w:rsid w:val="00EA46E3"/>
    <w:rsid w:val="00EA513C"/>
    <w:rsid w:val="00EA576B"/>
    <w:rsid w:val="00EA5B39"/>
    <w:rsid w:val="00EA5D05"/>
    <w:rsid w:val="00EA7670"/>
    <w:rsid w:val="00EB072E"/>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85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263"/>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49F7"/>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0AE5"/>
    <w:rsid w:val="012422F1"/>
    <w:rsid w:val="013F4369"/>
    <w:rsid w:val="01762077"/>
    <w:rsid w:val="01D31020"/>
    <w:rsid w:val="01D77F38"/>
    <w:rsid w:val="02197498"/>
    <w:rsid w:val="022C24DE"/>
    <w:rsid w:val="022C33BC"/>
    <w:rsid w:val="02445A7A"/>
    <w:rsid w:val="02533F0F"/>
    <w:rsid w:val="02750329"/>
    <w:rsid w:val="02936A01"/>
    <w:rsid w:val="02950DC4"/>
    <w:rsid w:val="029B6737"/>
    <w:rsid w:val="029E16D8"/>
    <w:rsid w:val="02D3433D"/>
    <w:rsid w:val="02DE2EF8"/>
    <w:rsid w:val="02E7478A"/>
    <w:rsid w:val="02F46BC4"/>
    <w:rsid w:val="03000A08"/>
    <w:rsid w:val="03303212"/>
    <w:rsid w:val="03304250"/>
    <w:rsid w:val="033C3C2D"/>
    <w:rsid w:val="03454DED"/>
    <w:rsid w:val="03467196"/>
    <w:rsid w:val="03781995"/>
    <w:rsid w:val="038C76D9"/>
    <w:rsid w:val="03960557"/>
    <w:rsid w:val="03AD3AF7"/>
    <w:rsid w:val="03C07382"/>
    <w:rsid w:val="03C545D6"/>
    <w:rsid w:val="03DD7F34"/>
    <w:rsid w:val="03F842E2"/>
    <w:rsid w:val="040C3B6D"/>
    <w:rsid w:val="041031C6"/>
    <w:rsid w:val="04273D3A"/>
    <w:rsid w:val="04510922"/>
    <w:rsid w:val="046D5737"/>
    <w:rsid w:val="04717E20"/>
    <w:rsid w:val="049D3B67"/>
    <w:rsid w:val="04BD04CB"/>
    <w:rsid w:val="04C226C5"/>
    <w:rsid w:val="04C41803"/>
    <w:rsid w:val="04DC7F02"/>
    <w:rsid w:val="04E946B7"/>
    <w:rsid w:val="05201FDF"/>
    <w:rsid w:val="05220AC4"/>
    <w:rsid w:val="05241B93"/>
    <w:rsid w:val="0530236C"/>
    <w:rsid w:val="057C6BB8"/>
    <w:rsid w:val="057F3208"/>
    <w:rsid w:val="05880374"/>
    <w:rsid w:val="05993309"/>
    <w:rsid w:val="05AB059E"/>
    <w:rsid w:val="05DC71B6"/>
    <w:rsid w:val="05E337FC"/>
    <w:rsid w:val="05E7509A"/>
    <w:rsid w:val="06147E59"/>
    <w:rsid w:val="061B781D"/>
    <w:rsid w:val="062906E7"/>
    <w:rsid w:val="06420522"/>
    <w:rsid w:val="064E7CD8"/>
    <w:rsid w:val="0662770E"/>
    <w:rsid w:val="06665122"/>
    <w:rsid w:val="06893196"/>
    <w:rsid w:val="06A50AB1"/>
    <w:rsid w:val="06B61737"/>
    <w:rsid w:val="06C13B3D"/>
    <w:rsid w:val="06C43DE0"/>
    <w:rsid w:val="06C64491"/>
    <w:rsid w:val="06D526B8"/>
    <w:rsid w:val="06E415DA"/>
    <w:rsid w:val="07006739"/>
    <w:rsid w:val="07043A2A"/>
    <w:rsid w:val="07464042"/>
    <w:rsid w:val="074A1FE5"/>
    <w:rsid w:val="077305E3"/>
    <w:rsid w:val="078D3A1F"/>
    <w:rsid w:val="07BA233A"/>
    <w:rsid w:val="07D72EEC"/>
    <w:rsid w:val="07DB2C0D"/>
    <w:rsid w:val="08033CE1"/>
    <w:rsid w:val="080A52B6"/>
    <w:rsid w:val="081417E0"/>
    <w:rsid w:val="08236132"/>
    <w:rsid w:val="085602B5"/>
    <w:rsid w:val="087E5E6D"/>
    <w:rsid w:val="08AD688E"/>
    <w:rsid w:val="08C05228"/>
    <w:rsid w:val="09045F63"/>
    <w:rsid w:val="090C6F76"/>
    <w:rsid w:val="0935436E"/>
    <w:rsid w:val="095A3DD5"/>
    <w:rsid w:val="09612984"/>
    <w:rsid w:val="09684744"/>
    <w:rsid w:val="097A3797"/>
    <w:rsid w:val="09AE2F67"/>
    <w:rsid w:val="0A6A374B"/>
    <w:rsid w:val="0A93506B"/>
    <w:rsid w:val="0A9B54A0"/>
    <w:rsid w:val="0AD11E75"/>
    <w:rsid w:val="0AEC5712"/>
    <w:rsid w:val="0AFD6936"/>
    <w:rsid w:val="0B0E2A57"/>
    <w:rsid w:val="0B133596"/>
    <w:rsid w:val="0B1D3CDA"/>
    <w:rsid w:val="0B4E1717"/>
    <w:rsid w:val="0B752F96"/>
    <w:rsid w:val="0B7F5D75"/>
    <w:rsid w:val="0B837613"/>
    <w:rsid w:val="0B862E5F"/>
    <w:rsid w:val="0B8C1164"/>
    <w:rsid w:val="0B8C3FEE"/>
    <w:rsid w:val="0B9E48FD"/>
    <w:rsid w:val="0BB622A7"/>
    <w:rsid w:val="0BCC389B"/>
    <w:rsid w:val="0BCF6B5B"/>
    <w:rsid w:val="0BD87233"/>
    <w:rsid w:val="0BD97DE4"/>
    <w:rsid w:val="0BE877E8"/>
    <w:rsid w:val="0BEC77B0"/>
    <w:rsid w:val="0C1B3AFB"/>
    <w:rsid w:val="0C3E42BE"/>
    <w:rsid w:val="0C5C5076"/>
    <w:rsid w:val="0C6311F3"/>
    <w:rsid w:val="0C687B19"/>
    <w:rsid w:val="0C966FE2"/>
    <w:rsid w:val="0CB3217A"/>
    <w:rsid w:val="0CBD0903"/>
    <w:rsid w:val="0CCC48E0"/>
    <w:rsid w:val="0CD30459"/>
    <w:rsid w:val="0CDF2F6F"/>
    <w:rsid w:val="0CE75980"/>
    <w:rsid w:val="0CEA6115"/>
    <w:rsid w:val="0CEB1914"/>
    <w:rsid w:val="0D044784"/>
    <w:rsid w:val="0D053ED9"/>
    <w:rsid w:val="0D1E3B0E"/>
    <w:rsid w:val="0D312155"/>
    <w:rsid w:val="0D3B51DE"/>
    <w:rsid w:val="0D3D12FE"/>
    <w:rsid w:val="0D4806BF"/>
    <w:rsid w:val="0D834AA8"/>
    <w:rsid w:val="0DBE0DD6"/>
    <w:rsid w:val="0DC70C42"/>
    <w:rsid w:val="0DD87787"/>
    <w:rsid w:val="0E024D74"/>
    <w:rsid w:val="0E0B0A7A"/>
    <w:rsid w:val="0E285928"/>
    <w:rsid w:val="0E3C619F"/>
    <w:rsid w:val="0E484301"/>
    <w:rsid w:val="0E5F1249"/>
    <w:rsid w:val="0E7476E7"/>
    <w:rsid w:val="0E843362"/>
    <w:rsid w:val="0EA025EA"/>
    <w:rsid w:val="0EA93835"/>
    <w:rsid w:val="0EAF6971"/>
    <w:rsid w:val="0EC145B8"/>
    <w:rsid w:val="0ECB7EDB"/>
    <w:rsid w:val="0ED85EC8"/>
    <w:rsid w:val="0EDC57C9"/>
    <w:rsid w:val="0EDC7874"/>
    <w:rsid w:val="0EF32D02"/>
    <w:rsid w:val="0F2E7521"/>
    <w:rsid w:val="0F5E547E"/>
    <w:rsid w:val="0F6566EC"/>
    <w:rsid w:val="0F665DED"/>
    <w:rsid w:val="0F9B03FB"/>
    <w:rsid w:val="0FB35FED"/>
    <w:rsid w:val="0FD60A0D"/>
    <w:rsid w:val="0FD83CA6"/>
    <w:rsid w:val="1008458B"/>
    <w:rsid w:val="100E1475"/>
    <w:rsid w:val="101D6023"/>
    <w:rsid w:val="102B5AE8"/>
    <w:rsid w:val="103709CC"/>
    <w:rsid w:val="10611A0A"/>
    <w:rsid w:val="109B1928"/>
    <w:rsid w:val="10AC5059"/>
    <w:rsid w:val="10B3168B"/>
    <w:rsid w:val="10BB784F"/>
    <w:rsid w:val="10F670C6"/>
    <w:rsid w:val="11000A34"/>
    <w:rsid w:val="1119049E"/>
    <w:rsid w:val="11472E91"/>
    <w:rsid w:val="115E22D4"/>
    <w:rsid w:val="116A4DD1"/>
    <w:rsid w:val="116D0F4A"/>
    <w:rsid w:val="117556CB"/>
    <w:rsid w:val="11910609"/>
    <w:rsid w:val="12301B77"/>
    <w:rsid w:val="12403C8F"/>
    <w:rsid w:val="12411FD6"/>
    <w:rsid w:val="124C6787"/>
    <w:rsid w:val="12631F4C"/>
    <w:rsid w:val="12705F50"/>
    <w:rsid w:val="127A292F"/>
    <w:rsid w:val="127A7296"/>
    <w:rsid w:val="1282121E"/>
    <w:rsid w:val="12AC38F3"/>
    <w:rsid w:val="13012641"/>
    <w:rsid w:val="13076D7C"/>
    <w:rsid w:val="1313230D"/>
    <w:rsid w:val="131B2827"/>
    <w:rsid w:val="132C67E2"/>
    <w:rsid w:val="134504D8"/>
    <w:rsid w:val="135246AF"/>
    <w:rsid w:val="13585D28"/>
    <w:rsid w:val="135D599E"/>
    <w:rsid w:val="13741F37"/>
    <w:rsid w:val="137B1518"/>
    <w:rsid w:val="13960100"/>
    <w:rsid w:val="13A16058"/>
    <w:rsid w:val="13A4281C"/>
    <w:rsid w:val="13B11791"/>
    <w:rsid w:val="13BB1914"/>
    <w:rsid w:val="13FD7A4B"/>
    <w:rsid w:val="141D612B"/>
    <w:rsid w:val="143376FC"/>
    <w:rsid w:val="144813FA"/>
    <w:rsid w:val="14533375"/>
    <w:rsid w:val="14592DFD"/>
    <w:rsid w:val="146E3E3D"/>
    <w:rsid w:val="147541B9"/>
    <w:rsid w:val="14817F29"/>
    <w:rsid w:val="14A15A72"/>
    <w:rsid w:val="14A8633C"/>
    <w:rsid w:val="14C50C9C"/>
    <w:rsid w:val="14CC75EE"/>
    <w:rsid w:val="14D83A9F"/>
    <w:rsid w:val="14DC6FEA"/>
    <w:rsid w:val="14FB646C"/>
    <w:rsid w:val="151614F8"/>
    <w:rsid w:val="15205A5A"/>
    <w:rsid w:val="15265371"/>
    <w:rsid w:val="152F2422"/>
    <w:rsid w:val="154D2A40"/>
    <w:rsid w:val="15745B33"/>
    <w:rsid w:val="158051BA"/>
    <w:rsid w:val="15883A78"/>
    <w:rsid w:val="158E6BC9"/>
    <w:rsid w:val="15931F5D"/>
    <w:rsid w:val="15C74668"/>
    <w:rsid w:val="15D77B87"/>
    <w:rsid w:val="15F36B10"/>
    <w:rsid w:val="15F67B8F"/>
    <w:rsid w:val="15F87315"/>
    <w:rsid w:val="15F873A5"/>
    <w:rsid w:val="162A44F8"/>
    <w:rsid w:val="163008E4"/>
    <w:rsid w:val="164B69CD"/>
    <w:rsid w:val="166041CE"/>
    <w:rsid w:val="16B832B1"/>
    <w:rsid w:val="16CD33F4"/>
    <w:rsid w:val="16D0271B"/>
    <w:rsid w:val="16E1457B"/>
    <w:rsid w:val="16F26FDC"/>
    <w:rsid w:val="16FA41E7"/>
    <w:rsid w:val="170B78DA"/>
    <w:rsid w:val="170F61FF"/>
    <w:rsid w:val="17367C2F"/>
    <w:rsid w:val="17374372"/>
    <w:rsid w:val="17432CA3"/>
    <w:rsid w:val="17721137"/>
    <w:rsid w:val="17AB365B"/>
    <w:rsid w:val="17B437C0"/>
    <w:rsid w:val="17E75995"/>
    <w:rsid w:val="17FB162F"/>
    <w:rsid w:val="180E6167"/>
    <w:rsid w:val="18226406"/>
    <w:rsid w:val="183A54FD"/>
    <w:rsid w:val="184E4CAC"/>
    <w:rsid w:val="18673E19"/>
    <w:rsid w:val="18735851"/>
    <w:rsid w:val="18736C61"/>
    <w:rsid w:val="18921FDE"/>
    <w:rsid w:val="18950986"/>
    <w:rsid w:val="18B5797C"/>
    <w:rsid w:val="18E831AB"/>
    <w:rsid w:val="18F02060"/>
    <w:rsid w:val="19006747"/>
    <w:rsid w:val="192A750C"/>
    <w:rsid w:val="19450E59"/>
    <w:rsid w:val="195271C6"/>
    <w:rsid w:val="195A5FE0"/>
    <w:rsid w:val="19600F94"/>
    <w:rsid w:val="19810F0A"/>
    <w:rsid w:val="19813FB0"/>
    <w:rsid w:val="198C1D89"/>
    <w:rsid w:val="198F3627"/>
    <w:rsid w:val="1A0F29BA"/>
    <w:rsid w:val="1A3D4C07"/>
    <w:rsid w:val="1A750A6F"/>
    <w:rsid w:val="1A977BB8"/>
    <w:rsid w:val="1AAC5DFB"/>
    <w:rsid w:val="1AB97981"/>
    <w:rsid w:val="1AC7726A"/>
    <w:rsid w:val="1AD75285"/>
    <w:rsid w:val="1AD934C1"/>
    <w:rsid w:val="1AE300CE"/>
    <w:rsid w:val="1AF01042"/>
    <w:rsid w:val="1AFF390B"/>
    <w:rsid w:val="1B140288"/>
    <w:rsid w:val="1B2474CF"/>
    <w:rsid w:val="1B281F85"/>
    <w:rsid w:val="1B3E3557"/>
    <w:rsid w:val="1B55264E"/>
    <w:rsid w:val="1B5A4D98"/>
    <w:rsid w:val="1B610368"/>
    <w:rsid w:val="1B62623E"/>
    <w:rsid w:val="1B765E86"/>
    <w:rsid w:val="1B840C15"/>
    <w:rsid w:val="1B850A80"/>
    <w:rsid w:val="1BA96B88"/>
    <w:rsid w:val="1BB235FD"/>
    <w:rsid w:val="1BC05D1A"/>
    <w:rsid w:val="1BC31CAE"/>
    <w:rsid w:val="1BD6793F"/>
    <w:rsid w:val="1C0A1B81"/>
    <w:rsid w:val="1C136791"/>
    <w:rsid w:val="1C417161"/>
    <w:rsid w:val="1C5823F6"/>
    <w:rsid w:val="1C6A496F"/>
    <w:rsid w:val="1C783C72"/>
    <w:rsid w:val="1C995197"/>
    <w:rsid w:val="1CC27CF4"/>
    <w:rsid w:val="1CEE024A"/>
    <w:rsid w:val="1D4674EB"/>
    <w:rsid w:val="1D5424EE"/>
    <w:rsid w:val="1DAF24EA"/>
    <w:rsid w:val="1DBE44DB"/>
    <w:rsid w:val="1DC00253"/>
    <w:rsid w:val="1DD063A3"/>
    <w:rsid w:val="1DD1244F"/>
    <w:rsid w:val="1DEA5DCF"/>
    <w:rsid w:val="1E047C52"/>
    <w:rsid w:val="1E162569"/>
    <w:rsid w:val="1E3C0273"/>
    <w:rsid w:val="1E42797B"/>
    <w:rsid w:val="1E652BA8"/>
    <w:rsid w:val="1E816D2D"/>
    <w:rsid w:val="1EA06969"/>
    <w:rsid w:val="1EB853CE"/>
    <w:rsid w:val="1EDD7E07"/>
    <w:rsid w:val="1EF20C77"/>
    <w:rsid w:val="1F096272"/>
    <w:rsid w:val="1F125176"/>
    <w:rsid w:val="1F130856"/>
    <w:rsid w:val="1F374DC3"/>
    <w:rsid w:val="1F83778A"/>
    <w:rsid w:val="1FB33873"/>
    <w:rsid w:val="1FFE6BEE"/>
    <w:rsid w:val="200B63A3"/>
    <w:rsid w:val="2039200A"/>
    <w:rsid w:val="203D202F"/>
    <w:rsid w:val="2054789A"/>
    <w:rsid w:val="206477DC"/>
    <w:rsid w:val="20765541"/>
    <w:rsid w:val="208512E0"/>
    <w:rsid w:val="209D5B61"/>
    <w:rsid w:val="20BA340F"/>
    <w:rsid w:val="20D12777"/>
    <w:rsid w:val="21026DD4"/>
    <w:rsid w:val="21073363"/>
    <w:rsid w:val="210E1A59"/>
    <w:rsid w:val="212925B3"/>
    <w:rsid w:val="213A051B"/>
    <w:rsid w:val="21575EA1"/>
    <w:rsid w:val="215E44A7"/>
    <w:rsid w:val="216F7993"/>
    <w:rsid w:val="21701F90"/>
    <w:rsid w:val="21747CD2"/>
    <w:rsid w:val="21825E03"/>
    <w:rsid w:val="218C4119"/>
    <w:rsid w:val="21A77E4B"/>
    <w:rsid w:val="21BB220E"/>
    <w:rsid w:val="21C1376B"/>
    <w:rsid w:val="21C916A0"/>
    <w:rsid w:val="221D5633"/>
    <w:rsid w:val="223C3B60"/>
    <w:rsid w:val="227453DF"/>
    <w:rsid w:val="227B4222"/>
    <w:rsid w:val="22A719E1"/>
    <w:rsid w:val="22B37412"/>
    <w:rsid w:val="22B673C3"/>
    <w:rsid w:val="22B91715"/>
    <w:rsid w:val="22B9629C"/>
    <w:rsid w:val="22D629CA"/>
    <w:rsid w:val="22EA5D72"/>
    <w:rsid w:val="22F15352"/>
    <w:rsid w:val="22FD5AA5"/>
    <w:rsid w:val="232758FC"/>
    <w:rsid w:val="23297026"/>
    <w:rsid w:val="232E3EB1"/>
    <w:rsid w:val="235D69C1"/>
    <w:rsid w:val="2393729C"/>
    <w:rsid w:val="23A128D5"/>
    <w:rsid w:val="23BA5744"/>
    <w:rsid w:val="23D31501"/>
    <w:rsid w:val="23DA5DE6"/>
    <w:rsid w:val="24362041"/>
    <w:rsid w:val="243674C1"/>
    <w:rsid w:val="244558F0"/>
    <w:rsid w:val="24594A29"/>
    <w:rsid w:val="246A716A"/>
    <w:rsid w:val="24985092"/>
    <w:rsid w:val="24A10DF8"/>
    <w:rsid w:val="24BB2C14"/>
    <w:rsid w:val="24C645E0"/>
    <w:rsid w:val="24CA50C6"/>
    <w:rsid w:val="24D223DD"/>
    <w:rsid w:val="24EB0995"/>
    <w:rsid w:val="250B04B9"/>
    <w:rsid w:val="250F386E"/>
    <w:rsid w:val="25140E84"/>
    <w:rsid w:val="252523ED"/>
    <w:rsid w:val="252E63EA"/>
    <w:rsid w:val="252F613E"/>
    <w:rsid w:val="253146FA"/>
    <w:rsid w:val="254944BC"/>
    <w:rsid w:val="2570107C"/>
    <w:rsid w:val="25AD2640"/>
    <w:rsid w:val="25C8595C"/>
    <w:rsid w:val="25D30D3F"/>
    <w:rsid w:val="25D6510D"/>
    <w:rsid w:val="25DA20CE"/>
    <w:rsid w:val="25F62749"/>
    <w:rsid w:val="260053A6"/>
    <w:rsid w:val="2608197C"/>
    <w:rsid w:val="262D66A1"/>
    <w:rsid w:val="263135A5"/>
    <w:rsid w:val="265A05A4"/>
    <w:rsid w:val="265F25D3"/>
    <w:rsid w:val="267825D1"/>
    <w:rsid w:val="267C332F"/>
    <w:rsid w:val="26812549"/>
    <w:rsid w:val="26B80661"/>
    <w:rsid w:val="26C171CB"/>
    <w:rsid w:val="26C80178"/>
    <w:rsid w:val="26DD391D"/>
    <w:rsid w:val="271C4A6F"/>
    <w:rsid w:val="272829C1"/>
    <w:rsid w:val="2762006E"/>
    <w:rsid w:val="276E0D20"/>
    <w:rsid w:val="27F16519"/>
    <w:rsid w:val="27FD6D84"/>
    <w:rsid w:val="27FE6547"/>
    <w:rsid w:val="2805374C"/>
    <w:rsid w:val="28054429"/>
    <w:rsid w:val="281178FD"/>
    <w:rsid w:val="28213FE4"/>
    <w:rsid w:val="285A1251"/>
    <w:rsid w:val="285A3E82"/>
    <w:rsid w:val="285B27AE"/>
    <w:rsid w:val="286E52FC"/>
    <w:rsid w:val="287A79C9"/>
    <w:rsid w:val="28812CD5"/>
    <w:rsid w:val="2893284B"/>
    <w:rsid w:val="28936238"/>
    <w:rsid w:val="2893630E"/>
    <w:rsid w:val="289C74AE"/>
    <w:rsid w:val="289C7B0E"/>
    <w:rsid w:val="28B27332"/>
    <w:rsid w:val="28C50F38"/>
    <w:rsid w:val="28D769F2"/>
    <w:rsid w:val="29027663"/>
    <w:rsid w:val="29477A7A"/>
    <w:rsid w:val="2953641F"/>
    <w:rsid w:val="2959155B"/>
    <w:rsid w:val="295F5243"/>
    <w:rsid w:val="296A5695"/>
    <w:rsid w:val="298F4F7D"/>
    <w:rsid w:val="29BF5862"/>
    <w:rsid w:val="29D62BAC"/>
    <w:rsid w:val="29DC2957"/>
    <w:rsid w:val="29EE17E2"/>
    <w:rsid w:val="29F55728"/>
    <w:rsid w:val="2A4B4255"/>
    <w:rsid w:val="2A555D5C"/>
    <w:rsid w:val="2A6D09C5"/>
    <w:rsid w:val="2A791CF4"/>
    <w:rsid w:val="2A8E3487"/>
    <w:rsid w:val="2A9A1E2C"/>
    <w:rsid w:val="2ABB7DF2"/>
    <w:rsid w:val="2AC7306D"/>
    <w:rsid w:val="2ACB46DB"/>
    <w:rsid w:val="2ADC1FC3"/>
    <w:rsid w:val="2ADE448E"/>
    <w:rsid w:val="2AF561AC"/>
    <w:rsid w:val="2AFB6D6E"/>
    <w:rsid w:val="2B1A7FB8"/>
    <w:rsid w:val="2B1B11BE"/>
    <w:rsid w:val="2B22254D"/>
    <w:rsid w:val="2B2362C5"/>
    <w:rsid w:val="2B3D33A5"/>
    <w:rsid w:val="2B463685"/>
    <w:rsid w:val="2B5B000B"/>
    <w:rsid w:val="2B6F55CF"/>
    <w:rsid w:val="2B7B63D1"/>
    <w:rsid w:val="2B8B1489"/>
    <w:rsid w:val="2B911481"/>
    <w:rsid w:val="2BD902EC"/>
    <w:rsid w:val="2C106B48"/>
    <w:rsid w:val="2C17411D"/>
    <w:rsid w:val="2C3D5164"/>
    <w:rsid w:val="2C540104"/>
    <w:rsid w:val="2C581F9E"/>
    <w:rsid w:val="2C9C2318"/>
    <w:rsid w:val="2C9E37D8"/>
    <w:rsid w:val="2CAE7C0A"/>
    <w:rsid w:val="2CC94095"/>
    <w:rsid w:val="2CED6B8B"/>
    <w:rsid w:val="2CF87289"/>
    <w:rsid w:val="2D2D2C93"/>
    <w:rsid w:val="2D39592C"/>
    <w:rsid w:val="2DD75EB5"/>
    <w:rsid w:val="2DEE2BBA"/>
    <w:rsid w:val="2E135BB8"/>
    <w:rsid w:val="2E2170F9"/>
    <w:rsid w:val="2E25631E"/>
    <w:rsid w:val="2E2A1A6C"/>
    <w:rsid w:val="2E343BD8"/>
    <w:rsid w:val="2E386092"/>
    <w:rsid w:val="2E756E38"/>
    <w:rsid w:val="2E7B5944"/>
    <w:rsid w:val="2E7F7CB6"/>
    <w:rsid w:val="2E8D0988"/>
    <w:rsid w:val="2EA27D60"/>
    <w:rsid w:val="2EDC6EB7"/>
    <w:rsid w:val="2EE248F4"/>
    <w:rsid w:val="2EE737A0"/>
    <w:rsid w:val="2EF21CAB"/>
    <w:rsid w:val="2F1729C2"/>
    <w:rsid w:val="2F261EE0"/>
    <w:rsid w:val="2F3841ED"/>
    <w:rsid w:val="2F3960B7"/>
    <w:rsid w:val="2F58187C"/>
    <w:rsid w:val="2F6E5FB6"/>
    <w:rsid w:val="2F93178D"/>
    <w:rsid w:val="2FAC6889"/>
    <w:rsid w:val="2FB958F6"/>
    <w:rsid w:val="2FCE1F78"/>
    <w:rsid w:val="2FD61B58"/>
    <w:rsid w:val="2FF16992"/>
    <w:rsid w:val="2FFB7875"/>
    <w:rsid w:val="301D1535"/>
    <w:rsid w:val="3057108A"/>
    <w:rsid w:val="309C4B4F"/>
    <w:rsid w:val="30B1408E"/>
    <w:rsid w:val="30B87993"/>
    <w:rsid w:val="30C57FF6"/>
    <w:rsid w:val="30CE71F9"/>
    <w:rsid w:val="30EF67E5"/>
    <w:rsid w:val="30FC196D"/>
    <w:rsid w:val="310311E3"/>
    <w:rsid w:val="311D51E8"/>
    <w:rsid w:val="31527E83"/>
    <w:rsid w:val="31554CFE"/>
    <w:rsid w:val="315905C8"/>
    <w:rsid w:val="316244E8"/>
    <w:rsid w:val="318850D4"/>
    <w:rsid w:val="31A26361"/>
    <w:rsid w:val="31CD6F8B"/>
    <w:rsid w:val="31DB3455"/>
    <w:rsid w:val="31E22A36"/>
    <w:rsid w:val="31E63934"/>
    <w:rsid w:val="31F4722E"/>
    <w:rsid w:val="322E1E8E"/>
    <w:rsid w:val="325D41F6"/>
    <w:rsid w:val="326E06BF"/>
    <w:rsid w:val="32714935"/>
    <w:rsid w:val="32794A1C"/>
    <w:rsid w:val="327B2543"/>
    <w:rsid w:val="3283371F"/>
    <w:rsid w:val="328D7DE2"/>
    <w:rsid w:val="32A85455"/>
    <w:rsid w:val="32B06982"/>
    <w:rsid w:val="32BA571C"/>
    <w:rsid w:val="32CC0FF0"/>
    <w:rsid w:val="32EE6C13"/>
    <w:rsid w:val="33264BA4"/>
    <w:rsid w:val="3332273D"/>
    <w:rsid w:val="337A6C9E"/>
    <w:rsid w:val="33A146B4"/>
    <w:rsid w:val="33B026C0"/>
    <w:rsid w:val="33DD3064"/>
    <w:rsid w:val="340B78F6"/>
    <w:rsid w:val="34157E83"/>
    <w:rsid w:val="34374461"/>
    <w:rsid w:val="344D3544"/>
    <w:rsid w:val="3450087A"/>
    <w:rsid w:val="345453E4"/>
    <w:rsid w:val="34627E5E"/>
    <w:rsid w:val="346A286F"/>
    <w:rsid w:val="348320CD"/>
    <w:rsid w:val="34983880"/>
    <w:rsid w:val="349A1157"/>
    <w:rsid w:val="34D101A4"/>
    <w:rsid w:val="34D66156"/>
    <w:rsid w:val="35AD5174"/>
    <w:rsid w:val="35DB1C68"/>
    <w:rsid w:val="35E1263E"/>
    <w:rsid w:val="35EC697A"/>
    <w:rsid w:val="35F40894"/>
    <w:rsid w:val="35F745D6"/>
    <w:rsid w:val="361C403D"/>
    <w:rsid w:val="36214281"/>
    <w:rsid w:val="365A4BD6"/>
    <w:rsid w:val="366C6C7C"/>
    <w:rsid w:val="36700C56"/>
    <w:rsid w:val="367750F1"/>
    <w:rsid w:val="367B012D"/>
    <w:rsid w:val="369C1AFC"/>
    <w:rsid w:val="36B14785"/>
    <w:rsid w:val="36C87829"/>
    <w:rsid w:val="36DF5796"/>
    <w:rsid w:val="36E7289C"/>
    <w:rsid w:val="36E74BCF"/>
    <w:rsid w:val="36F4767F"/>
    <w:rsid w:val="36F6663C"/>
    <w:rsid w:val="3715740A"/>
    <w:rsid w:val="371D675E"/>
    <w:rsid w:val="371E2613"/>
    <w:rsid w:val="373D2A8F"/>
    <w:rsid w:val="37575A24"/>
    <w:rsid w:val="37774E31"/>
    <w:rsid w:val="377F2AD5"/>
    <w:rsid w:val="378418A7"/>
    <w:rsid w:val="37AF3154"/>
    <w:rsid w:val="37C116E8"/>
    <w:rsid w:val="37C36E66"/>
    <w:rsid w:val="37EB1F18"/>
    <w:rsid w:val="37F82BA8"/>
    <w:rsid w:val="3805122C"/>
    <w:rsid w:val="381D762F"/>
    <w:rsid w:val="38270896"/>
    <w:rsid w:val="383C102E"/>
    <w:rsid w:val="384444B5"/>
    <w:rsid w:val="386709AA"/>
    <w:rsid w:val="387168C2"/>
    <w:rsid w:val="387D642F"/>
    <w:rsid w:val="38860B0E"/>
    <w:rsid w:val="38871C41"/>
    <w:rsid w:val="38883C0B"/>
    <w:rsid w:val="388A34DF"/>
    <w:rsid w:val="38A345A1"/>
    <w:rsid w:val="38B16CBE"/>
    <w:rsid w:val="38C6103F"/>
    <w:rsid w:val="38C6627D"/>
    <w:rsid w:val="38D86C09"/>
    <w:rsid w:val="38DE1A7D"/>
    <w:rsid w:val="38E8046F"/>
    <w:rsid w:val="38FD63A7"/>
    <w:rsid w:val="3919772A"/>
    <w:rsid w:val="3923007A"/>
    <w:rsid w:val="39370BE1"/>
    <w:rsid w:val="394A2C6F"/>
    <w:rsid w:val="39564FA9"/>
    <w:rsid w:val="3965126B"/>
    <w:rsid w:val="397718FE"/>
    <w:rsid w:val="39904B26"/>
    <w:rsid w:val="39B32F0A"/>
    <w:rsid w:val="39B90520"/>
    <w:rsid w:val="3A274209"/>
    <w:rsid w:val="3A2A0555"/>
    <w:rsid w:val="3A310809"/>
    <w:rsid w:val="3A39340F"/>
    <w:rsid w:val="3A437DEA"/>
    <w:rsid w:val="3A445910"/>
    <w:rsid w:val="3A7645E5"/>
    <w:rsid w:val="3A8543E9"/>
    <w:rsid w:val="3AA01AB2"/>
    <w:rsid w:val="3AC705C2"/>
    <w:rsid w:val="3ADC3D9A"/>
    <w:rsid w:val="3AFC57B7"/>
    <w:rsid w:val="3B07350D"/>
    <w:rsid w:val="3B182CC7"/>
    <w:rsid w:val="3B2A6D61"/>
    <w:rsid w:val="3B2F3B39"/>
    <w:rsid w:val="3B3339E2"/>
    <w:rsid w:val="3B3855C2"/>
    <w:rsid w:val="3B4130B9"/>
    <w:rsid w:val="3B9C1EA7"/>
    <w:rsid w:val="3BB27559"/>
    <w:rsid w:val="3BB323D3"/>
    <w:rsid w:val="3BBF0327"/>
    <w:rsid w:val="3BBF395E"/>
    <w:rsid w:val="3BDF14CC"/>
    <w:rsid w:val="3BED2703"/>
    <w:rsid w:val="3C0838C1"/>
    <w:rsid w:val="3C1E41B5"/>
    <w:rsid w:val="3C20015F"/>
    <w:rsid w:val="3C2109FD"/>
    <w:rsid w:val="3C3E2B2A"/>
    <w:rsid w:val="3C5938F5"/>
    <w:rsid w:val="3CCE6E7F"/>
    <w:rsid w:val="3CE67D07"/>
    <w:rsid w:val="3CF1691A"/>
    <w:rsid w:val="3D090124"/>
    <w:rsid w:val="3D3A5CC1"/>
    <w:rsid w:val="3D4027C3"/>
    <w:rsid w:val="3DA02485"/>
    <w:rsid w:val="3DAD1CC3"/>
    <w:rsid w:val="3DB46376"/>
    <w:rsid w:val="3DC56D68"/>
    <w:rsid w:val="3DC92CFC"/>
    <w:rsid w:val="3DD11BB1"/>
    <w:rsid w:val="3DFB39FD"/>
    <w:rsid w:val="3E041161"/>
    <w:rsid w:val="3E105A20"/>
    <w:rsid w:val="3E287CA5"/>
    <w:rsid w:val="3E497999"/>
    <w:rsid w:val="3E4E6154"/>
    <w:rsid w:val="3E6A1E9A"/>
    <w:rsid w:val="3E6C6A4F"/>
    <w:rsid w:val="3E864749"/>
    <w:rsid w:val="3E8B2434"/>
    <w:rsid w:val="3E8F1850"/>
    <w:rsid w:val="3E971150"/>
    <w:rsid w:val="3EB23790"/>
    <w:rsid w:val="3EB62267"/>
    <w:rsid w:val="3ED16F9F"/>
    <w:rsid w:val="3ED95EA9"/>
    <w:rsid w:val="3EFA5B90"/>
    <w:rsid w:val="3EFE309E"/>
    <w:rsid w:val="3F19514F"/>
    <w:rsid w:val="3F2517DA"/>
    <w:rsid w:val="3F2F6B8F"/>
    <w:rsid w:val="3F512870"/>
    <w:rsid w:val="3F5600D8"/>
    <w:rsid w:val="3F6236D0"/>
    <w:rsid w:val="3F7F7B16"/>
    <w:rsid w:val="3F94702A"/>
    <w:rsid w:val="3FA7706D"/>
    <w:rsid w:val="3FD00372"/>
    <w:rsid w:val="3FE06D3B"/>
    <w:rsid w:val="3FE2521F"/>
    <w:rsid w:val="4004626D"/>
    <w:rsid w:val="401E6742"/>
    <w:rsid w:val="40210BCD"/>
    <w:rsid w:val="4024246B"/>
    <w:rsid w:val="402F6D46"/>
    <w:rsid w:val="40520D87"/>
    <w:rsid w:val="4061546E"/>
    <w:rsid w:val="408B2822"/>
    <w:rsid w:val="40956EC5"/>
    <w:rsid w:val="40B97058"/>
    <w:rsid w:val="40C41F3B"/>
    <w:rsid w:val="40D309FB"/>
    <w:rsid w:val="40E579E4"/>
    <w:rsid w:val="40E85247"/>
    <w:rsid w:val="40F40090"/>
    <w:rsid w:val="40F736DC"/>
    <w:rsid w:val="40F76BA7"/>
    <w:rsid w:val="41546D80"/>
    <w:rsid w:val="41A37FB5"/>
    <w:rsid w:val="41D71CA1"/>
    <w:rsid w:val="41E77978"/>
    <w:rsid w:val="41EA60CB"/>
    <w:rsid w:val="41F30347"/>
    <w:rsid w:val="42022339"/>
    <w:rsid w:val="42095809"/>
    <w:rsid w:val="42132798"/>
    <w:rsid w:val="42134546"/>
    <w:rsid w:val="4233454F"/>
    <w:rsid w:val="425E2B56"/>
    <w:rsid w:val="42846AE2"/>
    <w:rsid w:val="42A77BCB"/>
    <w:rsid w:val="42C63DF8"/>
    <w:rsid w:val="42D737C5"/>
    <w:rsid w:val="42EA799C"/>
    <w:rsid w:val="42F468B7"/>
    <w:rsid w:val="42F51FEF"/>
    <w:rsid w:val="43527DA5"/>
    <w:rsid w:val="438E4A94"/>
    <w:rsid w:val="439A3786"/>
    <w:rsid w:val="439C240B"/>
    <w:rsid w:val="43A63197"/>
    <w:rsid w:val="43BE7E30"/>
    <w:rsid w:val="43F32881"/>
    <w:rsid w:val="43F839F3"/>
    <w:rsid w:val="4404683C"/>
    <w:rsid w:val="44103433"/>
    <w:rsid w:val="4447497A"/>
    <w:rsid w:val="446454B9"/>
    <w:rsid w:val="447F2366"/>
    <w:rsid w:val="449F04D4"/>
    <w:rsid w:val="44B8597F"/>
    <w:rsid w:val="44E4567B"/>
    <w:rsid w:val="44E6503E"/>
    <w:rsid w:val="44EF539B"/>
    <w:rsid w:val="45093CD4"/>
    <w:rsid w:val="450E5498"/>
    <w:rsid w:val="451C6BEA"/>
    <w:rsid w:val="45333E01"/>
    <w:rsid w:val="454A4722"/>
    <w:rsid w:val="454D7023"/>
    <w:rsid w:val="456C1406"/>
    <w:rsid w:val="457160ED"/>
    <w:rsid w:val="45756A0A"/>
    <w:rsid w:val="458D460F"/>
    <w:rsid w:val="45952F68"/>
    <w:rsid w:val="45C427BE"/>
    <w:rsid w:val="45C92BAA"/>
    <w:rsid w:val="45F85457"/>
    <w:rsid w:val="460A0A48"/>
    <w:rsid w:val="46131F38"/>
    <w:rsid w:val="464320EC"/>
    <w:rsid w:val="466A3D31"/>
    <w:rsid w:val="46733805"/>
    <w:rsid w:val="467B2000"/>
    <w:rsid w:val="4688711B"/>
    <w:rsid w:val="468B4FF2"/>
    <w:rsid w:val="46A82CD0"/>
    <w:rsid w:val="46D52711"/>
    <w:rsid w:val="46D536D2"/>
    <w:rsid w:val="46DA3884"/>
    <w:rsid w:val="46DF70EC"/>
    <w:rsid w:val="46F07AD6"/>
    <w:rsid w:val="474F5AFF"/>
    <w:rsid w:val="47876C52"/>
    <w:rsid w:val="479B5ECC"/>
    <w:rsid w:val="47AC3472"/>
    <w:rsid w:val="47E726FC"/>
    <w:rsid w:val="481D3EC7"/>
    <w:rsid w:val="48396CD0"/>
    <w:rsid w:val="484E277B"/>
    <w:rsid w:val="48645AFB"/>
    <w:rsid w:val="486D24D6"/>
    <w:rsid w:val="48742B93"/>
    <w:rsid w:val="48826C2D"/>
    <w:rsid w:val="488937B4"/>
    <w:rsid w:val="488D6991"/>
    <w:rsid w:val="489573EB"/>
    <w:rsid w:val="48986E1F"/>
    <w:rsid w:val="48BE395E"/>
    <w:rsid w:val="48BE3CBF"/>
    <w:rsid w:val="48D34A2F"/>
    <w:rsid w:val="48FA020D"/>
    <w:rsid w:val="490E5A67"/>
    <w:rsid w:val="491A265E"/>
    <w:rsid w:val="4968161B"/>
    <w:rsid w:val="49885819"/>
    <w:rsid w:val="49BE748D"/>
    <w:rsid w:val="49CF100D"/>
    <w:rsid w:val="4A0A0924"/>
    <w:rsid w:val="4A507877"/>
    <w:rsid w:val="4A6022F2"/>
    <w:rsid w:val="4A871F75"/>
    <w:rsid w:val="4AAA7A11"/>
    <w:rsid w:val="4AF83480"/>
    <w:rsid w:val="4B166E55"/>
    <w:rsid w:val="4B2D5FDE"/>
    <w:rsid w:val="4B3043BA"/>
    <w:rsid w:val="4B36139E"/>
    <w:rsid w:val="4B4B6C02"/>
    <w:rsid w:val="4B581BEE"/>
    <w:rsid w:val="4B645E12"/>
    <w:rsid w:val="4B85051F"/>
    <w:rsid w:val="4BA40904"/>
    <w:rsid w:val="4BA51A38"/>
    <w:rsid w:val="4BF47196"/>
    <w:rsid w:val="4BF54FD8"/>
    <w:rsid w:val="4BFB7738"/>
    <w:rsid w:val="4C3C324E"/>
    <w:rsid w:val="4C454C01"/>
    <w:rsid w:val="4C561124"/>
    <w:rsid w:val="4C5D5B32"/>
    <w:rsid w:val="4C697E15"/>
    <w:rsid w:val="4C765DFD"/>
    <w:rsid w:val="4C806421"/>
    <w:rsid w:val="4C9256BD"/>
    <w:rsid w:val="4CA0475B"/>
    <w:rsid w:val="4CA9593B"/>
    <w:rsid w:val="4CBE5A86"/>
    <w:rsid w:val="4CC21042"/>
    <w:rsid w:val="4CD3324F"/>
    <w:rsid w:val="4CDF4A30"/>
    <w:rsid w:val="4CDF7E46"/>
    <w:rsid w:val="4D0E1A0D"/>
    <w:rsid w:val="4D17314A"/>
    <w:rsid w:val="4D3D2DBF"/>
    <w:rsid w:val="4D450A84"/>
    <w:rsid w:val="4D4C0AEC"/>
    <w:rsid w:val="4D533318"/>
    <w:rsid w:val="4D8E361A"/>
    <w:rsid w:val="4D940915"/>
    <w:rsid w:val="4D9C68C9"/>
    <w:rsid w:val="4DA600B3"/>
    <w:rsid w:val="4DB95442"/>
    <w:rsid w:val="4DD9086C"/>
    <w:rsid w:val="4DFB11F6"/>
    <w:rsid w:val="4DFF2958"/>
    <w:rsid w:val="4E265601"/>
    <w:rsid w:val="4E2F0959"/>
    <w:rsid w:val="4E774DAA"/>
    <w:rsid w:val="4E834801"/>
    <w:rsid w:val="4E9155FD"/>
    <w:rsid w:val="4EB33338"/>
    <w:rsid w:val="4ECF0241"/>
    <w:rsid w:val="4EE00D0F"/>
    <w:rsid w:val="4EF13B48"/>
    <w:rsid w:val="4F61335F"/>
    <w:rsid w:val="4F634F3A"/>
    <w:rsid w:val="4F770D88"/>
    <w:rsid w:val="4FB76013"/>
    <w:rsid w:val="4FB86591"/>
    <w:rsid w:val="4FBA4253"/>
    <w:rsid w:val="4FC81DBA"/>
    <w:rsid w:val="4FCA0E8E"/>
    <w:rsid w:val="4FD01CC8"/>
    <w:rsid w:val="4FE52E29"/>
    <w:rsid w:val="4FEB6B02"/>
    <w:rsid w:val="4FF21C3E"/>
    <w:rsid w:val="4FFB7568"/>
    <w:rsid w:val="50047BC4"/>
    <w:rsid w:val="500C2E3A"/>
    <w:rsid w:val="5032028D"/>
    <w:rsid w:val="50593A6B"/>
    <w:rsid w:val="50664363"/>
    <w:rsid w:val="5089456A"/>
    <w:rsid w:val="50D650BC"/>
    <w:rsid w:val="50EB36A6"/>
    <w:rsid w:val="50ED0AB6"/>
    <w:rsid w:val="50ED3F31"/>
    <w:rsid w:val="513918A9"/>
    <w:rsid w:val="516052CE"/>
    <w:rsid w:val="517B4996"/>
    <w:rsid w:val="51842D6A"/>
    <w:rsid w:val="51846EC9"/>
    <w:rsid w:val="518C1C1F"/>
    <w:rsid w:val="51D6733E"/>
    <w:rsid w:val="521A3F9A"/>
    <w:rsid w:val="52655659"/>
    <w:rsid w:val="526E48F5"/>
    <w:rsid w:val="52951AB7"/>
    <w:rsid w:val="52B64958"/>
    <w:rsid w:val="52CA1D4B"/>
    <w:rsid w:val="52D80BEE"/>
    <w:rsid w:val="530A3743"/>
    <w:rsid w:val="530C3017"/>
    <w:rsid w:val="53216E56"/>
    <w:rsid w:val="532F0BB9"/>
    <w:rsid w:val="534700CF"/>
    <w:rsid w:val="53513120"/>
    <w:rsid w:val="53631B2A"/>
    <w:rsid w:val="537C336B"/>
    <w:rsid w:val="538928D5"/>
    <w:rsid w:val="539F20DD"/>
    <w:rsid w:val="539F21DB"/>
    <w:rsid w:val="53BD2563"/>
    <w:rsid w:val="53C5766A"/>
    <w:rsid w:val="53D007F5"/>
    <w:rsid w:val="53F254B5"/>
    <w:rsid w:val="540A3C5A"/>
    <w:rsid w:val="54124A42"/>
    <w:rsid w:val="54261E03"/>
    <w:rsid w:val="544057FD"/>
    <w:rsid w:val="5449726B"/>
    <w:rsid w:val="544A7F16"/>
    <w:rsid w:val="546A2608"/>
    <w:rsid w:val="546B6E19"/>
    <w:rsid w:val="54715343"/>
    <w:rsid w:val="5475533D"/>
    <w:rsid w:val="54803934"/>
    <w:rsid w:val="548254F0"/>
    <w:rsid w:val="5485514F"/>
    <w:rsid w:val="548D558B"/>
    <w:rsid w:val="549A6C2B"/>
    <w:rsid w:val="54A8538E"/>
    <w:rsid w:val="54AC51AF"/>
    <w:rsid w:val="54BA4CF5"/>
    <w:rsid w:val="54C36344"/>
    <w:rsid w:val="55082A65"/>
    <w:rsid w:val="5523747A"/>
    <w:rsid w:val="554A7ADE"/>
    <w:rsid w:val="556C5E8F"/>
    <w:rsid w:val="5587082F"/>
    <w:rsid w:val="55911302"/>
    <w:rsid w:val="55B950FF"/>
    <w:rsid w:val="55C45E2B"/>
    <w:rsid w:val="55C53EA6"/>
    <w:rsid w:val="55D32512"/>
    <w:rsid w:val="55E83909"/>
    <w:rsid w:val="55FD6573"/>
    <w:rsid w:val="561641AD"/>
    <w:rsid w:val="564D7C03"/>
    <w:rsid w:val="565B7FD3"/>
    <w:rsid w:val="56B23ED5"/>
    <w:rsid w:val="56CE1DB8"/>
    <w:rsid w:val="56E524FD"/>
    <w:rsid w:val="56F52014"/>
    <w:rsid w:val="57007C70"/>
    <w:rsid w:val="57377952"/>
    <w:rsid w:val="574C6E0F"/>
    <w:rsid w:val="576F174B"/>
    <w:rsid w:val="57D4668D"/>
    <w:rsid w:val="57DF609E"/>
    <w:rsid w:val="58005114"/>
    <w:rsid w:val="58070251"/>
    <w:rsid w:val="58263B5F"/>
    <w:rsid w:val="582C415B"/>
    <w:rsid w:val="584F5295"/>
    <w:rsid w:val="58515ED5"/>
    <w:rsid w:val="58574B26"/>
    <w:rsid w:val="585F3F16"/>
    <w:rsid w:val="586503D5"/>
    <w:rsid w:val="58D053E0"/>
    <w:rsid w:val="58E34992"/>
    <w:rsid w:val="58E705F6"/>
    <w:rsid w:val="58EC5D3C"/>
    <w:rsid w:val="59016536"/>
    <w:rsid w:val="590C29FE"/>
    <w:rsid w:val="59237CED"/>
    <w:rsid w:val="592E4385"/>
    <w:rsid w:val="59382F53"/>
    <w:rsid w:val="593C29B5"/>
    <w:rsid w:val="59513E7A"/>
    <w:rsid w:val="595B2265"/>
    <w:rsid w:val="59965D30"/>
    <w:rsid w:val="599F547E"/>
    <w:rsid w:val="59A537CB"/>
    <w:rsid w:val="59B83EF9"/>
    <w:rsid w:val="59C87461"/>
    <w:rsid w:val="59CF4D9E"/>
    <w:rsid w:val="59E9690A"/>
    <w:rsid w:val="59EF2443"/>
    <w:rsid w:val="59F26FCA"/>
    <w:rsid w:val="5A2B7E5E"/>
    <w:rsid w:val="5A3C754B"/>
    <w:rsid w:val="5A4B6B1B"/>
    <w:rsid w:val="5A6C75D8"/>
    <w:rsid w:val="5A70032F"/>
    <w:rsid w:val="5A702DFA"/>
    <w:rsid w:val="5A821E11"/>
    <w:rsid w:val="5A8D6E0C"/>
    <w:rsid w:val="5AA07F40"/>
    <w:rsid w:val="5ABB5323"/>
    <w:rsid w:val="5ABE7E1B"/>
    <w:rsid w:val="5AD1185B"/>
    <w:rsid w:val="5AD76600"/>
    <w:rsid w:val="5AE67E70"/>
    <w:rsid w:val="5B071AB3"/>
    <w:rsid w:val="5B28184F"/>
    <w:rsid w:val="5B31425D"/>
    <w:rsid w:val="5B3E042E"/>
    <w:rsid w:val="5B433C96"/>
    <w:rsid w:val="5B5163B3"/>
    <w:rsid w:val="5B644A23"/>
    <w:rsid w:val="5B650D9F"/>
    <w:rsid w:val="5B70610D"/>
    <w:rsid w:val="5B7C4A30"/>
    <w:rsid w:val="5B835E40"/>
    <w:rsid w:val="5B94782C"/>
    <w:rsid w:val="5B9B5880"/>
    <w:rsid w:val="5BDE0537"/>
    <w:rsid w:val="5BED4D57"/>
    <w:rsid w:val="5C0D2396"/>
    <w:rsid w:val="5C2A578C"/>
    <w:rsid w:val="5C34586C"/>
    <w:rsid w:val="5C3A1D29"/>
    <w:rsid w:val="5C5D30F4"/>
    <w:rsid w:val="5C817072"/>
    <w:rsid w:val="5C902F0B"/>
    <w:rsid w:val="5C9304DA"/>
    <w:rsid w:val="5CB564CD"/>
    <w:rsid w:val="5CC7539F"/>
    <w:rsid w:val="5CEA7FA9"/>
    <w:rsid w:val="5D35760E"/>
    <w:rsid w:val="5D3A50DF"/>
    <w:rsid w:val="5D4D387D"/>
    <w:rsid w:val="5D577585"/>
    <w:rsid w:val="5D646797"/>
    <w:rsid w:val="5D6851F5"/>
    <w:rsid w:val="5D7A3273"/>
    <w:rsid w:val="5E2254EE"/>
    <w:rsid w:val="5E3C677A"/>
    <w:rsid w:val="5E3E24F3"/>
    <w:rsid w:val="5E531B97"/>
    <w:rsid w:val="5E6B54B1"/>
    <w:rsid w:val="5EB379E0"/>
    <w:rsid w:val="5EBD7285"/>
    <w:rsid w:val="5EC85701"/>
    <w:rsid w:val="5ED77613"/>
    <w:rsid w:val="5EF43590"/>
    <w:rsid w:val="5EFA0A12"/>
    <w:rsid w:val="5F0337AE"/>
    <w:rsid w:val="5F144DEA"/>
    <w:rsid w:val="5F317957"/>
    <w:rsid w:val="5F7E3018"/>
    <w:rsid w:val="5F8E1258"/>
    <w:rsid w:val="60243AEA"/>
    <w:rsid w:val="60397415"/>
    <w:rsid w:val="60402552"/>
    <w:rsid w:val="60455DBA"/>
    <w:rsid w:val="60554E30"/>
    <w:rsid w:val="60844B35"/>
    <w:rsid w:val="60A461F2"/>
    <w:rsid w:val="60AE3960"/>
    <w:rsid w:val="60C531B3"/>
    <w:rsid w:val="60DD4A82"/>
    <w:rsid w:val="60F1388E"/>
    <w:rsid w:val="60FA4DF7"/>
    <w:rsid w:val="60FB7781"/>
    <w:rsid w:val="610E08A2"/>
    <w:rsid w:val="61214226"/>
    <w:rsid w:val="61333E65"/>
    <w:rsid w:val="61342A4A"/>
    <w:rsid w:val="616B02CD"/>
    <w:rsid w:val="61A134C4"/>
    <w:rsid w:val="61A77079"/>
    <w:rsid w:val="61DA61FE"/>
    <w:rsid w:val="61EE5FDE"/>
    <w:rsid w:val="61FE4473"/>
    <w:rsid w:val="62514EEA"/>
    <w:rsid w:val="62600C89"/>
    <w:rsid w:val="626F0699"/>
    <w:rsid w:val="62A35517"/>
    <w:rsid w:val="62A41BB4"/>
    <w:rsid w:val="62A82D70"/>
    <w:rsid w:val="62A96AD4"/>
    <w:rsid w:val="62B92A90"/>
    <w:rsid w:val="62BE1E54"/>
    <w:rsid w:val="62D6732E"/>
    <w:rsid w:val="62F052D2"/>
    <w:rsid w:val="62F4609A"/>
    <w:rsid w:val="63041F5D"/>
    <w:rsid w:val="630B32EB"/>
    <w:rsid w:val="635527B8"/>
    <w:rsid w:val="635C0E45"/>
    <w:rsid w:val="636659DA"/>
    <w:rsid w:val="6367377F"/>
    <w:rsid w:val="638279B4"/>
    <w:rsid w:val="639473F3"/>
    <w:rsid w:val="639C64A0"/>
    <w:rsid w:val="63C54BC1"/>
    <w:rsid w:val="63DD6563"/>
    <w:rsid w:val="63E853DA"/>
    <w:rsid w:val="640D3ADF"/>
    <w:rsid w:val="641235FA"/>
    <w:rsid w:val="64124205"/>
    <w:rsid w:val="641B438D"/>
    <w:rsid w:val="641F5EA8"/>
    <w:rsid w:val="642372D3"/>
    <w:rsid w:val="642503DD"/>
    <w:rsid w:val="645B6C72"/>
    <w:rsid w:val="646C0914"/>
    <w:rsid w:val="64852C29"/>
    <w:rsid w:val="648C78E7"/>
    <w:rsid w:val="64B03C3F"/>
    <w:rsid w:val="64BD7D3B"/>
    <w:rsid w:val="64BE25DF"/>
    <w:rsid w:val="64E10FFC"/>
    <w:rsid w:val="65000502"/>
    <w:rsid w:val="651708B8"/>
    <w:rsid w:val="652E1513"/>
    <w:rsid w:val="65454382"/>
    <w:rsid w:val="65532D27"/>
    <w:rsid w:val="655D7FBE"/>
    <w:rsid w:val="65640A91"/>
    <w:rsid w:val="65911D40"/>
    <w:rsid w:val="65C14135"/>
    <w:rsid w:val="65E6594A"/>
    <w:rsid w:val="65F24568"/>
    <w:rsid w:val="65F97079"/>
    <w:rsid w:val="65FF1E91"/>
    <w:rsid w:val="66154481"/>
    <w:rsid w:val="664A6492"/>
    <w:rsid w:val="665705F5"/>
    <w:rsid w:val="66650F64"/>
    <w:rsid w:val="6672630C"/>
    <w:rsid w:val="667F4F0E"/>
    <w:rsid w:val="669B46E7"/>
    <w:rsid w:val="66D32372"/>
    <w:rsid w:val="66D41C46"/>
    <w:rsid w:val="66F928BE"/>
    <w:rsid w:val="674212A6"/>
    <w:rsid w:val="67472418"/>
    <w:rsid w:val="67917B37"/>
    <w:rsid w:val="67A755AC"/>
    <w:rsid w:val="67B010BC"/>
    <w:rsid w:val="67B657F0"/>
    <w:rsid w:val="67C40077"/>
    <w:rsid w:val="67CF52F1"/>
    <w:rsid w:val="682F27E3"/>
    <w:rsid w:val="68727968"/>
    <w:rsid w:val="68BB4E93"/>
    <w:rsid w:val="68C86C1E"/>
    <w:rsid w:val="68C966C7"/>
    <w:rsid w:val="68F70246"/>
    <w:rsid w:val="69143F32"/>
    <w:rsid w:val="69286279"/>
    <w:rsid w:val="693E3CEF"/>
    <w:rsid w:val="6959602B"/>
    <w:rsid w:val="697C0F04"/>
    <w:rsid w:val="69A43B52"/>
    <w:rsid w:val="69A77179"/>
    <w:rsid w:val="69DA3A17"/>
    <w:rsid w:val="69E45686"/>
    <w:rsid w:val="69F767C2"/>
    <w:rsid w:val="6A2922A9"/>
    <w:rsid w:val="6A3A6264"/>
    <w:rsid w:val="6A3D7B02"/>
    <w:rsid w:val="6A5512F0"/>
    <w:rsid w:val="6A750417"/>
    <w:rsid w:val="6A7A0B7A"/>
    <w:rsid w:val="6A7B2288"/>
    <w:rsid w:val="6A9F17ED"/>
    <w:rsid w:val="6ABD617F"/>
    <w:rsid w:val="6AC25622"/>
    <w:rsid w:val="6AEC3960"/>
    <w:rsid w:val="6B122D3D"/>
    <w:rsid w:val="6B57195A"/>
    <w:rsid w:val="6B6537B4"/>
    <w:rsid w:val="6B715CB5"/>
    <w:rsid w:val="6B8320C0"/>
    <w:rsid w:val="6B855C05"/>
    <w:rsid w:val="6BD154CC"/>
    <w:rsid w:val="6BDF4621"/>
    <w:rsid w:val="6BE10B92"/>
    <w:rsid w:val="6BE446D9"/>
    <w:rsid w:val="6BEC7A32"/>
    <w:rsid w:val="6C1A634D"/>
    <w:rsid w:val="6C305C8F"/>
    <w:rsid w:val="6C354FE2"/>
    <w:rsid w:val="6C6905AE"/>
    <w:rsid w:val="6CAF2C3A"/>
    <w:rsid w:val="6CB5251A"/>
    <w:rsid w:val="6CBC7404"/>
    <w:rsid w:val="6CC92D08"/>
    <w:rsid w:val="6CCC6520"/>
    <w:rsid w:val="6CF84AFB"/>
    <w:rsid w:val="6D101F46"/>
    <w:rsid w:val="6D54506F"/>
    <w:rsid w:val="6D7C6B93"/>
    <w:rsid w:val="6D805845"/>
    <w:rsid w:val="6E071562"/>
    <w:rsid w:val="6E13574A"/>
    <w:rsid w:val="6E165BD9"/>
    <w:rsid w:val="6E1967BA"/>
    <w:rsid w:val="6E29477C"/>
    <w:rsid w:val="6E3556C0"/>
    <w:rsid w:val="6E3A43B9"/>
    <w:rsid w:val="6E4B0A38"/>
    <w:rsid w:val="6E906D9A"/>
    <w:rsid w:val="6EBC7B8F"/>
    <w:rsid w:val="6ED4144E"/>
    <w:rsid w:val="6EE028B7"/>
    <w:rsid w:val="6EE721AB"/>
    <w:rsid w:val="6F0143B1"/>
    <w:rsid w:val="6F083740"/>
    <w:rsid w:val="6F172914"/>
    <w:rsid w:val="6FD63CDD"/>
    <w:rsid w:val="6FE105F2"/>
    <w:rsid w:val="6FEE03BB"/>
    <w:rsid w:val="6FFF26AD"/>
    <w:rsid w:val="70051ADB"/>
    <w:rsid w:val="706E4EB9"/>
    <w:rsid w:val="708727AC"/>
    <w:rsid w:val="7089584F"/>
    <w:rsid w:val="70950698"/>
    <w:rsid w:val="70955915"/>
    <w:rsid w:val="70C04FE9"/>
    <w:rsid w:val="70C31D6B"/>
    <w:rsid w:val="70C525FF"/>
    <w:rsid w:val="70E64A50"/>
    <w:rsid w:val="70F74CDB"/>
    <w:rsid w:val="712210AB"/>
    <w:rsid w:val="712D491D"/>
    <w:rsid w:val="71680632"/>
    <w:rsid w:val="717C53B4"/>
    <w:rsid w:val="71904B0C"/>
    <w:rsid w:val="71A010A2"/>
    <w:rsid w:val="71C73801"/>
    <w:rsid w:val="71CD0CB1"/>
    <w:rsid w:val="71DC40A5"/>
    <w:rsid w:val="71E51B16"/>
    <w:rsid w:val="71E847F7"/>
    <w:rsid w:val="71F92460"/>
    <w:rsid w:val="721E268A"/>
    <w:rsid w:val="722E5429"/>
    <w:rsid w:val="7233601F"/>
    <w:rsid w:val="72347A17"/>
    <w:rsid w:val="723B526F"/>
    <w:rsid w:val="726F6CC7"/>
    <w:rsid w:val="727A179E"/>
    <w:rsid w:val="727B38BE"/>
    <w:rsid w:val="728B5CD6"/>
    <w:rsid w:val="72B34E05"/>
    <w:rsid w:val="72B56DCF"/>
    <w:rsid w:val="72D134DE"/>
    <w:rsid w:val="72D80D10"/>
    <w:rsid w:val="72DB7DD6"/>
    <w:rsid w:val="731735E6"/>
    <w:rsid w:val="73262214"/>
    <w:rsid w:val="733A67CD"/>
    <w:rsid w:val="736F095A"/>
    <w:rsid w:val="7375030D"/>
    <w:rsid w:val="73DA13E5"/>
    <w:rsid w:val="73DE78B6"/>
    <w:rsid w:val="73E11791"/>
    <w:rsid w:val="73E8397D"/>
    <w:rsid w:val="73F166B8"/>
    <w:rsid w:val="74033665"/>
    <w:rsid w:val="740D2781"/>
    <w:rsid w:val="744C0E93"/>
    <w:rsid w:val="74533F62"/>
    <w:rsid w:val="745374F7"/>
    <w:rsid w:val="74891E24"/>
    <w:rsid w:val="74B17A6A"/>
    <w:rsid w:val="74C552BF"/>
    <w:rsid w:val="74D177C5"/>
    <w:rsid w:val="74EF066E"/>
    <w:rsid w:val="74F87447"/>
    <w:rsid w:val="750B717B"/>
    <w:rsid w:val="753A7A60"/>
    <w:rsid w:val="7548217D"/>
    <w:rsid w:val="75492412"/>
    <w:rsid w:val="75631015"/>
    <w:rsid w:val="75886F8B"/>
    <w:rsid w:val="75CB6EB8"/>
    <w:rsid w:val="75F6664F"/>
    <w:rsid w:val="76612DCA"/>
    <w:rsid w:val="766F7295"/>
    <w:rsid w:val="76724FD8"/>
    <w:rsid w:val="76B61368"/>
    <w:rsid w:val="76BD44A5"/>
    <w:rsid w:val="76C667BC"/>
    <w:rsid w:val="76D75E34"/>
    <w:rsid w:val="76E2215D"/>
    <w:rsid w:val="76EB0BA9"/>
    <w:rsid w:val="77212C85"/>
    <w:rsid w:val="774A27DE"/>
    <w:rsid w:val="77646FC0"/>
    <w:rsid w:val="776C1A27"/>
    <w:rsid w:val="776F0CF3"/>
    <w:rsid w:val="77732DB5"/>
    <w:rsid w:val="77840F6C"/>
    <w:rsid w:val="77876861"/>
    <w:rsid w:val="778F5FCB"/>
    <w:rsid w:val="77A2161B"/>
    <w:rsid w:val="77A621AC"/>
    <w:rsid w:val="77B353F1"/>
    <w:rsid w:val="77CD4BBB"/>
    <w:rsid w:val="78405FDD"/>
    <w:rsid w:val="785D5BF2"/>
    <w:rsid w:val="786C7F30"/>
    <w:rsid w:val="78992912"/>
    <w:rsid w:val="78D750E8"/>
    <w:rsid w:val="78DB67FF"/>
    <w:rsid w:val="78E026CC"/>
    <w:rsid w:val="79CD0EA3"/>
    <w:rsid w:val="79FE79DA"/>
    <w:rsid w:val="79FF4DD4"/>
    <w:rsid w:val="7A127B9E"/>
    <w:rsid w:val="7A252A8D"/>
    <w:rsid w:val="7A291E51"/>
    <w:rsid w:val="7A2F56B9"/>
    <w:rsid w:val="7A304F8E"/>
    <w:rsid w:val="7A342CD0"/>
    <w:rsid w:val="7A4C797B"/>
    <w:rsid w:val="7A515AA2"/>
    <w:rsid w:val="7A665F33"/>
    <w:rsid w:val="7A717781"/>
    <w:rsid w:val="7A735C17"/>
    <w:rsid w:val="7A7B000A"/>
    <w:rsid w:val="7A87102F"/>
    <w:rsid w:val="7A887546"/>
    <w:rsid w:val="7A8D418E"/>
    <w:rsid w:val="7A9719D9"/>
    <w:rsid w:val="7A99244D"/>
    <w:rsid w:val="7AA71D7C"/>
    <w:rsid w:val="7AAD5FEE"/>
    <w:rsid w:val="7ABA3AA8"/>
    <w:rsid w:val="7B191EC6"/>
    <w:rsid w:val="7B3B008E"/>
    <w:rsid w:val="7B4C6168"/>
    <w:rsid w:val="7B6F1AE6"/>
    <w:rsid w:val="7B737828"/>
    <w:rsid w:val="7B9638E8"/>
    <w:rsid w:val="7B9A223B"/>
    <w:rsid w:val="7BAB4C32"/>
    <w:rsid w:val="7BCB4AE2"/>
    <w:rsid w:val="7BEB5610"/>
    <w:rsid w:val="7BF06666"/>
    <w:rsid w:val="7BF9402F"/>
    <w:rsid w:val="7C044924"/>
    <w:rsid w:val="7C0900EB"/>
    <w:rsid w:val="7C2A29F8"/>
    <w:rsid w:val="7C4D4974"/>
    <w:rsid w:val="7C5A2180"/>
    <w:rsid w:val="7C5B09E8"/>
    <w:rsid w:val="7CAD66A6"/>
    <w:rsid w:val="7CB15915"/>
    <w:rsid w:val="7CE309DD"/>
    <w:rsid w:val="7CF312BE"/>
    <w:rsid w:val="7D133397"/>
    <w:rsid w:val="7D287CAD"/>
    <w:rsid w:val="7D382289"/>
    <w:rsid w:val="7D6C09D3"/>
    <w:rsid w:val="7D9120E2"/>
    <w:rsid w:val="7DCF4ABD"/>
    <w:rsid w:val="7E3A6EB0"/>
    <w:rsid w:val="7E5C0A47"/>
    <w:rsid w:val="7E695E0F"/>
    <w:rsid w:val="7E7421DD"/>
    <w:rsid w:val="7E910D86"/>
    <w:rsid w:val="7E951ADF"/>
    <w:rsid w:val="7ED54355"/>
    <w:rsid w:val="7F1629A4"/>
    <w:rsid w:val="7F800765"/>
    <w:rsid w:val="7F945FBF"/>
    <w:rsid w:val="7F991773"/>
    <w:rsid w:val="7FD003CD"/>
    <w:rsid w:val="7FD16703"/>
    <w:rsid w:val="7FE629AD"/>
    <w:rsid w:val="7FF97519"/>
    <w:rsid w:val="A9976DAD"/>
    <w:rsid w:val="B5BDFA0D"/>
    <w:rsid w:val="BEF76702"/>
    <w:rsid w:val="BF3BEBE7"/>
    <w:rsid w:val="FDF8C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27"/>
    <w:qFormat/>
    <w:uiPriority w:val="0"/>
    <w:pPr>
      <w:keepNext/>
      <w:keepLines/>
      <w:spacing w:before="260" w:after="260" w:line="416" w:lineRule="auto"/>
      <w:outlineLvl w:val="2"/>
    </w:pPr>
    <w:rPr>
      <w:b/>
      <w:bCs/>
      <w:sz w:val="32"/>
      <w:szCs w:val="32"/>
    </w:rPr>
  </w:style>
  <w:style w:type="paragraph" w:styleId="5">
    <w:name w:val="heading 4"/>
    <w:basedOn w:val="1"/>
    <w:next w:val="1"/>
    <w:link w:val="191"/>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link w:val="30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206"/>
    <w:qFormat/>
    <w:uiPriority w:val="0"/>
    <w:pPr>
      <w:keepNext/>
      <w:keepLines/>
      <w:ind w:firstLine="200" w:firstLineChars="200"/>
      <w:outlineLvl w:val="5"/>
    </w:pPr>
    <w:rPr>
      <w:rFonts w:hAnsi="Arial"/>
    </w:rPr>
  </w:style>
  <w:style w:type="paragraph" w:styleId="9">
    <w:name w:val="heading 7"/>
    <w:basedOn w:val="1"/>
    <w:next w:val="1"/>
    <w:link w:val="28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7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List 3"/>
    <w:basedOn w:val="1"/>
    <w:next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15"/>
    <w:qFormat/>
    <w:uiPriority w:val="0"/>
    <w:pPr>
      <w:shd w:val="clear" w:color="auto" w:fill="000080"/>
    </w:pPr>
  </w:style>
  <w:style w:type="paragraph" w:styleId="16">
    <w:name w:val="annotation text"/>
    <w:basedOn w:val="1"/>
    <w:link w:val="299"/>
    <w:qFormat/>
    <w:uiPriority w:val="99"/>
    <w:pPr>
      <w:jc w:val="left"/>
    </w:pPr>
  </w:style>
  <w:style w:type="paragraph" w:styleId="17">
    <w:name w:val="Body Text 3"/>
    <w:basedOn w:val="1"/>
    <w:link w:val="318"/>
    <w:qFormat/>
    <w:uiPriority w:val="0"/>
    <w:pPr>
      <w:spacing w:after="120"/>
    </w:pPr>
    <w:rPr>
      <w:sz w:val="16"/>
      <w:szCs w:val="16"/>
    </w:rPr>
  </w:style>
  <w:style w:type="paragraph" w:styleId="18">
    <w:name w:val="Body Text"/>
    <w:basedOn w:val="1"/>
    <w:next w:val="1"/>
    <w:link w:val="225"/>
    <w:qFormat/>
    <w:uiPriority w:val="0"/>
    <w:pPr>
      <w:spacing w:after="120"/>
    </w:pPr>
  </w:style>
  <w:style w:type="paragraph" w:styleId="19">
    <w:name w:val="Body Text Indent"/>
    <w:basedOn w:val="1"/>
    <w:link w:val="27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1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70"/>
    <w:qFormat/>
    <w:uiPriority w:val="0"/>
    <w:pPr>
      <w:ind w:left="100" w:leftChars="2500"/>
    </w:pPr>
  </w:style>
  <w:style w:type="paragraph" w:styleId="27">
    <w:name w:val="Body Text Indent 2"/>
    <w:basedOn w:val="1"/>
    <w:link w:val="281"/>
    <w:qFormat/>
    <w:uiPriority w:val="0"/>
    <w:pPr>
      <w:widowControl/>
      <w:spacing w:line="480" w:lineRule="auto"/>
      <w:ind w:firstLine="560"/>
      <w:jc w:val="left"/>
    </w:pPr>
    <w:rPr>
      <w:kern w:val="0"/>
      <w:sz w:val="28"/>
    </w:rPr>
  </w:style>
  <w:style w:type="paragraph" w:styleId="28">
    <w:name w:val="endnote text"/>
    <w:basedOn w:val="1"/>
    <w:link w:val="193"/>
    <w:qFormat/>
    <w:uiPriority w:val="0"/>
    <w:pPr>
      <w:widowControl/>
      <w:snapToGrid w:val="0"/>
      <w:jc w:val="left"/>
    </w:pPr>
    <w:rPr>
      <w:rFonts w:ascii="Arial" w:hAnsi="Arial" w:cs="Arial"/>
      <w:kern w:val="0"/>
      <w:sz w:val="20"/>
      <w:lang w:eastAsia="en-US"/>
    </w:rPr>
  </w:style>
  <w:style w:type="paragraph" w:styleId="29">
    <w:name w:val="Balloon Text"/>
    <w:basedOn w:val="1"/>
    <w:link w:val="219"/>
    <w:qFormat/>
    <w:uiPriority w:val="0"/>
    <w:rPr>
      <w:sz w:val="18"/>
      <w:szCs w:val="18"/>
    </w:rPr>
  </w:style>
  <w:style w:type="paragraph" w:styleId="30">
    <w:name w:val="footer"/>
    <w:basedOn w:val="1"/>
    <w:link w:val="207"/>
    <w:qFormat/>
    <w:uiPriority w:val="0"/>
    <w:pPr>
      <w:tabs>
        <w:tab w:val="center" w:pos="4153"/>
        <w:tab w:val="right" w:pos="8306"/>
      </w:tabs>
      <w:snapToGrid w:val="0"/>
      <w:jc w:val="left"/>
    </w:pPr>
    <w:rPr>
      <w:sz w:val="18"/>
      <w:szCs w:val="18"/>
    </w:rPr>
  </w:style>
  <w:style w:type="paragraph" w:styleId="31">
    <w:name w:val="header"/>
    <w:basedOn w:val="1"/>
    <w:link w:val="24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11"/>
    <w:qFormat/>
    <w:uiPriority w:val="0"/>
    <w:pPr>
      <w:widowControl/>
      <w:jc w:val="center"/>
    </w:pPr>
    <w:rPr>
      <w:kern w:val="0"/>
      <w:sz w:val="20"/>
      <w:u w:val="single"/>
      <w:lang w:eastAsia="en-US"/>
    </w:rPr>
  </w:style>
  <w:style w:type="paragraph" w:styleId="35">
    <w:name w:val="footnote text"/>
    <w:basedOn w:val="1"/>
    <w:link w:val="227"/>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8"/>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74"/>
    <w:qFormat/>
    <w:uiPriority w:val="0"/>
    <w:rPr>
      <w:i/>
      <w:iCs/>
      <w:sz w:val="26"/>
    </w:rPr>
  </w:style>
  <w:style w:type="paragraph" w:styleId="41">
    <w:name w:val="HTML Preformatted"/>
    <w:basedOn w:val="1"/>
    <w:link w:val="18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22"/>
    <w:qFormat/>
    <w:uiPriority w:val="0"/>
    <w:pPr>
      <w:widowControl/>
      <w:jc w:val="center"/>
    </w:pPr>
    <w:rPr>
      <w:kern w:val="0"/>
      <w:sz w:val="20"/>
      <w:u w:val="single"/>
      <w:lang w:eastAsia="en-US"/>
    </w:rPr>
  </w:style>
  <w:style w:type="paragraph" w:styleId="45">
    <w:name w:val="annotation subject"/>
    <w:basedOn w:val="16"/>
    <w:next w:val="16"/>
    <w:link w:val="273"/>
    <w:qFormat/>
    <w:uiPriority w:val="0"/>
    <w:rPr>
      <w:b/>
      <w:bCs/>
    </w:rPr>
  </w:style>
  <w:style w:type="paragraph" w:styleId="46">
    <w:name w:val="Body Text First Indent"/>
    <w:basedOn w:val="1"/>
    <w:next w:val="12"/>
    <w:qFormat/>
    <w:uiPriority w:val="0"/>
    <w:pPr>
      <w:spacing w:line="360" w:lineRule="auto"/>
      <w:ind w:firstLine="420"/>
    </w:pPr>
    <w:rPr>
      <w:rFonts w:ascii="宋体" w:hAnsi="宋体"/>
      <w:sz w:val="24"/>
    </w:rPr>
  </w:style>
  <w:style w:type="paragraph" w:styleId="47">
    <w:name w:val="Body Text First Indent 2"/>
    <w:basedOn w:val="19"/>
    <w:unhideWhenUsed/>
    <w:qFormat/>
    <w:uiPriority w:val="99"/>
    <w:pPr>
      <w:spacing w:after="120"/>
      <w:ind w:left="200" w:leftChars="200" w:firstLine="420"/>
    </w:p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qFormat/>
    <w:uiPriority w:val="99"/>
    <w:rPr>
      <w:color w:val="0000FF"/>
      <w:u w:val="single"/>
    </w:rPr>
  </w:style>
  <w:style w:type="character" w:styleId="61">
    <w:name w:val="HTML Code"/>
    <w:basedOn w:val="50"/>
    <w:qFormat/>
    <w:uiPriority w:val="0"/>
    <w:rPr>
      <w:rFonts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hint="default"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样式1"/>
    <w:basedOn w:val="1"/>
    <w:next w:val="5"/>
    <w:qFormat/>
    <w:uiPriority w:val="0"/>
    <w:pPr>
      <w:spacing w:line="360" w:lineRule="auto"/>
      <w:ind w:firstLine="420" w:firstLineChars="200"/>
    </w:pPr>
    <w:rPr>
      <w:rFonts w:ascii="宋体" w:hAnsi="宋体"/>
      <w:szCs w:val="21"/>
    </w:rPr>
  </w:style>
  <w:style w:type="character" w:customStyle="1" w:styleId="68">
    <w:name w:val="标题 2 字符"/>
    <w:link w:val="3"/>
    <w:qFormat/>
    <w:uiPriority w:val="0"/>
    <w:rPr>
      <w:rFonts w:ascii="Cambria" w:hAnsi="Cambria" w:eastAsia="宋体"/>
      <w:b/>
      <w:bCs/>
      <w:kern w:val="2"/>
      <w:sz w:val="32"/>
      <w:szCs w:val="32"/>
      <w:lang w:val="en-US" w:eastAsia="zh-CN" w:bidi="ar-SA"/>
    </w:rPr>
  </w:style>
  <w:style w:type="character" w:customStyle="1" w:styleId="69">
    <w:name w:val="标题 1 Char"/>
    <w:qFormat/>
    <w:uiPriority w:val="0"/>
    <w:rPr>
      <w:rFonts w:ascii="Times New Roman" w:hAnsi="Times New Roman" w:eastAsia="宋体" w:cs="Times New Roman"/>
      <w:b/>
      <w:bCs/>
      <w:kern w:val="44"/>
      <w:sz w:val="44"/>
      <w:szCs w:val="44"/>
    </w:rPr>
  </w:style>
  <w:style w:type="character" w:customStyle="1" w:styleId="70">
    <w:name w:val="标题 2 Char"/>
    <w:qFormat/>
    <w:uiPriority w:val="0"/>
    <w:rPr>
      <w:rFonts w:ascii="仿宋_GB2312" w:hAnsi="Calibri" w:eastAsia="仿宋_GB2312" w:cs="Times New Roman"/>
      <w:b/>
      <w:spacing w:val="1"/>
      <w:w w:val="99"/>
      <w:kern w:val="0"/>
      <w:sz w:val="28"/>
      <w:szCs w:val="32"/>
    </w:rPr>
  </w:style>
  <w:style w:type="paragraph" w:customStyle="1" w:styleId="7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72">
    <w:name w:val="_Style 101"/>
    <w:basedOn w:val="1"/>
    <w:qFormat/>
    <w:uiPriority w:val="99"/>
    <w:pPr>
      <w:ind w:firstLine="420" w:firstLineChars="200"/>
    </w:pPr>
    <w:rPr>
      <w:sz w:val="28"/>
      <w:szCs w:val="28"/>
    </w:rPr>
  </w:style>
  <w:style w:type="paragraph" w:customStyle="1" w:styleId="73">
    <w:name w:val="表格标题"/>
    <w:basedOn w:val="74"/>
    <w:qFormat/>
    <w:uiPriority w:val="0"/>
  </w:style>
  <w:style w:type="paragraph" w:customStyle="1" w:styleId="74">
    <w:name w:val="表格内容"/>
    <w:basedOn w:val="1"/>
    <w:qFormat/>
    <w:uiPriority w:val="0"/>
    <w:pPr>
      <w:suppressLineNumbers/>
      <w:suppressAutoHyphens/>
    </w:pPr>
  </w:style>
  <w:style w:type="paragraph" w:customStyle="1" w:styleId="7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6">
    <w:name w:val="修订1"/>
    <w:qFormat/>
    <w:uiPriority w:val="0"/>
    <w:rPr>
      <w:rFonts w:ascii="Times New Roman" w:hAnsi="Times New Roman" w:eastAsia="宋体" w:cs="Times New Roman"/>
      <w:kern w:val="2"/>
      <w:sz w:val="21"/>
      <w:szCs w:val="24"/>
      <w:lang w:val="en-US" w:eastAsia="zh-CN" w:bidi="ar-SA"/>
    </w:rPr>
  </w:style>
  <w:style w:type="paragraph" w:customStyle="1" w:styleId="7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8">
    <w:name w:val="标准样式1"/>
    <w:basedOn w:val="1"/>
    <w:qFormat/>
    <w:uiPriority w:val="0"/>
    <w:pPr>
      <w:spacing w:line="600" w:lineRule="exact"/>
      <w:ind w:firstLine="567"/>
    </w:pPr>
    <w:rPr>
      <w:rFonts w:ascii="Calibri" w:hAnsi="Calibri"/>
      <w:sz w:val="28"/>
    </w:rPr>
  </w:style>
  <w:style w:type="paragraph" w:customStyle="1" w:styleId="79">
    <w:name w:val="列出段落11"/>
    <w:basedOn w:val="1"/>
    <w:qFormat/>
    <w:uiPriority w:val="0"/>
    <w:pPr>
      <w:ind w:firstLine="420" w:firstLineChars="200"/>
    </w:pPr>
    <w:rPr>
      <w:sz w:val="28"/>
      <w:szCs w:val="28"/>
    </w:rPr>
  </w:style>
  <w:style w:type="paragraph" w:customStyle="1" w:styleId="80">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1">
    <w:name w:val="WW-表格标题"/>
    <w:basedOn w:val="82"/>
    <w:qFormat/>
    <w:uiPriority w:val="0"/>
  </w:style>
  <w:style w:type="paragraph" w:customStyle="1" w:styleId="82">
    <w:name w:val="WW-表格内容"/>
    <w:basedOn w:val="1"/>
    <w:qFormat/>
    <w:uiPriority w:val="0"/>
    <w:pPr>
      <w:suppressLineNumbers/>
      <w:suppressAutoHyphens/>
    </w:pPr>
  </w:style>
  <w:style w:type="paragraph" w:customStyle="1" w:styleId="83">
    <w:name w:val="引用2"/>
    <w:basedOn w:val="1"/>
    <w:next w:val="1"/>
    <w:link w:val="310"/>
    <w:qFormat/>
    <w:uiPriority w:val="0"/>
    <w:rPr>
      <w:i/>
      <w:iCs/>
      <w:color w:val="000000"/>
    </w:rPr>
  </w:style>
  <w:style w:type="paragraph" w:customStyle="1" w:styleId="8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6">
    <w:name w:val="Char Char Char Char"/>
    <w:basedOn w:val="15"/>
    <w:qFormat/>
    <w:uiPriority w:val="0"/>
    <w:pPr>
      <w:spacing w:line="360" w:lineRule="auto"/>
      <w:ind w:firstLine="200" w:firstLineChars="200"/>
    </w:pPr>
    <w:rPr>
      <w:rFonts w:ascii="Tahoma" w:hAnsi="Tahoma"/>
      <w:sz w:val="24"/>
    </w:rPr>
  </w:style>
  <w:style w:type="paragraph" w:customStyle="1" w:styleId="87">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9">
    <w:name w:val="p16"/>
    <w:basedOn w:val="1"/>
    <w:qFormat/>
    <w:uiPriority w:val="0"/>
    <w:pPr>
      <w:widowControl/>
    </w:pPr>
    <w:rPr>
      <w:rFonts w:ascii="Calibri" w:hAnsi="Calibri" w:cs="宋体"/>
      <w:kern w:val="0"/>
      <w:szCs w:val="21"/>
    </w:rPr>
  </w:style>
  <w:style w:type="paragraph" w:customStyle="1" w:styleId="90">
    <w:name w:val="列出段落1"/>
    <w:basedOn w:val="1"/>
    <w:qFormat/>
    <w:uiPriority w:val="0"/>
    <w:pPr>
      <w:ind w:firstLine="420" w:firstLineChars="200"/>
    </w:pPr>
    <w:rPr>
      <w:sz w:val="28"/>
      <w:szCs w:val="28"/>
    </w:rPr>
  </w:style>
  <w:style w:type="paragraph" w:customStyle="1" w:styleId="9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92">
    <w:name w:val="Char9 Char Char Char Char Char Char"/>
    <w:basedOn w:val="15"/>
    <w:qFormat/>
    <w:uiPriority w:val="0"/>
    <w:pPr>
      <w:spacing w:line="360" w:lineRule="auto"/>
      <w:ind w:firstLine="200" w:firstLineChars="200"/>
    </w:pPr>
    <w:rPr>
      <w:rFonts w:ascii="Tahoma" w:hAnsi="Tahoma"/>
      <w:sz w:val="24"/>
    </w:rPr>
  </w:style>
  <w:style w:type="paragraph" w:customStyle="1" w:styleId="9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94">
    <w:name w:val="引用1"/>
    <w:basedOn w:val="1"/>
    <w:next w:val="1"/>
    <w:link w:val="163"/>
    <w:qFormat/>
    <w:uiPriority w:val="29"/>
    <w:rPr>
      <w:i/>
      <w:iCs/>
      <w:color w:val="000000"/>
      <w:szCs w:val="20"/>
    </w:rPr>
  </w:style>
  <w:style w:type="paragraph" w:customStyle="1" w:styleId="95">
    <w:name w:val="表格文字"/>
    <w:basedOn w:val="1"/>
    <w:qFormat/>
    <w:uiPriority w:val="0"/>
    <w:pPr>
      <w:adjustRightInd w:val="0"/>
      <w:spacing w:line="420" w:lineRule="atLeast"/>
      <w:jc w:val="left"/>
      <w:textAlignment w:val="baseline"/>
    </w:pPr>
    <w:rPr>
      <w:kern w:val="0"/>
      <w:szCs w:val="20"/>
    </w:rPr>
  </w:style>
  <w:style w:type="paragraph" w:customStyle="1" w:styleId="96">
    <w:name w:val="_Style 96"/>
    <w:semiHidden/>
    <w:qFormat/>
    <w:uiPriority w:val="99"/>
    <w:rPr>
      <w:rFonts w:ascii="Calibri" w:hAnsi="Calibri" w:eastAsia="宋体" w:cs="Times New Roman"/>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98">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9">
    <w:name w:val="正  文"/>
    <w:basedOn w:val="1"/>
    <w:qFormat/>
    <w:uiPriority w:val="0"/>
    <w:pPr>
      <w:spacing w:line="360" w:lineRule="auto"/>
      <w:ind w:firstLine="200" w:firstLineChars="200"/>
    </w:pPr>
    <w:rPr>
      <w:rFonts w:ascii="宋体" w:hAnsi="Calibri"/>
      <w:sz w:val="24"/>
    </w:rPr>
  </w:style>
  <w:style w:type="paragraph" w:customStyle="1" w:styleId="100">
    <w:name w:val="标题4"/>
    <w:basedOn w:val="3"/>
    <w:next w:val="21"/>
    <w:link w:val="254"/>
    <w:qFormat/>
    <w:uiPriority w:val="0"/>
    <w:pPr>
      <w:spacing w:line="413" w:lineRule="auto"/>
    </w:pPr>
    <w:rPr>
      <w:rFonts w:ascii="Arial" w:hAnsi="Arial"/>
      <w:kern w:val="0"/>
      <w:sz w:val="24"/>
    </w:rPr>
  </w:style>
  <w:style w:type="paragraph" w:customStyle="1" w:styleId="101">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0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8">
    <w:name w:val="1 Char"/>
    <w:basedOn w:val="1"/>
    <w:qFormat/>
    <w:uiPriority w:val="0"/>
    <w:pPr>
      <w:widowControl/>
      <w:spacing w:after="160" w:line="240" w:lineRule="exact"/>
      <w:jc w:val="left"/>
    </w:pPr>
    <w:rPr>
      <w:rFonts w:ascii="Calibri" w:hAnsi="Calibri"/>
      <w:szCs w:val="20"/>
    </w:rPr>
  </w:style>
  <w:style w:type="paragraph" w:customStyle="1" w:styleId="10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10">
    <w:name w:val="pa-34"/>
    <w:basedOn w:val="1"/>
    <w:qFormat/>
    <w:uiPriority w:val="0"/>
    <w:pPr>
      <w:widowControl/>
      <w:spacing w:line="360" w:lineRule="atLeast"/>
      <w:ind w:firstLine="420"/>
      <w:jc w:val="left"/>
    </w:pPr>
    <w:rPr>
      <w:rFonts w:ascii="宋体" w:hAnsi="宋体" w:cs="宋体"/>
      <w:kern w:val="0"/>
      <w:sz w:val="24"/>
    </w:rPr>
  </w:style>
  <w:style w:type="paragraph" w:customStyle="1" w:styleId="111">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2">
    <w:name w:val="p15"/>
    <w:basedOn w:val="1"/>
    <w:qFormat/>
    <w:uiPriority w:val="0"/>
    <w:pPr>
      <w:widowControl/>
      <w:spacing w:after="120"/>
    </w:pPr>
    <w:rPr>
      <w:kern w:val="0"/>
      <w:szCs w:val="21"/>
    </w:rPr>
  </w:style>
  <w:style w:type="paragraph" w:customStyle="1" w:styleId="1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15">
    <w:name w:val="_Style 124"/>
    <w:basedOn w:val="1"/>
    <w:next w:val="1"/>
    <w:link w:val="208"/>
    <w:qFormat/>
    <w:uiPriority w:val="0"/>
    <w:rPr>
      <w:i/>
      <w:iCs/>
      <w:color w:val="000000"/>
      <w:szCs w:val="22"/>
    </w:rPr>
  </w:style>
  <w:style w:type="paragraph" w:customStyle="1" w:styleId="11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1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8">
    <w:name w:val="Char Char"/>
    <w:basedOn w:val="1"/>
    <w:qFormat/>
    <w:uiPriority w:val="0"/>
    <w:pPr>
      <w:widowControl/>
      <w:jc w:val="left"/>
    </w:pPr>
    <w:rPr>
      <w:rFonts w:ascii="Verdana" w:hAnsi="Verdana" w:eastAsia="Times New Roman"/>
      <w:kern w:val="0"/>
      <w:sz w:val="16"/>
      <w:szCs w:val="20"/>
      <w:lang w:eastAsia="en-US"/>
    </w:rPr>
  </w:style>
  <w:style w:type="paragraph" w:customStyle="1" w:styleId="11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pa-27"/>
    <w:basedOn w:val="1"/>
    <w:qFormat/>
    <w:uiPriority w:val="0"/>
    <w:pPr>
      <w:widowControl/>
      <w:spacing w:line="360" w:lineRule="atLeast"/>
      <w:ind w:firstLine="420"/>
    </w:pPr>
    <w:rPr>
      <w:rFonts w:ascii="宋体" w:hAnsi="宋体" w:cs="宋体"/>
      <w:kern w:val="0"/>
      <w:sz w:val="24"/>
    </w:rPr>
  </w:style>
  <w:style w:type="paragraph" w:customStyle="1" w:styleId="121">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2">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3">
    <w:name w:val="表格"/>
    <w:basedOn w:val="1"/>
    <w:qFormat/>
    <w:uiPriority w:val="0"/>
    <w:pPr>
      <w:jc w:val="center"/>
      <w:textAlignment w:val="center"/>
    </w:pPr>
    <w:rPr>
      <w:rFonts w:ascii="华文细黑" w:hAnsi="华文细黑"/>
      <w:kern w:val="0"/>
      <w:szCs w:val="20"/>
    </w:rPr>
  </w:style>
  <w:style w:type="paragraph" w:customStyle="1" w:styleId="124">
    <w:name w:val="明显引用1"/>
    <w:basedOn w:val="1"/>
    <w:next w:val="1"/>
    <w:link w:val="308"/>
    <w:qFormat/>
    <w:uiPriority w:val="30"/>
    <w:pPr>
      <w:pBdr>
        <w:bottom w:val="single" w:color="4F81BD" w:sz="4" w:space="4"/>
      </w:pBdr>
      <w:spacing w:before="200" w:after="280"/>
      <w:ind w:left="936" w:right="936"/>
    </w:pPr>
    <w:rPr>
      <w:b/>
      <w:bCs/>
      <w:i/>
      <w:iCs/>
      <w:color w:val="4F81BD"/>
      <w:szCs w:val="20"/>
    </w:rPr>
  </w:style>
  <w:style w:type="paragraph" w:customStyle="1" w:styleId="12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26">
    <w:name w:val="TOC 标题2"/>
    <w:basedOn w:val="2"/>
    <w:next w:val="1"/>
    <w:unhideWhenUsed/>
    <w:qFormat/>
    <w:uiPriority w:val="0"/>
    <w:pPr>
      <w:outlineLvl w:val="9"/>
    </w:pPr>
    <w:rPr>
      <w:rFonts w:ascii="Calibri" w:hAnsi="Calibri"/>
    </w:rPr>
  </w:style>
  <w:style w:type="paragraph" w:customStyle="1" w:styleId="12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标题5"/>
    <w:basedOn w:val="4"/>
    <w:link w:val="177"/>
    <w:qFormat/>
    <w:uiPriority w:val="0"/>
    <w:pPr>
      <w:spacing w:line="413" w:lineRule="auto"/>
    </w:pPr>
    <w:rPr>
      <w:rFonts w:ascii="Arial" w:hAnsi="Arial"/>
      <w:kern w:val="0"/>
      <w:sz w:val="24"/>
    </w:rPr>
  </w:style>
  <w:style w:type="paragraph" w:customStyle="1" w:styleId="130">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31">
    <w:name w:val="_Style 64"/>
    <w:basedOn w:val="1"/>
    <w:next w:val="1"/>
    <w:link w:val="307"/>
    <w:qFormat/>
    <w:uiPriority w:val="0"/>
    <w:pPr>
      <w:pBdr>
        <w:bottom w:val="single" w:color="4F81BD" w:sz="4" w:space="4"/>
      </w:pBdr>
      <w:spacing w:before="200" w:after="280"/>
      <w:ind w:left="936" w:right="936"/>
    </w:pPr>
    <w:rPr>
      <w:b/>
      <w:bCs/>
      <w:i/>
      <w:iCs/>
      <w:color w:val="4F81BD"/>
      <w:szCs w:val="22"/>
    </w:rPr>
  </w:style>
  <w:style w:type="paragraph" w:customStyle="1" w:styleId="132">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3">
    <w:name w:val="Char2"/>
    <w:basedOn w:val="1"/>
    <w:qFormat/>
    <w:uiPriority w:val="0"/>
    <w:rPr>
      <w:rFonts w:ascii="Calibri" w:hAnsi="Calibri"/>
    </w:rPr>
  </w:style>
  <w:style w:type="paragraph" w:customStyle="1" w:styleId="134">
    <w:name w:val="_Style 87"/>
    <w:basedOn w:val="1"/>
    <w:qFormat/>
    <w:uiPriority w:val="99"/>
    <w:pPr>
      <w:ind w:firstLine="420" w:firstLineChars="200"/>
    </w:pPr>
    <w:rPr>
      <w:rFonts w:ascii="Calibri" w:hAnsi="Calibri"/>
      <w:sz w:val="28"/>
      <w:szCs w:val="28"/>
    </w:rPr>
  </w:style>
  <w:style w:type="paragraph" w:customStyle="1" w:styleId="135">
    <w:name w:val="自定样式1"/>
    <w:basedOn w:val="1"/>
    <w:qFormat/>
    <w:uiPriority w:val="0"/>
    <w:pPr>
      <w:suppressAutoHyphens/>
      <w:jc w:val="center"/>
    </w:pPr>
    <w:rPr>
      <w:rFonts w:ascii="宋体" w:hAnsi="宋体"/>
      <w:color w:val="000000"/>
      <w:sz w:val="18"/>
    </w:rPr>
  </w:style>
  <w:style w:type="paragraph" w:customStyle="1" w:styleId="136">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Char"/>
    <w:basedOn w:val="1"/>
    <w:qFormat/>
    <w:uiPriority w:val="0"/>
  </w:style>
  <w:style w:type="paragraph" w:customStyle="1" w:styleId="138">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列表段落1"/>
    <w:basedOn w:val="1"/>
    <w:qFormat/>
    <w:uiPriority w:val="34"/>
    <w:pPr>
      <w:ind w:firstLine="420" w:firstLineChars="200"/>
    </w:pPr>
    <w:rPr>
      <w:rFonts w:ascii="Calibri" w:hAnsi="Calibri"/>
    </w:rPr>
  </w:style>
  <w:style w:type="paragraph" w:customStyle="1" w:styleId="14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41">
    <w:name w:val="表体"/>
    <w:basedOn w:val="1"/>
    <w:next w:val="1"/>
    <w:qFormat/>
    <w:uiPriority w:val="0"/>
    <w:pPr>
      <w:spacing w:line="0" w:lineRule="atLeast"/>
    </w:pPr>
    <w:rPr>
      <w:rFonts w:ascii="Calibri" w:hAnsi="Calibri"/>
      <w:b/>
      <w:snapToGrid w:val="0"/>
      <w:szCs w:val="20"/>
    </w:rPr>
  </w:style>
  <w:style w:type="paragraph" w:customStyle="1" w:styleId="14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44">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5">
    <w:name w:val="Char11"/>
    <w:basedOn w:val="1"/>
    <w:qFormat/>
    <w:uiPriority w:val="0"/>
  </w:style>
  <w:style w:type="paragraph" w:customStyle="1" w:styleId="14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7">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48">
    <w:name w:val="_Style 86"/>
    <w:qFormat/>
    <w:uiPriority w:val="0"/>
    <w:rPr>
      <w:rFonts w:ascii="Times New Roman" w:hAnsi="Times New Roman" w:eastAsia="宋体" w:cs="Times New Roman"/>
      <w:kern w:val="2"/>
      <w:sz w:val="21"/>
      <w:szCs w:val="24"/>
      <w:lang w:val="en-US" w:eastAsia="zh-CN" w:bidi="ar-SA"/>
    </w:rPr>
  </w:style>
  <w:style w:type="paragraph" w:customStyle="1" w:styleId="149">
    <w:name w:val="Char1"/>
    <w:basedOn w:val="1"/>
    <w:qFormat/>
    <w:uiPriority w:val="0"/>
  </w:style>
  <w:style w:type="paragraph" w:customStyle="1" w:styleId="15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1">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5">
    <w:name w:val="正文文本 Char2"/>
    <w:qFormat/>
    <w:uiPriority w:val="99"/>
    <w:rPr>
      <w:kern w:val="2"/>
      <w:sz w:val="21"/>
      <w:szCs w:val="24"/>
    </w:rPr>
  </w:style>
  <w:style w:type="character" w:customStyle="1" w:styleId="156">
    <w:name w:val="尾注文本 Char1"/>
    <w:qFormat/>
    <w:uiPriority w:val="0"/>
    <w:rPr>
      <w:rFonts w:ascii="Arial" w:hAnsi="Arial" w:cs="Arial"/>
      <w:szCs w:val="24"/>
      <w:lang w:eastAsia="en-US"/>
    </w:rPr>
  </w:style>
  <w:style w:type="character" w:customStyle="1" w:styleId="157">
    <w:name w:val="脚注文本 Char"/>
    <w:qFormat/>
    <w:uiPriority w:val="0"/>
    <w:rPr>
      <w:rFonts w:ascii="Arial" w:hAnsi="Arial" w:eastAsia="宋体" w:cs="Arial"/>
      <w:sz w:val="18"/>
      <w:szCs w:val="18"/>
      <w:lang w:eastAsia="en-US"/>
    </w:rPr>
  </w:style>
  <w:style w:type="character" w:customStyle="1" w:styleId="158">
    <w:name w:val="Char Char17"/>
    <w:qFormat/>
    <w:uiPriority w:val="0"/>
    <w:rPr>
      <w:kern w:val="2"/>
      <w:sz w:val="26"/>
      <w:szCs w:val="24"/>
    </w:rPr>
  </w:style>
  <w:style w:type="character" w:customStyle="1" w:styleId="159">
    <w:name w:val="副标题 Char1"/>
    <w:qFormat/>
    <w:uiPriority w:val="0"/>
    <w:rPr>
      <w:szCs w:val="24"/>
      <w:u w:val="single"/>
      <w:lang w:eastAsia="en-US"/>
    </w:rPr>
  </w:style>
  <w:style w:type="character" w:customStyle="1" w:styleId="160">
    <w:name w:val="标题 Char1"/>
    <w:qFormat/>
    <w:uiPriority w:val="10"/>
    <w:rPr>
      <w:szCs w:val="24"/>
      <w:u w:val="single"/>
      <w:lang w:eastAsia="en-US"/>
    </w:rPr>
  </w:style>
  <w:style w:type="character" w:customStyle="1" w:styleId="161">
    <w:name w:val="Char Char24"/>
    <w:qFormat/>
    <w:uiPriority w:val="0"/>
    <w:rPr>
      <w:b/>
      <w:bCs/>
      <w:kern w:val="44"/>
      <w:sz w:val="44"/>
      <w:szCs w:val="44"/>
    </w:rPr>
  </w:style>
  <w:style w:type="character" w:customStyle="1" w:styleId="162">
    <w:name w:val="批注主题 Char"/>
    <w:qFormat/>
    <w:uiPriority w:val="0"/>
    <w:rPr>
      <w:rFonts w:ascii="宋体" w:hAnsi="宋体" w:eastAsia="宋体"/>
      <w:kern w:val="2"/>
      <w:sz w:val="24"/>
      <w:szCs w:val="28"/>
      <w:lang w:val="en-US" w:eastAsia="zh-CN" w:bidi="ar-SA"/>
    </w:rPr>
  </w:style>
  <w:style w:type="character" w:customStyle="1" w:styleId="163">
    <w:name w:val="引用 Char1"/>
    <w:link w:val="94"/>
    <w:qFormat/>
    <w:uiPriority w:val="29"/>
    <w:rPr>
      <w:i/>
      <w:iCs/>
      <w:color w:val="000000"/>
      <w:kern w:val="2"/>
      <w:sz w:val="21"/>
    </w:rPr>
  </w:style>
  <w:style w:type="character" w:customStyle="1" w:styleId="164">
    <w:name w:val="Char Char23"/>
    <w:qFormat/>
    <w:uiPriority w:val="0"/>
    <w:rPr>
      <w:rFonts w:ascii="Cambria" w:hAnsi="Cambria" w:eastAsia="宋体" w:cs="Times New Roman"/>
      <w:b/>
      <w:bCs/>
      <w:kern w:val="2"/>
      <w:sz w:val="32"/>
      <w:szCs w:val="32"/>
    </w:rPr>
  </w:style>
  <w:style w:type="character" w:customStyle="1" w:styleId="165">
    <w:name w:val="ITTHEADER2 Char"/>
    <w:qFormat/>
    <w:uiPriority w:val="0"/>
    <w:rPr>
      <w:rFonts w:ascii="仿宋_GB2312" w:eastAsia="仿宋_GB2312" w:cs="MingLiU"/>
      <w:b/>
      <w:spacing w:val="1"/>
      <w:w w:val="99"/>
      <w:sz w:val="28"/>
      <w:szCs w:val="32"/>
      <w:lang w:val="en-US" w:eastAsia="zh-CN" w:bidi="ar-SA"/>
    </w:rPr>
  </w:style>
  <w:style w:type="character" w:customStyle="1" w:styleId="166">
    <w:name w:val="标题 9 Char1"/>
    <w:qFormat/>
    <w:uiPriority w:val="0"/>
    <w:rPr>
      <w:rFonts w:ascii="Times New Roman" w:hAnsi="Times New Roman" w:eastAsia="仿宋_GB2312" w:cs="Times New Roman"/>
      <w:sz w:val="30"/>
      <w:szCs w:val="20"/>
    </w:rPr>
  </w:style>
  <w:style w:type="character" w:customStyle="1" w:styleId="167">
    <w:name w:val="正文文本 Char1"/>
    <w:qFormat/>
    <w:uiPriority w:val="0"/>
    <w:rPr>
      <w:kern w:val="2"/>
      <w:sz w:val="21"/>
      <w:szCs w:val="22"/>
    </w:rPr>
  </w:style>
  <w:style w:type="character" w:customStyle="1" w:styleId="168">
    <w:name w:val="引用 Char2"/>
    <w:qFormat/>
    <w:uiPriority w:val="99"/>
    <w:rPr>
      <w:i/>
      <w:iCs/>
      <w:color w:val="000000"/>
      <w:kern w:val="2"/>
      <w:sz w:val="21"/>
      <w:szCs w:val="24"/>
    </w:rPr>
  </w:style>
  <w:style w:type="character" w:customStyle="1" w:styleId="169">
    <w:name w:val="正文文本 Char3"/>
    <w:semiHidden/>
    <w:qFormat/>
    <w:uiPriority w:val="99"/>
    <w:rPr>
      <w:rFonts w:ascii="Calibri" w:hAnsi="Calibri" w:eastAsia="宋体" w:cs="Times New Roman"/>
      <w:szCs w:val="24"/>
    </w:rPr>
  </w:style>
  <w:style w:type="character" w:customStyle="1" w:styleId="170">
    <w:name w:val="日期 字符"/>
    <w:link w:val="26"/>
    <w:qFormat/>
    <w:uiPriority w:val="0"/>
    <w:rPr>
      <w:rFonts w:eastAsia="宋体"/>
      <w:kern w:val="2"/>
      <w:sz w:val="21"/>
      <w:szCs w:val="24"/>
      <w:lang w:val="en-US" w:eastAsia="zh-CN" w:bidi="ar-SA"/>
    </w:rPr>
  </w:style>
  <w:style w:type="character" w:customStyle="1" w:styleId="171">
    <w:name w:val="标题 7 Char"/>
    <w:qFormat/>
    <w:uiPriority w:val="0"/>
    <w:rPr>
      <w:rFonts w:ascii="Calibri" w:hAnsi="Calibri" w:eastAsia="宋体" w:cs="Times New Roman"/>
      <w:b/>
      <w:bCs/>
      <w:sz w:val="24"/>
      <w:szCs w:val="24"/>
    </w:rPr>
  </w:style>
  <w:style w:type="character" w:customStyle="1" w:styleId="172">
    <w:name w:val="批注框文本 Char1"/>
    <w:qFormat/>
    <w:uiPriority w:val="0"/>
    <w:rPr>
      <w:kern w:val="2"/>
      <w:sz w:val="18"/>
      <w:szCs w:val="18"/>
    </w:rPr>
  </w:style>
  <w:style w:type="character" w:customStyle="1" w:styleId="173">
    <w:name w:val="日期 Char1"/>
    <w:qFormat/>
    <w:uiPriority w:val="0"/>
    <w:rPr>
      <w:kern w:val="2"/>
      <w:sz w:val="21"/>
      <w:szCs w:val="22"/>
    </w:rPr>
  </w:style>
  <w:style w:type="character" w:customStyle="1" w:styleId="174">
    <w:name w:val="_Style 171"/>
    <w:qFormat/>
    <w:uiPriority w:val="0"/>
    <w:rPr>
      <w:b/>
      <w:bCs/>
      <w:i/>
      <w:iCs/>
      <w:color w:val="4F81BD"/>
    </w:rPr>
  </w:style>
  <w:style w:type="character" w:customStyle="1" w:styleId="175">
    <w:name w:val="Char Char22"/>
    <w:qFormat/>
    <w:uiPriority w:val="0"/>
    <w:rPr>
      <w:b/>
      <w:bCs/>
      <w:kern w:val="2"/>
      <w:sz w:val="32"/>
      <w:szCs w:val="32"/>
    </w:rPr>
  </w:style>
  <w:style w:type="character" w:customStyle="1" w:styleId="176">
    <w:name w:val="标题 6 Char1"/>
    <w:qFormat/>
    <w:uiPriority w:val="0"/>
    <w:rPr>
      <w:rFonts w:ascii="Times New Roman" w:hAnsi="Arial" w:eastAsia="仿宋_GB2312" w:cs="Times New Roman"/>
      <w:sz w:val="30"/>
      <w:szCs w:val="20"/>
    </w:rPr>
  </w:style>
  <w:style w:type="character" w:customStyle="1" w:styleId="177">
    <w:name w:val="标题5 Char Char"/>
    <w:link w:val="129"/>
    <w:qFormat/>
    <w:uiPriority w:val="0"/>
    <w:rPr>
      <w:rFonts w:ascii="Arial" w:hAnsi="Arial"/>
      <w:b/>
      <w:bCs/>
      <w:sz w:val="24"/>
      <w:szCs w:val="32"/>
      <w:lang w:bidi="ar-SA"/>
    </w:rPr>
  </w:style>
  <w:style w:type="character" w:customStyle="1" w:styleId="178">
    <w:name w:val="正文文本缩进 Char1"/>
    <w:qFormat/>
    <w:uiPriority w:val="0"/>
    <w:rPr>
      <w:kern w:val="2"/>
      <w:sz w:val="21"/>
      <w:szCs w:val="24"/>
    </w:rPr>
  </w:style>
  <w:style w:type="character" w:customStyle="1" w:styleId="179">
    <w:name w:val="标题 4 Char1"/>
    <w:qFormat/>
    <w:uiPriority w:val="0"/>
    <w:rPr>
      <w:rFonts w:ascii="宋体" w:hAnsi="宋体" w:eastAsia="宋体" w:cs="宋体"/>
      <w:b/>
      <w:bCs/>
      <w:sz w:val="24"/>
      <w:szCs w:val="24"/>
    </w:rPr>
  </w:style>
  <w:style w:type="character" w:customStyle="1" w:styleId="180">
    <w:name w:val="尾注文本 Char"/>
    <w:qFormat/>
    <w:uiPriority w:val="0"/>
    <w:rPr>
      <w:kern w:val="2"/>
      <w:sz w:val="21"/>
      <w:szCs w:val="24"/>
    </w:rPr>
  </w:style>
  <w:style w:type="character" w:customStyle="1" w:styleId="181">
    <w:name w:val="HTML 预设格式 字符"/>
    <w:link w:val="41"/>
    <w:qFormat/>
    <w:uiPriority w:val="0"/>
    <w:rPr>
      <w:rFonts w:ascii="宋体" w:hAnsi="宋体" w:eastAsia="宋体" w:cs="宋体"/>
      <w:color w:val="000000"/>
      <w:sz w:val="24"/>
      <w:szCs w:val="24"/>
      <w:lang w:val="en-US" w:eastAsia="zh-CN" w:bidi="ar-SA"/>
    </w:rPr>
  </w:style>
  <w:style w:type="character" w:customStyle="1" w:styleId="182">
    <w:name w:val="尾注文本 Char2"/>
    <w:semiHidden/>
    <w:qFormat/>
    <w:uiPriority w:val="99"/>
    <w:rPr>
      <w:rFonts w:ascii="Calibri" w:hAnsi="Calibri" w:eastAsia="宋体" w:cs="Times New Roman"/>
      <w:szCs w:val="24"/>
    </w:rPr>
  </w:style>
  <w:style w:type="character" w:customStyle="1" w:styleId="183">
    <w:name w:val="明显强调1"/>
    <w:qFormat/>
    <w:uiPriority w:val="0"/>
    <w:rPr>
      <w:b/>
      <w:bCs/>
      <w:i/>
      <w:iCs/>
      <w:color w:val="4F81BD"/>
    </w:rPr>
  </w:style>
  <w:style w:type="character" w:customStyle="1" w:styleId="184">
    <w:name w:val="正文文本 Char"/>
    <w:qFormat/>
    <w:uiPriority w:val="0"/>
    <w:rPr>
      <w:sz w:val="26"/>
      <w:szCs w:val="24"/>
    </w:rPr>
  </w:style>
  <w:style w:type="character" w:customStyle="1" w:styleId="185">
    <w:name w:val="脚注文本 Char2"/>
    <w:semiHidden/>
    <w:qFormat/>
    <w:uiPriority w:val="99"/>
    <w:rPr>
      <w:rFonts w:ascii="Calibri" w:hAnsi="Calibri" w:eastAsia="宋体" w:cs="Times New Roman"/>
      <w:sz w:val="18"/>
      <w:szCs w:val="18"/>
    </w:rPr>
  </w:style>
  <w:style w:type="character" w:customStyle="1" w:styleId="186">
    <w:name w:val="正文文本 2 Char1"/>
    <w:semiHidden/>
    <w:qFormat/>
    <w:uiPriority w:val="99"/>
    <w:rPr>
      <w:rFonts w:ascii="Calibri" w:hAnsi="Calibri" w:eastAsia="宋体" w:cs="Times New Roman"/>
      <w:szCs w:val="24"/>
    </w:rPr>
  </w:style>
  <w:style w:type="character" w:customStyle="1" w:styleId="187">
    <w:name w:val="_Style 248"/>
    <w:qFormat/>
    <w:uiPriority w:val="0"/>
    <w:rPr>
      <w:b/>
      <w:bCs/>
      <w:smallCaps/>
      <w:spacing w:val="5"/>
    </w:rPr>
  </w:style>
  <w:style w:type="character" w:customStyle="1" w:styleId="188">
    <w:name w:val="明显引用 Char3"/>
    <w:qFormat/>
    <w:uiPriority w:val="30"/>
    <w:rPr>
      <w:rFonts w:ascii="Calibri" w:hAnsi="Calibri" w:eastAsia="宋体" w:cs="Times New Roman"/>
      <w:b/>
      <w:bCs/>
      <w:i/>
      <w:iCs/>
      <w:color w:val="4F81BD"/>
      <w:szCs w:val="24"/>
    </w:rPr>
  </w:style>
  <w:style w:type="character" w:customStyle="1" w:styleId="189">
    <w:name w:val="_Style 254"/>
    <w:qFormat/>
    <w:uiPriority w:val="0"/>
    <w:rPr>
      <w:b/>
      <w:bCs/>
      <w:smallCaps/>
      <w:color w:val="C0504D"/>
      <w:spacing w:val="5"/>
      <w:u w:val="single"/>
    </w:rPr>
  </w:style>
  <w:style w:type="character" w:customStyle="1" w:styleId="190">
    <w:name w:val="正文文本缩进 Char2"/>
    <w:semiHidden/>
    <w:qFormat/>
    <w:uiPriority w:val="99"/>
    <w:rPr>
      <w:rFonts w:ascii="Calibri" w:hAnsi="Calibri" w:eastAsia="宋体" w:cs="Times New Roman"/>
      <w:szCs w:val="24"/>
    </w:rPr>
  </w:style>
  <w:style w:type="character" w:customStyle="1" w:styleId="191">
    <w:name w:val="标题 4 字符"/>
    <w:link w:val="5"/>
    <w:qFormat/>
    <w:uiPriority w:val="0"/>
    <w:rPr>
      <w:rFonts w:ascii="宋体" w:hAnsi="宋体" w:eastAsia="宋体" w:cs="宋体"/>
      <w:b/>
      <w:bCs/>
      <w:sz w:val="24"/>
      <w:szCs w:val="24"/>
      <w:lang w:val="en-US" w:eastAsia="zh-CN" w:bidi="ar-SA"/>
    </w:rPr>
  </w:style>
  <w:style w:type="character" w:customStyle="1" w:styleId="192">
    <w:name w:val="正文文本缩进 3 Char"/>
    <w:qFormat/>
    <w:uiPriority w:val="0"/>
    <w:rPr>
      <w:kern w:val="2"/>
      <w:sz w:val="16"/>
      <w:szCs w:val="16"/>
    </w:rPr>
  </w:style>
  <w:style w:type="character" w:customStyle="1" w:styleId="193">
    <w:name w:val="尾注文本 字符"/>
    <w:link w:val="28"/>
    <w:qFormat/>
    <w:uiPriority w:val="0"/>
    <w:rPr>
      <w:rFonts w:ascii="Arial" w:hAnsi="Arial" w:eastAsia="宋体" w:cs="Arial"/>
      <w:szCs w:val="24"/>
      <w:lang w:val="en-US" w:eastAsia="en-US" w:bidi="ar-SA"/>
    </w:rPr>
  </w:style>
  <w:style w:type="character" w:customStyle="1" w:styleId="194">
    <w:name w:val="引用 Char3"/>
    <w:qFormat/>
    <w:uiPriority w:val="29"/>
    <w:rPr>
      <w:rFonts w:ascii="Calibri" w:hAnsi="Calibri" w:eastAsia="宋体" w:cs="Times New Roman"/>
      <w:i/>
      <w:iCs/>
      <w:color w:val="000000"/>
      <w:szCs w:val="24"/>
    </w:rPr>
  </w:style>
  <w:style w:type="character" w:customStyle="1" w:styleId="195">
    <w:name w:val="Char Char32"/>
    <w:qFormat/>
    <w:uiPriority w:val="0"/>
    <w:rPr>
      <w:rFonts w:ascii="仿宋_GB2312" w:eastAsia="仿宋_GB2312" w:cs="MingLiU"/>
      <w:b/>
      <w:spacing w:val="1"/>
      <w:w w:val="99"/>
      <w:sz w:val="28"/>
      <w:szCs w:val="32"/>
    </w:rPr>
  </w:style>
  <w:style w:type="character" w:customStyle="1" w:styleId="196">
    <w:name w:val="日期 Char"/>
    <w:qFormat/>
    <w:uiPriority w:val="0"/>
    <w:rPr>
      <w:rFonts w:eastAsia="宋体"/>
      <w:szCs w:val="24"/>
    </w:rPr>
  </w:style>
  <w:style w:type="character" w:customStyle="1" w:styleId="197">
    <w:name w:val="页脚 Char"/>
    <w:qFormat/>
    <w:uiPriority w:val="0"/>
    <w:rPr>
      <w:sz w:val="18"/>
      <w:szCs w:val="18"/>
    </w:rPr>
  </w:style>
  <w:style w:type="character" w:customStyle="1" w:styleId="198">
    <w:name w:val="style121"/>
    <w:qFormat/>
    <w:uiPriority w:val="0"/>
    <w:rPr>
      <w:rFonts w:hint="eastAsia" w:ascii="宋体" w:hAnsi="宋体" w:eastAsia="宋体"/>
      <w:sz w:val="18"/>
      <w:szCs w:val="18"/>
    </w:rPr>
  </w:style>
  <w:style w:type="character" w:customStyle="1" w:styleId="199">
    <w:name w:val="ss16"/>
    <w:qFormat/>
    <w:uiPriority w:val="0"/>
    <w:rPr>
      <w:rFonts w:hint="eastAsia" w:ascii="宋体" w:hAnsi="宋体" w:eastAsia="宋体"/>
      <w:color w:val="000000"/>
      <w:sz w:val="9"/>
      <w:szCs w:val="9"/>
    </w:rPr>
  </w:style>
  <w:style w:type="character" w:customStyle="1" w:styleId="200">
    <w:name w:val="textcontents"/>
    <w:qFormat/>
    <w:uiPriority w:val="0"/>
    <w:rPr>
      <w:rFonts w:cs="Times New Roman"/>
    </w:rPr>
  </w:style>
  <w:style w:type="character" w:customStyle="1" w:styleId="201">
    <w:name w:val="14t1"/>
    <w:qFormat/>
    <w:uiPriority w:val="0"/>
    <w:rPr>
      <w:rFonts w:hint="eastAsia" w:ascii="宋体" w:hAnsi="宋体" w:eastAsia="宋体"/>
      <w:sz w:val="11"/>
      <w:szCs w:val="11"/>
    </w:rPr>
  </w:style>
  <w:style w:type="character" w:customStyle="1" w:styleId="202">
    <w:name w:val="不明显参考1"/>
    <w:qFormat/>
    <w:uiPriority w:val="0"/>
    <w:rPr>
      <w:smallCaps/>
      <w:color w:val="C0504D"/>
      <w:u w:val="single"/>
    </w:rPr>
  </w:style>
  <w:style w:type="character" w:customStyle="1" w:styleId="203">
    <w:name w:val="unnamed1"/>
    <w:basedOn w:val="50"/>
    <w:qFormat/>
    <w:uiPriority w:val="0"/>
  </w:style>
  <w:style w:type="character" w:customStyle="1" w:styleId="204">
    <w:name w:val="批注主题 Char3"/>
    <w:semiHidden/>
    <w:qFormat/>
    <w:uiPriority w:val="99"/>
    <w:rPr>
      <w:rFonts w:ascii="Calibri" w:hAnsi="Calibri" w:eastAsia="宋体" w:cs="Times New Roman"/>
      <w:b/>
      <w:bCs/>
      <w:szCs w:val="24"/>
    </w:rPr>
  </w:style>
  <w:style w:type="character" w:customStyle="1" w:styleId="205">
    <w:name w:val="标题 3 字符"/>
    <w:link w:val="4"/>
    <w:qFormat/>
    <w:uiPriority w:val="0"/>
    <w:rPr>
      <w:rFonts w:eastAsia="宋体"/>
      <w:b/>
      <w:bCs/>
      <w:kern w:val="2"/>
      <w:sz w:val="32"/>
      <w:szCs w:val="32"/>
      <w:lang w:val="en-US" w:eastAsia="zh-CN" w:bidi="ar-SA"/>
    </w:rPr>
  </w:style>
  <w:style w:type="character" w:customStyle="1" w:styleId="206">
    <w:name w:val="标题 6 字符"/>
    <w:link w:val="7"/>
    <w:qFormat/>
    <w:uiPriority w:val="0"/>
    <w:rPr>
      <w:rFonts w:hAnsi="Arial" w:eastAsia="仿宋_GB2312"/>
      <w:sz w:val="30"/>
      <w:lang w:val="en-US" w:eastAsia="zh-CN" w:bidi="ar-SA"/>
    </w:rPr>
  </w:style>
  <w:style w:type="character" w:customStyle="1" w:styleId="207">
    <w:name w:val="页脚 字符"/>
    <w:link w:val="30"/>
    <w:qFormat/>
    <w:uiPriority w:val="0"/>
    <w:rPr>
      <w:rFonts w:eastAsia="宋体"/>
      <w:kern w:val="2"/>
      <w:sz w:val="18"/>
      <w:szCs w:val="18"/>
      <w:lang w:val="en-US" w:eastAsia="zh-CN" w:bidi="ar-SA"/>
    </w:rPr>
  </w:style>
  <w:style w:type="character" w:customStyle="1" w:styleId="208">
    <w:name w:val="引用 Char4"/>
    <w:link w:val="115"/>
    <w:qFormat/>
    <w:uiPriority w:val="0"/>
    <w:rPr>
      <w:i/>
      <w:iCs/>
      <w:color w:val="000000"/>
      <w:kern w:val="2"/>
      <w:sz w:val="21"/>
      <w:szCs w:val="22"/>
      <w:lang w:bidi="ar-SA"/>
    </w:rPr>
  </w:style>
  <w:style w:type="character" w:customStyle="1" w:styleId="209">
    <w:name w:val="标题 9 字符"/>
    <w:link w:val="11"/>
    <w:qFormat/>
    <w:uiPriority w:val="0"/>
    <w:rPr>
      <w:rFonts w:eastAsia="仿宋_GB2312"/>
      <w:sz w:val="30"/>
      <w:lang w:val="en-US" w:eastAsia="zh-CN" w:bidi="ar-SA"/>
    </w:rPr>
  </w:style>
  <w:style w:type="character" w:customStyle="1" w:styleId="210">
    <w:name w:val="标题 3 Char"/>
    <w:qFormat/>
    <w:uiPriority w:val="0"/>
    <w:rPr>
      <w:rFonts w:ascii="仿宋_GB2312" w:hAnsi="Calibri" w:eastAsia="仿宋_GB2312" w:cs="Times New Roman"/>
      <w:b/>
      <w:kern w:val="0"/>
      <w:sz w:val="24"/>
      <w:szCs w:val="28"/>
    </w:rPr>
  </w:style>
  <w:style w:type="character" w:customStyle="1" w:styleId="211">
    <w:name w:val="批注文字 Char2"/>
    <w:qFormat/>
    <w:uiPriority w:val="0"/>
    <w:rPr>
      <w:rFonts w:ascii="Calibri" w:hAnsi="Calibri" w:eastAsia="宋体" w:cs="Times New Roman"/>
      <w:szCs w:val="24"/>
    </w:rPr>
  </w:style>
  <w:style w:type="character" w:customStyle="1" w:styleId="212">
    <w:name w:val="normaltext1"/>
    <w:qFormat/>
    <w:uiPriority w:val="0"/>
    <w:rPr>
      <w:rFonts w:hint="default" w:ascii="ˎ̥" w:hAnsi="ˎ̥"/>
      <w:sz w:val="9"/>
      <w:szCs w:val="9"/>
    </w:rPr>
  </w:style>
  <w:style w:type="character" w:customStyle="1" w:styleId="213">
    <w:name w:val="ca-141"/>
    <w:qFormat/>
    <w:uiPriority w:val="0"/>
    <w:rPr>
      <w:rFonts w:hint="eastAsia" w:ascii="仿宋_GB2312" w:eastAsia="仿宋_GB2312"/>
      <w:sz w:val="21"/>
      <w:szCs w:val="21"/>
    </w:rPr>
  </w:style>
  <w:style w:type="character" w:customStyle="1" w:styleId="214">
    <w:name w:val="main_tdbg_7601"/>
    <w:qFormat/>
    <w:uiPriority w:val="0"/>
    <w:rPr>
      <w:sz w:val="14"/>
      <w:szCs w:val="14"/>
    </w:rPr>
  </w:style>
  <w:style w:type="character" w:customStyle="1" w:styleId="215">
    <w:name w:val="文档结构图 字符"/>
    <w:link w:val="15"/>
    <w:qFormat/>
    <w:uiPriority w:val="0"/>
    <w:rPr>
      <w:rFonts w:eastAsia="宋体"/>
      <w:kern w:val="2"/>
      <w:sz w:val="21"/>
      <w:szCs w:val="24"/>
      <w:lang w:val="en-US" w:eastAsia="zh-CN" w:bidi="ar-SA"/>
    </w:rPr>
  </w:style>
  <w:style w:type="character" w:customStyle="1" w:styleId="216">
    <w:name w:val="批注框文本 Char3"/>
    <w:semiHidden/>
    <w:qFormat/>
    <w:uiPriority w:val="99"/>
    <w:rPr>
      <w:rFonts w:ascii="Calibri" w:hAnsi="Calibri" w:eastAsia="宋体" w:cs="Times New Roman"/>
      <w:sz w:val="18"/>
      <w:szCs w:val="18"/>
    </w:rPr>
  </w:style>
  <w:style w:type="character" w:customStyle="1" w:styleId="217">
    <w:name w:val="Char Char9"/>
    <w:qFormat/>
    <w:locked/>
    <w:uiPriority w:val="0"/>
    <w:rPr>
      <w:rFonts w:ascii="仿宋_GB2312" w:eastAsia="仿宋_GB2312" w:cs="MingLiU"/>
      <w:b/>
      <w:sz w:val="24"/>
      <w:szCs w:val="28"/>
      <w:lang w:val="en-US" w:eastAsia="zh-CN" w:bidi="ar-SA"/>
    </w:rPr>
  </w:style>
  <w:style w:type="character" w:customStyle="1" w:styleId="218">
    <w:name w:val="title11"/>
    <w:qFormat/>
    <w:uiPriority w:val="0"/>
    <w:rPr>
      <w:b/>
      <w:bCs/>
      <w:color w:val="FFFFFF"/>
      <w:sz w:val="11"/>
      <w:szCs w:val="11"/>
    </w:rPr>
  </w:style>
  <w:style w:type="character" w:customStyle="1" w:styleId="219">
    <w:name w:val="批注框文本 字符"/>
    <w:link w:val="29"/>
    <w:qFormat/>
    <w:uiPriority w:val="0"/>
    <w:rPr>
      <w:rFonts w:eastAsia="宋体"/>
      <w:kern w:val="2"/>
      <w:sz w:val="18"/>
      <w:szCs w:val="18"/>
      <w:lang w:val="en-US" w:eastAsia="zh-CN" w:bidi="ar-SA"/>
    </w:rPr>
  </w:style>
  <w:style w:type="character" w:customStyle="1" w:styleId="220">
    <w:name w:val="标题 8 Char1"/>
    <w:qFormat/>
    <w:uiPriority w:val="0"/>
    <w:rPr>
      <w:rFonts w:ascii="Times New Roman" w:hAnsi="Arial" w:eastAsia="仿宋_GB2312" w:cs="Times New Roman"/>
      <w:sz w:val="30"/>
      <w:szCs w:val="20"/>
    </w:rPr>
  </w:style>
  <w:style w:type="character" w:customStyle="1" w:styleId="221">
    <w:name w:val="标题 Char2"/>
    <w:qFormat/>
    <w:uiPriority w:val="10"/>
    <w:rPr>
      <w:rFonts w:ascii="Cambria" w:hAnsi="Cambria" w:eastAsia="宋体" w:cs="Times New Roman"/>
      <w:b/>
      <w:bCs/>
      <w:sz w:val="32"/>
      <w:szCs w:val="32"/>
    </w:rPr>
  </w:style>
  <w:style w:type="character" w:customStyle="1" w:styleId="222">
    <w:name w:val="标题 字符"/>
    <w:link w:val="44"/>
    <w:qFormat/>
    <w:uiPriority w:val="0"/>
    <w:rPr>
      <w:rFonts w:eastAsia="宋体"/>
      <w:szCs w:val="24"/>
      <w:u w:val="single"/>
      <w:lang w:val="en-US" w:eastAsia="en-US" w:bidi="ar-SA"/>
    </w:rPr>
  </w:style>
  <w:style w:type="character" w:customStyle="1" w:styleId="223">
    <w:name w:val="批注主题 Char1"/>
    <w:qFormat/>
    <w:uiPriority w:val="0"/>
    <w:rPr>
      <w:b/>
      <w:bCs/>
      <w:kern w:val="2"/>
      <w:sz w:val="21"/>
      <w:szCs w:val="22"/>
    </w:rPr>
  </w:style>
  <w:style w:type="character" w:customStyle="1" w:styleId="224">
    <w:name w:val="副标题 Char"/>
    <w:qFormat/>
    <w:uiPriority w:val="0"/>
    <w:rPr>
      <w:rFonts w:ascii="Cambria" w:hAnsi="Cambria" w:eastAsia="宋体" w:cs="Times New Roman"/>
      <w:b/>
      <w:bCs/>
      <w:kern w:val="28"/>
      <w:sz w:val="32"/>
      <w:szCs w:val="32"/>
    </w:rPr>
  </w:style>
  <w:style w:type="character" w:customStyle="1" w:styleId="225">
    <w:name w:val="正文文本 字符"/>
    <w:link w:val="18"/>
    <w:qFormat/>
    <w:uiPriority w:val="0"/>
    <w:rPr>
      <w:rFonts w:eastAsia="宋体"/>
      <w:kern w:val="2"/>
      <w:sz w:val="21"/>
      <w:szCs w:val="24"/>
      <w:lang w:val="en-US" w:eastAsia="zh-CN" w:bidi="ar-SA"/>
    </w:rPr>
  </w:style>
  <w:style w:type="character" w:customStyle="1" w:styleId="226">
    <w:name w:val="纯文本 Char1"/>
    <w:qFormat/>
    <w:uiPriority w:val="0"/>
    <w:rPr>
      <w:rFonts w:ascii="宋体" w:hAnsi="Courier New" w:cs="Courier New"/>
      <w:kern w:val="2"/>
      <w:sz w:val="21"/>
      <w:szCs w:val="21"/>
    </w:rPr>
  </w:style>
  <w:style w:type="character" w:customStyle="1" w:styleId="227">
    <w:name w:val="脚注文本 字符"/>
    <w:link w:val="35"/>
    <w:qFormat/>
    <w:uiPriority w:val="0"/>
    <w:rPr>
      <w:rFonts w:ascii="Arial" w:hAnsi="Arial" w:eastAsia="宋体" w:cs="Arial"/>
      <w:sz w:val="18"/>
      <w:szCs w:val="18"/>
      <w:lang w:val="en-US" w:eastAsia="en-US" w:bidi="ar-SA"/>
    </w:rPr>
  </w:style>
  <w:style w:type="character" w:customStyle="1" w:styleId="228">
    <w:name w:val="标题 2 Char1"/>
    <w:qFormat/>
    <w:uiPriority w:val="0"/>
    <w:rPr>
      <w:rFonts w:ascii="Cambria" w:hAnsi="Cambria" w:eastAsia="宋体" w:cs="Times New Roman"/>
      <w:b/>
      <w:bCs/>
      <w:kern w:val="2"/>
      <w:sz w:val="32"/>
      <w:szCs w:val="32"/>
    </w:rPr>
  </w:style>
  <w:style w:type="character" w:customStyle="1" w:styleId="229">
    <w:name w:val="脚注文本 Char1"/>
    <w:qFormat/>
    <w:uiPriority w:val="0"/>
    <w:rPr>
      <w:rFonts w:ascii="Arial" w:hAnsi="Arial" w:cs="Arial"/>
      <w:sz w:val="18"/>
      <w:szCs w:val="18"/>
      <w:lang w:eastAsia="en-US"/>
    </w:rPr>
  </w:style>
  <w:style w:type="character" w:customStyle="1" w:styleId="230">
    <w:name w:val="HTML 预设格式 Char2"/>
    <w:semiHidden/>
    <w:qFormat/>
    <w:uiPriority w:val="99"/>
    <w:rPr>
      <w:rFonts w:ascii="Courier New" w:hAnsi="Courier New" w:eastAsia="宋体" w:cs="Courier New"/>
      <w:sz w:val="20"/>
      <w:szCs w:val="20"/>
    </w:rPr>
  </w:style>
  <w:style w:type="character" w:customStyle="1" w:styleId="231">
    <w:name w:val="标题 8 Char"/>
    <w:qFormat/>
    <w:uiPriority w:val="0"/>
    <w:rPr>
      <w:rFonts w:ascii="Arial" w:hAnsi="Arial" w:eastAsia="黑体" w:cs="Times New Roman"/>
      <w:sz w:val="24"/>
      <w:szCs w:val="24"/>
    </w:rPr>
  </w:style>
  <w:style w:type="character" w:customStyle="1" w:styleId="232">
    <w:name w:val="s3"/>
    <w:qFormat/>
    <w:uiPriority w:val="0"/>
  </w:style>
  <w:style w:type="character" w:customStyle="1" w:styleId="233">
    <w:name w:val="标题 4 Char"/>
    <w:qFormat/>
    <w:uiPriority w:val="0"/>
    <w:rPr>
      <w:rFonts w:ascii="仿宋_GB2312" w:hAnsi="Calibri" w:eastAsia="仿宋_GB2312" w:cs="Times New Roman"/>
      <w:b/>
      <w:kern w:val="0"/>
      <w:sz w:val="24"/>
      <w:szCs w:val="28"/>
    </w:rPr>
  </w:style>
  <w:style w:type="character" w:customStyle="1" w:styleId="234">
    <w:name w:val="正文文本缩进 2 Char"/>
    <w:qFormat/>
    <w:uiPriority w:val="0"/>
    <w:rPr>
      <w:kern w:val="2"/>
      <w:sz w:val="21"/>
      <w:szCs w:val="24"/>
    </w:rPr>
  </w:style>
  <w:style w:type="character" w:customStyle="1" w:styleId="235">
    <w:name w:val="style21"/>
    <w:qFormat/>
    <w:uiPriority w:val="0"/>
    <w:rPr>
      <w:b/>
      <w:bCs/>
      <w:sz w:val="28"/>
      <w:szCs w:val="28"/>
    </w:rPr>
  </w:style>
  <w:style w:type="character" w:customStyle="1" w:styleId="236">
    <w:name w:val="正文文本缩进 2 Char2"/>
    <w:semiHidden/>
    <w:qFormat/>
    <w:uiPriority w:val="99"/>
    <w:rPr>
      <w:rFonts w:ascii="Calibri" w:hAnsi="Calibri" w:eastAsia="宋体" w:cs="Times New Roman"/>
      <w:szCs w:val="24"/>
    </w:rPr>
  </w:style>
  <w:style w:type="character" w:customStyle="1" w:styleId="237">
    <w:name w:val="ht1"/>
    <w:qFormat/>
    <w:uiPriority w:val="0"/>
    <w:rPr>
      <w:rFonts w:ascii="黑体" w:eastAsia="黑体"/>
      <w:b/>
      <w:bCs/>
    </w:rPr>
  </w:style>
  <w:style w:type="character" w:customStyle="1" w:styleId="238">
    <w:name w:val="文档结构图 Char3"/>
    <w:semiHidden/>
    <w:qFormat/>
    <w:uiPriority w:val="99"/>
    <w:rPr>
      <w:rFonts w:ascii="宋体" w:hAnsi="Calibri" w:eastAsia="宋体" w:cs="Times New Roman"/>
      <w:sz w:val="18"/>
      <w:szCs w:val="18"/>
    </w:rPr>
  </w:style>
  <w:style w:type="character" w:customStyle="1" w:styleId="239">
    <w:name w:val="书籍标题1"/>
    <w:qFormat/>
    <w:uiPriority w:val="0"/>
    <w:rPr>
      <w:b/>
      <w:bCs/>
      <w:smallCaps/>
      <w:spacing w:val="5"/>
    </w:rPr>
  </w:style>
  <w:style w:type="character" w:customStyle="1" w:styleId="240">
    <w:name w:val="标题 7 Char1"/>
    <w:qFormat/>
    <w:uiPriority w:val="0"/>
    <w:rPr>
      <w:rFonts w:ascii="Times New Roman" w:hAnsi="Times New Roman" w:eastAsia="仿宋_GB2312" w:cs="Times New Roman"/>
      <w:sz w:val="30"/>
      <w:szCs w:val="20"/>
    </w:rPr>
  </w:style>
  <w:style w:type="character" w:customStyle="1" w:styleId="241">
    <w:name w:val="明显引用 Char2"/>
    <w:qFormat/>
    <w:uiPriority w:val="99"/>
    <w:rPr>
      <w:b/>
      <w:bCs/>
      <w:i/>
      <w:iCs/>
      <w:color w:val="4F81BD"/>
      <w:kern w:val="2"/>
      <w:sz w:val="21"/>
      <w:szCs w:val="24"/>
    </w:rPr>
  </w:style>
  <w:style w:type="character" w:customStyle="1" w:styleId="242">
    <w:name w:val="不明显强调1"/>
    <w:qFormat/>
    <w:uiPriority w:val="0"/>
    <w:rPr>
      <w:i/>
      <w:iCs/>
      <w:color w:val="808080"/>
    </w:rPr>
  </w:style>
  <w:style w:type="character" w:customStyle="1" w:styleId="243">
    <w:name w:val="普通文字 Char Char2"/>
    <w:qFormat/>
    <w:uiPriority w:val="0"/>
    <w:rPr>
      <w:rFonts w:ascii="宋体" w:hAnsi="Courier New"/>
      <w:kern w:val="2"/>
      <w:sz w:val="28"/>
      <w:szCs w:val="28"/>
    </w:rPr>
  </w:style>
  <w:style w:type="character" w:customStyle="1" w:styleId="244">
    <w:name w:val="标题 6 Char"/>
    <w:qFormat/>
    <w:uiPriority w:val="0"/>
    <w:rPr>
      <w:rFonts w:ascii="Arial" w:hAnsi="Arial" w:eastAsia="黑体" w:cs="Times New Roman"/>
      <w:b/>
      <w:bCs/>
      <w:sz w:val="24"/>
      <w:szCs w:val="24"/>
    </w:rPr>
  </w:style>
  <w:style w:type="character" w:customStyle="1" w:styleId="245">
    <w:name w:val="l1"/>
    <w:basedOn w:val="50"/>
    <w:qFormat/>
    <w:uiPriority w:val="0"/>
  </w:style>
  <w:style w:type="character" w:customStyle="1" w:styleId="246">
    <w:name w:val="未处理的提及1"/>
    <w:unhideWhenUsed/>
    <w:qFormat/>
    <w:uiPriority w:val="99"/>
    <w:rPr>
      <w:color w:val="808080"/>
      <w:shd w:val="clear" w:color="auto" w:fill="E6E6E6"/>
    </w:rPr>
  </w:style>
  <w:style w:type="character" w:customStyle="1" w:styleId="247">
    <w:name w:val="页眉 字符"/>
    <w:link w:val="31"/>
    <w:qFormat/>
    <w:uiPriority w:val="0"/>
    <w:rPr>
      <w:rFonts w:eastAsia="宋体"/>
      <w:kern w:val="2"/>
      <w:sz w:val="18"/>
      <w:szCs w:val="18"/>
      <w:lang w:val="en-US" w:eastAsia="zh-CN" w:bidi="ar-SA"/>
    </w:rPr>
  </w:style>
  <w:style w:type="character" w:customStyle="1" w:styleId="248">
    <w:name w:val="Char Char35"/>
    <w:qFormat/>
    <w:uiPriority w:val="0"/>
    <w:rPr>
      <w:rFonts w:ascii="仿宋_GB2312" w:eastAsia="仿宋_GB2312" w:cs="MingLiU"/>
      <w:b/>
      <w:sz w:val="24"/>
      <w:szCs w:val="28"/>
    </w:rPr>
  </w:style>
  <w:style w:type="character" w:customStyle="1" w:styleId="249">
    <w:name w:val="Char Char11"/>
    <w:qFormat/>
    <w:locked/>
    <w:uiPriority w:val="0"/>
    <w:rPr>
      <w:rFonts w:eastAsia="黑体"/>
      <w:kern w:val="2"/>
      <w:sz w:val="44"/>
      <w:szCs w:val="44"/>
      <w:lang w:val="en-US" w:eastAsia="zh-CN" w:bidi="ar-SA"/>
    </w:rPr>
  </w:style>
  <w:style w:type="character" w:customStyle="1" w:styleId="250">
    <w:name w:val="style31"/>
    <w:qFormat/>
    <w:uiPriority w:val="0"/>
    <w:rPr>
      <w:sz w:val="10"/>
      <w:szCs w:val="10"/>
    </w:rPr>
  </w:style>
  <w:style w:type="character" w:customStyle="1" w:styleId="251">
    <w:name w:val="0d1471"/>
    <w:qFormat/>
    <w:uiPriority w:val="0"/>
    <w:rPr>
      <w:color w:val="000000"/>
      <w:sz w:val="11"/>
      <w:szCs w:val="11"/>
      <w:u w:val="none"/>
    </w:rPr>
  </w:style>
  <w:style w:type="character" w:customStyle="1" w:styleId="252">
    <w:name w:val="标题 9 Char"/>
    <w:qFormat/>
    <w:uiPriority w:val="0"/>
    <w:rPr>
      <w:rFonts w:ascii="Arial" w:hAnsi="Arial" w:eastAsia="黑体" w:cs="Times New Roman"/>
      <w:szCs w:val="21"/>
    </w:rPr>
  </w:style>
  <w:style w:type="character" w:customStyle="1" w:styleId="253">
    <w:name w:val="标题 3 Char1"/>
    <w:qFormat/>
    <w:uiPriority w:val="0"/>
    <w:rPr>
      <w:rFonts w:ascii="Times New Roman" w:hAnsi="Times New Roman" w:eastAsia="宋体" w:cs="Times New Roman"/>
      <w:b/>
      <w:bCs/>
      <w:kern w:val="2"/>
      <w:sz w:val="32"/>
      <w:szCs w:val="32"/>
    </w:rPr>
  </w:style>
  <w:style w:type="character" w:customStyle="1" w:styleId="254">
    <w:name w:val="标题4 Char Char"/>
    <w:link w:val="100"/>
    <w:qFormat/>
    <w:uiPriority w:val="0"/>
    <w:rPr>
      <w:rFonts w:ascii="Arial" w:hAnsi="Arial"/>
      <w:b/>
      <w:bCs/>
      <w:sz w:val="24"/>
      <w:szCs w:val="32"/>
      <w:lang w:bidi="ar-SA"/>
    </w:rPr>
  </w:style>
  <w:style w:type="character" w:customStyle="1" w:styleId="255">
    <w:name w:val="标题 5 Char1"/>
    <w:qFormat/>
    <w:uiPriority w:val="0"/>
    <w:rPr>
      <w:rFonts w:ascii="宋体" w:hAnsi="宋体" w:eastAsia="宋体" w:cs="宋体"/>
      <w:b/>
      <w:bCs/>
      <w:sz w:val="20"/>
      <w:szCs w:val="20"/>
    </w:rPr>
  </w:style>
  <w:style w:type="character" w:customStyle="1" w:styleId="256">
    <w:name w:val="正文文本缩进 3 Char1"/>
    <w:qFormat/>
    <w:uiPriority w:val="0"/>
    <w:rPr>
      <w:rFonts w:ascii="宋体" w:hAnsi="宋体"/>
      <w:kern w:val="2"/>
      <w:sz w:val="28"/>
      <w:szCs w:val="28"/>
    </w:rPr>
  </w:style>
  <w:style w:type="character" w:customStyle="1" w:styleId="257">
    <w:name w:val="Char Char33"/>
    <w:qFormat/>
    <w:uiPriority w:val="0"/>
    <w:rPr>
      <w:rFonts w:ascii="仿宋_GB2312" w:eastAsia="仿宋_GB2312" w:cs="MingLiU"/>
      <w:b/>
      <w:sz w:val="24"/>
      <w:szCs w:val="28"/>
    </w:rPr>
  </w:style>
  <w:style w:type="character" w:customStyle="1" w:styleId="258">
    <w:name w:val="批注文字 Char1"/>
    <w:qFormat/>
    <w:uiPriority w:val="99"/>
    <w:rPr>
      <w:rFonts w:ascii="Times New Roman" w:hAnsi="Times New Roman" w:eastAsia="宋体" w:cs="Times New Roman"/>
      <w:szCs w:val="24"/>
    </w:rPr>
  </w:style>
  <w:style w:type="character" w:customStyle="1" w:styleId="259">
    <w:name w:val="正文文本 3 Char1"/>
    <w:qFormat/>
    <w:uiPriority w:val="0"/>
    <w:rPr>
      <w:kern w:val="2"/>
      <w:sz w:val="16"/>
      <w:szCs w:val="16"/>
    </w:rPr>
  </w:style>
  <w:style w:type="character" w:customStyle="1" w:styleId="260">
    <w:name w:val="页眉 Char"/>
    <w:qFormat/>
    <w:uiPriority w:val="0"/>
    <w:rPr>
      <w:sz w:val="18"/>
      <w:szCs w:val="18"/>
    </w:rPr>
  </w:style>
  <w:style w:type="character" w:customStyle="1" w:styleId="261">
    <w:name w:val="明显引用 Char"/>
    <w:qFormat/>
    <w:uiPriority w:val="0"/>
    <w:rPr>
      <w:rFonts w:ascii="Times New Roman" w:hAnsi="Times New Roman" w:eastAsia="宋体" w:cs="Times New Roman"/>
      <w:b/>
      <w:bCs/>
      <w:i/>
      <w:iCs/>
      <w:color w:val="4F81BD"/>
      <w:kern w:val="2"/>
      <w:sz w:val="21"/>
      <w:szCs w:val="24"/>
    </w:rPr>
  </w:style>
  <w:style w:type="character" w:customStyle="1" w:styleId="262">
    <w:name w:val="color_red1"/>
    <w:qFormat/>
    <w:uiPriority w:val="0"/>
    <w:rPr>
      <w:color w:val="FA0004"/>
    </w:rPr>
  </w:style>
  <w:style w:type="character" w:customStyle="1" w:styleId="263">
    <w:name w:val="批注主题 Char2"/>
    <w:qFormat/>
    <w:uiPriority w:val="99"/>
    <w:rPr>
      <w:b/>
      <w:bCs/>
      <w:kern w:val="2"/>
      <w:sz w:val="21"/>
      <w:szCs w:val="24"/>
    </w:rPr>
  </w:style>
  <w:style w:type="character" w:customStyle="1" w:styleId="264">
    <w:name w:val="Char Char34"/>
    <w:qFormat/>
    <w:uiPriority w:val="0"/>
    <w:rPr>
      <w:rFonts w:ascii="仿宋_GB2312" w:eastAsia="仿宋_GB2312" w:cs="MingLiU"/>
      <w:b/>
      <w:spacing w:val="1"/>
      <w:w w:val="99"/>
      <w:sz w:val="28"/>
      <w:szCs w:val="32"/>
    </w:rPr>
  </w:style>
  <w:style w:type="character" w:customStyle="1" w:styleId="265">
    <w:name w:val="docpro"/>
    <w:basedOn w:val="50"/>
    <w:qFormat/>
    <w:uiPriority w:val="0"/>
  </w:style>
  <w:style w:type="character" w:customStyle="1" w:styleId="266">
    <w:name w:val="正文文本 3 Char"/>
    <w:qFormat/>
    <w:uiPriority w:val="0"/>
    <w:rPr>
      <w:kern w:val="2"/>
      <w:sz w:val="16"/>
      <w:szCs w:val="16"/>
    </w:rPr>
  </w:style>
  <w:style w:type="character" w:customStyle="1" w:styleId="267">
    <w:name w:val="标题 5 Char"/>
    <w:qFormat/>
    <w:uiPriority w:val="0"/>
    <w:rPr>
      <w:rFonts w:ascii="Calibri" w:hAnsi="Calibri" w:eastAsia="宋体" w:cs="Times New Roman"/>
      <w:b/>
      <w:bCs/>
      <w:sz w:val="28"/>
      <w:szCs w:val="28"/>
    </w:rPr>
  </w:style>
  <w:style w:type="character" w:customStyle="1" w:styleId="268">
    <w:name w:val="style161"/>
    <w:qFormat/>
    <w:uiPriority w:val="0"/>
    <w:rPr>
      <w:b/>
      <w:bCs/>
      <w:color w:val="333333"/>
    </w:rPr>
  </w:style>
  <w:style w:type="character" w:customStyle="1" w:styleId="269">
    <w:name w:val="文档结构图 Char2"/>
    <w:qFormat/>
    <w:uiPriority w:val="99"/>
    <w:rPr>
      <w:kern w:val="2"/>
      <w:sz w:val="21"/>
      <w:szCs w:val="24"/>
      <w:shd w:val="clear" w:color="auto" w:fill="000080"/>
    </w:rPr>
  </w:style>
  <w:style w:type="character" w:customStyle="1" w:styleId="270">
    <w:name w:val="页脚 Char1"/>
    <w:semiHidden/>
    <w:qFormat/>
    <w:uiPriority w:val="99"/>
    <w:rPr>
      <w:kern w:val="2"/>
      <w:sz w:val="18"/>
      <w:szCs w:val="18"/>
    </w:rPr>
  </w:style>
  <w:style w:type="character" w:customStyle="1" w:styleId="271">
    <w:name w:val="日期 Char2"/>
    <w:qFormat/>
    <w:uiPriority w:val="99"/>
    <w:rPr>
      <w:kern w:val="2"/>
      <w:sz w:val="21"/>
      <w:szCs w:val="24"/>
    </w:rPr>
  </w:style>
  <w:style w:type="character" w:customStyle="1" w:styleId="272">
    <w:name w:val="HTML 预设格式 Char"/>
    <w:qFormat/>
    <w:uiPriority w:val="0"/>
    <w:rPr>
      <w:rFonts w:ascii="宋体" w:hAnsi="宋体" w:eastAsia="宋体" w:cs="宋体"/>
      <w:color w:val="000000"/>
      <w:sz w:val="24"/>
      <w:szCs w:val="24"/>
    </w:rPr>
  </w:style>
  <w:style w:type="character" w:customStyle="1" w:styleId="273">
    <w:name w:val="批注主题 字符"/>
    <w:link w:val="45"/>
    <w:qFormat/>
    <w:uiPriority w:val="0"/>
    <w:rPr>
      <w:rFonts w:eastAsia="宋体"/>
      <w:b/>
      <w:bCs/>
      <w:kern w:val="2"/>
      <w:sz w:val="21"/>
      <w:szCs w:val="24"/>
      <w:lang w:val="en-US" w:eastAsia="zh-CN" w:bidi="ar-SA"/>
    </w:rPr>
  </w:style>
  <w:style w:type="character" w:customStyle="1" w:styleId="274">
    <w:name w:val="正文文本 2 字符"/>
    <w:link w:val="40"/>
    <w:qFormat/>
    <w:uiPriority w:val="0"/>
    <w:rPr>
      <w:i/>
      <w:iCs/>
      <w:kern w:val="2"/>
      <w:sz w:val="26"/>
      <w:szCs w:val="24"/>
    </w:rPr>
  </w:style>
  <w:style w:type="character" w:customStyle="1" w:styleId="275">
    <w:name w:val="批注框文本 Char"/>
    <w:qFormat/>
    <w:uiPriority w:val="0"/>
    <w:rPr>
      <w:sz w:val="18"/>
      <w:szCs w:val="18"/>
    </w:rPr>
  </w:style>
  <w:style w:type="character" w:customStyle="1" w:styleId="276">
    <w:name w:val="文档结构图 Char"/>
    <w:qFormat/>
    <w:uiPriority w:val="0"/>
    <w:rPr>
      <w:rFonts w:ascii="宋体"/>
      <w:kern w:val="2"/>
      <w:sz w:val="18"/>
      <w:szCs w:val="18"/>
    </w:rPr>
  </w:style>
  <w:style w:type="character" w:customStyle="1" w:styleId="277">
    <w:name w:val="标题 8 字符"/>
    <w:link w:val="10"/>
    <w:qFormat/>
    <w:uiPriority w:val="0"/>
    <w:rPr>
      <w:rFonts w:hAnsi="Arial" w:eastAsia="仿宋_GB2312"/>
      <w:sz w:val="30"/>
      <w:lang w:val="en-US" w:eastAsia="zh-CN" w:bidi="ar-SA"/>
    </w:rPr>
  </w:style>
  <w:style w:type="character" w:customStyle="1" w:styleId="278">
    <w:name w:val="正文文本缩进 3 字符"/>
    <w:link w:val="37"/>
    <w:qFormat/>
    <w:uiPriority w:val="0"/>
    <w:rPr>
      <w:rFonts w:ascii="宋体" w:hAnsi="宋体" w:eastAsia="宋体"/>
      <w:kern w:val="2"/>
      <w:sz w:val="28"/>
      <w:szCs w:val="28"/>
      <w:lang w:val="en-US" w:eastAsia="zh-CN" w:bidi="ar-SA"/>
    </w:rPr>
  </w:style>
  <w:style w:type="character" w:customStyle="1" w:styleId="279">
    <w:name w:val="正文文本缩进 字符"/>
    <w:link w:val="19"/>
    <w:qFormat/>
    <w:uiPriority w:val="0"/>
    <w:rPr>
      <w:rFonts w:eastAsia="宋体"/>
      <w:kern w:val="2"/>
      <w:sz w:val="21"/>
      <w:szCs w:val="24"/>
      <w:lang w:val="en-US" w:eastAsia="zh-CN" w:bidi="ar-SA"/>
    </w:rPr>
  </w:style>
  <w:style w:type="character" w:customStyle="1" w:styleId="280">
    <w:name w:val="_Style 196"/>
    <w:qFormat/>
    <w:uiPriority w:val="0"/>
    <w:rPr>
      <w:i/>
      <w:iCs/>
      <w:color w:val="808080"/>
    </w:rPr>
  </w:style>
  <w:style w:type="character" w:customStyle="1" w:styleId="281">
    <w:name w:val="正文文本缩进 2 字符"/>
    <w:link w:val="27"/>
    <w:qFormat/>
    <w:uiPriority w:val="0"/>
    <w:rPr>
      <w:rFonts w:eastAsia="宋体"/>
      <w:sz w:val="28"/>
      <w:szCs w:val="24"/>
      <w:lang w:val="en-US" w:eastAsia="zh-CN" w:bidi="ar-SA"/>
    </w:rPr>
  </w:style>
  <w:style w:type="character" w:customStyle="1" w:styleId="282">
    <w:name w:val="标题 7 字符"/>
    <w:link w:val="9"/>
    <w:qFormat/>
    <w:uiPriority w:val="0"/>
    <w:rPr>
      <w:rFonts w:eastAsia="仿宋_GB2312"/>
      <w:sz w:val="30"/>
      <w:lang w:val="en-US" w:eastAsia="zh-CN" w:bidi="ar-SA"/>
    </w:rPr>
  </w:style>
  <w:style w:type="character" w:customStyle="1" w:styleId="283">
    <w:name w:val="Char Char13"/>
    <w:qFormat/>
    <w:uiPriority w:val="0"/>
    <w:rPr>
      <w:kern w:val="2"/>
      <w:sz w:val="18"/>
      <w:szCs w:val="18"/>
    </w:rPr>
  </w:style>
  <w:style w:type="character" w:customStyle="1" w:styleId="284">
    <w:name w:val="正文文本缩进 2 Char1"/>
    <w:qFormat/>
    <w:uiPriority w:val="0"/>
    <w:rPr>
      <w:sz w:val="28"/>
      <w:szCs w:val="24"/>
    </w:rPr>
  </w:style>
  <w:style w:type="character" w:customStyle="1" w:styleId="285">
    <w:name w:val="Char Char21"/>
    <w:qFormat/>
    <w:uiPriority w:val="0"/>
    <w:rPr>
      <w:rFonts w:ascii="宋体" w:hAnsi="宋体" w:cs="宋体"/>
      <w:b/>
      <w:bCs/>
      <w:sz w:val="24"/>
      <w:szCs w:val="24"/>
    </w:rPr>
  </w:style>
  <w:style w:type="character" w:customStyle="1" w:styleId="286">
    <w:name w:val="文档结构图 Char1"/>
    <w:qFormat/>
    <w:uiPriority w:val="0"/>
    <w:rPr>
      <w:rFonts w:ascii="宋体"/>
      <w:kern w:val="2"/>
      <w:sz w:val="18"/>
      <w:szCs w:val="18"/>
    </w:rPr>
  </w:style>
  <w:style w:type="character" w:customStyle="1" w:styleId="287">
    <w:name w:val="标题 Char"/>
    <w:qFormat/>
    <w:uiPriority w:val="0"/>
    <w:rPr>
      <w:rFonts w:ascii="Cambria" w:hAnsi="Cambria" w:eastAsia="宋体" w:cs="Times New Roman"/>
      <w:b/>
      <w:bCs/>
      <w:kern w:val="2"/>
      <w:sz w:val="32"/>
      <w:szCs w:val="32"/>
    </w:rPr>
  </w:style>
  <w:style w:type="character" w:customStyle="1" w:styleId="288">
    <w:name w:val="_Style 275"/>
    <w:qFormat/>
    <w:uiPriority w:val="0"/>
    <w:rPr>
      <w:smallCaps/>
      <w:color w:val="C0504D"/>
      <w:u w:val="single"/>
    </w:rPr>
  </w:style>
  <w:style w:type="character" w:customStyle="1" w:styleId="289">
    <w:name w:val="Char Char12"/>
    <w:qFormat/>
    <w:uiPriority w:val="0"/>
    <w:rPr>
      <w:rFonts w:eastAsia="黑体"/>
      <w:kern w:val="2"/>
      <w:sz w:val="44"/>
      <w:szCs w:val="44"/>
      <w:lang w:val="en-US" w:eastAsia="zh-CN" w:bidi="ar-SA"/>
    </w:rPr>
  </w:style>
  <w:style w:type="character" w:customStyle="1" w:styleId="290">
    <w:name w:val="明显参考1"/>
    <w:qFormat/>
    <w:uiPriority w:val="0"/>
    <w:rPr>
      <w:b/>
      <w:bCs/>
      <w:smallCaps/>
      <w:color w:val="C0504D"/>
      <w:spacing w:val="5"/>
      <w:u w:val="single"/>
    </w:rPr>
  </w:style>
  <w:style w:type="character" w:customStyle="1" w:styleId="291">
    <w:name w:val="Char Char36"/>
    <w:qFormat/>
    <w:uiPriority w:val="0"/>
    <w:rPr>
      <w:rFonts w:ascii="仿宋_GB2312" w:eastAsia="仿宋_GB2312" w:cs="MingLiU"/>
      <w:b/>
      <w:sz w:val="24"/>
      <w:szCs w:val="28"/>
    </w:rPr>
  </w:style>
  <w:style w:type="character" w:customStyle="1" w:styleId="292">
    <w:name w:val="批注框文本 Char2"/>
    <w:qFormat/>
    <w:uiPriority w:val="99"/>
    <w:rPr>
      <w:kern w:val="2"/>
      <w:sz w:val="18"/>
      <w:szCs w:val="18"/>
    </w:rPr>
  </w:style>
  <w:style w:type="character" w:customStyle="1" w:styleId="293">
    <w:name w:val="subhead1"/>
    <w:qFormat/>
    <w:uiPriority w:val="0"/>
    <w:rPr>
      <w:rFonts w:hint="default" w:ascii="Tahoma" w:hAnsi="Tahoma" w:cs="Tahoma"/>
      <w:color w:val="000000"/>
      <w:sz w:val="18"/>
      <w:szCs w:val="18"/>
      <w:u w:val="none"/>
      <w:shd w:val="clear" w:color="auto" w:fill="FFFFFF"/>
    </w:rPr>
  </w:style>
  <w:style w:type="character" w:customStyle="1" w:styleId="294">
    <w:name w:val="正文文本缩进 3 Char2"/>
    <w:semiHidden/>
    <w:qFormat/>
    <w:uiPriority w:val="99"/>
    <w:rPr>
      <w:rFonts w:ascii="Calibri" w:hAnsi="Calibri" w:eastAsia="宋体" w:cs="Times New Roman"/>
      <w:sz w:val="16"/>
      <w:szCs w:val="16"/>
    </w:rPr>
  </w:style>
  <w:style w:type="character" w:customStyle="1" w:styleId="295">
    <w:name w:val="纯文本 Char"/>
    <w:qFormat/>
    <w:uiPriority w:val="0"/>
    <w:rPr>
      <w:rFonts w:ascii="宋体" w:hAnsi="Courier New"/>
      <w:sz w:val="28"/>
      <w:szCs w:val="28"/>
    </w:rPr>
  </w:style>
  <w:style w:type="character" w:customStyle="1" w:styleId="296">
    <w:name w:val="纯文本 Char2"/>
    <w:semiHidden/>
    <w:qFormat/>
    <w:uiPriority w:val="99"/>
    <w:rPr>
      <w:rFonts w:ascii="宋体" w:hAnsi="Courier New" w:eastAsia="宋体" w:cs="Courier New"/>
      <w:szCs w:val="21"/>
    </w:rPr>
  </w:style>
  <w:style w:type="character" w:customStyle="1" w:styleId="297">
    <w:name w:val="页眉 Char1"/>
    <w:semiHidden/>
    <w:qFormat/>
    <w:uiPriority w:val="99"/>
    <w:rPr>
      <w:kern w:val="2"/>
      <w:sz w:val="18"/>
      <w:szCs w:val="18"/>
    </w:rPr>
  </w:style>
  <w:style w:type="character" w:customStyle="1" w:styleId="298">
    <w:name w:val="Char Char14"/>
    <w:qFormat/>
    <w:uiPriority w:val="0"/>
    <w:rPr>
      <w:kern w:val="2"/>
      <w:sz w:val="18"/>
      <w:szCs w:val="18"/>
    </w:rPr>
  </w:style>
  <w:style w:type="character" w:customStyle="1" w:styleId="299">
    <w:name w:val="批注文字 字符"/>
    <w:link w:val="16"/>
    <w:qFormat/>
    <w:uiPriority w:val="99"/>
    <w:rPr>
      <w:rFonts w:eastAsia="宋体"/>
      <w:kern w:val="2"/>
      <w:sz w:val="21"/>
      <w:szCs w:val="24"/>
      <w:lang w:val="en-US" w:eastAsia="zh-CN" w:bidi="ar-SA"/>
    </w:rPr>
  </w:style>
  <w:style w:type="character" w:customStyle="1" w:styleId="300">
    <w:name w:val="批注文字 Char Char"/>
    <w:qFormat/>
    <w:uiPriority w:val="0"/>
    <w:rPr>
      <w:rFonts w:ascii="宋体" w:hAnsi="Times New Roman" w:eastAsia="宋体" w:cs="Times New Roman"/>
      <w:sz w:val="28"/>
      <w:szCs w:val="20"/>
    </w:rPr>
  </w:style>
  <w:style w:type="character" w:customStyle="1" w:styleId="301">
    <w:name w:val="标题 1 Char1"/>
    <w:qFormat/>
    <w:uiPriority w:val="0"/>
    <w:rPr>
      <w:rFonts w:ascii="Times New Roman" w:hAnsi="Times New Roman" w:eastAsia="宋体" w:cs="Times New Roman"/>
      <w:b/>
      <w:bCs/>
      <w:kern w:val="44"/>
      <w:sz w:val="44"/>
      <w:szCs w:val="44"/>
    </w:rPr>
  </w:style>
  <w:style w:type="character" w:customStyle="1" w:styleId="302">
    <w:name w:val="标题 5 字符"/>
    <w:link w:val="6"/>
    <w:qFormat/>
    <w:uiPriority w:val="0"/>
    <w:rPr>
      <w:rFonts w:ascii="宋体" w:hAnsi="宋体" w:eastAsia="宋体" w:cs="宋体"/>
      <w:b/>
      <w:bCs/>
      <w:lang w:val="en-US" w:eastAsia="zh-CN" w:bidi="ar-SA"/>
    </w:rPr>
  </w:style>
  <w:style w:type="character" w:customStyle="1" w:styleId="303">
    <w:name w:val="手改 Char Char"/>
    <w:qFormat/>
    <w:uiPriority w:val="0"/>
    <w:rPr>
      <w:kern w:val="2"/>
      <w:sz w:val="21"/>
      <w:szCs w:val="24"/>
    </w:rPr>
  </w:style>
  <w:style w:type="character" w:customStyle="1" w:styleId="304">
    <w:name w:val="标题 1 字符"/>
    <w:link w:val="2"/>
    <w:qFormat/>
    <w:uiPriority w:val="0"/>
    <w:rPr>
      <w:rFonts w:eastAsia="宋体"/>
      <w:b/>
      <w:bCs/>
      <w:kern w:val="44"/>
      <w:sz w:val="44"/>
      <w:szCs w:val="44"/>
      <w:lang w:val="en-US" w:eastAsia="zh-CN" w:bidi="ar-SA"/>
    </w:rPr>
  </w:style>
  <w:style w:type="character" w:customStyle="1" w:styleId="305">
    <w:name w:val="intel3"/>
    <w:basedOn w:val="50"/>
    <w:qFormat/>
    <w:uiPriority w:val="0"/>
  </w:style>
  <w:style w:type="character" w:customStyle="1" w:styleId="306">
    <w:name w:val="副标题 Char2"/>
    <w:qFormat/>
    <w:uiPriority w:val="11"/>
    <w:rPr>
      <w:rFonts w:ascii="Cambria" w:hAnsi="Cambria" w:eastAsia="宋体" w:cs="Times New Roman"/>
      <w:b/>
      <w:bCs/>
      <w:kern w:val="28"/>
      <w:sz w:val="32"/>
      <w:szCs w:val="32"/>
    </w:rPr>
  </w:style>
  <w:style w:type="character" w:customStyle="1" w:styleId="307">
    <w:name w:val="明显引用 Char4"/>
    <w:link w:val="131"/>
    <w:qFormat/>
    <w:uiPriority w:val="0"/>
    <w:rPr>
      <w:b/>
      <w:bCs/>
      <w:i/>
      <w:iCs/>
      <w:color w:val="4F81BD"/>
      <w:kern w:val="2"/>
      <w:sz w:val="21"/>
      <w:szCs w:val="22"/>
      <w:lang w:bidi="ar-SA"/>
    </w:rPr>
  </w:style>
  <w:style w:type="character" w:customStyle="1" w:styleId="308">
    <w:name w:val="明显引用 Char1"/>
    <w:link w:val="124"/>
    <w:qFormat/>
    <w:uiPriority w:val="30"/>
    <w:rPr>
      <w:b/>
      <w:bCs/>
      <w:i/>
      <w:iCs/>
      <w:color w:val="4F81BD"/>
      <w:kern w:val="2"/>
      <w:sz w:val="21"/>
    </w:rPr>
  </w:style>
  <w:style w:type="character" w:customStyle="1" w:styleId="309">
    <w:name w:val="HTML 预设格式 Char1"/>
    <w:qFormat/>
    <w:uiPriority w:val="0"/>
    <w:rPr>
      <w:rFonts w:ascii="宋体" w:hAnsi="宋体" w:cs="宋体"/>
      <w:color w:val="000000"/>
      <w:sz w:val="24"/>
      <w:szCs w:val="24"/>
    </w:rPr>
  </w:style>
  <w:style w:type="character" w:customStyle="1" w:styleId="310">
    <w:name w:val="引用 Char"/>
    <w:link w:val="83"/>
    <w:qFormat/>
    <w:uiPriority w:val="0"/>
    <w:rPr>
      <w:rFonts w:ascii="Times New Roman" w:hAnsi="Times New Roman" w:eastAsia="宋体" w:cs="Times New Roman"/>
      <w:i/>
      <w:iCs/>
      <w:color w:val="000000"/>
      <w:kern w:val="2"/>
      <w:sz w:val="21"/>
      <w:szCs w:val="24"/>
    </w:rPr>
  </w:style>
  <w:style w:type="character" w:customStyle="1" w:styleId="311">
    <w:name w:val="副标题 字符"/>
    <w:link w:val="34"/>
    <w:qFormat/>
    <w:uiPriority w:val="0"/>
    <w:rPr>
      <w:rFonts w:eastAsia="宋体"/>
      <w:szCs w:val="24"/>
      <w:u w:val="single"/>
      <w:lang w:val="en-US" w:eastAsia="en-US" w:bidi="ar-SA"/>
    </w:rPr>
  </w:style>
  <w:style w:type="character" w:customStyle="1" w:styleId="312">
    <w:name w:val="ITTHEADER1 Char"/>
    <w:qFormat/>
    <w:uiPriority w:val="0"/>
    <w:rPr>
      <w:rFonts w:eastAsia="黑体"/>
      <w:kern w:val="2"/>
      <w:sz w:val="44"/>
      <w:szCs w:val="44"/>
      <w:lang w:val="en-US" w:eastAsia="zh-CN" w:bidi="ar-SA"/>
    </w:rPr>
  </w:style>
  <w:style w:type="character" w:customStyle="1" w:styleId="313">
    <w:name w:val="日期 Char3"/>
    <w:semiHidden/>
    <w:qFormat/>
    <w:uiPriority w:val="99"/>
    <w:rPr>
      <w:rFonts w:ascii="Calibri" w:hAnsi="Calibri" w:eastAsia="宋体" w:cs="Times New Roman"/>
      <w:szCs w:val="24"/>
    </w:rPr>
  </w:style>
  <w:style w:type="character" w:customStyle="1" w:styleId="314">
    <w:name w:val="纯文本 字符"/>
    <w:link w:val="24"/>
    <w:qFormat/>
    <w:uiPriority w:val="0"/>
    <w:rPr>
      <w:rFonts w:ascii="宋体" w:hAnsi="Courier New" w:eastAsia="宋体" w:cs="Courier New"/>
      <w:kern w:val="2"/>
      <w:sz w:val="21"/>
      <w:szCs w:val="21"/>
      <w:lang w:val="en-US" w:eastAsia="zh-CN" w:bidi="ar-SA"/>
    </w:rPr>
  </w:style>
  <w:style w:type="character" w:customStyle="1" w:styleId="315">
    <w:name w:val="批注文字 Char"/>
    <w:qFormat/>
    <w:uiPriority w:val="0"/>
    <w:rPr>
      <w:rFonts w:ascii="Times New Roman" w:hAnsi="Times New Roman" w:eastAsia="宋体" w:cs="Times New Roman"/>
      <w:kern w:val="2"/>
      <w:sz w:val="21"/>
      <w:szCs w:val="24"/>
    </w:rPr>
  </w:style>
  <w:style w:type="character" w:customStyle="1" w:styleId="316">
    <w:name w:val="Section Char"/>
    <w:qFormat/>
    <w:uiPriority w:val="0"/>
    <w:rPr>
      <w:rFonts w:ascii="仿宋_GB2312" w:eastAsia="仿宋_GB2312" w:cs="MingLiU"/>
      <w:b/>
      <w:sz w:val="24"/>
      <w:szCs w:val="28"/>
      <w:lang w:val="en-US" w:eastAsia="zh-CN" w:bidi="ar-SA"/>
    </w:rPr>
  </w:style>
  <w:style w:type="character" w:customStyle="1" w:styleId="317">
    <w:name w:val="正文文本 3 Char2"/>
    <w:semiHidden/>
    <w:qFormat/>
    <w:uiPriority w:val="99"/>
    <w:rPr>
      <w:rFonts w:ascii="Calibri" w:hAnsi="Calibri" w:eastAsia="宋体" w:cs="Times New Roman"/>
      <w:sz w:val="16"/>
      <w:szCs w:val="16"/>
    </w:rPr>
  </w:style>
  <w:style w:type="character" w:customStyle="1" w:styleId="318">
    <w:name w:val="正文文本 3 字符"/>
    <w:link w:val="17"/>
    <w:qFormat/>
    <w:uiPriority w:val="0"/>
    <w:rPr>
      <w:rFonts w:eastAsia="宋体"/>
      <w:kern w:val="2"/>
      <w:sz w:val="16"/>
      <w:szCs w:val="16"/>
      <w:lang w:val="en-US" w:eastAsia="zh-CN" w:bidi="ar-SA"/>
    </w:rPr>
  </w:style>
  <w:style w:type="character" w:customStyle="1" w:styleId="319">
    <w:name w:val="普通文字 Char Char1"/>
    <w:qFormat/>
    <w:uiPriority w:val="0"/>
    <w:rPr>
      <w:rFonts w:ascii="宋体" w:hAnsi="Courier New"/>
      <w:kern w:val="2"/>
      <w:sz w:val="28"/>
      <w:szCs w:val="28"/>
    </w:rPr>
  </w:style>
  <w:style w:type="character" w:customStyle="1" w:styleId="320">
    <w:name w:val="正文文本缩进 Char"/>
    <w:qFormat/>
    <w:uiPriority w:val="0"/>
    <w:rPr>
      <w:rFonts w:ascii="黑体" w:hAnsi="宋体" w:eastAsia="黑体"/>
      <w:color w:val="000000"/>
      <w:sz w:val="28"/>
      <w:szCs w:val="32"/>
    </w:rPr>
  </w:style>
  <w:style w:type="character" w:customStyle="1" w:styleId="321">
    <w:name w:val="font161"/>
    <w:qFormat/>
    <w:uiPriority w:val="0"/>
    <w:rPr>
      <w:b/>
      <w:bCs/>
      <w:sz w:val="32"/>
      <w:szCs w:val="32"/>
    </w:rPr>
  </w:style>
  <w:style w:type="paragraph" w:customStyle="1" w:styleId="322">
    <w:name w:val="列出段落2"/>
    <w:basedOn w:val="1"/>
    <w:qFormat/>
    <w:uiPriority w:val="99"/>
    <w:pPr>
      <w:ind w:firstLine="420" w:firstLineChars="200"/>
    </w:pPr>
    <w:rPr>
      <w:sz w:val="28"/>
      <w:szCs w:val="28"/>
    </w:rPr>
  </w:style>
  <w:style w:type="paragraph" w:customStyle="1" w:styleId="32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24">
    <w:name w:val="正文(缩进)"/>
    <w:basedOn w:val="1"/>
    <w:qFormat/>
    <w:uiPriority w:val="0"/>
    <w:pPr>
      <w:ind w:left="57" w:firstLine="200" w:firstLineChars="200"/>
    </w:pPr>
    <w:rPr>
      <w:rFonts w:ascii="Calibri" w:hAnsi="Calibri"/>
      <w:sz w:val="24"/>
    </w:rPr>
  </w:style>
  <w:style w:type="table" w:customStyle="1" w:styleId="325">
    <w:name w:val="Table Normal"/>
    <w:semiHidden/>
    <w:unhideWhenUsed/>
    <w:qFormat/>
    <w:uiPriority w:val="0"/>
    <w:tblPr>
      <w:tblCellMar>
        <w:top w:w="0" w:type="dxa"/>
        <w:left w:w="0" w:type="dxa"/>
        <w:bottom w:w="0" w:type="dxa"/>
        <w:right w:w="0" w:type="dxa"/>
      </w:tblCellMar>
    </w:tblPr>
  </w:style>
  <w:style w:type="paragraph" w:customStyle="1" w:styleId="326">
    <w:name w:val="目录 53"/>
    <w:next w:val="1"/>
    <w:qFormat/>
    <w:uiPriority w:val="99"/>
    <w:pPr>
      <w:wordWrap w:val="0"/>
      <w:ind w:left="1275"/>
      <w:jc w:val="both"/>
    </w:pPr>
    <w:rPr>
      <w:rFonts w:ascii="Calibri" w:hAnsi="Calibri" w:eastAsia="宋体" w:cs="Times New Roman"/>
      <w:sz w:val="21"/>
      <w:lang w:val="en-US" w:eastAsia="zh-CN" w:bidi="ar-SA"/>
    </w:rPr>
  </w:style>
  <w:style w:type="character" w:customStyle="1" w:styleId="327">
    <w:name w:val="标题 3 Char2"/>
    <w:link w:val="4"/>
    <w:qFormat/>
    <w:uiPriority w:val="0"/>
    <w:rPr>
      <w:rFonts w:eastAsia="宋体"/>
      <w:b/>
      <w:bCs/>
      <w:kern w:val="2"/>
      <w:sz w:val="32"/>
      <w:szCs w:val="32"/>
      <w:lang w:val="en-US" w:eastAsia="zh-CN" w:bidi="ar-SA"/>
    </w:rPr>
  </w:style>
  <w:style w:type="paragraph" w:customStyle="1" w:styleId="328">
    <w:name w:val="扉首"/>
    <w:basedOn w:val="1"/>
    <w:qFormat/>
    <w:uiPriority w:val="99"/>
    <w:pPr>
      <w:spacing w:line="480" w:lineRule="auto"/>
      <w:ind w:firstLine="560"/>
      <w:jc w:val="center"/>
    </w:pPr>
    <w:rPr>
      <w:rFonts w:ascii="黑体" w:hAnsi="黑体" w:eastAsia="仿宋_GB2312" w:cs="黑体"/>
      <w:b/>
      <w:color w:val="000000"/>
      <w:kern w:val="2"/>
      <w:sz w:val="5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100</Pages>
  <Words>22960</Words>
  <Characters>24654</Characters>
  <Lines>489</Lines>
  <Paragraphs>137</Paragraphs>
  <TotalTime>11</TotalTime>
  <ScaleCrop>false</ScaleCrop>
  <LinksUpToDate>false</LinksUpToDate>
  <CharactersWithSpaces>25964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2021-12-18T03:12:00Z</dcterms:created>
  <dc:creator>USER</dc:creator>
  <cp:lastModifiedBy>张黎</cp:lastModifiedBy>
  <cp:lastPrinted>2023-04-26T19:35:00Z</cp:lastPrinted>
  <dcterms:modified xsi:type="dcterms:W3CDTF">2025-10-13T01:42:49Z</dcterms:modified>
  <dc:title>第一卷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62876CB95DC84C48BC996726CFCF5EF1_13</vt:lpwstr>
  </property>
  <property fmtid="{D5CDD505-2E9C-101B-9397-08002B2CF9AE}" pid="4" name="KSOTemplateDocerSaveRecord">
    <vt:lpwstr>eyJoZGlkIjoiZmZmOWNlMjU0MDE0Y2IyYzE4NzQ3OTdhYjkxMGI4ZWMiLCJ1c2VySWQiOiI5ODI2MTYzNjQifQ==</vt:lpwstr>
  </property>
</Properties>
</file>