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22DAE3">
      <w:pPr>
        <w:pStyle w:val="25"/>
        <w:spacing w:line="240" w:lineRule="auto"/>
        <w:ind w:left="0"/>
        <w:jc w:val="center"/>
        <w:rPr>
          <w:rFonts w:hint="eastAsia" w:ascii="仿宋" w:hAnsi="仿宋" w:eastAsia="仿宋" w:cs="仿宋"/>
          <w:color w:val="auto"/>
          <w:sz w:val="60"/>
          <w:szCs w:val="60"/>
          <w:highlight w:val="none"/>
        </w:rPr>
      </w:pPr>
      <w:bookmarkStart w:id="0" w:name="_Toc31915"/>
      <w:bookmarkStart w:id="1" w:name="_Toc21122"/>
      <w:bookmarkStart w:id="2" w:name="_Toc16015"/>
      <w:bookmarkStart w:id="3" w:name="_Toc136879882"/>
      <w:bookmarkStart w:id="4" w:name="_Toc15146"/>
      <w:bookmarkStart w:id="5" w:name="_Toc21750"/>
      <w:bookmarkStart w:id="6" w:name="_Toc136879634"/>
      <w:bookmarkStart w:id="7" w:name="_Toc20816"/>
      <w:bookmarkStart w:id="8" w:name="_Toc30901"/>
      <w:bookmarkStart w:id="9" w:name="_Toc1828"/>
      <w:bookmarkStart w:id="10" w:name="_Toc136879793"/>
      <w:bookmarkStart w:id="11" w:name="_Toc23648"/>
      <w:bookmarkStart w:id="12" w:name="_Toc3073"/>
      <w:bookmarkStart w:id="13" w:name="_Toc12923"/>
      <w:bookmarkStart w:id="14" w:name="_Toc136880102"/>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F3EA80E">
      <w:pPr>
        <w:pStyle w:val="25"/>
        <w:spacing w:line="240" w:lineRule="auto"/>
        <w:ind w:left="0"/>
        <w:jc w:val="center"/>
        <w:rPr>
          <w:rFonts w:hint="eastAsia" w:ascii="仿宋" w:hAnsi="仿宋" w:eastAsia="仿宋" w:cs="仿宋"/>
          <w:color w:val="auto"/>
          <w:sz w:val="60"/>
          <w:szCs w:val="60"/>
          <w:highlight w:val="none"/>
        </w:rPr>
      </w:pPr>
      <w:r>
        <w:rPr>
          <w:rFonts w:hint="eastAsia" w:ascii="仿宋" w:hAnsi="仿宋" w:eastAsia="仿宋" w:cs="仿宋"/>
          <w:color w:val="auto"/>
          <w:sz w:val="60"/>
          <w:szCs w:val="60"/>
          <w:highlight w:val="none"/>
          <w:lang w:eastAsia="zh-CN"/>
        </w:rPr>
        <w:t>小额交易平台</w:t>
      </w:r>
      <w:bookmarkStart w:id="15" w:name="_Toc5521"/>
      <w:bookmarkStart w:id="16" w:name="_Toc136879794"/>
      <w:bookmarkStart w:id="17" w:name="_Toc136879635"/>
      <w:bookmarkStart w:id="18" w:name="_Toc6223"/>
      <w:bookmarkStart w:id="19" w:name="_Toc25539"/>
      <w:bookmarkStart w:id="20" w:name="_Toc21695"/>
      <w:bookmarkStart w:id="21" w:name="_Toc28014"/>
      <w:bookmarkStart w:id="22" w:name="_Toc136879883"/>
      <w:bookmarkStart w:id="23" w:name="_Toc16319"/>
      <w:bookmarkStart w:id="24" w:name="_Toc7828"/>
      <w:bookmarkStart w:id="25" w:name="_Toc5958"/>
      <w:bookmarkStart w:id="26" w:name="_Toc156"/>
      <w:bookmarkStart w:id="27" w:name="_Toc12859"/>
      <w:bookmarkStart w:id="28" w:name="_Toc31652"/>
      <w:bookmarkStart w:id="29" w:name="_Toc136880103"/>
      <w:r>
        <w:rPr>
          <w:rFonts w:hint="eastAsia" w:ascii="仿宋" w:hAnsi="仿宋" w:eastAsia="仿宋" w:cs="仿宋"/>
          <w:color w:val="auto"/>
          <w:sz w:val="60"/>
          <w:szCs w:val="60"/>
          <w:highlight w:val="none"/>
        </w:rPr>
        <w:t>网上竞采采购文件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9D35E6">
      <w:pPr>
        <w:pStyle w:val="25"/>
        <w:spacing w:line="240" w:lineRule="auto"/>
        <w:ind w:left="0"/>
        <w:jc w:val="center"/>
        <w:rPr>
          <w:rFonts w:hint="eastAsia" w:ascii="仿宋" w:hAnsi="仿宋" w:eastAsia="仿宋" w:cs="仿宋"/>
          <w:color w:val="auto"/>
          <w:sz w:val="80"/>
          <w:szCs w:val="80"/>
          <w:highlight w:val="none"/>
        </w:rPr>
      </w:pPr>
    </w:p>
    <w:p w14:paraId="5657C31C">
      <w:pPr>
        <w:pStyle w:val="25"/>
        <w:spacing w:line="500" w:lineRule="exact"/>
        <w:ind w:left="0"/>
        <w:rPr>
          <w:rFonts w:hint="eastAsia" w:ascii="仿宋" w:hAnsi="仿宋" w:eastAsia="仿宋" w:cs="仿宋"/>
          <w:color w:val="auto"/>
          <w:sz w:val="32"/>
          <w:highlight w:val="none"/>
        </w:rPr>
      </w:pPr>
    </w:p>
    <w:p w14:paraId="73B2C114">
      <w:pPr>
        <w:pStyle w:val="25"/>
        <w:spacing w:line="500" w:lineRule="exact"/>
        <w:ind w:left="0"/>
        <w:rPr>
          <w:rFonts w:hint="eastAsia" w:ascii="仿宋" w:hAnsi="仿宋" w:eastAsia="仿宋" w:cs="仿宋"/>
          <w:color w:val="auto"/>
          <w:sz w:val="52"/>
          <w:szCs w:val="52"/>
          <w:highlight w:val="none"/>
        </w:rPr>
      </w:pPr>
    </w:p>
    <w:p w14:paraId="731337F5">
      <w:pPr>
        <w:pStyle w:val="25"/>
        <w:spacing w:line="500" w:lineRule="exact"/>
        <w:ind w:left="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 xml:space="preserve"> </w:t>
      </w:r>
    </w:p>
    <w:p w14:paraId="29E64122">
      <w:pPr>
        <w:pStyle w:val="25"/>
        <w:spacing w:line="500" w:lineRule="exact"/>
        <w:ind w:left="0"/>
        <w:rPr>
          <w:rFonts w:hint="eastAsia" w:ascii="仿宋" w:hAnsi="仿宋" w:eastAsia="仿宋" w:cs="仿宋"/>
          <w:color w:val="auto"/>
          <w:sz w:val="32"/>
          <w:highlight w:val="none"/>
        </w:rPr>
      </w:pPr>
    </w:p>
    <w:p w14:paraId="3E7A6C7E">
      <w:pPr>
        <w:pStyle w:val="25"/>
        <w:spacing w:line="500" w:lineRule="exact"/>
        <w:ind w:left="0"/>
        <w:jc w:val="center"/>
        <w:rPr>
          <w:rFonts w:hint="eastAsia" w:ascii="仿宋" w:hAnsi="仿宋" w:eastAsia="仿宋" w:cs="仿宋"/>
          <w:color w:val="auto"/>
          <w:sz w:val="32"/>
          <w:highlight w:val="none"/>
        </w:rPr>
      </w:pPr>
    </w:p>
    <w:p w14:paraId="39A69E74">
      <w:pPr>
        <w:pStyle w:val="25"/>
        <w:spacing w:line="500" w:lineRule="exact"/>
        <w:ind w:left="0"/>
        <w:jc w:val="center"/>
        <w:rPr>
          <w:rFonts w:hint="eastAsia" w:ascii="仿宋" w:hAnsi="仿宋" w:eastAsia="仿宋" w:cs="仿宋"/>
          <w:color w:val="auto"/>
          <w:sz w:val="32"/>
          <w:highlight w:val="none"/>
          <w:lang w:val="en-US"/>
        </w:rPr>
      </w:pPr>
      <w:r>
        <w:rPr>
          <w:rFonts w:hint="eastAsia" w:ascii="仿宋" w:hAnsi="仿宋" w:eastAsia="仿宋" w:cs="仿宋"/>
          <w:color w:val="auto"/>
          <w:sz w:val="32"/>
          <w:highlight w:val="none"/>
        </w:rPr>
        <w:t>采购项目名称：</w:t>
      </w:r>
      <w:r>
        <w:rPr>
          <w:rFonts w:hint="eastAsia" w:ascii="仿宋" w:hAnsi="仿宋" w:eastAsia="仿宋" w:cs="仿宋"/>
          <w:color w:val="auto"/>
          <w:sz w:val="32"/>
          <w:highlight w:val="none"/>
          <w:lang w:val="en-US" w:eastAsia="zh-CN"/>
        </w:rPr>
        <w:t>秀山县精神卫生中心早餐配送服务采购项目</w:t>
      </w:r>
    </w:p>
    <w:p w14:paraId="4C727097">
      <w:pPr>
        <w:pStyle w:val="5"/>
        <w:rPr>
          <w:rFonts w:hint="eastAsia" w:ascii="仿宋" w:hAnsi="仿宋" w:eastAsia="仿宋" w:cs="仿宋"/>
          <w:color w:val="auto"/>
          <w:highlight w:val="none"/>
        </w:rPr>
      </w:pPr>
    </w:p>
    <w:p w14:paraId="08F75E98">
      <w:pPr>
        <w:rPr>
          <w:rFonts w:hint="eastAsia" w:ascii="仿宋" w:hAnsi="仿宋" w:eastAsia="仿宋" w:cs="仿宋"/>
          <w:color w:val="auto"/>
          <w:highlight w:val="none"/>
        </w:rPr>
      </w:pPr>
    </w:p>
    <w:p w14:paraId="7E958A86">
      <w:pPr>
        <w:pStyle w:val="62"/>
        <w:rPr>
          <w:rFonts w:hint="eastAsia" w:ascii="仿宋" w:hAnsi="仿宋" w:eastAsia="仿宋" w:cs="仿宋"/>
          <w:highlight w:val="none"/>
        </w:rPr>
      </w:pPr>
    </w:p>
    <w:p w14:paraId="5E71EF51">
      <w:pPr>
        <w:rPr>
          <w:rFonts w:hint="eastAsia" w:ascii="仿宋" w:hAnsi="仿宋" w:eastAsia="仿宋" w:cs="仿宋"/>
          <w:color w:val="auto"/>
          <w:highlight w:val="none"/>
        </w:rPr>
      </w:pPr>
    </w:p>
    <w:p w14:paraId="419FA48F">
      <w:pPr>
        <w:rPr>
          <w:rFonts w:hint="eastAsia" w:ascii="仿宋" w:hAnsi="仿宋" w:eastAsia="仿宋" w:cs="仿宋"/>
          <w:color w:val="auto"/>
          <w:highlight w:val="none"/>
        </w:rPr>
      </w:pPr>
    </w:p>
    <w:p w14:paraId="5931C586">
      <w:pPr>
        <w:rPr>
          <w:rFonts w:hint="eastAsia" w:ascii="仿宋" w:hAnsi="仿宋" w:eastAsia="仿宋" w:cs="仿宋"/>
          <w:color w:val="auto"/>
          <w:highlight w:val="none"/>
        </w:rPr>
      </w:pPr>
    </w:p>
    <w:p w14:paraId="0DE33758">
      <w:pPr>
        <w:rPr>
          <w:rFonts w:hint="eastAsia" w:ascii="仿宋" w:hAnsi="仿宋" w:eastAsia="仿宋" w:cs="仿宋"/>
          <w:color w:val="auto"/>
          <w:highlight w:val="none"/>
        </w:rPr>
      </w:pPr>
    </w:p>
    <w:p w14:paraId="768C8B43">
      <w:pPr>
        <w:rPr>
          <w:rFonts w:hint="eastAsia" w:ascii="仿宋" w:hAnsi="仿宋" w:eastAsia="仿宋" w:cs="仿宋"/>
          <w:color w:val="auto"/>
          <w:highlight w:val="none"/>
        </w:rPr>
      </w:pPr>
    </w:p>
    <w:p w14:paraId="48116AEF">
      <w:pPr>
        <w:pStyle w:val="25"/>
        <w:spacing w:line="500" w:lineRule="exact"/>
        <w:ind w:left="0" w:firstLine="1280" w:firstLineChars="400"/>
        <w:jc w:val="left"/>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采购人：</w:t>
      </w:r>
      <w:r>
        <w:rPr>
          <w:rFonts w:hint="eastAsia" w:ascii="仿宋" w:hAnsi="仿宋" w:eastAsia="仿宋" w:cs="仿宋"/>
          <w:color w:val="auto"/>
          <w:sz w:val="32"/>
          <w:highlight w:val="none"/>
          <w:lang w:eastAsia="zh-CN"/>
        </w:rPr>
        <w:t>秀山土家族苗族自治县精神卫生中心</w:t>
      </w:r>
    </w:p>
    <w:p w14:paraId="196C4906">
      <w:pPr>
        <w:pStyle w:val="25"/>
        <w:spacing w:line="500" w:lineRule="exact"/>
        <w:ind w:left="0" w:firstLine="1280" w:firstLineChars="4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highlight w:val="none"/>
        </w:rPr>
        <w:t>采购代理机构：</w:t>
      </w:r>
      <w:r>
        <w:rPr>
          <w:rFonts w:hint="eastAsia" w:ascii="仿宋" w:hAnsi="仿宋" w:eastAsia="仿宋" w:cs="仿宋"/>
          <w:color w:val="auto"/>
          <w:sz w:val="32"/>
          <w:highlight w:val="none"/>
          <w:lang w:eastAsia="zh-CN"/>
        </w:rPr>
        <w:t>重庆千诺工程项目管理有限公司</w:t>
      </w:r>
    </w:p>
    <w:p w14:paraId="26C2510D">
      <w:pPr>
        <w:pStyle w:val="23"/>
        <w:rPr>
          <w:rFonts w:hint="eastAsia" w:ascii="仿宋" w:hAnsi="仿宋" w:eastAsia="仿宋" w:cs="仿宋"/>
          <w:color w:val="auto"/>
          <w:highlight w:val="none"/>
        </w:rPr>
      </w:pPr>
    </w:p>
    <w:p w14:paraId="674C1D9C">
      <w:pPr>
        <w:snapToGrid w:val="0"/>
        <w:spacing w:line="500" w:lineRule="exact"/>
        <w:jc w:val="center"/>
        <w:rPr>
          <w:rFonts w:hint="eastAsia"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月</w:t>
      </w:r>
    </w:p>
    <w:p w14:paraId="39C69D8D">
      <w:pPr>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p>
    <w:p w14:paraId="7CF8059A">
      <w:pPr>
        <w:spacing w:line="480" w:lineRule="exact"/>
        <w:jc w:val="center"/>
        <w:outlineLvl w:val="0"/>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t>目录</w:t>
      </w:r>
    </w:p>
    <w:p w14:paraId="7C7CC002">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"_Toc21521"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第一篇采购邀请书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_Toc21521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663BFD0">
      <w:pPr>
        <w:pStyle w:val="32"/>
        <w:tabs>
          <w:tab w:val="right" w:leader="dot" w:pos="9412"/>
        </w:tabs>
        <w:ind w:left="1120"/>
        <w:rPr>
          <w:rFonts w:hint="eastAsia" w:ascii="仿宋" w:hAnsi="仿宋" w:eastAsia="仿宋" w:cs="仿宋"/>
          <w:color w:val="auto"/>
          <w:highlight w:val="none"/>
        </w:rPr>
      </w:pPr>
    </w:p>
    <w:p w14:paraId="466D10E0">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"_Toc1145"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第二篇采购项目技术需求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_Toc1145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- 5 -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12B9DE3">
      <w:pPr>
        <w:pStyle w:val="50"/>
        <w:tabs>
          <w:tab w:val="right" w:leader="dot" w:pos="9412"/>
        </w:tabs>
        <w:ind w:left="560"/>
        <w:rPr>
          <w:rFonts w:hint="eastAsia" w:ascii="仿宋" w:hAnsi="仿宋" w:eastAsia="仿宋" w:cs="仿宋"/>
          <w:color w:val="auto"/>
          <w:highlight w:val="none"/>
        </w:rPr>
      </w:pPr>
    </w:p>
    <w:p w14:paraId="6697F7AA">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"_Toc24341"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第三篇采购项目商务需求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_Toc24341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- 20 -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4AD28C">
      <w:pPr>
        <w:pStyle w:val="50"/>
        <w:tabs>
          <w:tab w:val="right" w:leader="dot" w:pos="9412"/>
        </w:tabs>
        <w:ind w:left="560"/>
        <w:rPr>
          <w:rFonts w:hint="eastAsia" w:ascii="仿宋" w:hAnsi="仿宋" w:eastAsia="仿宋" w:cs="仿宋"/>
          <w:color w:val="auto"/>
          <w:highlight w:val="none"/>
        </w:rPr>
      </w:pPr>
    </w:p>
    <w:p w14:paraId="2839130D">
      <w:pPr>
        <w:pStyle w:val="50"/>
        <w:tabs>
          <w:tab w:val="right" w:leader="dot" w:pos="9412"/>
        </w:tabs>
        <w:ind w:left="560"/>
        <w:rPr>
          <w:rFonts w:hint="default" w:ascii="仿宋" w:hAnsi="仿宋" w:eastAsia="仿宋" w:cs="仿宋"/>
          <w:color w:val="auto"/>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"_Toc28614"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第四篇网上竞采程序及方法、评审标准、响应无效和</w:t>
      </w:r>
      <w:r>
        <w:rPr>
          <w:rFonts w:hint="eastAsia" w:ascii="仿宋" w:hAnsi="仿宋" w:eastAsia="仿宋" w:cs="仿宋"/>
          <w:bCs/>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fldChar w:fldCharType="end"/>
      </w:r>
      <w:r>
        <w:rPr>
          <w:rFonts w:hint="eastAsia" w:ascii="仿宋" w:hAnsi="仿宋" w:eastAsia="仿宋" w:cs="仿宋"/>
          <w:color w:val="auto"/>
          <w:highlight w:val="none"/>
          <w:lang w:val="en-US" w:eastAsia="zh-CN"/>
        </w:rPr>
        <w:t>3-</w:t>
      </w:r>
    </w:p>
    <w:p w14:paraId="4F66A7B3">
      <w:pPr>
        <w:pStyle w:val="32"/>
        <w:tabs>
          <w:tab w:val="right" w:leader="dot" w:pos="9412"/>
        </w:tabs>
        <w:ind w:left="1120"/>
        <w:rPr>
          <w:rFonts w:hint="eastAsia" w:ascii="仿宋" w:hAnsi="仿宋" w:eastAsia="仿宋" w:cs="仿宋"/>
          <w:color w:val="auto"/>
          <w:highlight w:val="none"/>
        </w:rPr>
      </w:pPr>
    </w:p>
    <w:p w14:paraId="39DF7CE1">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"_Toc13753"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第五篇供应商须知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_Toc13753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- 29 -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4E99B6A">
      <w:pPr>
        <w:pStyle w:val="32"/>
        <w:tabs>
          <w:tab w:val="right" w:leader="dot" w:pos="9412"/>
        </w:tabs>
        <w:ind w:left="1120"/>
        <w:rPr>
          <w:rFonts w:hint="eastAsia" w:ascii="仿宋" w:hAnsi="仿宋" w:eastAsia="仿宋" w:cs="仿宋"/>
          <w:color w:val="auto"/>
          <w:highlight w:val="none"/>
        </w:rPr>
      </w:pPr>
    </w:p>
    <w:p w14:paraId="5A9370A6">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"_Toc4239"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第六篇合同草案条款和格式合同（模板）</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_Toc4239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35F0044">
      <w:pPr>
        <w:rPr>
          <w:rFonts w:hint="eastAsia" w:ascii="仿宋" w:hAnsi="仿宋" w:eastAsia="仿宋" w:cs="仿宋"/>
          <w:highlight w:val="none"/>
        </w:rPr>
      </w:pPr>
    </w:p>
    <w:p w14:paraId="0983286C">
      <w:pPr>
        <w:ind w:firstLine="560" w:firstLineChars="200"/>
        <w:rPr>
          <w:rFonts w:hint="eastAsia" w:ascii="仿宋" w:hAnsi="仿宋" w:eastAsia="仿宋" w:cs="仿宋"/>
          <w:highlight w:val="none"/>
          <w:lang w:val="en-US" w:eastAsia="zh-CN"/>
        </w:rPr>
      </w:pPr>
      <w:r>
        <w:rPr>
          <w:rFonts w:hint="eastAsia" w:ascii="仿宋" w:hAnsi="仿宋" w:eastAsia="仿宋" w:cs="仿宋"/>
          <w:highlight w:val="none"/>
        </w:rPr>
        <w:t>第七篇响应文件编制要求</w:t>
      </w:r>
      <w:r>
        <w:rPr>
          <w:rFonts w:hint="eastAsia" w:ascii="仿宋" w:hAnsi="仿宋" w:eastAsia="仿宋" w:cs="仿宋"/>
          <w:highlight w:val="none"/>
          <w:lang w:val="en-US" w:eastAsia="zh-CN"/>
        </w:rPr>
        <w:t>.......................................</w:t>
      </w:r>
      <w:r>
        <w:rPr>
          <w:rFonts w:hint="eastAsia" w:ascii="仿宋" w:hAnsi="仿宋" w:eastAsia="仿宋" w:cs="仿宋"/>
          <w:color w:val="auto"/>
          <w:highlight w:val="none"/>
          <w:lang w:val="en-US" w:eastAsia="zh-CN"/>
        </w:rPr>
        <w:t>48</w:t>
      </w:r>
    </w:p>
    <w:p w14:paraId="7B0193CC">
      <w:pPr>
        <w:rPr>
          <w:rFonts w:hint="eastAsia" w:ascii="仿宋" w:hAnsi="仿宋" w:eastAsia="仿宋" w:cs="仿宋"/>
          <w:highlight w:val="none"/>
        </w:rPr>
      </w:pPr>
    </w:p>
    <w:p w14:paraId="11D2430E">
      <w:pPr>
        <w:pStyle w:val="32"/>
        <w:tabs>
          <w:tab w:val="right" w:leader="dot" w:pos="9412"/>
        </w:tabs>
        <w:ind w:left="1120"/>
        <w:rPr>
          <w:rFonts w:hint="eastAsia" w:ascii="仿宋" w:hAnsi="仿宋" w:eastAsia="仿宋" w:cs="仿宋"/>
          <w:color w:val="auto"/>
          <w:highlight w:val="none"/>
        </w:rPr>
      </w:pPr>
    </w:p>
    <w:p w14:paraId="411453AA">
      <w:pPr>
        <w:pStyle w:val="50"/>
        <w:tabs>
          <w:tab w:val="right" w:leader="dot" w:pos="9402"/>
        </w:tabs>
        <w:spacing w:line="480" w:lineRule="exact"/>
        <w:ind w:left="560"/>
        <w:jc w:val="center"/>
        <w:rPr>
          <w:rFonts w:hint="eastAsia" w:ascii="仿宋" w:hAnsi="仿宋" w:eastAsia="仿宋" w:cs="仿宋"/>
          <w:color w:val="auto"/>
          <w:sz w:val="18"/>
          <w:szCs w:val="22"/>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color w:val="auto"/>
          <w:szCs w:val="24"/>
          <w:highlight w:val="none"/>
        </w:rPr>
        <w:fldChar w:fldCharType="end"/>
      </w:r>
    </w:p>
    <w:p w14:paraId="1C1D155E">
      <w:pPr>
        <w:pStyle w:val="4"/>
        <w:spacing w:line="360" w:lineRule="auto"/>
        <w:jc w:val="center"/>
        <w:rPr>
          <w:rFonts w:hint="eastAsia" w:ascii="仿宋" w:hAnsi="仿宋" w:eastAsia="仿宋" w:cs="仿宋"/>
          <w:bCs/>
          <w:color w:val="auto"/>
          <w:szCs w:val="30"/>
          <w:highlight w:val="none"/>
        </w:rPr>
      </w:pPr>
      <w:bookmarkStart w:id="30" w:name="_Toc21521"/>
      <w:bookmarkStart w:id="31" w:name="_Toc12789052"/>
      <w:bookmarkStart w:id="32" w:name="_Toc11641050"/>
      <w:r>
        <w:rPr>
          <w:rFonts w:hint="eastAsia" w:ascii="仿宋" w:hAnsi="仿宋" w:eastAsia="仿宋" w:cs="仿宋"/>
          <w:bCs/>
          <w:color w:val="auto"/>
          <w:sz w:val="36"/>
          <w:szCs w:val="30"/>
          <w:highlight w:val="none"/>
        </w:rPr>
        <w:t>第一篇采购邀请书</w:t>
      </w:r>
      <w:bookmarkEnd w:id="30"/>
      <w:bookmarkEnd w:id="31"/>
      <w:bookmarkEnd w:id="32"/>
    </w:p>
    <w:p w14:paraId="0660A2B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重庆千诺工程项目管理有限公司</w:t>
      </w:r>
      <w:r>
        <w:rPr>
          <w:rFonts w:hint="eastAsia" w:ascii="仿宋" w:hAnsi="仿宋" w:eastAsia="仿宋" w:cs="仿宋"/>
          <w:color w:val="auto"/>
          <w:sz w:val="24"/>
          <w:szCs w:val="24"/>
          <w:highlight w:val="none"/>
        </w:rPr>
        <w:t>（以下简称：采购代理机构）接受</w:t>
      </w:r>
      <w:r>
        <w:rPr>
          <w:rFonts w:hint="eastAsia" w:ascii="仿宋" w:hAnsi="仿宋" w:eastAsia="仿宋" w:cs="仿宋"/>
          <w:color w:val="auto"/>
          <w:sz w:val="24"/>
          <w:szCs w:val="24"/>
          <w:highlight w:val="none"/>
          <w:u w:val="single"/>
          <w:lang w:eastAsia="zh-CN"/>
        </w:rPr>
        <w:t>秀山土家族苗族自治县精神卫生中心</w:t>
      </w:r>
      <w:r>
        <w:rPr>
          <w:rFonts w:hint="eastAsia" w:ascii="仿宋" w:hAnsi="仿宋" w:eastAsia="仿宋" w:cs="仿宋"/>
          <w:color w:val="auto"/>
          <w:sz w:val="24"/>
          <w:szCs w:val="24"/>
          <w:highlight w:val="none"/>
        </w:rPr>
        <w:t>的委托，对</w:t>
      </w:r>
      <w:r>
        <w:rPr>
          <w:rFonts w:hint="eastAsia" w:ascii="仿宋" w:hAnsi="仿宋" w:eastAsia="仿宋" w:cs="仿宋"/>
          <w:color w:val="auto"/>
          <w:sz w:val="24"/>
          <w:szCs w:val="24"/>
          <w:highlight w:val="none"/>
          <w:u w:val="single"/>
          <w:lang w:eastAsia="zh-CN"/>
        </w:rPr>
        <w:t>秀山县精神卫生中心早餐配送服务采购项目</w:t>
      </w:r>
      <w:r>
        <w:rPr>
          <w:rFonts w:hint="eastAsia" w:ascii="仿宋" w:hAnsi="仿宋" w:eastAsia="仿宋" w:cs="仿宋"/>
          <w:color w:val="auto"/>
          <w:sz w:val="24"/>
          <w:szCs w:val="24"/>
          <w:highlight w:val="none"/>
        </w:rPr>
        <w:t>进行网上竞采。欢迎有资格的供应商前来参与网上竞采。</w:t>
      </w:r>
    </w:p>
    <w:p w14:paraId="39F0DA12">
      <w:pPr>
        <w:pStyle w:val="5"/>
        <w:numPr>
          <w:ilvl w:val="0"/>
          <w:numId w:val="14"/>
        </w:numPr>
        <w:spacing w:before="240" w:beforeLines="100" w:after="0" w:line="360" w:lineRule="auto"/>
        <w:rPr>
          <w:rFonts w:hint="eastAsia" w:ascii="仿宋" w:hAnsi="仿宋" w:eastAsia="仿宋" w:cs="仿宋"/>
          <w:color w:val="auto"/>
          <w:sz w:val="24"/>
          <w:szCs w:val="24"/>
          <w:highlight w:val="none"/>
        </w:rPr>
      </w:pPr>
      <w:bookmarkStart w:id="33" w:name="_Toc317775175"/>
      <w:bookmarkStart w:id="34" w:name="_Toc2406"/>
      <w:bookmarkStart w:id="35" w:name="_Toc313893526"/>
      <w:bookmarkStart w:id="36" w:name="_Toc5721"/>
      <w:bookmarkStart w:id="37" w:name="_Toc373860293"/>
      <w:bookmarkStart w:id="38" w:name="_Toc317775178"/>
      <w:r>
        <w:rPr>
          <w:rFonts w:hint="eastAsia" w:ascii="仿宋" w:hAnsi="仿宋" w:eastAsia="仿宋" w:cs="仿宋"/>
          <w:color w:val="auto"/>
          <w:sz w:val="24"/>
          <w:szCs w:val="24"/>
          <w:highlight w:val="none"/>
        </w:rPr>
        <w:t>采购内容</w:t>
      </w:r>
      <w:bookmarkEnd w:id="33"/>
      <w:bookmarkEnd w:id="34"/>
      <w:bookmarkEnd w:id="35"/>
      <w:bookmarkEnd w:id="36"/>
    </w:p>
    <w:tbl>
      <w:tblPr>
        <w:tblStyle w:val="6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1892"/>
        <w:gridCol w:w="2061"/>
        <w:gridCol w:w="1596"/>
      </w:tblGrid>
      <w:tr w14:paraId="1A42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328" w:type="dxa"/>
            <w:tcBorders>
              <w:top w:val="single" w:color="auto" w:sz="4" w:space="0"/>
              <w:left w:val="single" w:color="auto" w:sz="4" w:space="0"/>
              <w:right w:val="single" w:color="auto" w:sz="4" w:space="0"/>
            </w:tcBorders>
            <w:vAlign w:val="center"/>
          </w:tcPr>
          <w:p w14:paraId="5E09453C">
            <w:pPr>
              <w:widowControl/>
              <w:jc w:val="center"/>
              <w:rPr>
                <w:rFonts w:hint="eastAsia" w:ascii="仿宋" w:hAnsi="仿宋" w:eastAsia="仿宋" w:cs="仿宋"/>
                <w:b/>
                <w:bCs/>
                <w:color w:val="auto"/>
                <w:kern w:val="0"/>
                <w:sz w:val="24"/>
                <w:szCs w:val="24"/>
                <w:highlight w:val="none"/>
                <w:lang w:eastAsia="zh-CN"/>
              </w:rPr>
            </w:pPr>
            <w:r>
              <w:rPr>
                <w:rFonts w:hint="eastAsia" w:ascii="仿宋" w:hAnsi="仿宋" w:eastAsia="仿宋" w:cs="仿宋"/>
                <w:b/>
                <w:bCs/>
                <w:color w:val="auto"/>
                <w:kern w:val="0"/>
                <w:sz w:val="24"/>
                <w:szCs w:val="24"/>
                <w:highlight w:val="none"/>
              </w:rPr>
              <w:t>项目</w:t>
            </w:r>
            <w:r>
              <w:rPr>
                <w:rFonts w:hint="eastAsia" w:ascii="仿宋" w:hAnsi="仿宋" w:eastAsia="仿宋" w:cs="仿宋"/>
                <w:b/>
                <w:bCs/>
                <w:color w:val="auto"/>
                <w:kern w:val="0"/>
                <w:sz w:val="24"/>
                <w:szCs w:val="24"/>
                <w:highlight w:val="none"/>
                <w:lang w:val="en-US" w:eastAsia="zh-CN"/>
              </w:rPr>
              <w:t>内容</w:t>
            </w:r>
          </w:p>
        </w:tc>
        <w:tc>
          <w:tcPr>
            <w:tcW w:w="1892" w:type="dxa"/>
            <w:tcBorders>
              <w:top w:val="single" w:color="auto" w:sz="4" w:space="0"/>
              <w:left w:val="single" w:color="auto" w:sz="4" w:space="0"/>
              <w:right w:val="single" w:color="auto" w:sz="4" w:space="0"/>
            </w:tcBorders>
            <w:vAlign w:val="center"/>
          </w:tcPr>
          <w:p w14:paraId="06FD9714">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单价限价（元）</w:t>
            </w:r>
          </w:p>
        </w:tc>
        <w:tc>
          <w:tcPr>
            <w:tcW w:w="2061" w:type="dxa"/>
            <w:tcBorders>
              <w:top w:val="single" w:color="auto" w:sz="4" w:space="0"/>
              <w:left w:val="single" w:color="auto" w:sz="4" w:space="0"/>
              <w:right w:val="single" w:color="auto" w:sz="4" w:space="0"/>
            </w:tcBorders>
            <w:vAlign w:val="center"/>
          </w:tcPr>
          <w:p w14:paraId="371324A6">
            <w:pPr>
              <w:widowControl/>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eastAsia="zh-CN"/>
              </w:rPr>
              <w:t>中标人</w:t>
            </w:r>
            <w:r>
              <w:rPr>
                <w:rFonts w:hint="eastAsia" w:ascii="仿宋" w:hAnsi="仿宋" w:eastAsia="仿宋" w:cs="仿宋"/>
                <w:b/>
                <w:bCs/>
                <w:color w:val="auto"/>
                <w:kern w:val="0"/>
                <w:sz w:val="24"/>
                <w:szCs w:val="24"/>
                <w:highlight w:val="none"/>
              </w:rPr>
              <w:t>数量（名）</w:t>
            </w:r>
          </w:p>
        </w:tc>
        <w:tc>
          <w:tcPr>
            <w:tcW w:w="1596" w:type="dxa"/>
            <w:tcBorders>
              <w:top w:val="single" w:color="auto" w:sz="4" w:space="0"/>
              <w:left w:val="single" w:color="auto" w:sz="4" w:space="0"/>
              <w:right w:val="single" w:color="auto" w:sz="4" w:space="0"/>
            </w:tcBorders>
            <w:vAlign w:val="center"/>
          </w:tcPr>
          <w:p w14:paraId="6273DE2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备注</w:t>
            </w:r>
          </w:p>
        </w:tc>
      </w:tr>
      <w:tr w14:paraId="2543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68DD1F22">
            <w:pPr>
              <w:widowControl/>
              <w:jc w:val="center"/>
              <w:rPr>
                <w:rFonts w:hint="eastAsia" w:ascii="仿宋" w:hAnsi="仿宋" w:eastAsia="仿宋" w:cs="仿宋"/>
                <w:b/>
                <w:bCs/>
                <w:color w:val="auto"/>
                <w:kern w:val="0"/>
                <w:sz w:val="24"/>
                <w:szCs w:val="24"/>
                <w:highlight w:val="none"/>
                <w:lang w:val="en-US" w:eastAsia="zh-CN"/>
              </w:rPr>
            </w:pPr>
            <w:bookmarkStart w:id="39" w:name="_Hlk344477914"/>
            <w:r>
              <w:rPr>
                <w:rFonts w:hint="eastAsia" w:ascii="仿宋" w:hAnsi="仿宋" w:eastAsia="仿宋" w:cs="仿宋"/>
                <w:b/>
                <w:bCs/>
                <w:color w:val="auto"/>
                <w:kern w:val="0"/>
                <w:sz w:val="24"/>
                <w:szCs w:val="24"/>
                <w:highlight w:val="none"/>
                <w:lang w:val="en-US" w:eastAsia="zh-CN"/>
              </w:rPr>
              <w:t>鲜肉包</w:t>
            </w:r>
          </w:p>
        </w:tc>
        <w:tc>
          <w:tcPr>
            <w:tcW w:w="1892" w:type="dxa"/>
            <w:tcBorders>
              <w:top w:val="single" w:color="auto" w:sz="4" w:space="0"/>
              <w:left w:val="single" w:color="auto" w:sz="4" w:space="0"/>
              <w:bottom w:val="single" w:color="auto" w:sz="4" w:space="0"/>
              <w:right w:val="single" w:color="auto" w:sz="4" w:space="0"/>
            </w:tcBorders>
            <w:vAlign w:val="center"/>
          </w:tcPr>
          <w:p w14:paraId="42775802">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1.6</w:t>
            </w:r>
          </w:p>
        </w:tc>
        <w:tc>
          <w:tcPr>
            <w:tcW w:w="2061" w:type="dxa"/>
            <w:vMerge w:val="restart"/>
            <w:tcBorders>
              <w:top w:val="single" w:color="auto" w:sz="4" w:space="0"/>
              <w:left w:val="single" w:color="auto" w:sz="4" w:space="0"/>
              <w:right w:val="single" w:color="auto" w:sz="4" w:space="0"/>
            </w:tcBorders>
            <w:vAlign w:val="center"/>
          </w:tcPr>
          <w:p w14:paraId="7D6208F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w:t>
            </w:r>
          </w:p>
        </w:tc>
        <w:tc>
          <w:tcPr>
            <w:tcW w:w="1596" w:type="dxa"/>
            <w:vMerge w:val="restart"/>
            <w:tcBorders>
              <w:top w:val="single" w:color="auto" w:sz="4" w:space="0"/>
              <w:left w:val="single" w:color="auto" w:sz="4" w:space="0"/>
              <w:right w:val="single" w:color="auto" w:sz="4" w:space="0"/>
            </w:tcBorders>
            <w:vAlign w:val="center"/>
          </w:tcPr>
          <w:p w14:paraId="68D7716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w:t>
            </w:r>
          </w:p>
        </w:tc>
      </w:tr>
      <w:tr w14:paraId="7008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328" w:type="dxa"/>
            <w:tcBorders>
              <w:top w:val="single" w:color="auto" w:sz="4" w:space="0"/>
              <w:left w:val="single" w:color="auto" w:sz="4" w:space="0"/>
              <w:right w:val="single" w:color="auto" w:sz="4" w:space="0"/>
            </w:tcBorders>
            <w:vAlign w:val="center"/>
          </w:tcPr>
          <w:p w14:paraId="4C48E50C">
            <w:pPr>
              <w:widowControl/>
              <w:jc w:val="center"/>
              <w:rPr>
                <w:rFonts w:hint="eastAsia" w:ascii="仿宋" w:hAnsi="仿宋" w:eastAsia="仿宋" w:cs="仿宋"/>
                <w:b/>
                <w:bCs/>
                <w:color w:val="auto"/>
                <w:kern w:val="0"/>
                <w:sz w:val="24"/>
                <w:szCs w:val="24"/>
                <w:highlight w:val="none"/>
                <w:lang w:val="en-US" w:eastAsia="zh-CN"/>
              </w:rPr>
            </w:pPr>
            <w:bookmarkStart w:id="40" w:name="_Toc25538"/>
            <w:bookmarkStart w:id="41" w:name="_Toc1752"/>
            <w:r>
              <w:rPr>
                <w:rFonts w:hint="eastAsia" w:ascii="仿宋" w:hAnsi="仿宋" w:eastAsia="仿宋" w:cs="仿宋"/>
                <w:b/>
                <w:bCs/>
                <w:color w:val="auto"/>
                <w:kern w:val="0"/>
                <w:sz w:val="24"/>
                <w:szCs w:val="24"/>
                <w:highlight w:val="none"/>
                <w:lang w:val="en-US" w:eastAsia="zh-CN"/>
              </w:rPr>
              <w:t>炒肉包</w:t>
            </w:r>
          </w:p>
        </w:tc>
        <w:tc>
          <w:tcPr>
            <w:tcW w:w="1892" w:type="dxa"/>
            <w:tcBorders>
              <w:top w:val="single" w:color="auto" w:sz="4" w:space="0"/>
              <w:left w:val="single" w:color="auto" w:sz="4" w:space="0"/>
              <w:bottom w:val="single" w:color="auto" w:sz="4" w:space="0"/>
              <w:right w:val="single" w:color="auto" w:sz="4" w:space="0"/>
            </w:tcBorders>
            <w:vAlign w:val="center"/>
          </w:tcPr>
          <w:p w14:paraId="1861769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7D64918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4DE6B56">
            <w:pPr>
              <w:widowControl/>
              <w:jc w:val="center"/>
              <w:rPr>
                <w:rFonts w:hint="eastAsia" w:ascii="仿宋" w:hAnsi="仿宋" w:eastAsia="仿宋" w:cs="仿宋"/>
                <w:b/>
                <w:bCs/>
                <w:color w:val="auto"/>
                <w:kern w:val="0"/>
                <w:sz w:val="24"/>
                <w:szCs w:val="24"/>
                <w:highlight w:val="none"/>
                <w:lang w:val="en-US" w:eastAsia="zh-CN"/>
              </w:rPr>
            </w:pPr>
          </w:p>
        </w:tc>
      </w:tr>
      <w:tr w14:paraId="432D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4AE8042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素包子</w:t>
            </w:r>
          </w:p>
        </w:tc>
        <w:tc>
          <w:tcPr>
            <w:tcW w:w="1892" w:type="dxa"/>
            <w:tcBorders>
              <w:top w:val="single" w:color="auto" w:sz="4" w:space="0"/>
              <w:left w:val="single" w:color="auto" w:sz="4" w:space="0"/>
              <w:bottom w:val="single" w:color="auto" w:sz="4" w:space="0"/>
              <w:right w:val="single" w:color="auto" w:sz="4" w:space="0"/>
            </w:tcBorders>
            <w:vAlign w:val="center"/>
          </w:tcPr>
          <w:p w14:paraId="77068F3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1.4</w:t>
            </w:r>
          </w:p>
        </w:tc>
        <w:tc>
          <w:tcPr>
            <w:tcW w:w="2061" w:type="dxa"/>
            <w:vMerge w:val="continue"/>
            <w:tcBorders>
              <w:left w:val="single" w:color="auto" w:sz="4" w:space="0"/>
              <w:right w:val="single" w:color="auto" w:sz="4" w:space="0"/>
            </w:tcBorders>
            <w:vAlign w:val="center"/>
          </w:tcPr>
          <w:p w14:paraId="7A25628B">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090EED7">
            <w:pPr>
              <w:widowControl/>
              <w:jc w:val="center"/>
              <w:rPr>
                <w:rFonts w:hint="eastAsia" w:ascii="仿宋" w:hAnsi="仿宋" w:eastAsia="仿宋" w:cs="仿宋"/>
                <w:b/>
                <w:bCs/>
                <w:color w:val="auto"/>
                <w:kern w:val="0"/>
                <w:sz w:val="24"/>
                <w:szCs w:val="24"/>
                <w:highlight w:val="none"/>
                <w:lang w:val="en-US" w:eastAsia="zh-CN"/>
              </w:rPr>
            </w:pPr>
          </w:p>
        </w:tc>
      </w:tr>
      <w:tr w14:paraId="0DBC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3328" w:type="dxa"/>
            <w:tcBorders>
              <w:top w:val="single" w:color="auto" w:sz="4" w:space="0"/>
              <w:left w:val="single" w:color="auto" w:sz="4" w:space="0"/>
              <w:right w:val="single" w:color="auto" w:sz="4" w:space="0"/>
            </w:tcBorders>
            <w:vAlign w:val="center"/>
          </w:tcPr>
          <w:p w14:paraId="3C6A3C1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馒头（白面/杂粮）</w:t>
            </w:r>
          </w:p>
        </w:tc>
        <w:tc>
          <w:tcPr>
            <w:tcW w:w="1892" w:type="dxa"/>
            <w:tcBorders>
              <w:top w:val="single" w:color="auto" w:sz="4" w:space="0"/>
              <w:left w:val="single" w:color="auto" w:sz="4" w:space="0"/>
              <w:bottom w:val="single" w:color="auto" w:sz="4" w:space="0"/>
              <w:right w:val="single" w:color="auto" w:sz="4" w:space="0"/>
            </w:tcBorders>
            <w:vAlign w:val="center"/>
          </w:tcPr>
          <w:p w14:paraId="324C97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4EAEE52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6D9E1139">
            <w:pPr>
              <w:widowControl/>
              <w:jc w:val="center"/>
              <w:rPr>
                <w:rFonts w:hint="eastAsia" w:ascii="仿宋" w:hAnsi="仿宋" w:eastAsia="仿宋" w:cs="仿宋"/>
                <w:b/>
                <w:bCs/>
                <w:color w:val="auto"/>
                <w:kern w:val="0"/>
                <w:sz w:val="24"/>
                <w:szCs w:val="24"/>
                <w:highlight w:val="none"/>
                <w:lang w:val="en-US" w:eastAsia="zh-CN"/>
              </w:rPr>
            </w:pPr>
          </w:p>
        </w:tc>
      </w:tr>
      <w:tr w14:paraId="3E6D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328" w:type="dxa"/>
            <w:tcBorders>
              <w:top w:val="single" w:color="auto" w:sz="4" w:space="0"/>
              <w:left w:val="single" w:color="auto" w:sz="4" w:space="0"/>
              <w:right w:val="single" w:color="auto" w:sz="4" w:space="0"/>
            </w:tcBorders>
            <w:vAlign w:val="center"/>
          </w:tcPr>
          <w:p w14:paraId="531765A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花卷（葱油）</w:t>
            </w:r>
          </w:p>
        </w:tc>
        <w:tc>
          <w:tcPr>
            <w:tcW w:w="1892" w:type="dxa"/>
            <w:tcBorders>
              <w:top w:val="single" w:color="auto" w:sz="4" w:space="0"/>
              <w:left w:val="single" w:color="auto" w:sz="4" w:space="0"/>
              <w:bottom w:val="single" w:color="auto" w:sz="4" w:space="0"/>
              <w:right w:val="single" w:color="auto" w:sz="4" w:space="0"/>
            </w:tcBorders>
            <w:vAlign w:val="center"/>
          </w:tcPr>
          <w:p w14:paraId="28096D6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5D00382D">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93DF7C2">
            <w:pPr>
              <w:widowControl/>
              <w:jc w:val="center"/>
              <w:rPr>
                <w:rFonts w:hint="eastAsia" w:ascii="仿宋" w:hAnsi="仿宋" w:eastAsia="仿宋" w:cs="仿宋"/>
                <w:b/>
                <w:bCs/>
                <w:color w:val="auto"/>
                <w:kern w:val="0"/>
                <w:sz w:val="24"/>
                <w:szCs w:val="24"/>
                <w:highlight w:val="none"/>
                <w:lang w:val="en-US" w:eastAsia="zh-CN"/>
              </w:rPr>
            </w:pPr>
          </w:p>
        </w:tc>
      </w:tr>
      <w:tr w14:paraId="30F5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AB28AD2">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油条</w:t>
            </w:r>
          </w:p>
        </w:tc>
        <w:tc>
          <w:tcPr>
            <w:tcW w:w="1892" w:type="dxa"/>
            <w:tcBorders>
              <w:top w:val="single" w:color="auto" w:sz="4" w:space="0"/>
              <w:left w:val="single" w:color="auto" w:sz="4" w:space="0"/>
              <w:bottom w:val="single" w:color="auto" w:sz="4" w:space="0"/>
              <w:right w:val="single" w:color="auto" w:sz="4" w:space="0"/>
            </w:tcBorders>
            <w:vAlign w:val="center"/>
          </w:tcPr>
          <w:p w14:paraId="10C8F2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64AADA8">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CCBC40A">
            <w:pPr>
              <w:widowControl/>
              <w:jc w:val="center"/>
              <w:rPr>
                <w:rFonts w:hint="eastAsia" w:ascii="仿宋" w:hAnsi="仿宋" w:eastAsia="仿宋" w:cs="仿宋"/>
                <w:b/>
                <w:bCs/>
                <w:color w:val="auto"/>
                <w:kern w:val="0"/>
                <w:sz w:val="24"/>
                <w:szCs w:val="24"/>
                <w:highlight w:val="none"/>
                <w:lang w:val="en-US" w:eastAsia="zh-CN"/>
              </w:rPr>
            </w:pPr>
          </w:p>
        </w:tc>
      </w:tr>
      <w:tr w14:paraId="638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328" w:type="dxa"/>
            <w:tcBorders>
              <w:top w:val="single" w:color="auto" w:sz="4" w:space="0"/>
              <w:left w:val="single" w:color="auto" w:sz="4" w:space="0"/>
              <w:right w:val="single" w:color="auto" w:sz="4" w:space="0"/>
            </w:tcBorders>
            <w:vAlign w:val="center"/>
          </w:tcPr>
          <w:p w14:paraId="136A966D">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紫薯</w:t>
            </w:r>
          </w:p>
        </w:tc>
        <w:tc>
          <w:tcPr>
            <w:tcW w:w="1892" w:type="dxa"/>
            <w:tcBorders>
              <w:top w:val="single" w:color="auto" w:sz="4" w:space="0"/>
              <w:left w:val="single" w:color="auto" w:sz="4" w:space="0"/>
              <w:bottom w:val="single" w:color="auto" w:sz="4" w:space="0"/>
              <w:right w:val="single" w:color="auto" w:sz="4" w:space="0"/>
            </w:tcBorders>
            <w:vAlign w:val="center"/>
          </w:tcPr>
          <w:p w14:paraId="5B6BD1C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3</w:t>
            </w:r>
          </w:p>
        </w:tc>
        <w:tc>
          <w:tcPr>
            <w:tcW w:w="2061" w:type="dxa"/>
            <w:vMerge w:val="continue"/>
            <w:tcBorders>
              <w:left w:val="single" w:color="auto" w:sz="4" w:space="0"/>
              <w:right w:val="single" w:color="auto" w:sz="4" w:space="0"/>
            </w:tcBorders>
            <w:vAlign w:val="center"/>
          </w:tcPr>
          <w:p w14:paraId="31CF518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04BDD09">
            <w:pPr>
              <w:widowControl/>
              <w:jc w:val="center"/>
              <w:rPr>
                <w:rFonts w:hint="eastAsia" w:ascii="仿宋" w:hAnsi="仿宋" w:eastAsia="仿宋" w:cs="仿宋"/>
                <w:b/>
                <w:bCs/>
                <w:color w:val="auto"/>
                <w:kern w:val="0"/>
                <w:sz w:val="24"/>
                <w:szCs w:val="24"/>
                <w:highlight w:val="none"/>
                <w:lang w:val="en-US" w:eastAsia="zh-CN"/>
              </w:rPr>
            </w:pPr>
          </w:p>
        </w:tc>
      </w:tr>
      <w:tr w14:paraId="46FA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778A192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发糕</w:t>
            </w:r>
          </w:p>
        </w:tc>
        <w:tc>
          <w:tcPr>
            <w:tcW w:w="1892" w:type="dxa"/>
            <w:tcBorders>
              <w:top w:val="single" w:color="auto" w:sz="4" w:space="0"/>
              <w:left w:val="single" w:color="auto" w:sz="4" w:space="0"/>
              <w:bottom w:val="single" w:color="auto" w:sz="4" w:space="0"/>
              <w:right w:val="single" w:color="auto" w:sz="4" w:space="0"/>
            </w:tcBorders>
            <w:vAlign w:val="center"/>
          </w:tcPr>
          <w:p w14:paraId="24150F7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4128A99">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C1B1B02">
            <w:pPr>
              <w:widowControl/>
              <w:jc w:val="center"/>
              <w:rPr>
                <w:rFonts w:hint="eastAsia" w:ascii="仿宋" w:hAnsi="仿宋" w:eastAsia="仿宋" w:cs="仿宋"/>
                <w:b/>
                <w:bCs/>
                <w:color w:val="auto"/>
                <w:kern w:val="0"/>
                <w:sz w:val="24"/>
                <w:szCs w:val="24"/>
                <w:highlight w:val="none"/>
                <w:lang w:val="en-US" w:eastAsia="zh-CN"/>
              </w:rPr>
            </w:pPr>
          </w:p>
        </w:tc>
      </w:tr>
      <w:tr w14:paraId="642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328" w:type="dxa"/>
            <w:tcBorders>
              <w:top w:val="single" w:color="auto" w:sz="4" w:space="0"/>
              <w:left w:val="single" w:color="auto" w:sz="4" w:space="0"/>
              <w:right w:val="single" w:color="auto" w:sz="4" w:space="0"/>
            </w:tcBorders>
            <w:vAlign w:val="center"/>
          </w:tcPr>
          <w:p w14:paraId="0DA6DE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糯米烧麦</w:t>
            </w:r>
          </w:p>
        </w:tc>
        <w:tc>
          <w:tcPr>
            <w:tcW w:w="1892" w:type="dxa"/>
            <w:tcBorders>
              <w:top w:val="single" w:color="auto" w:sz="4" w:space="0"/>
              <w:left w:val="single" w:color="auto" w:sz="4" w:space="0"/>
              <w:bottom w:val="single" w:color="auto" w:sz="4" w:space="0"/>
              <w:right w:val="single" w:color="auto" w:sz="4" w:space="0"/>
            </w:tcBorders>
            <w:vAlign w:val="center"/>
          </w:tcPr>
          <w:p w14:paraId="75147D3B">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2A09FD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3054CDC1">
            <w:pPr>
              <w:widowControl/>
              <w:jc w:val="center"/>
              <w:rPr>
                <w:rFonts w:hint="eastAsia" w:ascii="仿宋" w:hAnsi="仿宋" w:eastAsia="仿宋" w:cs="仿宋"/>
                <w:b/>
                <w:bCs/>
                <w:color w:val="auto"/>
                <w:kern w:val="0"/>
                <w:sz w:val="24"/>
                <w:szCs w:val="24"/>
                <w:highlight w:val="none"/>
                <w:lang w:val="en-US" w:eastAsia="zh-CN"/>
              </w:rPr>
            </w:pPr>
          </w:p>
        </w:tc>
      </w:tr>
      <w:tr w14:paraId="2D8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1FC05A9">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葱油饼</w:t>
            </w:r>
          </w:p>
        </w:tc>
        <w:tc>
          <w:tcPr>
            <w:tcW w:w="1892" w:type="dxa"/>
            <w:tcBorders>
              <w:top w:val="single" w:color="auto" w:sz="4" w:space="0"/>
              <w:left w:val="single" w:color="auto" w:sz="4" w:space="0"/>
              <w:bottom w:val="single" w:color="auto" w:sz="4" w:space="0"/>
              <w:right w:val="single" w:color="auto" w:sz="4" w:space="0"/>
            </w:tcBorders>
            <w:vAlign w:val="center"/>
          </w:tcPr>
          <w:p w14:paraId="63F7D91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393EC9A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318A425">
            <w:pPr>
              <w:widowControl/>
              <w:jc w:val="center"/>
              <w:rPr>
                <w:rFonts w:hint="eastAsia" w:ascii="仿宋" w:hAnsi="仿宋" w:eastAsia="仿宋" w:cs="仿宋"/>
                <w:b/>
                <w:bCs/>
                <w:color w:val="auto"/>
                <w:kern w:val="0"/>
                <w:sz w:val="24"/>
                <w:szCs w:val="24"/>
                <w:highlight w:val="none"/>
                <w:lang w:val="en-US" w:eastAsia="zh-CN"/>
              </w:rPr>
            </w:pPr>
          </w:p>
        </w:tc>
      </w:tr>
      <w:tr w14:paraId="3660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078AB4F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糯玉米</w:t>
            </w:r>
          </w:p>
        </w:tc>
        <w:tc>
          <w:tcPr>
            <w:tcW w:w="1892" w:type="dxa"/>
            <w:tcBorders>
              <w:top w:val="single" w:color="auto" w:sz="4" w:space="0"/>
              <w:left w:val="single" w:color="auto" w:sz="4" w:space="0"/>
              <w:bottom w:val="single" w:color="auto" w:sz="4" w:space="0"/>
              <w:right w:val="single" w:color="auto" w:sz="4" w:space="0"/>
            </w:tcBorders>
            <w:vAlign w:val="center"/>
          </w:tcPr>
          <w:p w14:paraId="27B645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2.5</w:t>
            </w:r>
          </w:p>
        </w:tc>
        <w:tc>
          <w:tcPr>
            <w:tcW w:w="2061" w:type="dxa"/>
            <w:vMerge w:val="continue"/>
            <w:tcBorders>
              <w:left w:val="single" w:color="auto" w:sz="4" w:space="0"/>
              <w:right w:val="single" w:color="auto" w:sz="4" w:space="0"/>
            </w:tcBorders>
            <w:vAlign w:val="center"/>
          </w:tcPr>
          <w:p w14:paraId="3B177E4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C2193CF">
            <w:pPr>
              <w:widowControl/>
              <w:jc w:val="center"/>
              <w:rPr>
                <w:rFonts w:hint="eastAsia" w:ascii="仿宋" w:hAnsi="仿宋" w:eastAsia="仿宋" w:cs="仿宋"/>
                <w:b/>
                <w:bCs/>
                <w:color w:val="auto"/>
                <w:kern w:val="0"/>
                <w:sz w:val="24"/>
                <w:szCs w:val="24"/>
                <w:highlight w:val="none"/>
                <w:lang w:val="en-US" w:eastAsia="zh-CN"/>
              </w:rPr>
            </w:pPr>
          </w:p>
        </w:tc>
      </w:tr>
      <w:tr w14:paraId="4E32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2AFE5B8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大麻园</w:t>
            </w:r>
          </w:p>
        </w:tc>
        <w:tc>
          <w:tcPr>
            <w:tcW w:w="1892" w:type="dxa"/>
            <w:tcBorders>
              <w:top w:val="single" w:color="auto" w:sz="4" w:space="0"/>
              <w:left w:val="single" w:color="auto" w:sz="4" w:space="0"/>
              <w:bottom w:val="single" w:color="auto" w:sz="4" w:space="0"/>
              <w:right w:val="single" w:color="auto" w:sz="4" w:space="0"/>
            </w:tcBorders>
            <w:vAlign w:val="center"/>
          </w:tcPr>
          <w:p w14:paraId="7306296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706A3F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930889F">
            <w:pPr>
              <w:widowControl/>
              <w:jc w:val="center"/>
              <w:rPr>
                <w:rFonts w:hint="eastAsia" w:ascii="仿宋" w:hAnsi="仿宋" w:eastAsia="仿宋" w:cs="仿宋"/>
                <w:b/>
                <w:bCs/>
                <w:color w:val="auto"/>
                <w:kern w:val="0"/>
                <w:sz w:val="24"/>
                <w:szCs w:val="24"/>
                <w:highlight w:val="none"/>
                <w:lang w:val="en-US" w:eastAsia="zh-CN"/>
              </w:rPr>
            </w:pPr>
          </w:p>
        </w:tc>
      </w:tr>
      <w:bookmarkEnd w:id="39"/>
    </w:tbl>
    <w:p w14:paraId="69A43AC9">
      <w:pPr>
        <w:pStyle w:val="5"/>
        <w:spacing w:before="240" w:beforeLines="10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二、资金来源</w:t>
      </w:r>
      <w:bookmarkEnd w:id="40"/>
      <w:bookmarkEnd w:id="41"/>
    </w:p>
    <w:p w14:paraId="5B00BC3F">
      <w:pPr>
        <w:keepNext/>
        <w:keepLines/>
        <w:spacing w:line="400" w:lineRule="exact"/>
        <w:ind w:firstLine="480" w:firstLineChars="200"/>
        <w:rPr>
          <w:rFonts w:hint="eastAsia" w:ascii="仿宋" w:hAnsi="仿宋" w:eastAsia="仿宋" w:cs="仿宋"/>
          <w:bCs/>
          <w:color w:val="auto"/>
          <w:sz w:val="24"/>
          <w:szCs w:val="24"/>
          <w:highlight w:val="none"/>
        </w:rPr>
      </w:pPr>
      <w:bookmarkStart w:id="42" w:name="_Toc358"/>
      <w:bookmarkStart w:id="43" w:name="_Toc5745"/>
      <w:bookmarkStart w:id="44" w:name="_Toc5679"/>
      <w:bookmarkStart w:id="45" w:name="_Toc26791"/>
      <w:r>
        <w:rPr>
          <w:rFonts w:hint="eastAsia" w:ascii="仿宋" w:hAnsi="仿宋" w:eastAsia="仿宋" w:cs="仿宋"/>
          <w:bCs/>
          <w:color w:val="auto"/>
          <w:sz w:val="24"/>
          <w:szCs w:val="24"/>
          <w:highlight w:val="none"/>
          <w:lang w:val="en-US" w:eastAsia="zh-CN"/>
        </w:rPr>
        <w:t>业主自筹</w:t>
      </w:r>
      <w:r>
        <w:rPr>
          <w:rFonts w:hint="eastAsia" w:ascii="仿宋" w:hAnsi="仿宋" w:eastAsia="仿宋" w:cs="仿宋"/>
          <w:bCs/>
          <w:color w:val="auto"/>
          <w:sz w:val="24"/>
          <w:szCs w:val="24"/>
          <w:highlight w:val="none"/>
        </w:rPr>
        <w:t>，预算金额为</w:t>
      </w:r>
      <w:r>
        <w:rPr>
          <w:rFonts w:hint="eastAsia" w:ascii="仿宋" w:hAnsi="仿宋" w:eastAsia="仿宋" w:cs="仿宋"/>
          <w:color w:val="auto"/>
          <w:sz w:val="24"/>
          <w:szCs w:val="24"/>
          <w:highlight w:val="none"/>
          <w:lang w:val="en-US" w:eastAsia="zh-CN"/>
        </w:rPr>
        <w:t>252930.00</w:t>
      </w:r>
      <w:r>
        <w:rPr>
          <w:rFonts w:hint="eastAsia" w:ascii="仿宋" w:hAnsi="仿宋" w:eastAsia="仿宋" w:cs="仿宋"/>
          <w:bCs/>
          <w:color w:val="auto"/>
          <w:sz w:val="24"/>
          <w:szCs w:val="24"/>
          <w:highlight w:val="none"/>
        </w:rPr>
        <w:t>元</w:t>
      </w:r>
      <w:bookmarkEnd w:id="42"/>
      <w:bookmarkEnd w:id="43"/>
      <w:bookmarkEnd w:id="44"/>
      <w:r>
        <w:rPr>
          <w:rFonts w:hint="eastAsia" w:ascii="仿宋" w:hAnsi="仿宋" w:eastAsia="仿宋" w:cs="仿宋"/>
          <w:bCs/>
          <w:color w:val="auto"/>
          <w:sz w:val="24"/>
          <w:szCs w:val="24"/>
          <w:highlight w:val="none"/>
        </w:rPr>
        <w:t>。</w:t>
      </w:r>
      <w:bookmarkEnd w:id="45"/>
    </w:p>
    <w:p w14:paraId="327F3A2E">
      <w:pPr>
        <w:pStyle w:val="5"/>
        <w:spacing w:before="240" w:beforeLines="100" w:after="0" w:line="360" w:lineRule="auto"/>
        <w:rPr>
          <w:rFonts w:hint="eastAsia" w:ascii="仿宋" w:hAnsi="仿宋" w:eastAsia="仿宋" w:cs="仿宋"/>
          <w:color w:val="auto"/>
          <w:sz w:val="24"/>
          <w:szCs w:val="24"/>
          <w:highlight w:val="none"/>
        </w:rPr>
      </w:pPr>
      <w:bookmarkStart w:id="46" w:name="_Toc18111"/>
      <w:bookmarkStart w:id="47" w:name="_Toc27448"/>
      <w:r>
        <w:rPr>
          <w:rFonts w:hint="eastAsia" w:ascii="仿宋" w:hAnsi="仿宋" w:eastAsia="仿宋" w:cs="仿宋"/>
          <w:color w:val="auto"/>
          <w:sz w:val="24"/>
          <w:szCs w:val="24"/>
          <w:highlight w:val="none"/>
        </w:rPr>
        <w:t>三、供应商资格条件</w:t>
      </w:r>
      <w:bookmarkEnd w:id="46"/>
      <w:bookmarkEnd w:id="47"/>
    </w:p>
    <w:p w14:paraId="1EA94FE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w:t>
      </w:r>
      <w:r>
        <w:rPr>
          <w:rFonts w:hint="eastAsia" w:ascii="仿宋" w:hAnsi="仿宋" w:eastAsia="仿宋" w:cs="仿宋"/>
          <w:color w:val="auto"/>
          <w:sz w:val="24"/>
          <w:szCs w:val="24"/>
          <w:highlight w:val="none"/>
          <w:lang w:eastAsia="zh-CN"/>
        </w:rPr>
        <w:t>。</w:t>
      </w:r>
    </w:p>
    <w:p w14:paraId="46B4E1E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06917D1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38A9AA9F">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472DC1C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1DBD322C">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2CF245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51587AA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0D7EDE63">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）特定资格条件：</w:t>
      </w:r>
      <w:bookmarkStart w:id="48" w:name="_Toc16506"/>
    </w:p>
    <w:p w14:paraId="2B7A3A70">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1、投标人须为境内依法注册的独立企业法人，具备有效的营业执照，能独立承担民事责任。（提供营业执照复印件并加盖投标人公章）</w:t>
      </w:r>
    </w:p>
    <w:p w14:paraId="2F3D6729">
      <w:pPr>
        <w:pStyle w:val="5"/>
        <w:pageBreakBefore w:val="0"/>
        <w:widowControl w:val="0"/>
        <w:kinsoku/>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2、投标人须在项目所在地设有固定实体经营门店（自有或租赁均可），提供房产证/租赁合同+门店门头照片佐证。</w:t>
      </w:r>
    </w:p>
    <w:p w14:paraId="3CCBF688">
      <w:pPr>
        <w:pStyle w:val="5"/>
        <w:pageBreakBefore w:val="0"/>
        <w:widowControl w:val="0"/>
        <w:kinsoku/>
        <w:overflowPunct/>
        <w:topLinePunct w:val="0"/>
        <w:autoSpaceDE/>
        <w:autoSpaceDN/>
        <w:bidi w:val="0"/>
        <w:adjustRightInd/>
        <w:snapToGrid/>
        <w:spacing w:before="0" w:after="0" w:line="360" w:lineRule="auto"/>
        <w:textAlignment w:val="auto"/>
        <w:rPr>
          <w:rFonts w:hint="eastAsia" w:ascii="仿宋" w:hAnsi="仿宋" w:eastAsia="仿宋" w:cs="仿宋"/>
          <w:color w:val="auto"/>
          <w:sz w:val="24"/>
          <w:szCs w:val="24"/>
          <w:highlight w:val="none"/>
        </w:rPr>
      </w:pPr>
      <w:bookmarkStart w:id="162" w:name="_GoBack"/>
      <w:bookmarkEnd w:id="162"/>
      <w:r>
        <w:rPr>
          <w:rFonts w:hint="eastAsia" w:ascii="仿宋" w:hAnsi="仿宋" w:eastAsia="仿宋" w:cs="仿宋"/>
          <w:color w:val="auto"/>
          <w:sz w:val="24"/>
          <w:szCs w:val="24"/>
          <w:highlight w:val="none"/>
        </w:rPr>
        <w:t>四、采购有关说明</w:t>
      </w:r>
      <w:bookmarkEnd w:id="37"/>
      <w:bookmarkEnd w:id="48"/>
    </w:p>
    <w:bookmarkEnd w:id="38"/>
    <w:p w14:paraId="1CEAC33F">
      <w:pPr>
        <w:snapToGrid w:val="0"/>
        <w:spacing w:line="360" w:lineRule="auto"/>
        <w:ind w:firstLine="480" w:firstLineChars="200"/>
        <w:rPr>
          <w:rFonts w:hint="eastAsia" w:ascii="仿宋" w:hAnsi="仿宋" w:eastAsia="仿宋" w:cs="仿宋"/>
          <w:color w:val="auto"/>
          <w:sz w:val="24"/>
          <w:szCs w:val="24"/>
          <w:highlight w:val="none"/>
        </w:rPr>
      </w:pPr>
      <w:bookmarkStart w:id="49" w:name="_Toc373860294"/>
      <w:bookmarkStart w:id="50" w:name="_Toc20247"/>
      <w:bookmarkStart w:id="51" w:name="_Toc480466699"/>
      <w:r>
        <w:rPr>
          <w:rFonts w:hint="eastAsia" w:ascii="仿宋" w:hAnsi="仿宋" w:eastAsia="仿宋" w:cs="仿宋"/>
          <w:color w:val="auto"/>
          <w:sz w:val="24"/>
          <w:szCs w:val="24"/>
          <w:highlight w:val="none"/>
        </w:rPr>
        <w:t>（一）参加报价的供应商须在“重庆秀山小额交易管理平台”服务平台注册，成为正式供应商。</w:t>
      </w:r>
    </w:p>
    <w:p w14:paraId="65AE403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（二）凡有意参加采购的供应商请于2026年 5 月 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 xml:space="preserve"> 日起将报名表加盖公章扫描后发送至934441280@qq.com（邮箱）进行报名并获取采购文件。</w:t>
      </w:r>
    </w:p>
    <w:p w14:paraId="6E7F622D">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（三）采购文件每套售价300元，售后不退。供应商在报名时,向采购代理机构缴纳采购文件的费用。采购文件费收取注意事项详见采购公告发布的附件。</w:t>
      </w:r>
    </w:p>
    <w:p w14:paraId="3D9DCB5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公布的所有项目资料，无论供应商下载与否，均视为已知晓所有采购实质性要求内容。</w:t>
      </w:r>
    </w:p>
    <w:p w14:paraId="6C4006CB">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（四）线上报价</w:t>
      </w:r>
    </w:p>
    <w:p w14:paraId="455852DF">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1.线上报价时间：2026年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日9:00-11:00北京时间。</w:t>
      </w:r>
    </w:p>
    <w:p w14:paraId="2D546308">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2.线上报价要求：按本项目规定的时间在秀山县小额交易管理平台竞采大厅进行网上报价，并在规定的时间内上传响应文件电子文档。未在规定时间内报价和上传响应文件电子文档的供应商不具备竞标资格。</w:t>
      </w:r>
    </w:p>
    <w:p w14:paraId="4A8389E2">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（五）供应商须满足以下三种要件，其响应文件才被接受：</w:t>
      </w:r>
    </w:p>
    <w:p w14:paraId="08CEA21E">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1.按时在秀山县小额交易管理平台竞采大厅（https://cqxs-mall.gec123.com/）进行网上报价。</w:t>
      </w:r>
    </w:p>
    <w:p w14:paraId="0A9BCA9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2.按时递交响应文件。</w:t>
      </w:r>
    </w:p>
    <w:p w14:paraId="37036E4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注：线上及线下响应文件须一致，如不一致，响应文件作废。</w:t>
      </w:r>
    </w:p>
    <w:p w14:paraId="0C6667A9">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（六）线下响应文件可选择邮寄或现场递交：</w:t>
      </w:r>
    </w:p>
    <w:p w14:paraId="446A9FB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1.线下响应文件可采取邮寄方式，邮寄地址：重庆市秀山县花灯街迎春二巷31号，陈老师18716969222（收件截止时间为2026年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 11:00 北京时间）</w:t>
      </w:r>
    </w:p>
    <w:p w14:paraId="2223C70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2.现场递交地址地点：重庆市秀山县花灯街迎春二巷31号。</w:t>
      </w:r>
    </w:p>
    <w:p w14:paraId="30EDF46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（七）响应文件现场递交开始时间：2026年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日10:30北京时间。</w:t>
      </w:r>
    </w:p>
    <w:p w14:paraId="7C90D91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（八）响应文件现场递交截止时间：2026年</w:t>
      </w:r>
      <w:r>
        <w:rPr>
          <w:rFonts w:hint="eastAsia" w:ascii="仿宋" w:hAnsi="仿宋" w:eastAsia="仿宋" w:cs="仿宋"/>
          <w:color w:val="auto"/>
          <w:sz w:val="24"/>
          <w:szCs w:val="24"/>
          <w:highlight w:val="none"/>
          <w:lang w:val="en-US" w:eastAsia="zh-CN"/>
        </w:rPr>
        <w:t xml:space="preserve"> 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日11:00北京时间。</w:t>
      </w:r>
    </w:p>
    <w:p w14:paraId="26BF9A36">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（九）线下开标开始时间：2026年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日北京时间1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:00北京时间。</w:t>
      </w:r>
    </w:p>
    <w:p w14:paraId="3952D11A">
      <w:pPr>
        <w:snapToGrid w:val="0"/>
        <w:spacing w:line="360" w:lineRule="auto"/>
        <w:ind w:firstLine="361" w:firstLineChars="15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须满足以下三种要件，其响应文件才被接受：</w:t>
      </w:r>
    </w:p>
    <w:p w14:paraId="561DC54A">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w:t>
      </w:r>
      <w:r>
        <w:rPr>
          <w:rFonts w:hint="eastAsia" w:ascii="仿宋" w:hAnsi="仿宋" w:eastAsia="仿宋" w:cs="仿宋"/>
          <w:color w:val="auto"/>
          <w:sz w:val="24"/>
          <w:szCs w:val="24"/>
          <w:highlight w:val="none"/>
          <w:lang w:val="zh-CN"/>
        </w:rPr>
        <w:t>秀山县小额交易管理平台竞采大厅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https://cqxs-mall.gec123.com/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进行网上报价。</w:t>
      </w:r>
    </w:p>
    <w:p w14:paraId="3189B9A0">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rPr>
        <w:t>2.按时递交响应文件。</w:t>
      </w:r>
    </w:p>
    <w:bookmarkEnd w:id="49"/>
    <w:p w14:paraId="7ECC6FFD">
      <w:pPr>
        <w:pStyle w:val="5"/>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五</w:t>
      </w:r>
      <w:r>
        <w:rPr>
          <w:rFonts w:hint="eastAsia" w:ascii="仿宋" w:hAnsi="仿宋" w:eastAsia="仿宋" w:cs="仿宋"/>
          <w:color w:val="auto"/>
          <w:sz w:val="24"/>
          <w:szCs w:val="24"/>
          <w:highlight w:val="none"/>
        </w:rPr>
        <w:t>、其他有关规定</w:t>
      </w:r>
      <w:bookmarkEnd w:id="50"/>
      <w:bookmarkEnd w:id="51"/>
    </w:p>
    <w:p w14:paraId="3B49BD31">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1231E75D">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027E4D3C">
      <w:pPr>
        <w:spacing w:line="360" w:lineRule="auto"/>
        <w:ind w:firstLine="240" w:firstLineChars="100"/>
        <w:rPr>
          <w:rFonts w:hint="eastAsia"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1DB47EC2">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重庆市政府采购云平台.网上竞采中心（https://xj.ccgp-chongqing.gov.cn/ge/）上发布，请各供应商注意下载；无论供应商下载与否，均视同供应商已知晓本项目补遗文件（如果有）的内容。</w:t>
      </w:r>
    </w:p>
    <w:p w14:paraId="01D9362A">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0B9D198C">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（六）网上竞采费用：无论网上竞采结果如何，供应商参与本项目网上竞采的所有费用均应由供应商自行承担。</w:t>
      </w:r>
    </w:p>
    <w:p w14:paraId="080A82E6">
      <w:pPr>
        <w:snapToGrid w:val="0"/>
        <w:spacing w:line="360" w:lineRule="auto"/>
        <w:ind w:firstLine="361" w:firstLineChars="150"/>
        <w:rPr>
          <w:rFonts w:hint="eastAsia" w:ascii="仿宋" w:hAnsi="仿宋" w:eastAsia="仿宋" w:cs="仿宋"/>
          <w:b/>
          <w:bCs/>
          <w:color w:val="auto"/>
          <w:sz w:val="24"/>
          <w:szCs w:val="24"/>
          <w:highlight w:val="none"/>
        </w:rPr>
      </w:pPr>
      <w:bookmarkStart w:id="52" w:name="_Toc480466700"/>
      <w:r>
        <w:rPr>
          <w:rFonts w:hint="eastAsia" w:ascii="仿宋" w:hAnsi="仿宋" w:eastAsia="仿宋" w:cs="仿宋"/>
          <w:b/>
          <w:bCs/>
          <w:color w:val="auto"/>
          <w:sz w:val="24"/>
          <w:szCs w:val="24"/>
          <w:highlight w:val="none"/>
        </w:rPr>
        <w:t>（七）本项目不接受联合体参与网上竞采。</w:t>
      </w:r>
    </w:p>
    <w:p w14:paraId="507814A2">
      <w:pPr>
        <w:snapToGrid w:val="0"/>
        <w:spacing w:line="360" w:lineRule="auto"/>
        <w:ind w:firstLine="361" w:firstLineChars="150"/>
        <w:rPr>
          <w:rFonts w:hint="eastAsia" w:ascii="仿宋" w:hAnsi="仿宋" w:eastAsia="仿宋" w:cs="仿宋"/>
          <w:color w:val="auto"/>
          <w:highlight w:val="none"/>
        </w:rPr>
      </w:pPr>
      <w:r>
        <w:rPr>
          <w:rFonts w:hint="eastAsia" w:ascii="仿宋" w:hAnsi="仿宋" w:eastAsia="仿宋" w:cs="仿宋"/>
          <w:b/>
          <w:bCs/>
          <w:color w:val="auto"/>
          <w:sz w:val="24"/>
          <w:szCs w:val="24"/>
          <w:highlight w:val="none"/>
        </w:rPr>
        <w:t>（八）本项目不接受合同分包。</w:t>
      </w:r>
    </w:p>
    <w:p w14:paraId="258AF665">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AE3EEBD">
      <w:pPr>
        <w:pStyle w:val="5"/>
        <w:spacing w:before="0" w:after="0" w:line="360" w:lineRule="auto"/>
        <w:rPr>
          <w:rFonts w:hint="eastAsia" w:ascii="仿宋" w:hAnsi="仿宋" w:eastAsia="仿宋" w:cs="仿宋"/>
          <w:color w:val="auto"/>
          <w:sz w:val="24"/>
          <w:szCs w:val="24"/>
          <w:highlight w:val="none"/>
        </w:rPr>
      </w:pPr>
      <w:bookmarkStart w:id="53" w:name="_Toc7960"/>
      <w:r>
        <w:rPr>
          <w:rFonts w:hint="eastAsia" w:ascii="仿宋" w:hAnsi="仿宋" w:eastAsia="仿宋" w:cs="仿宋"/>
          <w:color w:val="auto"/>
          <w:sz w:val="24"/>
          <w:szCs w:val="24"/>
          <w:highlight w:val="none"/>
        </w:rPr>
        <w:t>七、联系方式</w:t>
      </w:r>
      <w:bookmarkEnd w:id="52"/>
      <w:bookmarkEnd w:id="53"/>
    </w:p>
    <w:p w14:paraId="055CC771">
      <w:pPr>
        <w:pStyle w:val="62"/>
        <w:ind w:left="0" w:leftChars="0" w:firstLine="240" w:firstLineChars="1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秀山土家族苗族自治县精神卫生中心</w:t>
      </w:r>
    </w:p>
    <w:p w14:paraId="7E501F6A">
      <w:pPr>
        <w:pStyle w:val="62"/>
        <w:ind w:left="0" w:leftChars="0" w:firstLine="240"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刘老师</w:t>
      </w:r>
    </w:p>
    <w:p w14:paraId="2DBEA6F3">
      <w:pPr>
        <w:pStyle w:val="62"/>
        <w:ind w:left="0" w:leftChars="0"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15102316573</w:t>
      </w:r>
    </w:p>
    <w:p w14:paraId="02B8A92A">
      <w:pPr>
        <w:pStyle w:val="62"/>
        <w:ind w:left="0" w:leftChars="0" w:firstLine="240" w:firstLineChars="100"/>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rPr>
        <w:t>地  址：秀山土家族苗族自治县中和街道新齐社区</w:t>
      </w:r>
    </w:p>
    <w:p w14:paraId="5D5E0A12">
      <w:pPr>
        <w:snapToGrid w:val="0"/>
        <w:spacing w:line="360" w:lineRule="auto"/>
        <w:rPr>
          <w:rFonts w:hint="eastAsia" w:ascii="仿宋" w:hAnsi="仿宋" w:eastAsia="仿宋" w:cs="仿宋"/>
          <w:color w:val="auto"/>
          <w:sz w:val="24"/>
          <w:szCs w:val="24"/>
          <w:highlight w:val="none"/>
        </w:rPr>
      </w:pPr>
    </w:p>
    <w:p w14:paraId="36D2AE0C">
      <w:pPr>
        <w:snapToGrid w:val="0"/>
        <w:spacing w:line="360" w:lineRule="auto"/>
        <w:ind w:firstLine="240" w:firstLineChars="100"/>
        <w:rPr>
          <w:rFonts w:hint="eastAsia" w:ascii="仿宋" w:hAnsi="仿宋" w:eastAsia="仿宋" w:cs="仿宋"/>
          <w:color w:val="auto"/>
          <w:sz w:val="24"/>
          <w:szCs w:val="24"/>
          <w:highlight w:val="none"/>
        </w:rPr>
      </w:pPr>
      <w:bookmarkStart w:id="54" w:name="_Toc1145"/>
      <w:bookmarkStart w:id="55" w:name="_Toc18586"/>
      <w:bookmarkStart w:id="56" w:name="_Toc12789058"/>
      <w:r>
        <w:rPr>
          <w:rFonts w:hint="eastAsia" w:ascii="仿宋" w:hAnsi="仿宋" w:eastAsia="仿宋" w:cs="仿宋"/>
          <w:color w:val="auto"/>
          <w:sz w:val="24"/>
          <w:szCs w:val="24"/>
          <w:highlight w:val="none"/>
        </w:rPr>
        <w:t>（二）采购代理机构：</w:t>
      </w:r>
      <w:r>
        <w:rPr>
          <w:rFonts w:hint="eastAsia" w:ascii="仿宋" w:hAnsi="仿宋" w:eastAsia="仿宋" w:cs="仿宋"/>
          <w:color w:val="auto"/>
          <w:sz w:val="24"/>
          <w:szCs w:val="24"/>
          <w:highlight w:val="none"/>
          <w:lang w:eastAsia="zh-CN"/>
        </w:rPr>
        <w:t>重庆千诺工程项目管理有限公司</w:t>
      </w:r>
      <w:r>
        <w:rPr>
          <w:rFonts w:hint="eastAsia" w:ascii="仿宋" w:hAnsi="仿宋" w:eastAsia="仿宋" w:cs="仿宋"/>
          <w:color w:val="auto"/>
          <w:sz w:val="24"/>
          <w:szCs w:val="24"/>
          <w:highlight w:val="none"/>
        </w:rPr>
        <w:t xml:space="preserve">  </w:t>
      </w:r>
    </w:p>
    <w:p w14:paraId="6695BD6D">
      <w:pPr>
        <w:snapToGrid w:val="0"/>
        <w:spacing w:line="360"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eastAsia="zh-CN"/>
        </w:rPr>
        <w:t>陈</w:t>
      </w:r>
      <w:r>
        <w:rPr>
          <w:rFonts w:hint="eastAsia" w:ascii="仿宋" w:hAnsi="仿宋" w:eastAsia="仿宋" w:cs="仿宋"/>
          <w:color w:val="auto"/>
          <w:sz w:val="24"/>
          <w:szCs w:val="24"/>
          <w:highlight w:val="none"/>
          <w:lang w:val="en-US" w:eastAsia="zh-CN"/>
        </w:rPr>
        <w:t>老师</w:t>
      </w:r>
    </w:p>
    <w:p w14:paraId="65983346">
      <w:pPr>
        <w:snapToGrid w:val="0"/>
        <w:spacing w:line="360" w:lineRule="auto"/>
        <w:ind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023-87987380</w:t>
      </w:r>
    </w:p>
    <w:p w14:paraId="2815B3B3">
      <w:pPr>
        <w:snapToGrid w:val="0"/>
        <w:spacing w:line="360" w:lineRule="auto"/>
        <w:ind w:firstLine="240" w:firstLineChars="100"/>
        <w:rPr>
          <w:rFonts w:hint="eastAsia" w:ascii="仿宋" w:hAnsi="仿宋" w:eastAsia="仿宋" w:cs="仿宋"/>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仿宋" w:hAnsi="仿宋" w:eastAsia="仿宋" w:cs="仿宋"/>
          <w:color w:val="auto"/>
          <w:sz w:val="24"/>
          <w:szCs w:val="24"/>
          <w:highlight w:val="none"/>
        </w:rPr>
        <w:t>地  址：重庆秀山县花灯街迎春二巷3</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号</w:t>
      </w:r>
    </w:p>
    <w:p w14:paraId="0B230E14">
      <w:pPr>
        <w:pStyle w:val="4"/>
        <w:spacing w:before="0" w:after="0" w:line="360" w:lineRule="auto"/>
        <w:jc w:val="center"/>
        <w:rPr>
          <w:rFonts w:hint="eastAsia" w:ascii="仿宋" w:hAnsi="仿宋" w:eastAsia="仿宋" w:cs="仿宋"/>
          <w:bCs/>
          <w:color w:val="auto"/>
          <w:sz w:val="36"/>
          <w:szCs w:val="30"/>
          <w:highlight w:val="none"/>
        </w:rPr>
      </w:pPr>
      <w:r>
        <w:rPr>
          <w:rFonts w:hint="eastAsia" w:ascii="仿宋" w:hAnsi="仿宋" w:eastAsia="仿宋" w:cs="仿宋"/>
          <w:bCs/>
          <w:color w:val="auto"/>
          <w:sz w:val="36"/>
          <w:szCs w:val="30"/>
          <w:highlight w:val="none"/>
        </w:rPr>
        <w:t>第二篇</w:t>
      </w:r>
      <w:r>
        <w:rPr>
          <w:rFonts w:hint="eastAsia" w:ascii="仿宋" w:hAnsi="仿宋" w:eastAsia="仿宋" w:cs="仿宋"/>
          <w:bCs/>
          <w:color w:val="auto"/>
          <w:sz w:val="36"/>
          <w:szCs w:val="30"/>
          <w:highlight w:val="none"/>
          <w:lang w:val="en-US" w:eastAsia="zh-CN"/>
        </w:rPr>
        <w:t xml:space="preserve"> </w:t>
      </w:r>
      <w:r>
        <w:rPr>
          <w:rFonts w:hint="eastAsia" w:ascii="仿宋" w:hAnsi="仿宋" w:eastAsia="仿宋" w:cs="仿宋"/>
          <w:bCs/>
          <w:color w:val="auto"/>
          <w:sz w:val="36"/>
          <w:szCs w:val="30"/>
          <w:highlight w:val="none"/>
        </w:rPr>
        <w:t>项目技术需求</w:t>
      </w:r>
      <w:bookmarkEnd w:id="54"/>
      <w:bookmarkEnd w:id="55"/>
    </w:p>
    <w:bookmarkEnd w:id="56"/>
    <w:p w14:paraId="1E0709C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采购清单</w:t>
      </w:r>
    </w:p>
    <w:tbl>
      <w:tblPr>
        <w:tblStyle w:val="63"/>
        <w:tblW w:w="10740" w:type="dxa"/>
        <w:tblInd w:w="-2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792"/>
        <w:gridCol w:w="2664"/>
        <w:gridCol w:w="1293"/>
        <w:gridCol w:w="1042"/>
        <w:gridCol w:w="1284"/>
        <w:gridCol w:w="1896"/>
      </w:tblGrid>
      <w:tr w14:paraId="0911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53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94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A8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AD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数量（份）</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F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单价限价（元）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43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预算总价（元）</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A8A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C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7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A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11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AE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45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09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含配送</w:t>
            </w:r>
          </w:p>
        </w:tc>
      </w:tr>
      <w:tr w14:paraId="3166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4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炒肉包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52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99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35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61200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B0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含配送</w:t>
            </w:r>
          </w:p>
        </w:tc>
      </w:tr>
      <w:tr w14:paraId="0B85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1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0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素包子</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A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D4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12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48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92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青菜、香菇、豆沙等</w:t>
            </w:r>
          </w:p>
        </w:tc>
      </w:tr>
      <w:tr w14:paraId="6356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A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4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馒头（白面/杂粮）</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9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A2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53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DD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73800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15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玉米、红糖等</w:t>
            </w:r>
          </w:p>
        </w:tc>
      </w:tr>
      <w:tr w14:paraId="2915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6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F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花卷（葱油）</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6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89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1D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4B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1170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02CF">
            <w:pPr>
              <w:rPr>
                <w:rFonts w:hint="eastAsia" w:ascii="宋体" w:hAnsi="宋体" w:eastAsia="宋体" w:cs="宋体"/>
                <w:i w:val="0"/>
                <w:iCs w:val="0"/>
                <w:color w:val="000000"/>
                <w:kern w:val="0"/>
                <w:sz w:val="22"/>
                <w:szCs w:val="22"/>
                <w:u w:val="none"/>
                <w:lang w:val="en-US" w:eastAsia="zh-CN" w:bidi="ar"/>
              </w:rPr>
            </w:pPr>
          </w:p>
        </w:tc>
      </w:tr>
      <w:tr w14:paraId="351F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7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8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4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≥100g/根</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8C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8B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85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29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参考市场价约4.30元/斤</w:t>
            </w:r>
          </w:p>
        </w:tc>
      </w:tr>
      <w:tr w14:paraId="4454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9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92" w:type="dxa"/>
            <w:tcBorders>
              <w:top w:val="nil"/>
              <w:left w:val="nil"/>
              <w:bottom w:val="nil"/>
              <w:right w:val="nil"/>
            </w:tcBorders>
            <w:shd w:val="clear" w:color="auto" w:fill="auto"/>
            <w:vAlign w:val="center"/>
          </w:tcPr>
          <w:p w14:paraId="056BE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紫薯</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A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单个150g-250g，大小均匀</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5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83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4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E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紫皮紫心，富含花青素</w:t>
            </w:r>
          </w:p>
        </w:tc>
      </w:tr>
      <w:tr w14:paraId="70AF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D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4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发糕</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≥60g/份</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80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B3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8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1905">
            <w:pPr>
              <w:rPr>
                <w:rFonts w:hint="eastAsia" w:ascii="宋体" w:hAnsi="宋体" w:eastAsia="宋体" w:cs="宋体"/>
                <w:i w:val="0"/>
                <w:iCs w:val="0"/>
                <w:color w:val="000000"/>
                <w:kern w:val="0"/>
                <w:sz w:val="22"/>
                <w:szCs w:val="22"/>
                <w:u w:val="none"/>
                <w:lang w:val="en-US" w:eastAsia="zh-CN" w:bidi="ar"/>
              </w:rPr>
            </w:pPr>
          </w:p>
        </w:tc>
      </w:tr>
      <w:tr w14:paraId="0BDD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92" w:type="dxa"/>
            <w:tcBorders>
              <w:top w:val="nil"/>
              <w:left w:val="nil"/>
              <w:bottom w:val="nil"/>
              <w:right w:val="nil"/>
            </w:tcBorders>
            <w:shd w:val="clear" w:color="auto" w:fill="auto"/>
            <w:vAlign w:val="center"/>
          </w:tcPr>
          <w:p w14:paraId="48728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糯米烧麦</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8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46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D8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DA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皮约10g，馅约60g</w:t>
            </w:r>
          </w:p>
        </w:tc>
      </w:tr>
      <w:tr w14:paraId="447F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69" w:type="dxa"/>
            <w:tcBorders>
              <w:top w:val="single" w:color="000000" w:sz="4" w:space="0"/>
              <w:left w:val="single" w:color="000000" w:sz="4" w:space="0"/>
              <w:bottom w:val="nil"/>
              <w:right w:val="single" w:color="000000" w:sz="4" w:space="0"/>
            </w:tcBorders>
            <w:shd w:val="clear" w:color="auto" w:fill="auto"/>
            <w:vAlign w:val="center"/>
          </w:tcPr>
          <w:p w14:paraId="290CE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92" w:type="dxa"/>
            <w:tcBorders>
              <w:top w:val="single" w:color="000000" w:sz="4" w:space="0"/>
              <w:left w:val="single" w:color="000000" w:sz="4" w:space="0"/>
              <w:bottom w:val="nil"/>
              <w:right w:val="single" w:color="000000" w:sz="4" w:space="0"/>
            </w:tcBorders>
            <w:shd w:val="clear" w:color="auto" w:fill="auto"/>
            <w:vAlign w:val="center"/>
          </w:tcPr>
          <w:p w14:paraId="30281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葱油饼</w:t>
            </w:r>
          </w:p>
        </w:tc>
        <w:tc>
          <w:tcPr>
            <w:tcW w:w="2664" w:type="dxa"/>
            <w:tcBorders>
              <w:top w:val="single" w:color="000000" w:sz="4" w:space="0"/>
              <w:left w:val="single" w:color="000000" w:sz="4" w:space="0"/>
              <w:bottom w:val="nil"/>
              <w:right w:val="single" w:color="000000" w:sz="4" w:space="0"/>
            </w:tcBorders>
            <w:shd w:val="clear" w:color="auto" w:fill="auto"/>
            <w:vAlign w:val="center"/>
          </w:tcPr>
          <w:p w14:paraId="0DEBB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293" w:type="dxa"/>
            <w:tcBorders>
              <w:top w:val="single" w:color="000000" w:sz="4" w:space="0"/>
              <w:left w:val="single" w:color="000000" w:sz="4" w:space="0"/>
              <w:bottom w:val="nil"/>
              <w:right w:val="single" w:color="000000" w:sz="4" w:space="0"/>
            </w:tcBorders>
            <w:shd w:val="clear" w:color="auto" w:fill="auto"/>
            <w:vAlign w:val="center"/>
          </w:tcPr>
          <w:p w14:paraId="587CE5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nil"/>
              <w:right w:val="single" w:color="000000" w:sz="4" w:space="0"/>
            </w:tcBorders>
            <w:shd w:val="clear" w:color="auto" w:fill="auto"/>
            <w:vAlign w:val="center"/>
          </w:tcPr>
          <w:p w14:paraId="5FB2F3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F3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w:t>
            </w:r>
          </w:p>
        </w:tc>
        <w:tc>
          <w:tcPr>
            <w:tcW w:w="1896" w:type="dxa"/>
            <w:tcBorders>
              <w:top w:val="single" w:color="000000" w:sz="4" w:space="0"/>
              <w:left w:val="single" w:color="000000" w:sz="4" w:space="0"/>
              <w:bottom w:val="nil"/>
              <w:right w:val="single" w:color="000000" w:sz="4" w:space="0"/>
            </w:tcBorders>
            <w:shd w:val="clear" w:color="auto" w:fill="auto"/>
            <w:vAlign w:val="center"/>
          </w:tcPr>
          <w:p w14:paraId="20C99D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直径约15-18cm，厚薄均匀</w:t>
            </w:r>
          </w:p>
        </w:tc>
      </w:tr>
      <w:tr w14:paraId="286B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5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B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糯玉米</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≥200g/根，长度≥15cm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AE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B0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D3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71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颗粒饱满，口感软糯</w:t>
            </w:r>
          </w:p>
        </w:tc>
      </w:tr>
      <w:tr w14:paraId="59D3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A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0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大麻园</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8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熟品直径8-10cm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CC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11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09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5C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外裹白芝麻，空心软糯</w:t>
            </w:r>
          </w:p>
        </w:tc>
      </w:tr>
      <w:tr w14:paraId="13C2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CD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03BC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097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194400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E4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EBC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252930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9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1E5183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p>
    <w:p w14:paraId="63FAAC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r>
        <w:rPr>
          <w:rFonts w:hint="eastAsia" w:ascii="仿宋" w:hAnsi="仿宋" w:eastAsia="仿宋" w:cs="仿宋"/>
          <w:b/>
          <w:color w:val="auto"/>
          <w:kern w:val="2"/>
          <w:sz w:val="24"/>
          <w:highlight w:val="none"/>
          <w:lang w:val="en-US" w:eastAsia="zh-CN" w:bidi="ar-SA"/>
        </w:rPr>
        <w:t>二、其他要求</w:t>
      </w:r>
    </w:p>
    <w:p w14:paraId="6F2FDD7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格式自拟）。</w:t>
      </w:r>
    </w:p>
    <w:p w14:paraId="38E08E42">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b w:val="0"/>
          <w:color w:val="000000" w:themeColor="text1"/>
          <w:kern w:val="2"/>
          <w:sz w:val="24"/>
          <w:szCs w:val="24"/>
          <w:highlight w:val="none"/>
          <w:lang w:val="en-US" w:eastAsia="zh-CN" w:bidi="ar-SA"/>
          <w14:textFill>
            <w14:solidFill>
              <w14:schemeClr w14:val="tx1"/>
            </w14:solidFill>
          </w14:textFill>
        </w:rPr>
      </w:pPr>
    </w:p>
    <w:p w14:paraId="4E074C6E">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3F012A89">
      <w:pPr>
        <w:pStyle w:val="62"/>
        <w:rPr>
          <w:rFonts w:hint="eastAsia" w:ascii="仿宋" w:hAnsi="仿宋" w:eastAsia="仿宋" w:cs="仿宋"/>
          <w:color w:val="auto"/>
          <w:sz w:val="24"/>
          <w:szCs w:val="24"/>
          <w:highlight w:val="none"/>
          <w:lang w:val="en-US" w:eastAsia="zh-CN"/>
        </w:rPr>
      </w:pPr>
    </w:p>
    <w:p w14:paraId="07133B12">
      <w:pPr>
        <w:rPr>
          <w:rFonts w:hint="eastAsia" w:ascii="仿宋" w:hAnsi="仿宋" w:eastAsia="仿宋" w:cs="仿宋"/>
          <w:color w:val="auto"/>
          <w:sz w:val="24"/>
          <w:szCs w:val="24"/>
          <w:highlight w:val="none"/>
          <w:lang w:val="en-US" w:eastAsia="zh-CN"/>
        </w:rPr>
      </w:pPr>
    </w:p>
    <w:p w14:paraId="437B0C89">
      <w:pPr>
        <w:keepNext w:val="0"/>
        <w:keepLines w:val="0"/>
        <w:pageBreakBefore w:val="0"/>
        <w:widowControl w:val="0"/>
        <w:kinsoku/>
        <w:wordWrap/>
        <w:overflowPunct/>
        <w:topLinePunct w:val="0"/>
        <w:autoSpaceDE/>
        <w:autoSpaceDN/>
        <w:bidi w:val="0"/>
        <w:adjustRightInd/>
        <w:snapToGrid/>
        <w:spacing w:line="360" w:lineRule="auto"/>
        <w:ind w:firstLine="599" w:firstLineChars="200"/>
        <w:jc w:val="center"/>
        <w:textAlignment w:val="auto"/>
        <w:outlineLvl w:val="9"/>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pPr>
      <w:bookmarkStart w:id="57" w:name="_Toc24341"/>
      <w:r>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t>第三篇 项目商务需求</w:t>
      </w:r>
      <w:bookmarkEnd w:id="57"/>
      <w:bookmarkStart w:id="58" w:name="_Toc76462328"/>
      <w:bookmarkStart w:id="59" w:name="_Toc344475120"/>
    </w:p>
    <w:bookmarkEnd w:id="58"/>
    <w:bookmarkEnd w:id="59"/>
    <w:p w14:paraId="7C2AD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0" w:name="_Toc102227313"/>
      <w:r>
        <w:rPr>
          <w:rFonts w:hint="eastAsia" w:ascii="仿宋" w:hAnsi="仿宋" w:eastAsia="仿宋" w:cs="仿宋"/>
          <w:color w:val="000000" w:themeColor="text1"/>
          <w:sz w:val="24"/>
          <w:szCs w:val="24"/>
          <w:highlight w:val="none"/>
          <w:lang w:val="en-US" w:eastAsia="zh-CN"/>
          <w14:textFill>
            <w14:solidFill>
              <w14:schemeClr w14:val="tx1"/>
            </w14:solidFill>
          </w14:textFill>
        </w:rPr>
        <w:t>一、服务期、服务地点及验收方式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ab/>
      </w:r>
    </w:p>
    <w:p w14:paraId="2ED2A4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（一）服务期：合同一年一签。本项目最高服务期三年，经考核合格后可续签合同，续签次数不超过两次。</w:t>
      </w:r>
    </w:p>
    <w:p w14:paraId="750C4B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（二）服务地点：采购人指定地点。</w:t>
      </w:r>
    </w:p>
    <w:p w14:paraId="2F792F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（三）配送及验收方式</w:t>
      </w:r>
    </w:p>
    <w:p w14:paraId="3263F5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1.本项目非一次性供货，采购合同签订后，供应商需按照采购人通知的送货时间向采购人进行送货，采购文件中的商品数量为预计采购数量，最终以采购人实际采购的数量作为结算依据。</w:t>
      </w:r>
    </w:p>
    <w:p w14:paraId="7E9C1C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2.供应商接到采购信息，应在48小时内将货物送到采购人指定地点。遇紧急采购，供货商须根据采购人需要保证在4小时内送到指定地点。</w:t>
      </w:r>
    </w:p>
    <w:p w14:paraId="1CD07E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3.货物到达现场后，双方共同清点品名、规格、数量，检查外观，作出签收记录，双方签字确认。</w:t>
      </w:r>
    </w:p>
    <w:p w14:paraId="2B7E61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4.供应商应保证货物到达采购人所在地完好无损，如有缺漏、损坏，由供应商负责调换、补齐或赔偿。</w:t>
      </w:r>
    </w:p>
    <w:p w14:paraId="38FBA4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5.采购人现场接收不视为对商品质量的认可，使用中如发现商品质量与要求不相符的，采购人有权要求供应商无偿更换或退货（原产品不退还）。</w:t>
      </w:r>
    </w:p>
    <w:p w14:paraId="01A425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6.采购人使用科室开箱使用时，若发现货物内部出现损坏、缺漏、质量等问题，由供应商负责调换、补齐或赔偿。</w:t>
      </w:r>
    </w:p>
    <w:p w14:paraId="313061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7.供应商提供的货物未达到采购文件规定要求，且对采购人造成损失的，由供应商承担一切责任，并赔偿所造成的损失。</w:t>
      </w:r>
    </w:p>
    <w:p w14:paraId="15976B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8.乙方应提供完备的产品资料、装箱单和合格证等，每次送货派遣专人送达。</w:t>
      </w:r>
    </w:p>
    <w:p w14:paraId="7ED678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9.甲方可邀请国家认可的质量检测机构参加验收工作。</w:t>
      </w:r>
    </w:p>
    <w:p w14:paraId="467173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1" w:name="_Toc2821"/>
      <w:bookmarkStart w:id="62" w:name="_Toc119949879"/>
      <w:bookmarkStart w:id="63" w:name="_Toc3465"/>
      <w:bookmarkStart w:id="64" w:name="_Toc156895491"/>
      <w:bookmarkStart w:id="65" w:name="_Toc14177"/>
      <w:bookmarkStart w:id="66" w:name="_Toc4774"/>
      <w:bookmarkStart w:id="67" w:name="_Toc15096"/>
      <w:bookmarkStart w:id="68" w:name="_Toc23903"/>
      <w:bookmarkStart w:id="69" w:name="_Toc27382"/>
      <w:bookmarkStart w:id="70" w:name="_Toc2244"/>
      <w:bookmarkStart w:id="71" w:name="_Toc20887"/>
      <w:bookmarkStart w:id="72" w:name="_Toc1450"/>
      <w:bookmarkStart w:id="73" w:name="_Toc4252"/>
      <w:bookmarkStart w:id="74" w:name="_Toc16693"/>
      <w:bookmarkStart w:id="75" w:name="_Toc267320050"/>
      <w:bookmarkStart w:id="76" w:name="_Toc32313"/>
      <w:bookmarkStart w:id="77" w:name="_Toc119579780"/>
      <w:bookmarkStart w:id="78" w:name="_Toc15677"/>
      <w:bookmarkStart w:id="79" w:name="_Toc75793511"/>
      <w:r>
        <w:rPr>
          <w:rFonts w:hint="eastAsia" w:ascii="仿宋" w:hAnsi="仿宋" w:eastAsia="仿宋" w:cs="仿宋"/>
          <w:color w:val="000000" w:themeColor="text1"/>
          <w:sz w:val="24"/>
          <w:szCs w:val="24"/>
          <w:highlight w:val="none"/>
          <w:lang w:val="en-US" w:eastAsia="zh-CN"/>
          <w14:textFill>
            <w14:solidFill>
              <w14:schemeClr w14:val="tx1"/>
            </w14:solidFill>
          </w14:textFill>
        </w:rPr>
        <w:t>二、质量保证及售后服务</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74DD2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（一） 产品质量保证期</w:t>
      </w:r>
    </w:p>
    <w:p w14:paraId="4FC821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1.供应商所投产品属于国家规定“三包”范围的，其产品质量保证期不得低于“三包”规定。</w:t>
      </w:r>
    </w:p>
    <w:p w14:paraId="4BC9C3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2.供应商的质量保证期承诺优于国家“三包”规定的，按供应商实际承诺执行。</w:t>
      </w:r>
    </w:p>
    <w:p w14:paraId="38529E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3.供应商提供的所有货物质量应与“第二篇 项目技术需求”中相关要求一致，否则视为验收不合格。</w:t>
      </w:r>
    </w:p>
    <w:p w14:paraId="064C38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4.因质量问题发生的食品安全事故、食物中毒等事故，由中标人承担经济赔偿责任以及全部法律责任。</w:t>
      </w:r>
    </w:p>
    <w:p w14:paraId="0DA8F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5.供应商应保证货物质量符合国家标准和行业标准，保证提供的产品合格安全的产品；一旦发现伪劣假冒产品，经相关部门质量监测认证后，由成交供应商承担一切法律责任；采购人有权单方解除合同并要求成交供应商赔偿所造成的所有损失，同时列入政府采购征信记录；采购人可以确定排名其后第一位的成交候选单位为成交供应商价格按成交价执行或重新组织采购。</w:t>
      </w:r>
    </w:p>
    <w:p w14:paraId="5993F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（二）售后服务内容</w:t>
      </w:r>
      <w:r>
        <w:rPr>
          <w:rFonts w:hint="default" w:ascii="仿宋" w:hAnsi="仿宋" w:eastAsia="仿宋" w:cs="仿宋"/>
          <w:color w:val="000000" w:themeColor="text1"/>
          <w:sz w:val="24"/>
          <w:szCs w:val="24"/>
          <w:highlight w:val="none"/>
          <w:lang w:val="en-US" w:eastAsia="zh-CN"/>
          <w14:textFill>
            <w14:solidFill>
              <w14:schemeClr w14:val="tx1"/>
            </w14:solidFill>
          </w14:textFill>
        </w:rPr>
        <w:tab/>
      </w:r>
    </w:p>
    <w:p w14:paraId="174616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1.货物验收中不合格产品，供应商按照采购人规定时间内调换，不得影响正常工作。</w:t>
      </w:r>
    </w:p>
    <w:p w14:paraId="5D5BE6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2.供应商不能按双方约定时间完成供货或发生其他使合同无法履行的行为，供应商应承担违约责任，并赔偿因违约给采购人造成的损失。</w:t>
      </w:r>
    </w:p>
    <w:p w14:paraId="1D4FEB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bookmarkStart w:id="80" w:name="_Toc156895493"/>
      <w:bookmarkStart w:id="81" w:name="_Toc119579782"/>
      <w:bookmarkStart w:id="82" w:name="_Toc267320052"/>
      <w:bookmarkStart w:id="83" w:name="_Toc11060"/>
      <w:bookmarkStart w:id="84" w:name="_Toc18959"/>
      <w:bookmarkStart w:id="85" w:name="_Toc10105"/>
      <w:bookmarkStart w:id="86" w:name="_Toc22431"/>
      <w:bookmarkStart w:id="87" w:name="_Toc11399"/>
      <w:bookmarkStart w:id="88" w:name="_Toc3565"/>
      <w:bookmarkStart w:id="89" w:name="_Toc9213"/>
      <w:bookmarkStart w:id="90" w:name="_Toc27144"/>
      <w:bookmarkStart w:id="91" w:name="_Toc20369"/>
      <w:bookmarkStart w:id="92" w:name="_Toc3311"/>
      <w:bookmarkStart w:id="93" w:name="_Toc75793513"/>
      <w:bookmarkStart w:id="94" w:name="_Toc4897"/>
      <w:bookmarkStart w:id="95" w:name="_Toc25410"/>
      <w:bookmarkStart w:id="96" w:name="_Toc119949881"/>
      <w:bookmarkStart w:id="97" w:name="_Toc28056"/>
      <w:bookmarkStart w:id="98" w:name="_Toc4339"/>
      <w:r>
        <w:rPr>
          <w:rFonts w:hint="eastAsia" w:ascii="仿宋" w:hAnsi="仿宋" w:eastAsia="仿宋" w:cs="仿宋"/>
          <w:color w:val="000000" w:themeColor="text1"/>
          <w:sz w:val="24"/>
          <w:szCs w:val="24"/>
          <w:highlight w:val="yellow"/>
          <w:lang w:val="en-US" w:eastAsia="zh-CN"/>
          <w14:textFill>
            <w14:solidFill>
              <w14:schemeClr w14:val="tx1"/>
            </w14:solidFill>
          </w14:textFill>
        </w:rPr>
        <w:t>三、履约担保及付款方式</w:t>
      </w:r>
    </w:p>
    <w:p w14:paraId="027A45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（一）履约担保：</w:t>
      </w:r>
    </w:p>
    <w:p w14:paraId="1B09D2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1.履约保证金的形式：现金或履约保函或现金（80%）+履约保函（20%）的组合，履约保函包括银行保函、保证保险和担保保函。</w:t>
      </w:r>
    </w:p>
    <w:p w14:paraId="76A80E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2.具体要求：履约保函的开立人应当是具有相应资格的银行、保险机构、融资担保公司，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p>
    <w:p w14:paraId="326DC9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3.履约保证金的金额： 中标合同金额的5% 。</w:t>
      </w:r>
    </w:p>
    <w:p w14:paraId="4F8845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4.履约保证金的提交时间：成交人应在成交通知书发出后10个工作日内按履约担保形式（任选其一）足额缴纳至采购人，并在履约保证金提交之日起10个工作日内与采购人签订采购合同。若成交人不能按时、足额向采购人提交履约保证金的，视其为自动放弃中标资格，并将按采购法规及本采购文件相关规定进行处理。</w:t>
      </w:r>
    </w:p>
    <w:p w14:paraId="6A4C1A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5.履约保证金的期限：合同签订之日起至服务期结束。</w:t>
      </w:r>
    </w:p>
    <w:p w14:paraId="229BFA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6.履约保证金的退还时间：合同服务期履约完成后10个工作日内一次性无息退还。</w:t>
      </w:r>
    </w:p>
    <w:p w14:paraId="440591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yellow"/>
          <w:lang w:val="en-US" w:eastAsia="zh-CN"/>
          <w14:textFill>
            <w14:solidFill>
              <w14:schemeClr w14:val="tx1"/>
            </w14:solidFill>
          </w14:textFill>
        </w:rPr>
        <w:t>（二）付款方式：结算价=实际采购数量×中标单价；原则上每季度结算一次，若遇特殊情况，双方协商处理。</w:t>
      </w:r>
    </w:p>
    <w:p w14:paraId="53793A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四、知识产权</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DCC4F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4D6962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99" w:name="_Toc267320054"/>
      <w:r>
        <w:rPr>
          <w:rFonts w:hint="eastAsia" w:ascii="仿宋" w:hAnsi="仿宋" w:eastAsia="仿宋" w:cs="仿宋"/>
          <w:color w:val="000000" w:themeColor="text1"/>
          <w:sz w:val="24"/>
          <w:szCs w:val="24"/>
          <w:highlight w:val="none"/>
          <w:lang w:val="en-US" w:eastAsia="zh-CN"/>
          <w14:textFill>
            <w14:solidFill>
              <w14:schemeClr w14:val="tx1"/>
            </w14:solidFill>
          </w14:textFill>
        </w:rPr>
        <w:t>五、其他</w:t>
      </w:r>
      <w:bookmarkEnd w:id="99"/>
    </w:p>
    <w:p w14:paraId="2D53D0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（一）投标人必须在竞价文书中对以上条款和服务承诺明确列出，承诺内容必须达到本篇及竞价采购文书其他条款的要求。</w:t>
      </w:r>
    </w:p>
    <w:p w14:paraId="34842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（二）其他未尽事宜由供需双方在采购合同中详细约定。</w:t>
      </w:r>
    </w:p>
    <w:p w14:paraId="54856D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（三）项目数量为预估数量，项目按照实际送货的签证数量结算。</w:t>
      </w:r>
    </w:p>
    <w:p w14:paraId="76084365">
      <w:pPr>
        <w:pStyle w:val="4"/>
        <w:pageBreakBefore/>
        <w:spacing w:before="0" w:after="0" w:line="360" w:lineRule="auto"/>
        <w:jc w:val="center"/>
        <w:rPr>
          <w:rFonts w:hint="eastAsia" w:ascii="仿宋" w:hAnsi="仿宋" w:eastAsia="仿宋" w:cs="仿宋"/>
          <w:bCs/>
          <w:color w:val="000000" w:themeColor="text1"/>
          <w:spacing w:val="-11"/>
          <w:sz w:val="32"/>
          <w:szCs w:val="32"/>
          <w:highlight w:val="none"/>
          <w14:textFill>
            <w14:solidFill>
              <w14:schemeClr w14:val="tx1"/>
            </w14:solidFill>
          </w14:textFill>
        </w:rPr>
      </w:pPr>
      <w:r>
        <w:rPr>
          <w:rFonts w:hint="eastAsia" w:ascii="仿宋" w:hAnsi="仿宋" w:eastAsia="仿宋" w:cs="仿宋"/>
          <w:bCs/>
          <w:color w:val="000000" w:themeColor="text1"/>
          <w:spacing w:val="-11"/>
          <w:sz w:val="32"/>
          <w:szCs w:val="32"/>
          <w:highlight w:val="none"/>
          <w14:textFill>
            <w14:solidFill>
              <w14:schemeClr w14:val="tx1"/>
            </w14:solidFill>
          </w14:textFill>
        </w:rPr>
        <w:t>第四篇</w:t>
      </w:r>
      <w:r>
        <w:rPr>
          <w:rFonts w:hint="eastAsia" w:ascii="仿宋" w:hAnsi="仿宋" w:eastAsia="仿宋" w:cs="仿宋"/>
          <w:bCs/>
          <w:color w:val="000000" w:themeColor="text1"/>
          <w:spacing w:val="-11"/>
          <w:sz w:val="32"/>
          <w:szCs w:val="32"/>
          <w:highlight w:val="none"/>
          <w:lang w:val="en-US" w:eastAsia="zh-CN"/>
          <w14:textFill>
            <w14:solidFill>
              <w14:schemeClr w14:val="tx1"/>
            </w14:solidFill>
          </w14:textFill>
        </w:rPr>
        <w:t xml:space="preserve"> </w:t>
      </w:r>
      <w:r>
        <w:rPr>
          <w:rFonts w:hint="eastAsia" w:ascii="仿宋" w:hAnsi="仿宋" w:eastAsia="仿宋" w:cs="仿宋"/>
          <w:bCs/>
          <w:color w:val="000000" w:themeColor="text1"/>
          <w:spacing w:val="-11"/>
          <w:sz w:val="32"/>
          <w:szCs w:val="32"/>
          <w:highlight w:val="none"/>
          <w14:textFill>
            <w14:solidFill>
              <w14:schemeClr w14:val="tx1"/>
            </w14:solidFill>
          </w14:textFill>
        </w:rPr>
        <w:t>网上竞采程序及方法、评审标准、响应无效和采购终止</w:t>
      </w:r>
    </w:p>
    <w:p w14:paraId="32CF429F">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bookmarkStart w:id="100" w:name="_Toc18690"/>
      <w:r>
        <w:rPr>
          <w:rFonts w:hint="eastAsia" w:ascii="仿宋" w:hAnsi="仿宋" w:eastAsia="仿宋" w:cs="仿宋"/>
          <w:color w:val="000000" w:themeColor="text1"/>
          <w:sz w:val="24"/>
          <w:szCs w:val="24"/>
          <w:highlight w:val="none"/>
          <w14:textFill>
            <w14:solidFill>
              <w14:schemeClr w14:val="tx1"/>
            </w14:solidFill>
          </w14:textFill>
        </w:rPr>
        <w:t>一、网上竞采程序及方法</w:t>
      </w:r>
      <w:bookmarkEnd w:id="100"/>
    </w:p>
    <w:p w14:paraId="260E9EB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（一）评审小组对各供应商的资格条件、响应文件的有效性、完整性和响应程度进行审查。各供应商只有在完全符合要求的前提下，才能参与正式网上竞采。</w:t>
      </w:r>
    </w:p>
    <w:p w14:paraId="05E5AA4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1.资格性检查。依据法律法规和网上竞采文件的规定，对响应文件中的资格证明进行审查，以确定供应商是否具备网上竞采资格。资格性检查资料表如下：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0F6A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08B74E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4394" w:type="dxa"/>
            <w:gridSpan w:val="2"/>
            <w:vAlign w:val="center"/>
          </w:tcPr>
          <w:p w14:paraId="3D1AEE9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检查因素</w:t>
            </w:r>
          </w:p>
        </w:tc>
        <w:tc>
          <w:tcPr>
            <w:tcW w:w="4558" w:type="dxa"/>
            <w:vAlign w:val="center"/>
          </w:tcPr>
          <w:p w14:paraId="77EB9368">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检查内容</w:t>
            </w:r>
          </w:p>
        </w:tc>
      </w:tr>
      <w:tr w14:paraId="343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3788A66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709" w:type="dxa"/>
            <w:vMerge w:val="restart"/>
            <w:vAlign w:val="center"/>
          </w:tcPr>
          <w:p w14:paraId="46F2B0D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szCs w:val="24"/>
                <w:highlight w:val="none"/>
                <w:lang w:val="zh-CN" w:eastAsia="zh-CN"/>
                <w14:textFill>
                  <w14:solidFill>
                    <w14:schemeClr w14:val="tx1"/>
                  </w14:solidFill>
                </w14:textFill>
              </w:rPr>
              <w:t>应符合的基本资格条件</w:t>
            </w:r>
          </w:p>
        </w:tc>
        <w:tc>
          <w:tcPr>
            <w:tcW w:w="3685" w:type="dxa"/>
            <w:vAlign w:val="center"/>
          </w:tcPr>
          <w:p w14:paraId="3121317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（1）具有独立承担民事责任的能力</w:t>
            </w:r>
          </w:p>
        </w:tc>
        <w:tc>
          <w:tcPr>
            <w:tcW w:w="4558" w:type="dxa"/>
            <w:vAlign w:val="center"/>
          </w:tcPr>
          <w:p w14:paraId="16E3F3C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供应商法人营业执照（副本）或事业单位法人证书（副本）或个体工商户营业执照或有效的自然人身份证明、组织机构代码证复印件（注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0E871B4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供应商法定代表人身份证明和法定代表人授权代表委托书。</w:t>
            </w:r>
          </w:p>
        </w:tc>
      </w:tr>
      <w:tr w14:paraId="053D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2559123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69969F4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6BEF62B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具有良好的商业信誉和健全的财务会计制度</w:t>
            </w:r>
          </w:p>
        </w:tc>
        <w:tc>
          <w:tcPr>
            <w:tcW w:w="4558" w:type="dxa"/>
            <w:vMerge w:val="restart"/>
            <w:vAlign w:val="center"/>
          </w:tcPr>
          <w:p w14:paraId="2D303C8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供应商提供基本资格条件承诺函。（格式详见第七篇）</w:t>
            </w:r>
          </w:p>
        </w:tc>
      </w:tr>
      <w:tr w14:paraId="4E3E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0B3AB3F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981B656">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BEE4150">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（3）具有履行合同所必需的设备和专业技术能力</w:t>
            </w:r>
          </w:p>
        </w:tc>
        <w:tc>
          <w:tcPr>
            <w:tcW w:w="4558" w:type="dxa"/>
            <w:vMerge w:val="continue"/>
            <w:vAlign w:val="center"/>
          </w:tcPr>
          <w:p w14:paraId="29A6E9F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7C9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7E667FC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04689C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22DA15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（4）有依法缴纳税收和社会保障金的良好记录</w:t>
            </w:r>
          </w:p>
        </w:tc>
        <w:tc>
          <w:tcPr>
            <w:tcW w:w="4558" w:type="dxa"/>
            <w:vMerge w:val="continue"/>
            <w:vAlign w:val="center"/>
          </w:tcPr>
          <w:p w14:paraId="6CEC1AD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3F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62EB25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137A8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54B1822">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（5）参加政府采购活动前三年内，在经营活动中没有重大违法记录（注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tc>
        <w:tc>
          <w:tcPr>
            <w:tcW w:w="4558" w:type="dxa"/>
            <w:vMerge w:val="continue"/>
            <w:vAlign w:val="center"/>
          </w:tcPr>
          <w:p w14:paraId="78D133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140A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6C64076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51915BF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5EE317E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（6）法律、行政法规规定的其他条件</w:t>
            </w:r>
          </w:p>
        </w:tc>
        <w:tc>
          <w:tcPr>
            <w:tcW w:w="4558" w:type="dxa"/>
            <w:vAlign w:val="center"/>
          </w:tcPr>
          <w:p w14:paraId="7401D6E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9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35FAD89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4394" w:type="dxa"/>
            <w:gridSpan w:val="2"/>
            <w:vAlign w:val="center"/>
          </w:tcPr>
          <w:p w14:paraId="0479573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落实政府采购政策需满足的资格要求</w:t>
            </w:r>
          </w:p>
        </w:tc>
        <w:tc>
          <w:tcPr>
            <w:tcW w:w="4558" w:type="dxa"/>
            <w:vAlign w:val="center"/>
          </w:tcPr>
          <w:p w14:paraId="3756C72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按第一篇“三、供应商资格条件（二）落实政府采购政策需满足的资格要求”的要求提交（如果有）。</w:t>
            </w:r>
          </w:p>
        </w:tc>
      </w:tr>
      <w:tr w14:paraId="7284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3692A9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4394" w:type="dxa"/>
            <w:gridSpan w:val="2"/>
            <w:vAlign w:val="center"/>
          </w:tcPr>
          <w:p w14:paraId="63A0539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特定资格条件</w:t>
            </w:r>
          </w:p>
        </w:tc>
        <w:tc>
          <w:tcPr>
            <w:tcW w:w="4558" w:type="dxa"/>
            <w:vAlign w:val="center"/>
          </w:tcPr>
          <w:p w14:paraId="48548A4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按第一篇“三、供应商资格条件（三）特定资格条件”的要求提交（如果有）。</w:t>
            </w:r>
          </w:p>
        </w:tc>
      </w:tr>
    </w:tbl>
    <w:p w14:paraId="18AADA2F">
      <w:pPr>
        <w:snapToGrid w:val="0"/>
        <w:spacing w:line="360" w:lineRule="auto"/>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注：</w:t>
      </w:r>
    </w:p>
    <w:p w14:paraId="5954739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6DB0590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737642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2.符合性检查。依据网上竞采文件的规定，从响应文件的有效性、完整性和对网上竞采文件的响应程度进行审查，以确定是否对网上竞采文件的实质性要求作出响应。符合性检查资料表如下：</w:t>
      </w:r>
    </w:p>
    <w:tbl>
      <w:tblPr>
        <w:tblStyle w:val="6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955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2AB9F1B5">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3544" w:type="dxa"/>
            <w:gridSpan w:val="2"/>
            <w:vAlign w:val="center"/>
          </w:tcPr>
          <w:p w14:paraId="4FF351AE">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评审因素</w:t>
            </w:r>
          </w:p>
        </w:tc>
        <w:tc>
          <w:tcPr>
            <w:tcW w:w="5409" w:type="dxa"/>
            <w:vAlign w:val="center"/>
          </w:tcPr>
          <w:p w14:paraId="147F5A3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评审标准</w:t>
            </w:r>
          </w:p>
        </w:tc>
      </w:tr>
      <w:tr w14:paraId="51EC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7E71E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1560" w:type="dxa"/>
            <w:vMerge w:val="restart"/>
            <w:vAlign w:val="center"/>
          </w:tcPr>
          <w:p w14:paraId="6ACA6582">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有效性审查</w:t>
            </w:r>
          </w:p>
        </w:tc>
        <w:tc>
          <w:tcPr>
            <w:tcW w:w="1984" w:type="dxa"/>
            <w:vAlign w:val="center"/>
          </w:tcPr>
          <w:p w14:paraId="3717118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响应文件签署</w:t>
            </w:r>
          </w:p>
        </w:tc>
        <w:tc>
          <w:tcPr>
            <w:tcW w:w="5409" w:type="dxa"/>
            <w:vAlign w:val="center"/>
          </w:tcPr>
          <w:p w14:paraId="127E9EB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网上电子文档及响应文件上法定代表人或其授权代表人的签字齐全。</w:t>
            </w:r>
          </w:p>
        </w:tc>
      </w:tr>
      <w:tr w14:paraId="6CFA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6944EC2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1AD40C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65DE15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w:t>
            </w:r>
          </w:p>
        </w:tc>
        <w:tc>
          <w:tcPr>
            <w:tcW w:w="5409" w:type="dxa"/>
            <w:vAlign w:val="center"/>
          </w:tcPr>
          <w:p w14:paraId="57736CA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法定代表人身份证明及授权委托书有效，符合网上竞采文件规定的格式，签字或盖章齐全。</w:t>
            </w:r>
          </w:p>
        </w:tc>
      </w:tr>
      <w:tr w14:paraId="02D6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056644F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B48F91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7AF491F3">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c>
          <w:tcPr>
            <w:tcW w:w="5409" w:type="dxa"/>
            <w:vAlign w:val="center"/>
          </w:tcPr>
          <w:p w14:paraId="52E70AE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每个分包只能有一个</w:t>
            </w: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r>
      <w:tr w14:paraId="3166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762963A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12B4830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0E0EA26C">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报价唯一</w:t>
            </w:r>
          </w:p>
        </w:tc>
        <w:tc>
          <w:tcPr>
            <w:tcW w:w="5409" w:type="dxa"/>
            <w:vAlign w:val="center"/>
          </w:tcPr>
          <w:p w14:paraId="2312408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只能在采购预算范围内报价，</w:t>
            </w:r>
            <w:r>
              <w:rPr>
                <w:rFonts w:hint="eastAsia" w:ascii="仿宋" w:hAnsi="仿宋" w:eastAsia="仿宋" w:cs="仿宋"/>
                <w:color w:val="000000" w:themeColor="text1"/>
                <w:sz w:val="24"/>
                <w:szCs w:val="24"/>
                <w:highlight w:val="none"/>
                <w:lang w:val="en-US" w:eastAsia="zh-CN"/>
                <w14:textFill>
                  <w14:solidFill>
                    <w14:schemeClr w14:val="tx1"/>
                  </w14:solidFill>
                </w14:textFill>
              </w:rPr>
              <w:t>只能有一个有效报价，不得提交选择性报价。</w:t>
            </w:r>
          </w:p>
        </w:tc>
      </w:tr>
      <w:tr w14:paraId="3683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467DE9D4">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1560" w:type="dxa"/>
            <w:vAlign w:val="center"/>
          </w:tcPr>
          <w:p w14:paraId="78A0B6E3">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完整性审查</w:t>
            </w:r>
          </w:p>
        </w:tc>
        <w:tc>
          <w:tcPr>
            <w:tcW w:w="1984" w:type="dxa"/>
            <w:vAlign w:val="center"/>
          </w:tcPr>
          <w:p w14:paraId="713E4D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文件份数</w:t>
            </w:r>
          </w:p>
        </w:tc>
        <w:tc>
          <w:tcPr>
            <w:tcW w:w="5409" w:type="dxa"/>
            <w:vAlign w:val="center"/>
          </w:tcPr>
          <w:p w14:paraId="12F6F80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文件数量符合</w:t>
            </w: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文件要求。</w:t>
            </w:r>
          </w:p>
        </w:tc>
      </w:tr>
      <w:tr w14:paraId="0B6E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5A6821B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1560" w:type="dxa"/>
            <w:vMerge w:val="restart"/>
            <w:vAlign w:val="center"/>
          </w:tcPr>
          <w:p w14:paraId="33CA6AEC">
            <w:pPr>
              <w:spacing w:line="360" w:lineRule="auto"/>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网上竞采文件的响应程度审查</w:t>
            </w:r>
          </w:p>
        </w:tc>
        <w:tc>
          <w:tcPr>
            <w:tcW w:w="1984" w:type="dxa"/>
            <w:vAlign w:val="center"/>
          </w:tcPr>
          <w:p w14:paraId="408F8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响应文件内容</w:t>
            </w:r>
          </w:p>
        </w:tc>
        <w:tc>
          <w:tcPr>
            <w:tcW w:w="5409" w:type="dxa"/>
            <w:vAlign w:val="center"/>
          </w:tcPr>
          <w:p w14:paraId="31D68F8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对网上竞采文件第二篇、第三篇规定的网上竞采内容作出响应。</w:t>
            </w:r>
          </w:p>
        </w:tc>
      </w:tr>
      <w:tr w14:paraId="4D45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542274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49383AD4">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1984" w:type="dxa"/>
            <w:vAlign w:val="center"/>
          </w:tcPr>
          <w:p w14:paraId="222560D9">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网上竞采有效期</w:t>
            </w:r>
          </w:p>
        </w:tc>
        <w:tc>
          <w:tcPr>
            <w:tcW w:w="5409" w:type="dxa"/>
            <w:vAlign w:val="center"/>
          </w:tcPr>
          <w:p w14:paraId="2720E7E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满足网上竞采文件</w:t>
            </w:r>
            <w:r>
              <w:rPr>
                <w:rFonts w:hint="eastAsia" w:ascii="仿宋" w:hAnsi="仿宋" w:eastAsia="仿宋" w:cs="仿宋"/>
                <w:color w:val="000000" w:themeColor="text1"/>
                <w:sz w:val="24"/>
                <w:szCs w:val="24"/>
                <w:highlight w:val="none"/>
                <w:lang w:val="zh-CN" w:eastAsia="zh-CN"/>
                <w14:textFill>
                  <w14:solidFill>
                    <w14:schemeClr w14:val="tx1"/>
                  </w14:solidFill>
                </w14:textFill>
              </w:rPr>
              <w:t>规定。</w:t>
            </w:r>
          </w:p>
        </w:tc>
      </w:tr>
    </w:tbl>
    <w:p w14:paraId="672F34C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10F1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1BC72B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（三）评审的依据为网上竞采文件和响应文件（含有效的补充文件）。评审小组判断响应文件对网上竞采文件的响应，仅基于响应文件本身而不靠外部证据。</w:t>
      </w:r>
    </w:p>
    <w:p w14:paraId="1965948C">
      <w:pPr>
        <w:pStyle w:val="5"/>
        <w:spacing w:before="0" w:after="0"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101" w:name="_Toc18411"/>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二、评标方法</w:t>
      </w:r>
    </w:p>
    <w:p w14:paraId="39C4276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本项目采用最低评标价法进行评标。</w:t>
      </w:r>
    </w:p>
    <w:p w14:paraId="2A4A3C8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（最低评标价法，是指投标文件满足招标文件全部实质性要求且投标报价最低的投标人为中标候选人的评标方法。）</w:t>
      </w:r>
    </w:p>
    <w:p w14:paraId="3450872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或其授权代表）或自然人（投标人为自然人）签字，其澄清的内容不得超出投标文件的范围或者改变投标文件的实质性内容。</w:t>
      </w:r>
    </w:p>
    <w:p w14:paraId="5C5D6A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w:t>
      </w:r>
    </w:p>
    <w:p w14:paraId="622A360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（一）比较与评价。按招标文件中规定的评标方法和标准，对资格审查和符合性审查合格的投标文件进行商务和技术评估。</w:t>
      </w:r>
    </w:p>
    <w:p w14:paraId="127A792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同一合同项（包）下为单一品目或非单一品目核心产品品牌的服务采购招标中，以其中通过资格审查、符合性审查且报价最低的参加评标；报价相同的，由采购人或者采购人委托评标委员会按照招标文件规定的方式确定一个参加评标的投标人，招标文件未规定的采取随机抽取方式确定，其他投标无效。 </w:t>
      </w:r>
    </w:p>
    <w:p w14:paraId="216749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（二）推荐中标候选人名单。</w:t>
      </w:r>
    </w:p>
    <w:p w14:paraId="6C3B4C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投标人须按本采购文件中报价明细表填写报价，在单价限价内逐项填报含税单价（元）。评标委员会以各投标人填报的各单品单价乘以对应预计数量（份）所得乘积之和（即投标总报价）作为评审依据，投标总报价最低者为中标人。若出现总报价相同的情况，由评标委员会优先推荐其中对采购人最有利（如免费增配服务等）的投标人为中标人。</w:t>
      </w:r>
    </w:p>
    <w:p w14:paraId="140DA70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二、评标标准</w:t>
      </w:r>
    </w:p>
    <w:p w14:paraId="5E95B3F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（一）关于技术（质量）、商务偏离</w:t>
      </w:r>
    </w:p>
    <w:p w14:paraId="5F654FD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1.投标文件投标应答有一条及以上不满足招标文件“第二篇 项目技术需求”要求的（“※”号标注的部分除外），投标人将失去成为中标候选人的资格；</w:t>
      </w:r>
    </w:p>
    <w:p w14:paraId="43515E8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2.投标文件投标应答有一条及以上不满足招标文件“第三篇 项目商务需求”要求的（“※”号标注的部分除外），投标人将失去成为中标候选人的资格；</w:t>
      </w:r>
    </w:p>
    <w:p w14:paraId="5C42AE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bookmarkEnd w:id="101"/>
      <w:bookmarkStart w:id="102" w:name="_Toc25094"/>
      <w:bookmarkStart w:id="103" w:name="_Toc342913394"/>
      <w:bookmarkStart w:id="104" w:name="_Toc102227320"/>
      <w:r>
        <w:rPr>
          <w:rFonts w:hint="eastAsia" w:ascii="仿宋" w:hAnsi="仿宋" w:eastAsia="仿宋" w:cs="仿宋"/>
          <w:color w:val="000000"/>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35D063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w:t>
      </w:r>
      <w:r>
        <w:rPr>
          <w:rFonts w:hint="eastAsia" w:ascii="仿宋" w:hAnsi="仿宋" w:eastAsia="仿宋" w:cs="仿宋"/>
          <w:color w:val="000000" w:themeColor="text1"/>
          <w:sz w:val="24"/>
          <w:szCs w:val="24"/>
          <w:highlight w:val="none"/>
          <w14:textFill>
            <w14:solidFill>
              <w14:schemeClr w14:val="tx1"/>
            </w14:solidFill>
          </w14:textFill>
        </w:rPr>
        <w:t>、响应无效</w:t>
      </w:r>
      <w:bookmarkEnd w:id="102"/>
    </w:p>
    <w:bookmarkEnd w:id="103"/>
    <w:bookmarkEnd w:id="104"/>
    <w:p w14:paraId="51CE9E5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供应商发生以下条款情况之一者，视为响应无效，其响应文件将被拒绝：</w:t>
      </w:r>
    </w:p>
    <w:p w14:paraId="2BEF9CA7">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（一）供应商不符合规定的基本资格条件或特定资格条件的；</w:t>
      </w:r>
    </w:p>
    <w:p w14:paraId="453E71E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（二）供应商所提交的响应文件不按第七篇“响应文件编制要求”规定签字、盖章；</w:t>
      </w:r>
    </w:p>
    <w:p w14:paraId="58D2C87C">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（三）供应商的报价超过采购预算或总价最高限价或单价最高限价的；</w:t>
      </w:r>
    </w:p>
    <w:p w14:paraId="08915C33">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（四）法定代表人为同一个人的两个及两个以上法人，母公司、全资子公司及其控股公司，在同一分包采购中同时参与网上竞采；</w:t>
      </w:r>
    </w:p>
    <w:p w14:paraId="0A6B0DE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（六）供应商的平台报价与上传的网上电子响应文件报价函中的报价不一致的；</w:t>
      </w:r>
    </w:p>
    <w:p w14:paraId="00FD11E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（七）单位负责人为同一人或者存在直接控股、管理关系的不同供应商，参加同一合同项下的采购活动的；</w:t>
      </w:r>
    </w:p>
    <w:p w14:paraId="0941C9A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（八）为采购项目提供整体设计、规范编制或者项目管理、监理、检测等服务的供应商，再参加该采购项目的其他采购活动；</w:t>
      </w:r>
    </w:p>
    <w:p w14:paraId="1FD7862A">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（九）供应商的服务期、质量保证期及网上竞采有效期不满足网上竞采文件要求的；</w:t>
      </w:r>
    </w:p>
    <w:p w14:paraId="58DA46F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（十）供应商响应文件内容有与国家现行法律法规相违背的内容，或附有采购人无法接受的条件。</w:t>
      </w:r>
    </w:p>
    <w:p w14:paraId="1A3D7D9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（十一）供应商被列入失信被执行人、税收违法黑名单、政府采购严重违法失信行为记录名单及其他不符合《中华人民共和国政府采购法》第二十二条规定条件的。</w:t>
      </w:r>
    </w:p>
    <w:p w14:paraId="735C511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3D712F5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105" w:name="_Toc27425"/>
      <w:bookmarkStart w:id="106" w:name="_Toc18403"/>
      <w:r>
        <w:rPr>
          <w:rFonts w:hint="eastAsia" w:ascii="仿宋" w:hAnsi="仿宋" w:eastAsia="仿宋" w:cs="仿宋"/>
          <w:color w:val="000000" w:themeColor="text1"/>
          <w:sz w:val="24"/>
          <w:szCs w:val="24"/>
          <w:highlight w:val="none"/>
          <w:lang w:val="en-US"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、采购终止</w:t>
      </w:r>
      <w:bookmarkEnd w:id="105"/>
      <w:bookmarkEnd w:id="106"/>
    </w:p>
    <w:p w14:paraId="04B5857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出现下列情形之一的，采购人或者采购代理机构应当终止网上竞采活动，发布项目终止公告并说明原因，重新开展采购活动：</w:t>
      </w:r>
    </w:p>
    <w:p w14:paraId="0D1A233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（一）因情况变化，不再符合规定的网上竞采采购方式适用情形的；</w:t>
      </w:r>
    </w:p>
    <w:p w14:paraId="619A16D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（二）出现影响采购公正的违法、违规行为的；</w:t>
      </w:r>
    </w:p>
    <w:p w14:paraId="0CD831D4">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（三）通过资格性审查及符合性审查的供应商不足3家的，终止本次采购活动，并发布终止采购活动公告。</w:t>
      </w:r>
    </w:p>
    <w:p w14:paraId="4B01234F">
      <w:pPr>
        <w:pStyle w:val="4"/>
        <w:pageBreakBefore/>
        <w:spacing w:before="0" w:after="0" w:line="360" w:lineRule="auto"/>
        <w:jc w:val="center"/>
        <w:rPr>
          <w:rFonts w:hint="eastAsia" w:ascii="仿宋" w:hAnsi="仿宋" w:eastAsia="仿宋" w:cs="仿宋"/>
          <w:bCs/>
          <w:color w:val="auto"/>
          <w:spacing w:val="-11"/>
          <w:sz w:val="36"/>
          <w:szCs w:val="30"/>
          <w:highlight w:val="none"/>
        </w:rPr>
      </w:pPr>
      <w:bookmarkStart w:id="107" w:name="_Toc13753"/>
      <w:r>
        <w:rPr>
          <w:rFonts w:hint="eastAsia" w:ascii="仿宋" w:hAnsi="仿宋" w:eastAsia="仿宋" w:cs="仿宋"/>
          <w:bCs/>
          <w:color w:val="auto"/>
          <w:spacing w:val="-11"/>
          <w:sz w:val="36"/>
          <w:szCs w:val="30"/>
          <w:highlight w:val="none"/>
        </w:rPr>
        <w:t>第五篇供应商须知</w:t>
      </w:r>
      <w:bookmarkEnd w:id="60"/>
      <w:bookmarkEnd w:id="107"/>
    </w:p>
    <w:p w14:paraId="7479B5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bookmarkStart w:id="108" w:name="_Toc11641055"/>
      <w:bookmarkStart w:id="109" w:name="_Toc12789059"/>
      <w:r>
        <w:rPr>
          <w:rFonts w:hint="eastAsia" w:ascii="仿宋" w:hAnsi="仿宋" w:eastAsia="仿宋" w:cs="仿宋"/>
          <w:b/>
          <w:bCs/>
          <w:color w:val="auto"/>
          <w:sz w:val="24"/>
          <w:szCs w:val="24"/>
          <w:highlight w:val="none"/>
        </w:rPr>
        <w:t>一、网上竞采费用</w:t>
      </w:r>
    </w:p>
    <w:p w14:paraId="75AB771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参与网上竞采的投标供应商应承担其编制响应文件与递交响应文件所涉及的一切费用，不论网上竞采结果如何，采购人和采购代理机构在任何情况下无义务也无责任承担这些费用。</w:t>
      </w:r>
    </w:p>
    <w:p w14:paraId="5C82A4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二、网上竞采文件</w:t>
      </w:r>
    </w:p>
    <w:p w14:paraId="6331114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（一）网上竞采文件由采购邀请书、采购项目技术需求、采购项目商务需求、网上竞采程序及方法、评审标准、响应无效和采购终止、投标供应商须知、合同主要条款和格式合同、响应文件编制要求七部分组成。</w:t>
      </w:r>
    </w:p>
    <w:p w14:paraId="0FF114A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（二）采购人（或采购代理机构）所作的一切有效的书面通知、修改及补充，都是网上竞采文件不可分割的部分。</w:t>
      </w:r>
    </w:p>
    <w:p w14:paraId="4F47C57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（三）网上竞采文件的解释</w:t>
      </w:r>
    </w:p>
    <w:p w14:paraId="7B2B5D0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供应商如对网上竞采文件有疑问，必须以书面形式在提交响应文件截止时间2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网上竞采文件所有条款内容并同意放弃对这方面有不明白及误解的权利。</w:t>
      </w:r>
    </w:p>
    <w:p w14:paraId="2959504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（四）本网上竞采文件中，网上竞采小组根据与投标供应商进行网上竞采可能实质性变动的内容为网上竞采文件第二、三、四篇全部内容。</w:t>
      </w:r>
    </w:p>
    <w:p w14:paraId="0E356FE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（五）评审的依据为网上竞采文件和响应文件（含有效的书面承诺）。评审小组判断响应文件对网上竞采文件的响应，仅基于响应文件本身而不靠外部证据。</w:t>
      </w:r>
    </w:p>
    <w:p w14:paraId="30E0F750">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三、网上竞采要求</w:t>
      </w:r>
    </w:p>
    <w:p w14:paraId="488C2ED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213F860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1.投标供应商应当按照网上竞采文件的要求编制响应文件，并对网上竞采文件提出的要求和条件作出实质性响应，同时应编制完整的页码、目录。</w:t>
      </w:r>
    </w:p>
    <w:p w14:paraId="348FB59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CFF4E0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478C7BF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3.供应商须对所提供资料的真实性和准确性负责，一旦发现有弄虚作假的情况，按相应法律法规予以处罚。</w:t>
      </w:r>
    </w:p>
    <w:p w14:paraId="2CC8C405">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15D1CA6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本项目不接受联合体竞标。</w:t>
      </w:r>
    </w:p>
    <w:p w14:paraId="78EF176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（三）网上竞采有效期：响应文件及有关承诺文件有效期为提交响应文件截止时间起90天。</w:t>
      </w:r>
    </w:p>
    <w:p w14:paraId="68480F3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（四）提交响应文件的份数和签署</w:t>
      </w:r>
    </w:p>
    <w:p w14:paraId="13415B2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4BAF6C0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注：若供应商的平台报价与网上上传的响应文件电子文档报价函中的报价不一致，按响应无效处理。</w:t>
      </w:r>
    </w:p>
    <w:p w14:paraId="13FA354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2.在上传的网上电子文档中，网上竞采文件第七篇响应文件编制要求中规定签字、盖章的地方必须按其规定签字、盖章。</w:t>
      </w:r>
    </w:p>
    <w:p w14:paraId="0D38A35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（五）响应文件的递交</w:t>
      </w:r>
    </w:p>
    <w:p w14:paraId="36C51EAF">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供应商须在规定时间内完成线上和线下的响应文件提交，否则视为无效响应。</w:t>
      </w:r>
    </w:p>
    <w:p w14:paraId="0E01CA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四、成交供应商的确认和变更</w:t>
      </w:r>
    </w:p>
    <w:p w14:paraId="0B9C8F6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625AA39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32F66DC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26CCFC42">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成交供应商拒绝与采购人签订合同的，采购人可以按照评标报告推荐的成交候选供应商顺序，确定排名下一位的候选人为成交供应商，也可以重新开展采购活动。</w:t>
      </w:r>
    </w:p>
    <w:p w14:paraId="295F68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五、成交通知</w:t>
      </w:r>
    </w:p>
    <w:p w14:paraId="620C21C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（一）成交供应商确定后，采购人或采购代理机构将在秀山县小额交易管理平台竞采大厅（https://cqxs-mall.gec123.com/）上发布成交结果公告。</w:t>
      </w:r>
    </w:p>
    <w:p w14:paraId="4A5583EC">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4684961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0CD69E6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（四）如有投标供应商对成交结果提出质疑的，在质疑处理完毕后发出成交通知书。</w:t>
      </w:r>
    </w:p>
    <w:p w14:paraId="4241D9FA">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0" w:name="_Toc19876"/>
      <w:bookmarkStart w:id="111" w:name="_Toc22361"/>
      <w:r>
        <w:rPr>
          <w:rFonts w:hint="eastAsia" w:ascii="仿宋" w:hAnsi="仿宋" w:eastAsia="仿宋" w:cs="仿宋"/>
          <w:color w:val="auto"/>
          <w:sz w:val="24"/>
          <w:szCs w:val="24"/>
          <w:highlight w:val="none"/>
        </w:rPr>
        <w:t>六、采购代理服务费</w:t>
      </w:r>
      <w:bookmarkEnd w:id="110"/>
      <w:bookmarkEnd w:id="111"/>
    </w:p>
    <w:p w14:paraId="07F9BA0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本次网上竞采由代理机构委托实施，</w:t>
      </w:r>
      <w:r>
        <w:rPr>
          <w:rFonts w:hint="eastAsia" w:ascii="仿宋" w:hAnsi="仿宋" w:eastAsia="仿宋" w:cs="仿宋"/>
          <w:color w:val="auto"/>
          <w:sz w:val="24"/>
          <w:highlight w:val="none"/>
          <w:lang w:val="en-US" w:eastAsia="zh-CN"/>
        </w:rPr>
        <w:t>本项目</w:t>
      </w:r>
      <w:r>
        <w:rPr>
          <w:rFonts w:hint="eastAsia" w:ascii="仿宋" w:hAnsi="仿宋" w:eastAsia="仿宋" w:cs="仿宋"/>
          <w:color w:val="auto"/>
          <w:sz w:val="24"/>
          <w:szCs w:val="24"/>
          <w:highlight w:val="none"/>
        </w:rPr>
        <w:t>采购</w:t>
      </w:r>
      <w:r>
        <w:rPr>
          <w:rFonts w:hint="eastAsia" w:ascii="仿宋" w:hAnsi="仿宋" w:eastAsia="仿宋" w:cs="仿宋"/>
          <w:color w:val="auto"/>
          <w:sz w:val="24"/>
          <w:highlight w:val="none"/>
        </w:rPr>
        <w:t>代理服务费</w:t>
      </w:r>
      <w:r>
        <w:rPr>
          <w:rFonts w:hint="eastAsia" w:ascii="仿宋" w:hAnsi="仿宋" w:eastAsia="仿宋" w:cs="仿宋"/>
          <w:color w:val="auto"/>
          <w:sz w:val="24"/>
          <w:highlight w:val="none"/>
          <w:lang w:val="en-US" w:eastAsia="zh-CN"/>
        </w:rPr>
        <w:t>为人民币</w:t>
      </w:r>
      <w:r>
        <w:rPr>
          <w:rFonts w:hint="eastAsia" w:ascii="仿宋" w:hAnsi="仿宋" w:eastAsia="仿宋" w:cs="仿宋"/>
          <w:color w:val="auto"/>
          <w:sz w:val="24"/>
          <w:highlight w:val="none"/>
          <w:u w:val="single"/>
          <w:lang w:val="en-US" w:eastAsia="zh-CN"/>
        </w:rPr>
        <w:t>：4000元整</w:t>
      </w:r>
      <w:r>
        <w:rPr>
          <w:rFonts w:hint="eastAsia" w:ascii="仿宋" w:hAnsi="仿宋" w:eastAsia="仿宋" w:cs="仿宋"/>
          <w:color w:val="auto"/>
          <w:sz w:val="24"/>
          <w:szCs w:val="24"/>
          <w:highlight w:val="none"/>
        </w:rPr>
        <w:t>，由成交供应商在领取成交通知书时一次性向代理机构缴纳。</w:t>
      </w:r>
    </w:p>
    <w:p w14:paraId="1C82FC93">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2" w:name="_Toc11155"/>
      <w:bookmarkStart w:id="113" w:name="_Toc1096"/>
      <w:r>
        <w:rPr>
          <w:rFonts w:hint="eastAsia" w:ascii="仿宋" w:hAnsi="仿宋" w:eastAsia="仿宋" w:cs="仿宋"/>
          <w:color w:val="auto"/>
          <w:sz w:val="24"/>
          <w:szCs w:val="24"/>
          <w:highlight w:val="none"/>
        </w:rPr>
        <w:t>七、关于质疑和投诉</w:t>
      </w:r>
      <w:bookmarkEnd w:id="112"/>
      <w:bookmarkEnd w:id="113"/>
    </w:p>
    <w:p w14:paraId="6F16CB6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（一）质疑</w:t>
      </w:r>
    </w:p>
    <w:p w14:paraId="42CD655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投标供应商认为采购文件、采购过程和成交结果使自己的权益受到伤害的，可向采购人或采购代理机构以书面形式提出质疑。</w:t>
      </w:r>
    </w:p>
    <w:p w14:paraId="364D43A4">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提出质疑的应当是参与所质疑项目采购活动的投标供应商。</w:t>
      </w:r>
    </w:p>
    <w:p w14:paraId="742ECAA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7F5916BE">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1.1投标供应商认为采购文件、采购过程、成交结果使自己的权益受到损害的，可以在知道或者应知其权益受到损害之日起7个工作日内，以书面形式向采购人、采购代理机构提出质疑。</w:t>
      </w:r>
    </w:p>
    <w:p w14:paraId="14CF291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1.2投标供应商对采购过程提出质疑的，应在各采购程序环节结束之日起七个工作日内提出。</w:t>
      </w:r>
    </w:p>
    <w:p w14:paraId="21575D1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1.3投标供应商对成交结果提出质疑的，应当在成交结果公告期限届满之日起七个工作日内提出。</w:t>
      </w:r>
    </w:p>
    <w:p w14:paraId="14CE7E5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1.4投标供应商提出质疑应当提交质疑函和必要的证明材料，质疑函应当包括下列内容：</w:t>
      </w:r>
    </w:p>
    <w:p w14:paraId="7A5E337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1.4.1投标供应商的姓名或者名称、地址、邮编、联系人及联系电话；</w:t>
      </w:r>
    </w:p>
    <w:p w14:paraId="6B6FDEB6">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1.4.2质疑项目的名称、项目号以及项目编号；</w:t>
      </w:r>
    </w:p>
    <w:p w14:paraId="4BA23B19">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4899A631">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34854B10">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1A599CC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57BD86E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5F2E9AF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1.4.8法定代表人授权委托书原件、法定代表人身份证复印件和其授权代表的身份证复印件（投标供应商为自然人的提供自然人身份证复印件）；</w:t>
      </w:r>
    </w:p>
    <w:p w14:paraId="356B94B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1.5投标供应商为自然人的，质疑函应当由本人签字；投标供应商为法人或者其他组织的，质疑函应当由法定代表人、主要负责人，或者其授权代表签字或者盖章，并加盖公章。</w:t>
      </w:r>
    </w:p>
    <w:p w14:paraId="50DF26C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4E82BF1D">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采购人、采购代理机构应当在收到投标供应商的书面质疑后七个工作日内作出答复，并以书面形式通知质疑投标供应商和其他有关投标供应商。</w:t>
      </w:r>
    </w:p>
    <w:p w14:paraId="78B3212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w:t>
      </w:r>
    </w:p>
    <w:p w14:paraId="52626173">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3.1投标供应商应按照《政府采购质疑和投诉办法》（财政部令第94号）及相关法律法规要求，在法定质疑期内一次性提出针对同一采购程序环节的质疑。</w:t>
      </w:r>
    </w:p>
    <w:p w14:paraId="5BAFB6AB">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361D3A78">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w:t>
      </w:r>
    </w:p>
    <w:p w14:paraId="254A62C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bookmarkStart w:id="114" w:name="_Toc102227322"/>
      <w:bookmarkStart w:id="115" w:name="_Toc342913396"/>
      <w:bookmarkStart w:id="116" w:name="_Toc3031"/>
      <w:r>
        <w:rPr>
          <w:rFonts w:hint="eastAsia" w:ascii="仿宋" w:hAnsi="仿宋" w:eastAsia="仿宋" w:cs="仿宋"/>
          <w:color w:val="auto"/>
          <w:sz w:val="24"/>
          <w:highlight w:val="none"/>
        </w:rPr>
        <w:t>1.投标供应商对采购人、采购代理机构的答复不满意，或者采购人、采购代理机构未在规定时间内作出答复的，可以在答复期满后15个工作日内按照相关法律法规向采购人监督部门提起投诉。</w:t>
      </w:r>
    </w:p>
    <w:p w14:paraId="02282E5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2.投标供应商应按照《政府采购质疑和投诉办法》（财政部令第94号）及相关法律法规要求递交投诉书和必要的证明材料。投诉书范本可在财政部门户网站和中国政府采购网下载。</w:t>
      </w:r>
    </w:p>
    <w:p w14:paraId="15E321C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45DAF47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4BBC75C6">
      <w:pPr>
        <w:pStyle w:val="5"/>
        <w:pageBreakBefore w:val="0"/>
        <w:widowControl w:val="0"/>
        <w:kinsoku/>
        <w:wordWrap/>
        <w:overflowPunct/>
        <w:topLinePunct w:val="0"/>
        <w:autoSpaceDE/>
        <w:autoSpaceDN/>
        <w:bidi w:val="0"/>
        <w:adjustRightInd/>
        <w:snapToGrid/>
        <w:spacing w:before="0" w:after="0" w:line="420" w:lineRule="exact"/>
        <w:textAlignment w:val="auto"/>
        <w:rPr>
          <w:rFonts w:hint="eastAsia" w:ascii="仿宋" w:hAnsi="仿宋" w:eastAsia="仿宋" w:cs="仿宋"/>
          <w:color w:val="auto"/>
          <w:sz w:val="24"/>
          <w:szCs w:val="24"/>
          <w:highlight w:val="none"/>
        </w:rPr>
      </w:pPr>
      <w:bookmarkStart w:id="117" w:name="_Toc9469"/>
      <w:r>
        <w:rPr>
          <w:rFonts w:hint="eastAsia" w:ascii="仿宋" w:hAnsi="仿宋" w:eastAsia="仿宋" w:cs="仿宋"/>
          <w:color w:val="auto"/>
          <w:sz w:val="24"/>
          <w:szCs w:val="24"/>
          <w:highlight w:val="none"/>
        </w:rPr>
        <w:t>八、签订</w:t>
      </w:r>
      <w:bookmarkEnd w:id="114"/>
      <w:r>
        <w:rPr>
          <w:rFonts w:hint="eastAsia" w:ascii="仿宋" w:hAnsi="仿宋" w:eastAsia="仿宋" w:cs="仿宋"/>
          <w:color w:val="auto"/>
          <w:sz w:val="24"/>
          <w:szCs w:val="24"/>
          <w:highlight w:val="none"/>
        </w:rPr>
        <w:t>合同</w:t>
      </w:r>
      <w:bookmarkEnd w:id="115"/>
      <w:bookmarkEnd w:id="116"/>
      <w:bookmarkEnd w:id="117"/>
    </w:p>
    <w:p w14:paraId="22C309EF">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（一）采购人应当自成交通知书发出之日起二十日内，按照网上竞采文件和成交供应商响应文件的约定，与成交供应商签订书面合同。所签订的合同不得对网上竞采文件和投标供应商的响应文件作实质性修改。</w:t>
      </w:r>
    </w:p>
    <w:p w14:paraId="4A4A94D2">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（二）网上竞采文件、投标供应商的响应文件及澄清文件等，均为签订采购合同的依据。</w:t>
      </w:r>
    </w:p>
    <w:p w14:paraId="5A966B83">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19FE33AE">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w:t>
      </w:r>
      <w:r>
        <w:rPr>
          <w:rFonts w:hint="eastAsia" w:ascii="仿宋" w:hAnsi="仿宋" w:eastAsia="仿宋" w:cs="仿宋"/>
          <w:color w:val="auto"/>
          <w:sz w:val="24"/>
          <w:szCs w:val="24"/>
          <w:highlight w:val="none"/>
          <w:lang w:val="en-US" w:eastAsia="zh-CN"/>
        </w:rPr>
        <w:t>或采购人</w:t>
      </w:r>
      <w:r>
        <w:rPr>
          <w:rFonts w:hint="eastAsia" w:ascii="仿宋" w:hAnsi="仿宋" w:eastAsia="仿宋" w:cs="仿宋"/>
          <w:color w:val="auto"/>
          <w:sz w:val="24"/>
          <w:szCs w:val="24"/>
          <w:highlight w:val="none"/>
        </w:rPr>
        <w:t>要求适用合同通用格式版本的，应按其要求另行签订其他合同。</w:t>
      </w:r>
    </w:p>
    <w:p w14:paraId="3645EE99">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b w:val="0"/>
          <w:color w:val="auto"/>
          <w:kern w:val="0"/>
          <w:sz w:val="24"/>
          <w:szCs w:val="24"/>
          <w:highlight w:val="none"/>
          <w:lang w:val="en-US" w:eastAsia="zh-CN" w:bidi="ar-SA"/>
        </w:rPr>
      </w:pPr>
      <w:r>
        <w:rPr>
          <w:rFonts w:hint="eastAsia" w:ascii="仿宋" w:hAnsi="仿宋" w:eastAsia="仿宋" w:cs="仿宋"/>
          <w:color w:val="auto"/>
          <w:sz w:val="24"/>
          <w:szCs w:val="24"/>
          <w:highlight w:val="none"/>
        </w:rPr>
        <w:t>（五）采购人要求成交供应商提供履约保证金的，应当在网上竞采文件中予以约定。成交供应商履约完毕后，采购人应于五日内无息退还其履约保证金。</w:t>
      </w:r>
    </w:p>
    <w:p w14:paraId="1AE3C033">
      <w:pPr>
        <w:spacing w:line="360" w:lineRule="auto"/>
        <w:ind w:firstLine="360" w:firstLineChars="150"/>
        <w:rPr>
          <w:rFonts w:hint="eastAsia" w:ascii="仿宋" w:hAnsi="仿宋" w:eastAsia="仿宋" w:cs="仿宋"/>
          <w:color w:val="auto"/>
          <w:sz w:val="24"/>
          <w:szCs w:val="24"/>
          <w:highlight w:val="none"/>
        </w:rPr>
      </w:pPr>
    </w:p>
    <w:bookmarkEnd w:id="108"/>
    <w:bookmarkEnd w:id="109"/>
    <w:p w14:paraId="1404D45F">
      <w:pPr>
        <w:jc w:val="center"/>
        <w:rPr>
          <w:rFonts w:hint="eastAsia" w:ascii="仿宋" w:hAnsi="仿宋" w:eastAsia="仿宋" w:cs="仿宋"/>
          <w:color w:val="auto"/>
          <w:sz w:val="36"/>
          <w:szCs w:val="30"/>
          <w:highlight w:val="none"/>
        </w:rPr>
      </w:pPr>
      <w:bookmarkStart w:id="118" w:name="_Toc4239"/>
      <w:bookmarkStart w:id="119" w:name="_Toc27139866"/>
    </w:p>
    <w:p w14:paraId="5CCD66AA">
      <w:pPr>
        <w:jc w:val="center"/>
        <w:rPr>
          <w:rFonts w:hint="eastAsia" w:ascii="仿宋" w:hAnsi="仿宋" w:eastAsia="仿宋" w:cs="仿宋"/>
          <w:b/>
          <w:highlight w:val="none"/>
        </w:rPr>
      </w:pPr>
      <w:r>
        <w:rPr>
          <w:rFonts w:hint="eastAsia" w:ascii="仿宋" w:hAnsi="仿宋" w:eastAsia="仿宋" w:cs="仿宋"/>
          <w:color w:val="auto"/>
          <w:sz w:val="36"/>
          <w:szCs w:val="30"/>
          <w:highlight w:val="none"/>
        </w:rPr>
        <w:t>第六篇</w:t>
      </w:r>
      <w:bookmarkEnd w:id="118"/>
      <w:bookmarkEnd w:id="119"/>
      <w:r>
        <w:rPr>
          <w:rFonts w:hint="eastAsia" w:ascii="仿宋" w:hAnsi="仿宋" w:eastAsia="仿宋" w:cs="仿宋"/>
          <w:color w:val="auto"/>
          <w:sz w:val="36"/>
          <w:szCs w:val="30"/>
          <w:highlight w:val="none"/>
          <w:lang w:val="en-US" w:eastAsia="zh-CN"/>
        </w:rPr>
        <w:t xml:space="preserve">  </w:t>
      </w:r>
      <w:r>
        <w:rPr>
          <w:rFonts w:hint="eastAsia" w:ascii="仿宋" w:hAnsi="仿宋" w:eastAsia="仿宋" w:cs="仿宋"/>
          <w:b/>
          <w:sz w:val="36"/>
          <w:szCs w:val="22"/>
          <w:highlight w:val="none"/>
        </w:rPr>
        <w:t>合同主要条款和格式合同（样本）</w:t>
      </w:r>
    </w:p>
    <w:p w14:paraId="53923863">
      <w:pPr>
        <w:spacing w:line="5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重庆市政府采购合同</w:t>
      </w:r>
    </w:p>
    <w:p w14:paraId="2BE1B019">
      <w:pPr>
        <w:spacing w:line="5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（项目号：     ）</w:t>
      </w:r>
    </w:p>
    <w:p w14:paraId="518DC2CE">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甲方（需方）：___________________________      计价单位：____________</w:t>
      </w:r>
    </w:p>
    <w:p w14:paraId="286FB6E3">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乙方（供方）：___________________________      计量单位：_____________</w:t>
      </w:r>
    </w:p>
    <w:p w14:paraId="1FA41B02">
      <w:pPr>
        <w:spacing w:line="500" w:lineRule="exact"/>
        <w:rPr>
          <w:rFonts w:hint="eastAsia" w:ascii="仿宋" w:hAnsi="仿宋" w:eastAsia="仿宋" w:cs="仿宋"/>
          <w:color w:val="auto"/>
          <w:sz w:val="24"/>
          <w:szCs w:val="24"/>
          <w:highlight w:val="none"/>
        </w:rPr>
      </w:pPr>
    </w:p>
    <w:p w14:paraId="452BEF06">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经双方协商一致，达成以下购销合同：</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329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54956FE">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磋商项目名称</w:t>
            </w:r>
          </w:p>
        </w:tc>
        <w:tc>
          <w:tcPr>
            <w:tcW w:w="984" w:type="dxa"/>
            <w:vAlign w:val="center"/>
          </w:tcPr>
          <w:p w14:paraId="46549393">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6E9C0E48">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65468290">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44C123AC">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29F15F0B">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4339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16BAE0B4">
            <w:pPr>
              <w:spacing w:line="240" w:lineRule="atLeast"/>
              <w:jc w:val="center"/>
              <w:rPr>
                <w:rFonts w:hint="eastAsia" w:ascii="仿宋" w:hAnsi="仿宋" w:eastAsia="仿宋" w:cs="仿宋"/>
                <w:color w:val="auto"/>
                <w:sz w:val="24"/>
                <w:szCs w:val="24"/>
                <w:highlight w:val="none"/>
              </w:rPr>
            </w:pPr>
          </w:p>
        </w:tc>
        <w:tc>
          <w:tcPr>
            <w:tcW w:w="984" w:type="dxa"/>
            <w:vAlign w:val="center"/>
          </w:tcPr>
          <w:p w14:paraId="5CE8738F">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81B83F5">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12BE9371">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55211E5">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7114DC13">
            <w:pPr>
              <w:spacing w:line="240" w:lineRule="atLeast"/>
              <w:jc w:val="center"/>
              <w:rPr>
                <w:rFonts w:hint="eastAsia" w:ascii="仿宋" w:hAnsi="仿宋" w:eastAsia="仿宋" w:cs="仿宋"/>
                <w:color w:val="auto"/>
                <w:sz w:val="24"/>
                <w:szCs w:val="24"/>
                <w:highlight w:val="none"/>
              </w:rPr>
            </w:pPr>
          </w:p>
        </w:tc>
      </w:tr>
      <w:tr w14:paraId="3D62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2D9C1ACE">
            <w:pPr>
              <w:spacing w:line="240" w:lineRule="atLeast"/>
              <w:jc w:val="center"/>
              <w:rPr>
                <w:rFonts w:hint="eastAsia" w:ascii="仿宋" w:hAnsi="仿宋" w:eastAsia="仿宋" w:cs="仿宋"/>
                <w:color w:val="auto"/>
                <w:sz w:val="24"/>
                <w:szCs w:val="24"/>
                <w:highlight w:val="none"/>
              </w:rPr>
            </w:pPr>
          </w:p>
        </w:tc>
        <w:tc>
          <w:tcPr>
            <w:tcW w:w="984" w:type="dxa"/>
            <w:vAlign w:val="center"/>
          </w:tcPr>
          <w:p w14:paraId="3455CE9A">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6D90538">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32C907FA">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82FF9AE">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6059DF5A">
            <w:pPr>
              <w:spacing w:line="240" w:lineRule="atLeast"/>
              <w:jc w:val="center"/>
              <w:rPr>
                <w:rFonts w:hint="eastAsia" w:ascii="仿宋" w:hAnsi="仿宋" w:eastAsia="仿宋" w:cs="仿宋"/>
                <w:color w:val="auto"/>
                <w:sz w:val="24"/>
                <w:szCs w:val="24"/>
                <w:highlight w:val="none"/>
              </w:rPr>
            </w:pPr>
          </w:p>
        </w:tc>
      </w:tr>
      <w:tr w14:paraId="279F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1CADCA9">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40A8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7AF5A29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0CDC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vAlign w:val="top"/>
          </w:tcPr>
          <w:p w14:paraId="73D8185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一、服务要求</w:t>
            </w:r>
          </w:p>
        </w:tc>
      </w:tr>
      <w:tr w14:paraId="5EA1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vAlign w:val="top"/>
          </w:tcPr>
          <w:p w14:paraId="258FA5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二、考核方式</w:t>
            </w:r>
          </w:p>
        </w:tc>
      </w:tr>
      <w:tr w14:paraId="7F2E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vAlign w:val="top"/>
          </w:tcPr>
          <w:p w14:paraId="1418F60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三、付款方式：</w:t>
            </w:r>
          </w:p>
          <w:p w14:paraId="6E910167">
            <w:pPr>
              <w:rPr>
                <w:rFonts w:hint="eastAsia" w:ascii="仿宋" w:hAnsi="仿宋" w:eastAsia="仿宋" w:cs="仿宋"/>
                <w:color w:val="auto"/>
                <w:sz w:val="24"/>
                <w:szCs w:val="24"/>
                <w:highlight w:val="none"/>
              </w:rPr>
            </w:pPr>
          </w:p>
        </w:tc>
      </w:tr>
      <w:tr w14:paraId="73B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vAlign w:val="top"/>
          </w:tcPr>
          <w:p w14:paraId="01E4EAE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X、履约保证金：</w:t>
            </w:r>
          </w:p>
        </w:tc>
      </w:tr>
      <w:tr w14:paraId="1E8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39AC6AA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四、违约责任：</w:t>
            </w:r>
          </w:p>
          <w:p w14:paraId="58E0C20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按《中华人民共和国民法典》、《中华人民共和国政府采购法》执行，或按双方约定。</w:t>
            </w:r>
          </w:p>
        </w:tc>
      </w:tr>
      <w:tr w14:paraId="3161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247F162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五、其他约定事项：</w:t>
            </w:r>
          </w:p>
          <w:p w14:paraId="4F22313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1.采购文件及其澄清文件、响应文件和承诺是本合同不可分割的部分。</w:t>
            </w:r>
          </w:p>
          <w:p w14:paraId="607A1A9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0913DBB2">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需方__份，供方__份，具同等法律效力。</w:t>
            </w:r>
          </w:p>
          <w:p w14:paraId="476D40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2FB1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vAlign w:val="top"/>
          </w:tcPr>
          <w:p w14:paraId="1C35C59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463697F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19A8D18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11751BE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4984" w:type="dxa"/>
            <w:gridSpan w:val="5"/>
            <w:vAlign w:val="top"/>
          </w:tcPr>
          <w:p w14:paraId="4ED37BC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6E1B2E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6EDC004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3F0B95B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367E3235">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66B2CEF4">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59FBCD3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338566E0">
            <w:pPr>
              <w:widowControl/>
              <w:spacing w:line="240" w:lineRule="atLeas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4D87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635C80B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05D441A6">
            <w:pPr>
              <w:spacing w:line="240" w:lineRule="atLeast"/>
              <w:rPr>
                <w:rFonts w:hint="eastAsia" w:ascii="仿宋" w:hAnsi="仿宋" w:eastAsia="仿宋" w:cs="仿宋"/>
                <w:color w:val="auto"/>
                <w:sz w:val="24"/>
                <w:szCs w:val="24"/>
                <w:highlight w:val="none"/>
              </w:rPr>
            </w:pPr>
          </w:p>
          <w:p w14:paraId="753BC5CF">
            <w:pPr>
              <w:spacing w:line="240" w:lineRule="atLeast"/>
              <w:rPr>
                <w:rFonts w:hint="eastAsia" w:ascii="仿宋" w:hAnsi="仿宋" w:eastAsia="仿宋" w:cs="仿宋"/>
                <w:color w:val="auto"/>
                <w:sz w:val="24"/>
                <w:szCs w:val="24"/>
                <w:highlight w:val="none"/>
              </w:rPr>
            </w:pPr>
          </w:p>
        </w:tc>
      </w:tr>
    </w:tbl>
    <w:p w14:paraId="66A69F0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签约时间：           年   月   日      签约地点：</w:t>
      </w:r>
    </w:p>
    <w:p w14:paraId="497963A4">
      <w:pPr>
        <w:tabs>
          <w:tab w:val="left" w:pos="9000"/>
        </w:tabs>
        <w:spacing w:line="276" w:lineRule="auto"/>
        <w:jc w:val="center"/>
        <w:rPr>
          <w:rFonts w:hint="eastAsia" w:ascii="仿宋" w:hAnsi="仿宋" w:eastAsia="仿宋" w:cs="仿宋"/>
          <w:color w:val="auto"/>
          <w:sz w:val="24"/>
          <w:szCs w:val="24"/>
          <w:highlight w:val="none"/>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6255F77D">
      <w:pPr>
        <w:jc w:val="center"/>
        <w:rPr>
          <w:rFonts w:hint="eastAsia" w:ascii="仿宋" w:hAnsi="仿宋" w:eastAsia="仿宋" w:cs="仿宋"/>
          <w:bCs/>
          <w:color w:val="auto"/>
          <w:sz w:val="36"/>
          <w:szCs w:val="30"/>
          <w:highlight w:val="none"/>
        </w:rPr>
      </w:pPr>
      <w:r>
        <w:rPr>
          <w:rFonts w:hint="eastAsia" w:ascii="仿宋" w:hAnsi="仿宋" w:eastAsia="仿宋" w:cs="仿宋"/>
          <w:b/>
          <w:bCs/>
          <w:color w:val="auto"/>
          <w:sz w:val="36"/>
          <w:szCs w:val="30"/>
          <w:highlight w:val="none"/>
        </w:rPr>
        <w:t>第七篇响应文件编制要求</w:t>
      </w:r>
    </w:p>
    <w:p w14:paraId="4F32D330">
      <w:pPr>
        <w:spacing w:line="440" w:lineRule="exact"/>
        <w:ind w:firstLine="480" w:firstLineChars="200"/>
        <w:rPr>
          <w:rFonts w:hint="eastAsia" w:ascii="仿宋" w:hAnsi="仿宋" w:eastAsia="仿宋" w:cs="仿宋"/>
          <w:color w:val="auto"/>
          <w:sz w:val="24"/>
          <w:szCs w:val="24"/>
          <w:highlight w:val="none"/>
        </w:rPr>
      </w:pPr>
      <w:bookmarkStart w:id="120" w:name="_Toc342913419"/>
      <w:bookmarkStart w:id="121" w:name="_Toc12789073"/>
      <w:bookmarkStart w:id="122" w:name="_Toc313888360"/>
      <w:bookmarkStart w:id="123" w:name="_Toc313008356"/>
      <w:bookmarkStart w:id="124" w:name="_Toc283382454"/>
      <w:r>
        <w:rPr>
          <w:rFonts w:hint="eastAsia" w:ascii="仿宋" w:hAnsi="仿宋" w:eastAsia="仿宋" w:cs="仿宋"/>
          <w:color w:val="auto"/>
          <w:sz w:val="24"/>
          <w:szCs w:val="24"/>
          <w:highlight w:val="none"/>
        </w:rPr>
        <w:t>一、经济部分</w:t>
      </w:r>
    </w:p>
    <w:p w14:paraId="669260CC">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（一）网上竞采报价函</w:t>
      </w:r>
    </w:p>
    <w:p w14:paraId="22681427">
      <w:pPr>
        <w:spacing w:line="44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p w14:paraId="729CD265">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03DE672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7CAE1FD4">
      <w:pPr>
        <w:spacing w:line="440" w:lineRule="exact"/>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6C85B04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58EFC6E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73C821DA">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70D9B06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3CD3B64B">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4FB742A7">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（二）法定代表人身份证明书（格式）</w:t>
      </w:r>
    </w:p>
    <w:p w14:paraId="0514247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（三）法定代表人授权委托书（格式）</w:t>
      </w:r>
    </w:p>
    <w:p w14:paraId="47860ADF">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（四）基本资格条件承诺函</w:t>
      </w:r>
    </w:p>
    <w:p w14:paraId="6D369D1C">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（五）特定资格条件证明文件（如有）</w:t>
      </w:r>
    </w:p>
    <w:p w14:paraId="0963F8F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F0883B9">
      <w:pPr>
        <w:snapToGrid w:val="0"/>
        <w:spacing w:line="40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38CE9F23">
      <w:pPr>
        <w:spacing w:line="440" w:lineRule="exact"/>
        <w:ind w:firstLine="480" w:firstLineChars="200"/>
        <w:rPr>
          <w:rFonts w:hint="eastAsia" w:ascii="仿宋" w:hAnsi="仿宋" w:eastAsia="仿宋" w:cs="仿宋"/>
          <w:color w:val="auto"/>
          <w:sz w:val="24"/>
          <w:szCs w:val="24"/>
          <w:highlight w:val="none"/>
        </w:rPr>
        <w:sectPr>
          <w:headerReference r:id="rId7" w:type="default"/>
          <w:footerReference r:id="rId8" w:type="default"/>
          <w:pgSz w:w="11907" w:h="16840"/>
          <w:pgMar w:top="1134" w:right="1191" w:bottom="1134" w:left="1304" w:header="851" w:footer="992" w:gutter="0"/>
          <w:pgNumType w:fmt="numberInDash"/>
          <w:cols w:space="720" w:num="1"/>
          <w:docGrid w:linePitch="380" w:charSpace="-5735"/>
        </w:sectPr>
      </w:pPr>
    </w:p>
    <w:bookmarkEnd w:id="120"/>
    <w:bookmarkEnd w:id="121"/>
    <w:bookmarkEnd w:id="122"/>
    <w:bookmarkEnd w:id="123"/>
    <w:bookmarkEnd w:id="124"/>
    <w:p w14:paraId="59BEC7F4">
      <w:pPr>
        <w:pStyle w:val="5"/>
        <w:spacing w:before="0" w:after="0" w:line="360" w:lineRule="auto"/>
        <w:rPr>
          <w:rFonts w:hint="eastAsia" w:ascii="仿宋" w:hAnsi="仿宋" w:eastAsia="仿宋" w:cs="仿宋"/>
          <w:color w:val="auto"/>
          <w:sz w:val="24"/>
          <w:szCs w:val="24"/>
          <w:highlight w:val="none"/>
        </w:rPr>
      </w:pPr>
      <w:bookmarkStart w:id="125" w:name="_Toc103679699"/>
      <w:bookmarkStart w:id="126" w:name="_Toc21017"/>
      <w:bookmarkStart w:id="127" w:name="_Toc23161"/>
      <w:r>
        <w:rPr>
          <w:rFonts w:hint="eastAsia" w:ascii="仿宋" w:hAnsi="仿宋" w:eastAsia="仿宋" w:cs="仿宋"/>
          <w:color w:val="auto"/>
          <w:sz w:val="24"/>
          <w:szCs w:val="24"/>
          <w:highlight w:val="none"/>
        </w:rPr>
        <w:t>一、经济部分</w:t>
      </w:r>
      <w:bookmarkEnd w:id="125"/>
      <w:bookmarkEnd w:id="126"/>
      <w:bookmarkEnd w:id="127"/>
    </w:p>
    <w:p w14:paraId="4AC98322">
      <w:pPr>
        <w:tabs>
          <w:tab w:val="left" w:pos="6300"/>
        </w:tabs>
        <w:snapToGrid w:val="0"/>
        <w:spacing w:line="312" w:lineRule="auto"/>
        <w:jc w:val="left"/>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（一）网上竞采报价函</w:t>
      </w:r>
    </w:p>
    <w:p w14:paraId="58C0FBA4">
      <w:pPr>
        <w:tabs>
          <w:tab w:val="left" w:pos="6300"/>
        </w:tabs>
        <w:snapToGrid w:val="0"/>
        <w:spacing w:line="312" w:lineRule="auto"/>
        <w:jc w:val="center"/>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网上竞采报价函</w:t>
      </w:r>
    </w:p>
    <w:p w14:paraId="1B1E854C">
      <w:pPr>
        <w:tabs>
          <w:tab w:val="left" w:pos="6300"/>
        </w:tabs>
        <w:snapToGrid w:val="0"/>
        <w:spacing w:line="312"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w:t>
      </w:r>
      <w:r>
        <w:rPr>
          <w:rFonts w:hint="eastAsia" w:ascii="仿宋" w:hAnsi="仿宋" w:eastAsia="仿宋" w:cs="仿宋"/>
          <w:sz w:val="24"/>
          <w:szCs w:val="24"/>
          <w:highlight w:val="none"/>
          <w:u w:val="single"/>
        </w:rPr>
        <w:t>采购人名称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w:t>
      </w:r>
    </w:p>
    <w:p w14:paraId="3C9BB119">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项目名称）的网上竞采文件，经详细研究，决定参加该项目的网上竞采。</w:t>
      </w:r>
    </w:p>
    <w:p w14:paraId="52F3794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sz w:val="24"/>
          <w:szCs w:val="24"/>
          <w:highlight w:val="none"/>
        </w:rPr>
        <w:t>愿意按照</w:t>
      </w:r>
      <w:r>
        <w:rPr>
          <w:rFonts w:hint="eastAsia" w:ascii="仿宋" w:hAnsi="仿宋" w:eastAsia="仿宋" w:cs="仿宋"/>
          <w:sz w:val="24"/>
          <w:szCs w:val="24"/>
          <w:highlight w:val="none"/>
          <w:lang w:val="en-US" w:eastAsia="zh-CN"/>
        </w:rPr>
        <w:t>竞采</w:t>
      </w:r>
      <w:r>
        <w:rPr>
          <w:rFonts w:hint="eastAsia" w:ascii="仿宋" w:hAnsi="仿宋" w:eastAsia="仿宋" w:cs="仿宋"/>
          <w:sz w:val="24"/>
          <w:szCs w:val="24"/>
          <w:highlight w:val="none"/>
        </w:rPr>
        <w:t>文件中的一切要求，提供本项目的技术服务，</w:t>
      </w:r>
      <w:r>
        <w:rPr>
          <w:rFonts w:hint="eastAsia" w:ascii="仿宋" w:hAnsi="仿宋" w:eastAsia="仿宋" w:cs="仿宋"/>
          <w:sz w:val="24"/>
          <w:szCs w:val="24"/>
          <w:highlight w:val="none"/>
          <w:lang w:val="en-US" w:eastAsia="zh-CN"/>
        </w:rPr>
        <w:t>暂定</w:t>
      </w:r>
      <w:r>
        <w:rPr>
          <w:rFonts w:hint="eastAsia" w:ascii="仿宋" w:hAnsi="仿宋" w:eastAsia="仿宋" w:cs="仿宋"/>
          <w:sz w:val="24"/>
          <w:szCs w:val="24"/>
          <w:highlight w:val="none"/>
          <w:lang w:eastAsia="zh-CN"/>
        </w:rPr>
        <w:t>投标</w:t>
      </w:r>
      <w:r>
        <w:rPr>
          <w:rFonts w:hint="eastAsia" w:ascii="仿宋" w:hAnsi="仿宋" w:eastAsia="仿宋" w:cs="仿宋"/>
          <w:sz w:val="24"/>
          <w:szCs w:val="24"/>
          <w:highlight w:val="none"/>
        </w:rPr>
        <w:t>报价为人民币大写：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；人民币小写：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w:t>
      </w:r>
    </w:p>
    <w:p w14:paraId="017FE1B0">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117555D3">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3.我方承诺：本次网上竞采的有效期为90天。</w:t>
      </w:r>
    </w:p>
    <w:p w14:paraId="3A489BB5">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4.我方完全理解和接受贵方网上竞采文件的一切规定和要求及评审办法。</w:t>
      </w:r>
    </w:p>
    <w:p w14:paraId="68DD688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5.在整个网上竞采过程中，我方若有违规行为，接受按照《中华人民共和国政府采购法》和《网上竞采文件》之规定给予惩罚。</w:t>
      </w:r>
    </w:p>
    <w:p w14:paraId="1B0C531E">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6DB79084">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7.我方同意按网上竞采文件规定。如果我方成为成交供应商，保证在接到成交通知书前，向采购代理机构缴纳网上竞采文件规定的采购代理服务费。</w:t>
      </w:r>
    </w:p>
    <w:p w14:paraId="780A301A">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08DD10DB">
      <w:pPr>
        <w:tabs>
          <w:tab w:val="left" w:pos="6300"/>
        </w:tabs>
        <w:snapToGrid w:val="0"/>
        <w:spacing w:line="312" w:lineRule="auto"/>
        <w:ind w:firstLine="570"/>
        <w:rPr>
          <w:rFonts w:hint="eastAsia" w:ascii="仿宋" w:hAnsi="仿宋" w:eastAsia="仿宋" w:cs="仿宋"/>
          <w:color w:val="auto"/>
          <w:sz w:val="24"/>
          <w:szCs w:val="24"/>
          <w:highlight w:val="none"/>
        </w:rPr>
      </w:pPr>
    </w:p>
    <w:p w14:paraId="2EA05C4E">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6AFC3B34">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514E49CD">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3A6D6BAF">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35FE33D1">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080694C4">
      <w:pPr>
        <w:snapToGrid w:val="0"/>
        <w:spacing w:line="312" w:lineRule="auto"/>
        <w:ind w:firstLine="480" w:firstLineChars="20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5A85455E">
      <w:pPr>
        <w:pStyle w:val="126"/>
        <w:rPr>
          <w:rFonts w:hint="eastAsia" w:ascii="仿宋" w:hAnsi="仿宋" w:eastAsia="仿宋" w:cs="仿宋"/>
          <w:color w:val="auto"/>
          <w:highlight w:val="none"/>
        </w:rPr>
      </w:pPr>
    </w:p>
    <w:p w14:paraId="135673A9">
      <w:pPr>
        <w:pStyle w:val="126"/>
        <w:rPr>
          <w:rFonts w:hint="eastAsia" w:ascii="仿宋" w:hAnsi="仿宋" w:eastAsia="仿宋" w:cs="仿宋"/>
          <w:color w:val="auto"/>
          <w:highlight w:val="none"/>
        </w:rPr>
      </w:pPr>
    </w:p>
    <w:p w14:paraId="59D2BF67">
      <w:pPr>
        <w:pStyle w:val="126"/>
        <w:rPr>
          <w:rFonts w:hint="eastAsia" w:ascii="仿宋" w:hAnsi="仿宋" w:eastAsia="仿宋" w:cs="仿宋"/>
          <w:color w:val="auto"/>
          <w:highlight w:val="none"/>
        </w:rPr>
      </w:pPr>
    </w:p>
    <w:p w14:paraId="144C0EB2">
      <w:pPr>
        <w:pStyle w:val="126"/>
        <w:rPr>
          <w:rFonts w:hint="eastAsia" w:ascii="仿宋" w:hAnsi="仿宋" w:eastAsia="仿宋" w:cs="仿宋"/>
          <w:color w:val="auto"/>
          <w:highlight w:val="none"/>
        </w:rPr>
      </w:pPr>
    </w:p>
    <w:p w14:paraId="48B5D33E">
      <w:pPr>
        <w:pStyle w:val="126"/>
        <w:rPr>
          <w:rFonts w:hint="eastAsia" w:ascii="仿宋" w:hAnsi="仿宋" w:eastAsia="仿宋" w:cs="仿宋"/>
          <w:color w:val="auto"/>
          <w:highlight w:val="none"/>
        </w:rPr>
      </w:pPr>
    </w:p>
    <w:p w14:paraId="72495786">
      <w:pPr>
        <w:pStyle w:val="126"/>
        <w:rPr>
          <w:rFonts w:hint="eastAsia" w:ascii="仿宋" w:hAnsi="仿宋" w:eastAsia="仿宋" w:cs="仿宋"/>
          <w:color w:val="auto"/>
          <w:highlight w:val="none"/>
        </w:rPr>
      </w:pPr>
    </w:p>
    <w:p w14:paraId="77A4AD6F">
      <w:pPr>
        <w:pStyle w:val="126"/>
        <w:rPr>
          <w:rFonts w:hint="eastAsia" w:ascii="仿宋" w:hAnsi="仿宋" w:eastAsia="仿宋" w:cs="仿宋"/>
          <w:color w:val="auto"/>
          <w:highlight w:val="none"/>
        </w:rPr>
      </w:pPr>
    </w:p>
    <w:p w14:paraId="21A533C5">
      <w:pPr>
        <w:pStyle w:val="126"/>
        <w:rPr>
          <w:rFonts w:hint="eastAsia" w:ascii="仿宋" w:hAnsi="仿宋" w:eastAsia="仿宋" w:cs="仿宋"/>
          <w:color w:val="auto"/>
          <w:highlight w:val="none"/>
        </w:rPr>
      </w:pPr>
    </w:p>
    <w:p w14:paraId="23DEDF96">
      <w:pPr>
        <w:pStyle w:val="126"/>
        <w:rPr>
          <w:rFonts w:hint="eastAsia" w:ascii="仿宋" w:hAnsi="仿宋" w:eastAsia="仿宋" w:cs="仿宋"/>
          <w:color w:val="auto"/>
          <w:highlight w:val="none"/>
        </w:rPr>
      </w:pPr>
    </w:p>
    <w:p w14:paraId="0DA1F556">
      <w:pPr>
        <w:pStyle w:val="126"/>
        <w:rPr>
          <w:rFonts w:hint="eastAsia" w:ascii="仿宋" w:hAnsi="仿宋" w:eastAsia="仿宋" w:cs="仿宋"/>
          <w:color w:val="auto"/>
          <w:highlight w:val="none"/>
        </w:rPr>
      </w:pPr>
    </w:p>
    <w:p w14:paraId="104365FC">
      <w:pPr>
        <w:pStyle w:val="126"/>
        <w:rPr>
          <w:rFonts w:hint="eastAsia" w:ascii="仿宋" w:hAnsi="仿宋" w:eastAsia="仿宋" w:cs="仿宋"/>
          <w:color w:val="auto"/>
          <w:highlight w:val="none"/>
        </w:rPr>
      </w:pPr>
    </w:p>
    <w:p w14:paraId="08DCAC87">
      <w:pPr>
        <w:pStyle w:val="126"/>
        <w:rPr>
          <w:rFonts w:hint="eastAsia" w:ascii="仿宋" w:hAnsi="仿宋" w:eastAsia="仿宋" w:cs="仿宋"/>
          <w:color w:val="auto"/>
          <w:highlight w:val="none"/>
        </w:rPr>
      </w:pPr>
    </w:p>
    <w:p w14:paraId="2798C7A9">
      <w:pPr>
        <w:pStyle w:val="126"/>
        <w:rPr>
          <w:rFonts w:hint="eastAsia" w:ascii="仿宋" w:hAnsi="仿宋" w:eastAsia="仿宋" w:cs="仿宋"/>
          <w:color w:val="auto"/>
          <w:highlight w:val="none"/>
        </w:rPr>
      </w:pPr>
    </w:p>
    <w:p w14:paraId="3F83CBE6">
      <w:pPr>
        <w:pStyle w:val="126"/>
        <w:rPr>
          <w:rFonts w:hint="eastAsia" w:ascii="仿宋" w:hAnsi="仿宋" w:eastAsia="仿宋" w:cs="仿宋"/>
          <w:color w:val="auto"/>
          <w:highlight w:val="none"/>
        </w:rPr>
      </w:pPr>
    </w:p>
    <w:p w14:paraId="6B96C89C">
      <w:pPr>
        <w:pStyle w:val="126"/>
        <w:rPr>
          <w:rFonts w:hint="eastAsia" w:ascii="仿宋" w:hAnsi="仿宋" w:eastAsia="仿宋" w:cs="仿宋"/>
          <w:color w:val="auto"/>
          <w:highlight w:val="none"/>
        </w:rPr>
      </w:pPr>
    </w:p>
    <w:p w14:paraId="76A7DB69">
      <w:pPr>
        <w:rPr>
          <w:rFonts w:hint="eastAsia" w:ascii="仿宋" w:hAnsi="仿宋" w:eastAsia="仿宋" w:cs="仿宋"/>
          <w:highlight w:val="none"/>
        </w:rPr>
      </w:pPr>
      <w:bookmarkStart w:id="128" w:name="_Toc313888361"/>
      <w:bookmarkStart w:id="129" w:name="_Toc313008357"/>
      <w:bookmarkStart w:id="130" w:name="_Toc21048"/>
      <w:bookmarkStart w:id="131" w:name="_Toc11802"/>
      <w:bookmarkStart w:id="132" w:name="_Toc7588"/>
      <w:bookmarkStart w:id="133" w:name="_Toc342913420"/>
      <w:bookmarkStart w:id="134" w:name="_Toc103679700"/>
      <w:bookmarkStart w:id="135" w:name="_Toc31257"/>
    </w:p>
    <w:p w14:paraId="52160465">
      <w:pPr>
        <w:pStyle w:val="5"/>
        <w:numPr>
          <w:ilvl w:val="0"/>
          <w:numId w:val="0"/>
        </w:numPr>
        <w:spacing w:before="0" w:after="0" w:line="360" w:lineRule="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tbl>
      <w:tblPr>
        <w:tblStyle w:val="63"/>
        <w:tblW w:w="11508" w:type="dxa"/>
        <w:tblInd w:w="-10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440"/>
        <w:gridCol w:w="2772"/>
        <w:gridCol w:w="1320"/>
        <w:gridCol w:w="996"/>
        <w:gridCol w:w="936"/>
        <w:gridCol w:w="1212"/>
        <w:gridCol w:w="1068"/>
        <w:gridCol w:w="1152"/>
      </w:tblGrid>
      <w:tr w14:paraId="71C7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8E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46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CF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1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数量（份）</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9E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单价限价（元）</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5B2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单价报价（元）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B8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预算总价（元）</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B58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总报价（元）</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D5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A73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5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A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4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77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81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E6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16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57600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B7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1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含配送</w:t>
            </w:r>
          </w:p>
        </w:tc>
      </w:tr>
      <w:tr w14:paraId="13EB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B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F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炒肉包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01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F2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7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D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61200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D8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0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含配送</w:t>
            </w:r>
          </w:p>
        </w:tc>
      </w:tr>
      <w:tr w14:paraId="0BA3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C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8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素包子</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7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≥90g/个，（皮约60g，馅约30g）</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1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E2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9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1D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74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C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青菜、香菇、豆沙等</w:t>
            </w:r>
          </w:p>
        </w:tc>
      </w:tr>
      <w:tr w14:paraId="1AAF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4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7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馒头（白面/杂粮）</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B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74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3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16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E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73800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9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A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玉米、红糖等</w:t>
            </w:r>
          </w:p>
        </w:tc>
      </w:tr>
      <w:tr w14:paraId="1A8F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C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2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花卷（葱油）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0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5D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98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82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A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1170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2C34">
            <w:pPr>
              <w:jc w:val="center"/>
              <w:rPr>
                <w:rFonts w:hint="eastAsia" w:ascii="宋体" w:hAnsi="宋体" w:eastAsia="宋体" w:cs="宋体"/>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3D8A">
            <w:pPr>
              <w:jc w:val="center"/>
              <w:rPr>
                <w:rFonts w:hint="eastAsia" w:ascii="宋体" w:hAnsi="宋体" w:eastAsia="宋体" w:cs="宋体"/>
                <w:i w:val="0"/>
                <w:iCs w:val="0"/>
                <w:color w:val="000000"/>
                <w:sz w:val="22"/>
                <w:szCs w:val="22"/>
                <w:u w:val="none"/>
              </w:rPr>
            </w:pPr>
          </w:p>
        </w:tc>
      </w:tr>
      <w:tr w14:paraId="1648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0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1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油条</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0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≥100g/根</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86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69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AE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02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2A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A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参考市场价约4.30元/斤</w:t>
            </w:r>
          </w:p>
        </w:tc>
      </w:tr>
      <w:tr w14:paraId="6755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1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40" w:type="dxa"/>
            <w:tcBorders>
              <w:top w:val="nil"/>
              <w:left w:val="nil"/>
              <w:bottom w:val="nil"/>
              <w:right w:val="nil"/>
            </w:tcBorders>
            <w:shd w:val="clear" w:color="auto" w:fill="auto"/>
            <w:vAlign w:val="center"/>
          </w:tcPr>
          <w:p w14:paraId="503D3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紫薯</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7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单个150g-250g，大小均匀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85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7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11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0E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1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紫皮紫心，富含花青素</w:t>
            </w:r>
          </w:p>
        </w:tc>
      </w:tr>
      <w:tr w14:paraId="2982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C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A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发糕</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8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≥60g/份</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25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8D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B3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B2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6854">
            <w:pPr>
              <w:jc w:val="center"/>
              <w:rPr>
                <w:rFonts w:hint="eastAsia" w:ascii="宋体" w:hAnsi="宋体" w:eastAsia="宋体" w:cs="宋体"/>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E096">
            <w:pPr>
              <w:jc w:val="center"/>
              <w:rPr>
                <w:rFonts w:hint="eastAsia" w:ascii="宋体" w:hAnsi="宋体" w:eastAsia="宋体" w:cs="宋体"/>
                <w:i w:val="0"/>
                <w:iCs w:val="0"/>
                <w:color w:val="000000"/>
                <w:sz w:val="22"/>
                <w:szCs w:val="22"/>
                <w:u w:val="none"/>
              </w:rPr>
            </w:pPr>
          </w:p>
        </w:tc>
      </w:tr>
      <w:tr w14:paraId="1C46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40" w:type="dxa"/>
            <w:tcBorders>
              <w:top w:val="nil"/>
              <w:left w:val="nil"/>
              <w:bottom w:val="nil"/>
              <w:right w:val="nil"/>
            </w:tcBorders>
            <w:shd w:val="clear" w:color="auto" w:fill="auto"/>
            <w:vAlign w:val="center"/>
          </w:tcPr>
          <w:p w14:paraId="6AE7A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糯米烧麦</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0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D6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C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95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A7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皮约10g，馅约60g</w:t>
            </w:r>
          </w:p>
        </w:tc>
      </w:tr>
      <w:tr w14:paraId="2033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612" w:type="dxa"/>
            <w:tcBorders>
              <w:top w:val="single" w:color="000000" w:sz="4" w:space="0"/>
              <w:left w:val="single" w:color="000000" w:sz="4" w:space="0"/>
              <w:bottom w:val="nil"/>
              <w:right w:val="single" w:color="000000" w:sz="4" w:space="0"/>
            </w:tcBorders>
            <w:shd w:val="clear" w:color="auto" w:fill="auto"/>
            <w:vAlign w:val="center"/>
          </w:tcPr>
          <w:p w14:paraId="29F1C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40" w:type="dxa"/>
            <w:tcBorders>
              <w:top w:val="single" w:color="000000" w:sz="4" w:space="0"/>
              <w:left w:val="single" w:color="000000" w:sz="4" w:space="0"/>
              <w:bottom w:val="nil"/>
              <w:right w:val="single" w:color="000000" w:sz="4" w:space="0"/>
            </w:tcBorders>
            <w:shd w:val="clear" w:color="auto" w:fill="auto"/>
            <w:vAlign w:val="center"/>
          </w:tcPr>
          <w:p w14:paraId="0E209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葱油饼</w:t>
            </w:r>
          </w:p>
        </w:tc>
        <w:tc>
          <w:tcPr>
            <w:tcW w:w="2772" w:type="dxa"/>
            <w:tcBorders>
              <w:top w:val="single" w:color="000000" w:sz="4" w:space="0"/>
              <w:left w:val="single" w:color="000000" w:sz="4" w:space="0"/>
              <w:bottom w:val="nil"/>
              <w:right w:val="single" w:color="000000" w:sz="4" w:space="0"/>
            </w:tcBorders>
            <w:shd w:val="clear" w:color="auto" w:fill="auto"/>
            <w:vAlign w:val="center"/>
          </w:tcPr>
          <w:p w14:paraId="1BC35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≥100g/个</w:t>
            </w:r>
          </w:p>
        </w:tc>
        <w:tc>
          <w:tcPr>
            <w:tcW w:w="1320" w:type="dxa"/>
            <w:tcBorders>
              <w:top w:val="single" w:color="000000" w:sz="4" w:space="0"/>
              <w:left w:val="single" w:color="000000" w:sz="4" w:space="0"/>
              <w:bottom w:val="nil"/>
              <w:right w:val="single" w:color="000000" w:sz="4" w:space="0"/>
            </w:tcBorders>
            <w:shd w:val="clear" w:color="auto" w:fill="auto"/>
            <w:vAlign w:val="center"/>
          </w:tcPr>
          <w:p w14:paraId="63AFE8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nil"/>
              <w:right w:val="single" w:color="000000" w:sz="4" w:space="0"/>
            </w:tcBorders>
            <w:shd w:val="clear" w:color="auto" w:fill="auto"/>
            <w:vAlign w:val="center"/>
          </w:tcPr>
          <w:p w14:paraId="5F06C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47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74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w:t>
            </w:r>
          </w:p>
        </w:tc>
        <w:tc>
          <w:tcPr>
            <w:tcW w:w="1068" w:type="dxa"/>
            <w:tcBorders>
              <w:top w:val="single" w:color="000000" w:sz="4" w:space="0"/>
              <w:left w:val="single" w:color="000000" w:sz="4" w:space="0"/>
              <w:bottom w:val="nil"/>
              <w:right w:val="single" w:color="000000" w:sz="4" w:space="0"/>
            </w:tcBorders>
            <w:shd w:val="clear" w:color="auto" w:fill="auto"/>
            <w:vAlign w:val="center"/>
          </w:tcPr>
          <w:p w14:paraId="65C016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nil"/>
              <w:right w:val="single" w:color="000000" w:sz="4" w:space="0"/>
            </w:tcBorders>
            <w:shd w:val="clear" w:color="auto" w:fill="auto"/>
            <w:vAlign w:val="center"/>
          </w:tcPr>
          <w:p w14:paraId="06BDB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直径约15-18cm，厚薄均匀</w:t>
            </w:r>
          </w:p>
        </w:tc>
      </w:tr>
      <w:tr w14:paraId="62CE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A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4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糯玉米</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5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≥200g/根，长度≥15cm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43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97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92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5B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95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3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颗粒饱满，口感软糯</w:t>
            </w:r>
          </w:p>
        </w:tc>
      </w:tr>
      <w:tr w14:paraId="0DF8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E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大麻园</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6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熟品直径8-10cm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A5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6F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10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7C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D8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1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外裹白芝麻，空心软糯</w:t>
            </w:r>
          </w:p>
        </w:tc>
      </w:tr>
      <w:tr w14:paraId="7802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44A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8FB3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8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194400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8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87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2E4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252930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CC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EA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5367ED3">
      <w:pPr>
        <w:pStyle w:val="5"/>
        <w:numPr>
          <w:ilvl w:val="0"/>
          <w:numId w:val="0"/>
        </w:numPr>
        <w:spacing w:before="0" w:after="0" w:line="360" w:lineRule="auto"/>
        <w:rPr>
          <w:rFonts w:hint="eastAsia" w:ascii="仿宋" w:hAnsi="仿宋" w:eastAsia="仿宋" w:cs="仿宋"/>
          <w:color w:val="auto"/>
          <w:sz w:val="24"/>
          <w:szCs w:val="24"/>
          <w:highlight w:val="none"/>
        </w:rPr>
      </w:pPr>
    </w:p>
    <w:p w14:paraId="28E06473">
      <w:pPr>
        <w:pStyle w:val="5"/>
        <w:numPr>
          <w:ilvl w:val="0"/>
          <w:numId w:val="0"/>
        </w:numPr>
        <w:spacing w:before="0" w:after="0" w:line="360" w:lineRule="auto"/>
        <w:rPr>
          <w:rFonts w:hint="eastAsia" w:ascii="仿宋" w:hAnsi="仿宋" w:eastAsia="仿宋" w:cs="仿宋"/>
          <w:color w:val="auto"/>
          <w:sz w:val="24"/>
          <w:szCs w:val="24"/>
          <w:highlight w:val="none"/>
        </w:rPr>
      </w:pPr>
    </w:p>
    <w:p w14:paraId="241810CB">
      <w:pPr>
        <w:pStyle w:val="5"/>
        <w:numPr>
          <w:ilvl w:val="0"/>
          <w:numId w:val="0"/>
        </w:numPr>
        <w:spacing w:before="0" w:after="0" w:line="360" w:lineRule="auto"/>
        <w:rPr>
          <w:rFonts w:hint="eastAsia" w:ascii="仿宋" w:hAnsi="仿宋" w:eastAsia="仿宋" w:cs="仿宋"/>
          <w:color w:val="auto"/>
          <w:sz w:val="24"/>
          <w:szCs w:val="24"/>
          <w:highlight w:val="none"/>
        </w:rPr>
      </w:pPr>
    </w:p>
    <w:p w14:paraId="09A8B040">
      <w:pPr>
        <w:rPr>
          <w:rFonts w:hint="eastAsia" w:ascii="仿宋" w:hAnsi="仿宋" w:eastAsia="仿宋" w:cs="仿宋"/>
          <w:color w:val="auto"/>
          <w:sz w:val="24"/>
          <w:szCs w:val="24"/>
          <w:highlight w:val="none"/>
        </w:rPr>
      </w:pPr>
    </w:p>
    <w:p w14:paraId="759EAB0D">
      <w:pPr>
        <w:pStyle w:val="5"/>
        <w:rPr>
          <w:rFonts w:hint="eastAsia" w:ascii="仿宋" w:hAnsi="仿宋" w:eastAsia="仿宋" w:cs="仿宋"/>
          <w:color w:val="auto"/>
          <w:sz w:val="24"/>
          <w:szCs w:val="24"/>
          <w:highlight w:val="none"/>
        </w:rPr>
      </w:pPr>
    </w:p>
    <w:p w14:paraId="7E077C7F">
      <w:pPr>
        <w:rPr>
          <w:rFonts w:hint="eastAsia" w:ascii="仿宋" w:hAnsi="仿宋" w:eastAsia="仿宋" w:cs="仿宋"/>
          <w:color w:val="auto"/>
          <w:sz w:val="24"/>
          <w:szCs w:val="24"/>
          <w:highlight w:val="none"/>
        </w:rPr>
      </w:pPr>
    </w:p>
    <w:p w14:paraId="666CFEC4">
      <w:pPr>
        <w:pStyle w:val="5"/>
        <w:rPr>
          <w:rFonts w:hint="eastAsia" w:ascii="仿宋" w:hAnsi="仿宋" w:eastAsia="仿宋" w:cs="仿宋"/>
          <w:color w:val="auto"/>
          <w:sz w:val="24"/>
          <w:szCs w:val="24"/>
          <w:highlight w:val="none"/>
        </w:rPr>
      </w:pPr>
    </w:p>
    <w:p w14:paraId="0D19E436">
      <w:pPr>
        <w:rPr>
          <w:rFonts w:hint="eastAsia"/>
        </w:rPr>
      </w:pPr>
    </w:p>
    <w:p w14:paraId="0181CC5A">
      <w:pPr>
        <w:pStyle w:val="5"/>
        <w:numPr>
          <w:ilvl w:val="0"/>
          <w:numId w:val="0"/>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bookmarkEnd w:id="128"/>
      <w:bookmarkEnd w:id="129"/>
      <w:bookmarkEnd w:id="130"/>
      <w:bookmarkEnd w:id="131"/>
      <w:bookmarkEnd w:id="132"/>
      <w:bookmarkEnd w:id="133"/>
      <w:bookmarkEnd w:id="134"/>
      <w:bookmarkEnd w:id="135"/>
    </w:p>
    <w:p w14:paraId="2BAAFF69">
      <w:pPr>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41662A8B">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技术响应偏离表</w:t>
      </w:r>
    </w:p>
    <w:p w14:paraId="28E089E4">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对于竞采文件的技术要求，如有任何偏离请如实填写下表：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A2E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4A273345">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6313121C">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6FD913F9">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1DDEFA66">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B2F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CC925D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8FBB6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95C00E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63C68DF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70D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83E5ED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477AB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B52F9F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789E48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2F18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9727B7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8388B6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C7CA98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C13C2E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2F0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D1D89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0EA4041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919846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6D0F41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EF4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8DA913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C34770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0F7B36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DA28DC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388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B8600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23CDC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4A889F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4A834A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2E8483AC">
      <w:pPr>
        <w:snapToGrid w:val="0"/>
        <w:spacing w:line="360" w:lineRule="auto"/>
        <w:ind w:firstLine="465"/>
        <w:rPr>
          <w:rFonts w:hint="eastAsia" w:ascii="仿宋" w:hAnsi="仿宋" w:eastAsia="仿宋" w:cs="仿宋"/>
          <w:color w:val="auto"/>
          <w:sz w:val="24"/>
          <w:szCs w:val="24"/>
          <w:highlight w:val="none"/>
        </w:rPr>
      </w:pPr>
    </w:p>
    <w:p w14:paraId="46F2B715">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53777181">
      <w:pPr>
        <w:spacing w:line="500" w:lineRule="exact"/>
        <w:rPr>
          <w:rFonts w:hint="eastAsia" w:ascii="仿宋" w:hAnsi="仿宋" w:eastAsia="仿宋" w:cs="仿宋"/>
          <w:color w:val="auto"/>
          <w:sz w:val="24"/>
          <w:szCs w:val="28"/>
          <w:highlight w:val="none"/>
        </w:rPr>
      </w:pPr>
    </w:p>
    <w:p w14:paraId="23BD9A1F">
      <w:pPr>
        <w:spacing w:line="500" w:lineRule="exact"/>
        <w:ind w:firstLine="840" w:firstLineChars="3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30F5A211">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51E0D548">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4F3C8D6B">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1.本表即为对本项目“第二篇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项目技术需求”中所列条款进行比较和响应；</w:t>
      </w:r>
    </w:p>
    <w:p w14:paraId="157FCDCA">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2.本表可扩展。</w:t>
      </w:r>
    </w:p>
    <w:p w14:paraId="11D4E400">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52DBE658">
      <w:pP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auto"/>
          <w:sz w:val="24"/>
          <w:szCs w:val="24"/>
          <w:highlight w:val="none"/>
        </w:rPr>
        <w:br w:type="page"/>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42B4A3A8">
      <w:pPr>
        <w:pStyle w:val="5"/>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page"/>
      </w:r>
      <w:bookmarkStart w:id="136" w:name="_Toc28935"/>
      <w:bookmarkStart w:id="137" w:name="_Toc29626"/>
      <w:bookmarkStart w:id="138" w:name="_Toc103679701"/>
      <w:bookmarkStart w:id="139" w:name="_Toc18617"/>
      <w:bookmarkStart w:id="140" w:name="_Toc342913421"/>
      <w:bookmarkStart w:id="141" w:name="_Toc30551"/>
      <w:bookmarkStart w:id="142" w:name="_Toc313888362"/>
      <w:bookmarkStart w:id="143" w:name="_Toc313008358"/>
      <w:r>
        <w:rPr>
          <w:rFonts w:hint="eastAsia" w:ascii="仿宋" w:hAnsi="仿宋" w:eastAsia="仿宋" w:cs="仿宋"/>
          <w:color w:val="auto"/>
          <w:sz w:val="24"/>
          <w:szCs w:val="24"/>
          <w:highlight w:val="none"/>
        </w:rPr>
        <w:t>三、商务部分</w:t>
      </w:r>
      <w:bookmarkEnd w:id="136"/>
      <w:bookmarkEnd w:id="137"/>
      <w:bookmarkEnd w:id="138"/>
      <w:bookmarkEnd w:id="139"/>
      <w:bookmarkEnd w:id="140"/>
      <w:bookmarkEnd w:id="141"/>
      <w:bookmarkEnd w:id="142"/>
      <w:bookmarkEnd w:id="143"/>
    </w:p>
    <w:p w14:paraId="5919CF1E">
      <w:pPr>
        <w:snapToGrid w:val="0"/>
        <w:spacing w:line="360" w:lineRule="auto"/>
        <w:rPr>
          <w:rFonts w:hint="eastAsia" w:ascii="仿宋" w:hAnsi="仿宋" w:eastAsia="仿宋" w:cs="仿宋"/>
          <w:color w:val="auto"/>
          <w:sz w:val="24"/>
          <w:szCs w:val="24"/>
          <w:highlight w:val="none"/>
        </w:rPr>
      </w:pPr>
      <w:bookmarkStart w:id="144" w:name="_Toc283382459"/>
      <w:r>
        <w:rPr>
          <w:rFonts w:hint="eastAsia" w:ascii="仿宋" w:hAnsi="仿宋" w:eastAsia="仿宋" w:cs="仿宋"/>
          <w:color w:val="auto"/>
          <w:sz w:val="24"/>
          <w:szCs w:val="24"/>
          <w:highlight w:val="none"/>
        </w:rPr>
        <w:t>（一）商务响应偏离表</w:t>
      </w:r>
    </w:p>
    <w:p w14:paraId="52C26D9A">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商务响应偏离表</w:t>
      </w:r>
    </w:p>
    <w:p w14:paraId="4593B422">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对于网上竞采文件的商务要求，如有任何偏离请如实填写下表：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6B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EA5340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5EAABD71">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12524BF4">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7C27E79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3C9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942C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325F93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EEFF3D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239D0A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3AF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39AFD0">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5EBD0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752052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817061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4C1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BCFE6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CD9988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C4F0E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25B1BF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E70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5A5C27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D73D13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29BB0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3EF5A6D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208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1209C8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0D602C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258CD5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90F952">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5CD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674ED7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11C0BBE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DFCE8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B9428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621F55E6">
      <w:pPr>
        <w:snapToGrid w:val="0"/>
        <w:spacing w:line="360" w:lineRule="auto"/>
        <w:ind w:firstLine="465"/>
        <w:rPr>
          <w:rFonts w:hint="eastAsia" w:ascii="仿宋" w:hAnsi="仿宋" w:eastAsia="仿宋" w:cs="仿宋"/>
          <w:color w:val="auto"/>
          <w:sz w:val="24"/>
          <w:szCs w:val="24"/>
          <w:highlight w:val="none"/>
        </w:rPr>
      </w:pPr>
    </w:p>
    <w:p w14:paraId="734E256C">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024E84CC">
      <w:pPr>
        <w:spacing w:line="500" w:lineRule="exact"/>
        <w:rPr>
          <w:rFonts w:hint="eastAsia" w:ascii="仿宋" w:hAnsi="仿宋" w:eastAsia="仿宋" w:cs="仿宋"/>
          <w:color w:val="auto"/>
          <w:sz w:val="24"/>
          <w:szCs w:val="28"/>
          <w:highlight w:val="none"/>
        </w:rPr>
      </w:pPr>
    </w:p>
    <w:p w14:paraId="53D0829E">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2355DB5">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1B51CA1B">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7783276">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1.本表即为对本项目“第三篇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项目商务需求”中所列条款进行比较和响应；</w:t>
      </w:r>
    </w:p>
    <w:p w14:paraId="5B41F73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2.本表可扩展</w:t>
      </w:r>
      <w:r>
        <w:rPr>
          <w:rFonts w:hint="eastAsia" w:ascii="仿宋" w:hAnsi="仿宋" w:eastAsia="仿宋" w:cs="仿宋"/>
          <w:color w:val="auto"/>
          <w:sz w:val="24"/>
          <w:highlight w:val="none"/>
        </w:rPr>
        <w:t>。</w:t>
      </w:r>
    </w:p>
    <w:p w14:paraId="4321C0F1">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3ECC2E3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7CEC74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r>
        <w:rPr>
          <w:rFonts w:hint="eastAsia" w:ascii="仿宋" w:hAnsi="仿宋" w:eastAsia="仿宋" w:cs="仿宋"/>
          <w:color w:val="auto"/>
          <w:sz w:val="24"/>
          <w:szCs w:val="24"/>
          <w:highlight w:val="none"/>
        </w:rPr>
        <w:br w:type="page"/>
      </w:r>
      <w:bookmarkEnd w:id="144"/>
      <w:bookmarkStart w:id="145" w:name="_Toc313888363"/>
      <w:bookmarkStart w:id="146" w:name="_Toc313008359"/>
      <w:bookmarkStart w:id="147" w:name="_Toc103679702"/>
      <w:bookmarkStart w:id="148" w:name="_Toc342913422"/>
      <w:bookmarkStart w:id="149" w:name="_Toc19396"/>
      <w:bookmarkStart w:id="150" w:name="_Toc26076"/>
      <w:bookmarkStart w:id="151" w:name="_Toc30310"/>
      <w:bookmarkStart w:id="152" w:name="_Toc16819"/>
      <w:r>
        <w:rPr>
          <w:rFonts w:hint="eastAsia" w:ascii="仿宋" w:hAnsi="仿宋" w:eastAsia="仿宋" w:cs="仿宋"/>
          <w:color w:val="auto"/>
          <w:sz w:val="24"/>
          <w:szCs w:val="24"/>
          <w:highlight w:val="none"/>
        </w:rPr>
        <w:t>四、资格条件及其他</w:t>
      </w:r>
      <w:bookmarkEnd w:id="145"/>
      <w:bookmarkEnd w:id="146"/>
      <w:bookmarkEnd w:id="147"/>
      <w:bookmarkEnd w:id="148"/>
      <w:bookmarkEnd w:id="149"/>
      <w:bookmarkEnd w:id="150"/>
      <w:bookmarkEnd w:id="151"/>
      <w:bookmarkEnd w:id="152"/>
    </w:p>
    <w:p w14:paraId="2918AC65">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w:t>
      </w:r>
    </w:p>
    <w:p w14:paraId="4076B5DE">
      <w:pPr>
        <w:pStyle w:val="62"/>
        <w:ind w:left="560" w:firstLine="880"/>
        <w:rPr>
          <w:rFonts w:hint="eastAsia" w:ascii="仿宋" w:hAnsi="仿宋" w:eastAsia="仿宋" w:cs="仿宋"/>
          <w:color w:val="auto"/>
          <w:highlight w:val="none"/>
        </w:rPr>
      </w:pPr>
    </w:p>
    <w:p w14:paraId="48B3992C">
      <w:pPr>
        <w:pStyle w:val="62"/>
        <w:ind w:left="560" w:firstLine="880"/>
        <w:rPr>
          <w:rFonts w:hint="eastAsia" w:ascii="仿宋" w:hAnsi="仿宋" w:eastAsia="仿宋" w:cs="仿宋"/>
          <w:color w:val="auto"/>
          <w:highlight w:val="none"/>
        </w:rPr>
      </w:pPr>
    </w:p>
    <w:p w14:paraId="73EC1A9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31209D5">
      <w:pPr>
        <w:widowControl/>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szCs w:val="24"/>
          <w:highlight w:val="none"/>
        </w:rPr>
        <w:t>（二）法定代表人身份证明书（格式）</w:t>
      </w:r>
    </w:p>
    <w:p w14:paraId="408ADB48">
      <w:pPr>
        <w:tabs>
          <w:tab w:val="left" w:pos="6300"/>
        </w:tabs>
        <w:snapToGrid w:val="0"/>
        <w:spacing w:line="500" w:lineRule="exact"/>
        <w:ind w:firstLine="570"/>
        <w:rPr>
          <w:rFonts w:hint="eastAsia" w:ascii="仿宋" w:hAnsi="仿宋" w:eastAsia="仿宋" w:cs="仿宋"/>
          <w:color w:val="auto"/>
          <w:sz w:val="24"/>
          <w:highlight w:val="none"/>
        </w:rPr>
      </w:pPr>
    </w:p>
    <w:p w14:paraId="3952C97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p>
    <w:p w14:paraId="40729D4E">
      <w:pPr>
        <w:tabs>
          <w:tab w:val="left" w:pos="6300"/>
        </w:tabs>
        <w:snapToGrid w:val="0"/>
        <w:spacing w:line="500" w:lineRule="exact"/>
        <w:ind w:firstLine="570"/>
        <w:rPr>
          <w:rFonts w:hint="eastAsia" w:ascii="仿宋" w:hAnsi="仿宋" w:eastAsia="仿宋" w:cs="仿宋"/>
          <w:color w:val="auto"/>
          <w:sz w:val="24"/>
          <w:highlight w:val="none"/>
        </w:rPr>
      </w:pPr>
    </w:p>
    <w:p w14:paraId="4C6D8D5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CB1B71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w:t>
      </w:r>
    </w:p>
    <w:p w14:paraId="195ADF8F">
      <w:pPr>
        <w:tabs>
          <w:tab w:val="left" w:pos="6300"/>
        </w:tabs>
        <w:snapToGrid w:val="0"/>
        <w:spacing w:line="500" w:lineRule="exact"/>
        <w:ind w:firstLine="570"/>
        <w:rPr>
          <w:rFonts w:hint="eastAsia" w:ascii="仿宋" w:hAnsi="仿宋" w:eastAsia="仿宋" w:cs="仿宋"/>
          <w:color w:val="auto"/>
          <w:sz w:val="24"/>
          <w:highlight w:val="none"/>
        </w:rPr>
      </w:pPr>
    </w:p>
    <w:p w14:paraId="24BC8947">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4CB76BCA">
      <w:pPr>
        <w:tabs>
          <w:tab w:val="left" w:pos="6300"/>
        </w:tabs>
        <w:snapToGrid w:val="0"/>
        <w:spacing w:line="500" w:lineRule="exact"/>
        <w:ind w:firstLine="570"/>
        <w:rPr>
          <w:rFonts w:hint="eastAsia" w:ascii="仿宋" w:hAnsi="仿宋" w:eastAsia="仿宋" w:cs="仿宋"/>
          <w:color w:val="auto"/>
          <w:sz w:val="24"/>
          <w:highlight w:val="none"/>
        </w:rPr>
      </w:pPr>
    </w:p>
    <w:p w14:paraId="60199835">
      <w:pPr>
        <w:tabs>
          <w:tab w:val="left" w:pos="6300"/>
        </w:tabs>
        <w:snapToGrid w:val="0"/>
        <w:spacing w:line="500" w:lineRule="exact"/>
        <w:ind w:firstLine="570"/>
        <w:rPr>
          <w:rFonts w:hint="eastAsia" w:ascii="仿宋" w:hAnsi="仿宋" w:eastAsia="仿宋" w:cs="仿宋"/>
          <w:color w:val="auto"/>
          <w:sz w:val="24"/>
          <w:highlight w:val="none"/>
        </w:rPr>
      </w:pPr>
    </w:p>
    <w:p w14:paraId="753D6D2D">
      <w:pPr>
        <w:tabs>
          <w:tab w:val="left" w:pos="6300"/>
        </w:tabs>
        <w:snapToGrid w:val="0"/>
        <w:spacing w:line="500" w:lineRule="exact"/>
        <w:ind w:firstLine="570"/>
        <w:rPr>
          <w:rFonts w:hint="eastAsia" w:ascii="仿宋" w:hAnsi="仿宋" w:eastAsia="仿宋" w:cs="仿宋"/>
          <w:color w:val="auto"/>
          <w:sz w:val="24"/>
          <w:highlight w:val="none"/>
        </w:rPr>
      </w:pPr>
    </w:p>
    <w:p w14:paraId="20493708">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0D8FA09B">
      <w:pPr>
        <w:tabs>
          <w:tab w:val="left" w:pos="6300"/>
        </w:tabs>
        <w:snapToGrid w:val="0"/>
        <w:spacing w:line="500" w:lineRule="exact"/>
        <w:ind w:firstLine="570"/>
        <w:rPr>
          <w:rFonts w:hint="eastAsia" w:ascii="仿宋" w:hAnsi="仿宋" w:eastAsia="仿宋" w:cs="仿宋"/>
          <w:color w:val="auto"/>
          <w:sz w:val="24"/>
          <w:highlight w:val="none"/>
        </w:rPr>
      </w:pPr>
    </w:p>
    <w:p w14:paraId="5CADC2A3">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3424276F">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164739EE">
      <w:pPr>
        <w:tabs>
          <w:tab w:val="left" w:pos="6300"/>
        </w:tabs>
        <w:snapToGrid w:val="0"/>
        <w:spacing w:line="500" w:lineRule="exact"/>
        <w:ind w:firstLine="570"/>
        <w:rPr>
          <w:rFonts w:hint="eastAsia" w:ascii="仿宋" w:hAnsi="仿宋" w:eastAsia="仿宋" w:cs="仿宋"/>
          <w:color w:val="auto"/>
          <w:sz w:val="24"/>
          <w:highlight w:val="none"/>
        </w:rPr>
      </w:pPr>
    </w:p>
    <w:p w14:paraId="7491DD97">
      <w:pPr>
        <w:tabs>
          <w:tab w:val="left" w:pos="6300"/>
        </w:tabs>
        <w:snapToGrid w:val="0"/>
        <w:spacing w:line="500" w:lineRule="exact"/>
        <w:ind w:firstLine="570"/>
        <w:rPr>
          <w:rFonts w:hint="eastAsia" w:ascii="仿宋" w:hAnsi="仿宋" w:eastAsia="仿宋" w:cs="仿宋"/>
          <w:color w:val="auto"/>
          <w:sz w:val="24"/>
          <w:highlight w:val="none"/>
        </w:rPr>
      </w:pPr>
    </w:p>
    <w:p w14:paraId="4365209D">
      <w:pPr>
        <w:tabs>
          <w:tab w:val="left" w:pos="6300"/>
        </w:tabs>
        <w:snapToGrid w:val="0"/>
        <w:spacing w:line="500" w:lineRule="exact"/>
        <w:ind w:firstLine="570"/>
        <w:rPr>
          <w:rFonts w:hint="eastAsia" w:ascii="仿宋" w:hAnsi="仿宋" w:eastAsia="仿宋" w:cs="仿宋"/>
          <w:color w:val="auto"/>
          <w:sz w:val="24"/>
          <w:highlight w:val="none"/>
        </w:rPr>
      </w:pPr>
    </w:p>
    <w:p w14:paraId="7AF2F80D">
      <w:pPr>
        <w:tabs>
          <w:tab w:val="left" w:pos="6300"/>
        </w:tabs>
        <w:snapToGrid w:val="0"/>
        <w:spacing w:line="500" w:lineRule="exact"/>
        <w:ind w:firstLine="570"/>
        <w:rPr>
          <w:rFonts w:hint="eastAsia" w:ascii="仿宋" w:hAnsi="仿宋" w:eastAsia="仿宋" w:cs="仿宋"/>
          <w:color w:val="auto"/>
          <w:sz w:val="24"/>
          <w:highlight w:val="none"/>
        </w:rPr>
      </w:pPr>
    </w:p>
    <w:p w14:paraId="2CCC3C27">
      <w:pPr>
        <w:tabs>
          <w:tab w:val="left" w:pos="6300"/>
        </w:tabs>
        <w:snapToGrid w:val="0"/>
        <w:spacing w:line="500" w:lineRule="exact"/>
        <w:ind w:firstLine="570"/>
        <w:rPr>
          <w:rFonts w:hint="eastAsia" w:ascii="仿宋" w:hAnsi="仿宋" w:eastAsia="仿宋" w:cs="仿宋"/>
          <w:color w:val="auto"/>
          <w:sz w:val="24"/>
          <w:highlight w:val="none"/>
        </w:rPr>
      </w:pPr>
    </w:p>
    <w:p w14:paraId="68FEFD5D">
      <w:pPr>
        <w:tabs>
          <w:tab w:val="left" w:pos="6300"/>
        </w:tabs>
        <w:snapToGrid w:val="0"/>
        <w:spacing w:line="500" w:lineRule="exact"/>
        <w:ind w:firstLine="570"/>
        <w:rPr>
          <w:rFonts w:hint="eastAsia" w:ascii="仿宋" w:hAnsi="仿宋" w:eastAsia="仿宋" w:cs="仿宋"/>
          <w:color w:val="auto"/>
          <w:sz w:val="24"/>
          <w:highlight w:val="none"/>
        </w:rPr>
      </w:pPr>
    </w:p>
    <w:p w14:paraId="00458FA4">
      <w:pPr>
        <w:tabs>
          <w:tab w:val="left" w:pos="6300"/>
        </w:tabs>
        <w:snapToGrid w:val="0"/>
        <w:spacing w:line="500" w:lineRule="exact"/>
        <w:ind w:firstLine="570"/>
        <w:rPr>
          <w:rFonts w:hint="eastAsia"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（三）法定代表人授权委托书（格式）</w:t>
      </w:r>
    </w:p>
    <w:p w14:paraId="2F07BB14">
      <w:pPr>
        <w:tabs>
          <w:tab w:val="left" w:pos="6300"/>
        </w:tabs>
        <w:snapToGrid w:val="0"/>
        <w:spacing w:line="500" w:lineRule="exact"/>
        <w:ind w:firstLine="570"/>
        <w:rPr>
          <w:rFonts w:hint="eastAsia" w:ascii="仿宋" w:hAnsi="仿宋" w:eastAsia="仿宋" w:cs="仿宋"/>
          <w:color w:val="auto"/>
          <w:sz w:val="24"/>
          <w:highlight w:val="none"/>
        </w:rPr>
      </w:pPr>
    </w:p>
    <w:p w14:paraId="319EB3E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采购项目名称</w:t>
      </w:r>
      <w:r>
        <w:rPr>
          <w:rFonts w:hint="eastAsia" w:ascii="仿宋" w:hAnsi="仿宋" w:eastAsia="仿宋" w:cs="仿宋"/>
          <w:color w:val="auto"/>
          <w:sz w:val="24"/>
          <w:highlight w:val="none"/>
        </w:rPr>
        <w:t>：</w:t>
      </w:r>
    </w:p>
    <w:p w14:paraId="6FCAE32A">
      <w:pPr>
        <w:tabs>
          <w:tab w:val="left" w:pos="6300"/>
        </w:tabs>
        <w:snapToGrid w:val="0"/>
        <w:spacing w:line="500" w:lineRule="exact"/>
        <w:ind w:firstLine="570"/>
        <w:rPr>
          <w:rFonts w:hint="eastAsia" w:ascii="仿宋" w:hAnsi="仿宋" w:eastAsia="仿宋" w:cs="仿宋"/>
          <w:color w:val="auto"/>
          <w:sz w:val="24"/>
          <w:highlight w:val="none"/>
        </w:rPr>
      </w:pPr>
    </w:p>
    <w:p w14:paraId="4935B99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5EA40D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（供应商法定代表人名称）是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（被授权人姓名及身份证号码）代表我单位全权办理上述项目的采购、签约等具体工作，并签署全部有关文件、协议及合同。</w:t>
      </w:r>
    </w:p>
    <w:p w14:paraId="098EB3FD">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43C6719A">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A4F450D">
      <w:pPr>
        <w:tabs>
          <w:tab w:val="left" w:pos="6300"/>
        </w:tabs>
        <w:snapToGrid w:val="0"/>
        <w:spacing w:line="500" w:lineRule="exact"/>
        <w:ind w:firstLine="570"/>
        <w:rPr>
          <w:rFonts w:hint="eastAsia" w:ascii="仿宋" w:hAnsi="仿宋" w:eastAsia="仿宋" w:cs="仿宋"/>
          <w:color w:val="auto"/>
          <w:sz w:val="24"/>
          <w:highlight w:val="none"/>
        </w:rPr>
      </w:pPr>
    </w:p>
    <w:p w14:paraId="4C00E326">
      <w:pPr>
        <w:tabs>
          <w:tab w:val="left" w:pos="6300"/>
        </w:tabs>
        <w:snapToGrid w:val="0"/>
        <w:spacing w:line="500" w:lineRule="exact"/>
        <w:ind w:firstLine="570"/>
        <w:rPr>
          <w:rFonts w:hint="eastAsia" w:ascii="仿宋" w:hAnsi="仿宋" w:eastAsia="仿宋" w:cs="仿宋"/>
          <w:color w:val="auto"/>
          <w:sz w:val="24"/>
          <w:highlight w:val="none"/>
        </w:rPr>
      </w:pPr>
    </w:p>
    <w:p w14:paraId="04AC6EB9">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313E8FC1">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B34AF4">
      <w:pPr>
        <w:tabs>
          <w:tab w:val="left" w:pos="6300"/>
        </w:tabs>
        <w:snapToGrid w:val="0"/>
        <w:spacing w:line="500" w:lineRule="exact"/>
        <w:ind w:firstLine="570"/>
        <w:rPr>
          <w:rFonts w:hint="eastAsia" w:ascii="仿宋" w:hAnsi="仿宋" w:eastAsia="仿宋" w:cs="仿宋"/>
          <w:color w:val="auto"/>
          <w:sz w:val="24"/>
          <w:szCs w:val="28"/>
          <w:highlight w:val="none"/>
        </w:rPr>
      </w:pPr>
    </w:p>
    <w:p w14:paraId="0A6DDC98">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349CF74D">
      <w:pPr>
        <w:tabs>
          <w:tab w:val="left" w:pos="6300"/>
        </w:tabs>
        <w:snapToGrid w:val="0"/>
        <w:spacing w:line="500" w:lineRule="exact"/>
        <w:ind w:firstLine="570"/>
        <w:rPr>
          <w:rFonts w:hint="eastAsia" w:ascii="仿宋" w:hAnsi="仿宋" w:eastAsia="仿宋" w:cs="仿宋"/>
          <w:color w:val="auto"/>
          <w:sz w:val="24"/>
          <w:highlight w:val="none"/>
        </w:rPr>
      </w:pPr>
    </w:p>
    <w:p w14:paraId="053FCB55">
      <w:pPr>
        <w:tabs>
          <w:tab w:val="left" w:pos="6300"/>
        </w:tabs>
        <w:snapToGrid w:val="0"/>
        <w:spacing w:line="500" w:lineRule="exact"/>
        <w:ind w:firstLine="570"/>
        <w:rPr>
          <w:rFonts w:hint="eastAsia" w:ascii="仿宋" w:hAnsi="仿宋" w:eastAsia="仿宋" w:cs="仿宋"/>
          <w:color w:val="auto"/>
          <w:sz w:val="24"/>
          <w:highlight w:val="none"/>
        </w:rPr>
      </w:pPr>
    </w:p>
    <w:p w14:paraId="2D95C90E">
      <w:pPr>
        <w:tabs>
          <w:tab w:val="left" w:pos="6300"/>
        </w:tabs>
        <w:snapToGrid w:val="0"/>
        <w:spacing w:line="500" w:lineRule="exact"/>
        <w:ind w:firstLine="570"/>
        <w:rPr>
          <w:rFonts w:hint="eastAsia" w:ascii="仿宋" w:hAnsi="仿宋" w:eastAsia="仿宋" w:cs="仿宋"/>
          <w:color w:val="auto"/>
          <w:sz w:val="24"/>
          <w:highlight w:val="none"/>
        </w:rPr>
      </w:pPr>
    </w:p>
    <w:p w14:paraId="6B4DED58">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EEDECF7">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B4DC6D9">
      <w:pPr>
        <w:tabs>
          <w:tab w:val="left" w:pos="6300"/>
        </w:tabs>
        <w:snapToGrid w:val="0"/>
        <w:spacing w:line="500" w:lineRule="exact"/>
        <w:ind w:right="480" w:firstLine="570"/>
        <w:jc w:val="right"/>
        <w:rPr>
          <w:rFonts w:hint="eastAsia" w:ascii="仿宋" w:hAnsi="仿宋" w:eastAsia="仿宋" w:cs="仿宋"/>
          <w:color w:val="auto"/>
          <w:sz w:val="24"/>
          <w:highlight w:val="none"/>
        </w:rPr>
      </w:pPr>
    </w:p>
    <w:p w14:paraId="079C8ED3">
      <w:pPr>
        <w:widowControl/>
        <w:spacing w:line="400" w:lineRule="exact"/>
        <w:ind w:firstLine="56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bookmarkStart w:id="153" w:name="_Toc14422"/>
      <w:r>
        <w:rPr>
          <w:rFonts w:hint="eastAsia" w:ascii="仿宋" w:hAnsi="仿宋" w:eastAsia="仿宋" w:cs="仿宋"/>
          <w:color w:val="auto"/>
          <w:sz w:val="24"/>
          <w:szCs w:val="24"/>
          <w:highlight w:val="none"/>
        </w:rPr>
        <w:t>（四）基本资格条件承诺函（格式）</w:t>
      </w:r>
    </w:p>
    <w:p w14:paraId="18FE0236">
      <w:pPr>
        <w:tabs>
          <w:tab w:val="left" w:pos="6300"/>
        </w:tabs>
        <w:snapToGrid w:val="0"/>
        <w:spacing w:line="530" w:lineRule="exact"/>
        <w:rPr>
          <w:rFonts w:hint="eastAsia" w:ascii="仿宋" w:hAnsi="仿宋" w:eastAsia="仿宋" w:cs="仿宋"/>
          <w:color w:val="auto"/>
          <w:sz w:val="24"/>
          <w:highlight w:val="none"/>
        </w:rPr>
      </w:pPr>
    </w:p>
    <w:p w14:paraId="03D4E545">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3B1115B7">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（供应商名称）郑重承诺：</w:t>
      </w:r>
    </w:p>
    <w:p w14:paraId="6DAA3FB1">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1.我方具有良好的商业信誉和健全的财务会计制度，具有履行合同所必需的设备和专业技术能力，具</w:t>
      </w:r>
      <w:r>
        <w:rPr>
          <w:rFonts w:hint="eastAsia" w:ascii="仿宋" w:hAnsi="仿宋" w:eastAsia="仿宋" w:cs="仿宋"/>
          <w:color w:val="auto"/>
          <w:sz w:val="24"/>
          <w:highlight w:val="none"/>
          <w:lang w:val="zh-CN"/>
        </w:rPr>
        <w:t>有依法缴纳税收和社会保障金的良好记录</w:t>
      </w:r>
      <w:r>
        <w:rPr>
          <w:rFonts w:hint="eastAsia" w:ascii="仿宋" w:hAnsi="仿宋" w:eastAsia="仿宋" w:cs="仿宋"/>
          <w:color w:val="auto"/>
          <w:sz w:val="24"/>
          <w:highlight w:val="none"/>
        </w:rPr>
        <w:t>，参加本项目采购活动前三年内无重大违法活动记录。</w:t>
      </w:r>
    </w:p>
    <w:p w14:paraId="1B82123B">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BCD7430">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4D65BEDA">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我方对以上承诺负全部法律责任。</w:t>
      </w:r>
    </w:p>
    <w:p w14:paraId="3C1B4915">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798D61C5">
      <w:pPr>
        <w:tabs>
          <w:tab w:val="left" w:pos="6300"/>
        </w:tabs>
        <w:snapToGrid w:val="0"/>
        <w:spacing w:line="530" w:lineRule="exact"/>
        <w:rPr>
          <w:rFonts w:hint="eastAsia" w:ascii="仿宋" w:hAnsi="仿宋" w:eastAsia="仿宋" w:cs="仿宋"/>
          <w:color w:val="auto"/>
          <w:sz w:val="24"/>
          <w:szCs w:val="24"/>
          <w:highlight w:val="none"/>
        </w:rPr>
      </w:pPr>
    </w:p>
    <w:p w14:paraId="186C844F">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CD8EE84">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4242678E">
      <w:pPr>
        <w:tabs>
          <w:tab w:val="left" w:pos="6300"/>
        </w:tabs>
        <w:snapToGrid w:val="0"/>
        <w:spacing w:line="500" w:lineRule="exact"/>
        <w:ind w:firstLine="570"/>
        <w:rPr>
          <w:rFonts w:hint="eastAsia" w:ascii="仿宋" w:hAnsi="仿宋" w:eastAsia="仿宋" w:cs="仿宋"/>
          <w:color w:val="auto"/>
          <w:sz w:val="24"/>
          <w:szCs w:val="24"/>
          <w:highlight w:val="none"/>
        </w:rPr>
      </w:pPr>
    </w:p>
    <w:p w14:paraId="2D35CD34">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AD62E49">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16C57CB">
      <w:pPr>
        <w:pStyle w:val="5"/>
        <w:rPr>
          <w:rFonts w:hint="eastAsia" w:ascii="仿宋" w:hAnsi="仿宋" w:eastAsia="仿宋" w:cs="仿宋"/>
          <w:color w:val="auto"/>
          <w:sz w:val="24"/>
          <w:szCs w:val="24"/>
          <w:highlight w:val="none"/>
        </w:rPr>
      </w:pPr>
    </w:p>
    <w:p w14:paraId="20BF92A9">
      <w:pPr>
        <w:rPr>
          <w:rFonts w:hint="eastAsia" w:ascii="仿宋" w:hAnsi="仿宋" w:eastAsia="仿宋" w:cs="仿宋"/>
          <w:color w:val="auto"/>
          <w:sz w:val="24"/>
          <w:szCs w:val="24"/>
          <w:highlight w:val="none"/>
        </w:rPr>
      </w:pPr>
    </w:p>
    <w:p w14:paraId="5C3A283B">
      <w:pPr>
        <w:pStyle w:val="5"/>
        <w:rPr>
          <w:rFonts w:hint="eastAsia" w:ascii="仿宋" w:hAnsi="仿宋" w:eastAsia="仿宋" w:cs="仿宋"/>
          <w:color w:val="auto"/>
          <w:sz w:val="24"/>
          <w:szCs w:val="24"/>
          <w:highlight w:val="none"/>
        </w:rPr>
      </w:pPr>
    </w:p>
    <w:p w14:paraId="5C47A7EE">
      <w:pPr>
        <w:rPr>
          <w:rFonts w:hint="eastAsia" w:ascii="仿宋" w:hAnsi="仿宋" w:eastAsia="仿宋" w:cs="仿宋"/>
          <w:color w:val="auto"/>
          <w:sz w:val="24"/>
          <w:szCs w:val="24"/>
          <w:highlight w:val="none"/>
        </w:rPr>
      </w:pPr>
    </w:p>
    <w:p w14:paraId="337DEC4E">
      <w:pPr>
        <w:tabs>
          <w:tab w:val="left" w:pos="6300"/>
        </w:tabs>
        <w:snapToGrid w:val="0"/>
        <w:spacing w:line="500" w:lineRule="exact"/>
        <w:ind w:firstLine="570"/>
        <w:rPr>
          <w:rFonts w:hint="eastAsia" w:ascii="仿宋" w:hAnsi="仿宋" w:eastAsia="仿宋" w:cs="仿宋"/>
          <w:color w:val="auto"/>
          <w:sz w:val="24"/>
          <w:szCs w:val="24"/>
          <w:highlight w:val="none"/>
        </w:rPr>
      </w:pPr>
    </w:p>
    <w:p w14:paraId="3A3CCB33">
      <w:pPr>
        <w:tabs>
          <w:tab w:val="left" w:pos="6300"/>
        </w:tabs>
        <w:snapToGrid w:val="0"/>
        <w:spacing w:line="500" w:lineRule="exact"/>
        <w:ind w:firstLine="570"/>
        <w:rPr>
          <w:rFonts w:hint="eastAsia" w:ascii="仿宋" w:hAnsi="仿宋" w:eastAsia="仿宋" w:cs="仿宋"/>
          <w:color w:val="auto"/>
          <w:sz w:val="24"/>
          <w:szCs w:val="24"/>
          <w:highlight w:val="none"/>
        </w:rPr>
      </w:pPr>
    </w:p>
    <w:p w14:paraId="15D347EC">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（五）特定资格条件证明文件（如果有）</w:t>
      </w:r>
    </w:p>
    <w:p w14:paraId="5F108A36">
      <w:pPr>
        <w:pStyle w:val="5"/>
        <w:spacing w:before="0" w:after="0" w:line="360" w:lineRule="auto"/>
        <w:rPr>
          <w:rFonts w:hint="eastAsia" w:ascii="仿宋" w:hAnsi="仿宋" w:eastAsia="仿宋" w:cs="仿宋"/>
          <w:b w:val="0"/>
          <w:bCs/>
          <w:color w:val="auto"/>
          <w:highlight w:val="none"/>
        </w:rPr>
      </w:pPr>
      <w:r>
        <w:rPr>
          <w:rFonts w:hint="eastAsia" w:ascii="仿宋" w:hAnsi="仿宋" w:eastAsia="仿宋" w:cs="仿宋"/>
          <w:b w:val="0"/>
          <w:color w:val="auto"/>
          <w:sz w:val="28"/>
          <w:highlight w:val="none"/>
        </w:rPr>
        <w:br w:type="page"/>
      </w:r>
      <w:bookmarkStart w:id="154" w:name="_Toc17417"/>
      <w:bookmarkStart w:id="155" w:name="_Toc26481"/>
      <w:bookmarkStart w:id="156" w:name="_Toc15318"/>
      <w:bookmarkStart w:id="157" w:name="_Toc5951"/>
      <w:r>
        <w:rPr>
          <w:rFonts w:hint="eastAsia" w:ascii="仿宋" w:hAnsi="仿宋" w:eastAsia="仿宋" w:cs="仿宋"/>
          <w:b w:val="0"/>
          <w:bCs/>
          <w:color w:val="auto"/>
          <w:sz w:val="24"/>
          <w:szCs w:val="24"/>
          <w:highlight w:val="none"/>
        </w:rPr>
        <w:t>五、其他应提供的资料</w:t>
      </w:r>
      <w:bookmarkEnd w:id="153"/>
      <w:bookmarkEnd w:id="154"/>
      <w:bookmarkEnd w:id="155"/>
      <w:bookmarkEnd w:id="156"/>
      <w:bookmarkEnd w:id="157"/>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如有，格式自拟）</w:t>
      </w:r>
    </w:p>
    <w:p w14:paraId="4385DA3D">
      <w:pPr>
        <w:tabs>
          <w:tab w:val="left" w:pos="6300"/>
        </w:tabs>
        <w:snapToGrid w:val="0"/>
        <w:spacing w:line="500" w:lineRule="exact"/>
        <w:ind w:firstLine="570"/>
        <w:rPr>
          <w:rFonts w:hint="eastAsia" w:ascii="仿宋" w:hAnsi="仿宋" w:eastAsia="仿宋" w:cs="仿宋"/>
          <w:color w:val="auto"/>
          <w:sz w:val="24"/>
          <w:szCs w:val="24"/>
          <w:highlight w:val="none"/>
        </w:rPr>
      </w:pPr>
      <w:bookmarkStart w:id="158" w:name="_Toc136879718"/>
      <w:bookmarkStart w:id="159" w:name="_Toc10494"/>
      <w:bookmarkStart w:id="160" w:name="_Toc136880175"/>
      <w:bookmarkStart w:id="161" w:name="_Toc27041"/>
    </w:p>
    <w:bookmarkEnd w:id="158"/>
    <w:bookmarkEnd w:id="159"/>
    <w:bookmarkEnd w:id="160"/>
    <w:bookmarkEnd w:id="161"/>
    <w:p w14:paraId="4C2324B0">
      <w:pPr>
        <w:spacing w:line="360" w:lineRule="auto"/>
        <w:ind w:firstLine="480" w:firstLineChars="200"/>
        <w:jc w:val="center"/>
        <w:rPr>
          <w:rFonts w:hint="eastAsia" w:ascii="仿宋" w:hAnsi="仿宋" w:eastAsia="仿宋" w:cs="仿宋"/>
          <w:color w:val="auto"/>
          <w:sz w:val="24"/>
          <w:szCs w:val="24"/>
          <w:highlight w:val="none"/>
        </w:rPr>
      </w:pPr>
    </w:p>
    <w:p w14:paraId="7E4C579C">
      <w:pPr>
        <w:spacing w:line="400" w:lineRule="exact"/>
        <w:ind w:firstLine="480" w:firstLineChars="200"/>
        <w:jc w:val="center"/>
        <w:rPr>
          <w:rFonts w:hint="eastAsia" w:ascii="仿宋" w:hAnsi="仿宋" w:eastAsia="仿宋" w:cs="仿宋"/>
          <w:color w:val="auto"/>
          <w:sz w:val="24"/>
          <w:szCs w:val="24"/>
          <w:highlight w:val="none"/>
        </w:rPr>
      </w:pPr>
    </w:p>
    <w:p w14:paraId="5F1506B5">
      <w:pPr>
        <w:spacing w:line="400" w:lineRule="exact"/>
        <w:ind w:firstLine="480" w:firstLineChars="200"/>
        <w:jc w:val="center"/>
        <w:rPr>
          <w:rFonts w:hint="eastAsia" w:ascii="仿宋" w:hAnsi="仿宋" w:eastAsia="仿宋" w:cs="仿宋"/>
          <w:color w:val="auto"/>
          <w:sz w:val="24"/>
          <w:szCs w:val="24"/>
          <w:highlight w:val="none"/>
        </w:rPr>
      </w:pPr>
    </w:p>
    <w:p w14:paraId="02B86BB3">
      <w:pPr>
        <w:spacing w:line="400" w:lineRule="exact"/>
        <w:ind w:firstLine="480" w:firstLineChars="200"/>
        <w:jc w:val="center"/>
        <w:rPr>
          <w:rFonts w:hint="eastAsia" w:ascii="仿宋" w:hAnsi="仿宋" w:eastAsia="仿宋" w:cs="仿宋"/>
          <w:color w:val="auto"/>
          <w:sz w:val="24"/>
          <w:szCs w:val="24"/>
          <w:highlight w:val="none"/>
        </w:rPr>
      </w:pPr>
    </w:p>
    <w:p w14:paraId="61E5A03E">
      <w:pPr>
        <w:spacing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（结束）</w:t>
      </w:r>
    </w:p>
    <w:p w14:paraId="52EA9A24">
      <w:pPr>
        <w:spacing w:line="360" w:lineRule="auto"/>
        <w:ind w:firstLine="480" w:firstLineChars="200"/>
        <w:rPr>
          <w:rFonts w:hint="eastAsia" w:ascii="仿宋" w:hAnsi="仿宋" w:eastAsia="仿宋" w:cs="仿宋"/>
          <w:color w:val="auto"/>
          <w:sz w:val="24"/>
          <w:szCs w:val="24"/>
          <w:highlight w:val="none"/>
        </w:rPr>
      </w:pPr>
    </w:p>
    <w:p w14:paraId="2F7CBBF5">
      <w:pPr>
        <w:spacing w:line="360" w:lineRule="auto"/>
        <w:ind w:firstLine="480" w:firstLineChars="200"/>
        <w:jc w:val="center"/>
        <w:rPr>
          <w:rFonts w:hint="eastAsia" w:ascii="仿宋" w:hAnsi="仿宋" w:eastAsia="仿宋" w:cs="仿宋"/>
          <w:color w:val="auto"/>
          <w:sz w:val="24"/>
          <w:szCs w:val="24"/>
          <w:highlight w:val="none"/>
        </w:rPr>
      </w:pPr>
    </w:p>
    <w:p w14:paraId="78B34833">
      <w:pPr>
        <w:spacing w:line="360" w:lineRule="auto"/>
        <w:ind w:firstLine="480" w:firstLineChars="200"/>
        <w:jc w:val="center"/>
        <w:rPr>
          <w:rFonts w:hint="eastAsia" w:ascii="仿宋" w:hAnsi="仿宋" w:eastAsia="仿宋" w:cs="仿宋"/>
          <w:color w:val="auto"/>
          <w:sz w:val="24"/>
          <w:szCs w:val="24"/>
          <w:highlight w:val="none"/>
        </w:rPr>
      </w:pPr>
    </w:p>
    <w:p w14:paraId="5BA62D9C">
      <w:pPr>
        <w:spacing w:line="360" w:lineRule="auto"/>
        <w:ind w:firstLine="480" w:firstLineChars="200"/>
        <w:jc w:val="center"/>
        <w:rPr>
          <w:rFonts w:hint="eastAsia" w:ascii="仿宋" w:hAnsi="仿宋" w:eastAsia="仿宋" w:cs="仿宋"/>
          <w:color w:val="auto"/>
          <w:sz w:val="24"/>
          <w:szCs w:val="24"/>
          <w:highlight w:val="none"/>
        </w:rPr>
      </w:pPr>
    </w:p>
    <w:p w14:paraId="67735780">
      <w:pPr>
        <w:spacing w:line="360" w:lineRule="auto"/>
        <w:ind w:firstLine="480" w:firstLineChars="200"/>
        <w:jc w:val="center"/>
        <w:rPr>
          <w:rFonts w:hint="eastAsia" w:ascii="仿宋" w:hAnsi="仿宋" w:eastAsia="仿宋" w:cs="仿宋"/>
          <w:color w:val="auto"/>
          <w:sz w:val="24"/>
          <w:szCs w:val="24"/>
          <w:highlight w:val="none"/>
        </w:rPr>
      </w:pPr>
    </w:p>
    <w:p w14:paraId="3608E8A1">
      <w:pPr>
        <w:spacing w:line="360" w:lineRule="auto"/>
        <w:ind w:firstLine="480" w:firstLineChars="200"/>
        <w:jc w:val="center"/>
        <w:rPr>
          <w:rFonts w:hint="eastAsia" w:ascii="仿宋" w:hAnsi="仿宋" w:eastAsia="仿宋" w:cs="仿宋"/>
          <w:color w:val="auto"/>
          <w:sz w:val="24"/>
          <w:szCs w:val="24"/>
          <w:highlight w:val="none"/>
        </w:rPr>
      </w:pPr>
    </w:p>
    <w:p w14:paraId="2B2BA332">
      <w:pPr>
        <w:pStyle w:val="126"/>
        <w:spacing w:line="20" w:lineRule="atLeast"/>
        <w:jc w:val="center"/>
        <w:rPr>
          <w:rFonts w:hint="eastAsia" w:ascii="仿宋" w:hAnsi="仿宋" w:eastAsia="仿宋" w:cs="仿宋"/>
          <w:color w:val="auto"/>
          <w:highlight w:val="none"/>
        </w:rPr>
      </w:pPr>
    </w:p>
    <w:p w14:paraId="4F658FFE">
      <w:pPr>
        <w:pStyle w:val="126"/>
        <w:spacing w:line="20" w:lineRule="atLeast"/>
        <w:jc w:val="center"/>
        <w:rPr>
          <w:rFonts w:hint="eastAsia" w:ascii="仿宋" w:hAnsi="仿宋" w:eastAsia="仿宋" w:cs="仿宋"/>
          <w:color w:val="auto"/>
          <w:highlight w:val="none"/>
        </w:rPr>
      </w:pPr>
    </w:p>
    <w:sectPr>
      <w:headerReference r:id="rId9" w:type="default"/>
      <w:footerReference r:id="rId10"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6FC61A10-9857-4798-8C31-CEF92A9E37D5}"/>
  </w:font>
  <w:font w:name="Calibri Light">
    <w:panose1 w:val="020F03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8DDBD2EF-F02B-4F68-A7C5-2FA9F7DDA0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7F2D7">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- 6 -</w:t>
    </w:r>
    <w:r>
      <w:rPr>
        <w:rFonts w:ascii="宋体"/>
        <w:sz w:val="21"/>
        <w:szCs w:val="21"/>
      </w:rPr>
      <w:fldChar w:fldCharType="end"/>
    </w:r>
  </w:p>
  <w:p w14:paraId="113B1C38">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F212">
    <w:pPr>
      <w:pStyle w:val="38"/>
      <w:jc w:val="center"/>
      <w:rPr>
        <w:rFonts w:hint="eastAsia"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- 30 -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3AA1">
    <w:pPr>
      <w:pStyle w:val="38"/>
      <w:framePr w:wrap="around" w:vAnchor="text" w:hAnchor="margin" w:xAlign="center" w:y="1"/>
      <w:rPr>
        <w:rStyle w:val="67"/>
      </w:rPr>
    </w:pPr>
    <w:r>
      <w:fldChar w:fldCharType="begin"/>
    </w:r>
    <w:r>
      <w:rPr>
        <w:rStyle w:val="67"/>
      </w:rPr>
      <w:instrText xml:space="preserve">PAGE  </w:instrText>
    </w:r>
    <w:r>
      <w:fldChar w:fldCharType="separate"/>
    </w:r>
    <w:r>
      <w:fldChar w:fldCharType="end"/>
    </w:r>
  </w:p>
  <w:p w14:paraId="1208F3C1">
    <w:pPr>
      <w:pStyle w:val="3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A1D18">
    <w:pPr>
      <w:pStyle w:val="38"/>
      <w:ind w:right="360"/>
      <w:jc w:val="center"/>
    </w:pPr>
    <w:r>
      <w:fldChar w:fldCharType="begin"/>
    </w:r>
    <w:r>
      <w:rPr>
        <w:rStyle w:val="67"/>
      </w:rPr>
      <w:instrText xml:space="preserve"> PAGE </w:instrText>
    </w:r>
    <w:r>
      <w:fldChar w:fldCharType="separate"/>
    </w:r>
    <w:r>
      <w:rPr>
        <w:rStyle w:val="67"/>
      </w:rPr>
      <w:t>- 31 -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5E2F">
    <w:pPr>
      <w:pStyle w:val="38"/>
      <w:jc w:val="center"/>
      <w:rPr>
        <w:rFonts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0B25B">
    <w:pPr>
      <w:pStyle w:val="40"/>
      <w:jc w:val="both"/>
      <w:rPr>
        <w:rFonts w:ascii="仿宋" w:hAnsi="仿宋" w:eastAsia="仿宋" w:cs="仿宋"/>
        <w:sz w:val="24"/>
        <w:szCs w:val="24"/>
      </w:rPr>
    </w:pPr>
    <w:r>
      <w:rPr>
        <w:rFonts w:hint="eastAsia" w:ascii="仿宋" w:hAnsi="仿宋" w:eastAsia="仿宋" w:cs="仿宋"/>
        <w:sz w:val="24"/>
        <w:szCs w:val="24"/>
        <w:lang w:val="en-US" w:eastAsia="zh-CN"/>
      </w:rPr>
      <w:t>重庆千诺工程项目管理有限公司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6A36">
    <w:pPr>
      <w:pStyle w:val="40"/>
      <w:jc w:val="both"/>
      <w:rPr>
        <w:rFonts w:ascii="仿宋" w:hAnsi="仿宋" w:eastAsia="仿宋" w:cs="仿宋"/>
        <w:sz w:val="24"/>
        <w:szCs w:val="24"/>
      </w:rPr>
    </w:pPr>
    <w:r>
      <w:rPr>
        <w:rFonts w:hint="eastAsia" w:ascii="仿宋" w:hAnsi="仿宋" w:eastAsia="仿宋" w:cs="仿宋"/>
        <w:sz w:val="24"/>
        <w:szCs w:val="24"/>
        <w:lang w:eastAsia="zh-CN"/>
      </w:rPr>
      <w:t>重庆千诺工程项目管理有限公司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3040">
    <w:pPr>
      <w:pStyle w:val="40"/>
      <w:jc w:val="both"/>
    </w:pPr>
    <w:r>
      <w:rPr>
        <w:rFonts w:hint="eastAsia" w:ascii="方正仿宋_GBK" w:eastAsia="方正仿宋_GBK"/>
        <w:sz w:val="21"/>
        <w:szCs w:val="21"/>
        <w:lang w:eastAsia="zh-CN"/>
      </w:rPr>
      <w:t>重庆千诺工程项目管理有限公司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177"/>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5"/>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68"/>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4"/>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42"/>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46"/>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76"/>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2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127"/>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52"/>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9"/>
  </w:num>
  <w:num w:numId="2">
    <w:abstractNumId w:val="10"/>
  </w:num>
  <w:num w:numId="3">
    <w:abstractNumId w:val="11"/>
  </w:num>
  <w:num w:numId="4">
    <w:abstractNumId w:val="5"/>
  </w:num>
  <w:num w:numId="5">
    <w:abstractNumId w:val="2"/>
  </w:num>
  <w:num w:numId="6">
    <w:abstractNumId w:val="6"/>
  </w:num>
  <w:num w:numId="7">
    <w:abstractNumId w:val="1"/>
  </w:num>
  <w:num w:numId="8">
    <w:abstractNumId w:val="3"/>
  </w:num>
  <w:num w:numId="9">
    <w:abstractNumId w:val="13"/>
  </w:num>
  <w:num w:numId="10">
    <w:abstractNumId w:val="7"/>
  </w:num>
  <w:num w:numId="11">
    <w:abstractNumId w:val="8"/>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YzViMTA0ZGViZTIxNTkxYWEwNGJiYTkxNTQ1MGQifQ=="/>
    <w:docVar w:name="KSO_WPS_MARK_KEY" w:val="466196e3-2bcf-42ae-96dc-6deba7c9db18"/>
  </w:docVars>
  <w:rsids>
    <w:rsidRoot w:val="00B50FC0"/>
    <w:rsid w:val="000661D3"/>
    <w:rsid w:val="0006680A"/>
    <w:rsid w:val="000851E6"/>
    <w:rsid w:val="000E7F13"/>
    <w:rsid w:val="0016285F"/>
    <w:rsid w:val="00166E1F"/>
    <w:rsid w:val="0019222D"/>
    <w:rsid w:val="002D3BA6"/>
    <w:rsid w:val="003222D6"/>
    <w:rsid w:val="00492675"/>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34B2B"/>
    <w:rsid w:val="00A6769A"/>
    <w:rsid w:val="00AC1D8C"/>
    <w:rsid w:val="00AF7683"/>
    <w:rsid w:val="00B50FC0"/>
    <w:rsid w:val="00CB6E3A"/>
    <w:rsid w:val="00CC09AC"/>
    <w:rsid w:val="00CD75C2"/>
    <w:rsid w:val="00E42B9F"/>
    <w:rsid w:val="00E60A79"/>
    <w:rsid w:val="00F05E08"/>
    <w:rsid w:val="00F340E6"/>
    <w:rsid w:val="00F368F8"/>
    <w:rsid w:val="00F96D4B"/>
    <w:rsid w:val="010525D0"/>
    <w:rsid w:val="011A5340"/>
    <w:rsid w:val="012807F8"/>
    <w:rsid w:val="01891B53"/>
    <w:rsid w:val="01C21457"/>
    <w:rsid w:val="0221276B"/>
    <w:rsid w:val="025877D0"/>
    <w:rsid w:val="026D64DC"/>
    <w:rsid w:val="027C16B8"/>
    <w:rsid w:val="0317318F"/>
    <w:rsid w:val="03556AB2"/>
    <w:rsid w:val="04382163"/>
    <w:rsid w:val="04676E77"/>
    <w:rsid w:val="04A63819"/>
    <w:rsid w:val="04F85FF1"/>
    <w:rsid w:val="05057701"/>
    <w:rsid w:val="05322502"/>
    <w:rsid w:val="05BB42A5"/>
    <w:rsid w:val="05D11515"/>
    <w:rsid w:val="05FB28F4"/>
    <w:rsid w:val="06635A4F"/>
    <w:rsid w:val="072145DC"/>
    <w:rsid w:val="072846B9"/>
    <w:rsid w:val="076C046F"/>
    <w:rsid w:val="07ED235A"/>
    <w:rsid w:val="088B55C9"/>
    <w:rsid w:val="08B3253E"/>
    <w:rsid w:val="092C7268"/>
    <w:rsid w:val="09D1609A"/>
    <w:rsid w:val="09D77CF9"/>
    <w:rsid w:val="09ED2E9B"/>
    <w:rsid w:val="0A4B01E4"/>
    <w:rsid w:val="0A707BE7"/>
    <w:rsid w:val="0A7D7D7B"/>
    <w:rsid w:val="0AD61B81"/>
    <w:rsid w:val="0ADF4EB4"/>
    <w:rsid w:val="0AFC25D2"/>
    <w:rsid w:val="0B007B52"/>
    <w:rsid w:val="0B8961FD"/>
    <w:rsid w:val="0C3C5C5D"/>
    <w:rsid w:val="0CF619A7"/>
    <w:rsid w:val="0D0C2411"/>
    <w:rsid w:val="0D6E42F3"/>
    <w:rsid w:val="0E331896"/>
    <w:rsid w:val="0E671979"/>
    <w:rsid w:val="0E9E4376"/>
    <w:rsid w:val="0F167D68"/>
    <w:rsid w:val="0F251EFA"/>
    <w:rsid w:val="0F2C1D70"/>
    <w:rsid w:val="0FAC1E0F"/>
    <w:rsid w:val="0FB35FED"/>
    <w:rsid w:val="0FC92E5D"/>
    <w:rsid w:val="10104F83"/>
    <w:rsid w:val="108300B5"/>
    <w:rsid w:val="10D23E14"/>
    <w:rsid w:val="11060443"/>
    <w:rsid w:val="112F264C"/>
    <w:rsid w:val="115B228C"/>
    <w:rsid w:val="118C42A1"/>
    <w:rsid w:val="11922FEB"/>
    <w:rsid w:val="11A541D1"/>
    <w:rsid w:val="11AE2F4A"/>
    <w:rsid w:val="11B31A46"/>
    <w:rsid w:val="11DD4F52"/>
    <w:rsid w:val="120320D2"/>
    <w:rsid w:val="12227F59"/>
    <w:rsid w:val="12B60FA3"/>
    <w:rsid w:val="12F021A3"/>
    <w:rsid w:val="13054DB2"/>
    <w:rsid w:val="132412C3"/>
    <w:rsid w:val="133D2E2F"/>
    <w:rsid w:val="13E73C4E"/>
    <w:rsid w:val="14212B79"/>
    <w:rsid w:val="14A33DD8"/>
    <w:rsid w:val="14AF18FC"/>
    <w:rsid w:val="15D07BCF"/>
    <w:rsid w:val="16472285"/>
    <w:rsid w:val="16640530"/>
    <w:rsid w:val="16755E9F"/>
    <w:rsid w:val="171C5300"/>
    <w:rsid w:val="17492F0E"/>
    <w:rsid w:val="17881C2D"/>
    <w:rsid w:val="179F70B6"/>
    <w:rsid w:val="18785439"/>
    <w:rsid w:val="18A5104D"/>
    <w:rsid w:val="18F74349"/>
    <w:rsid w:val="190F569C"/>
    <w:rsid w:val="1947355A"/>
    <w:rsid w:val="19F95FF3"/>
    <w:rsid w:val="19FC4286"/>
    <w:rsid w:val="1A6E148E"/>
    <w:rsid w:val="1A8216F7"/>
    <w:rsid w:val="1AB23A71"/>
    <w:rsid w:val="1B0C34A1"/>
    <w:rsid w:val="1B98237C"/>
    <w:rsid w:val="1B9F7EE3"/>
    <w:rsid w:val="1C220379"/>
    <w:rsid w:val="1C4A7CD9"/>
    <w:rsid w:val="1CBB6F3F"/>
    <w:rsid w:val="1D05527E"/>
    <w:rsid w:val="1D1516C2"/>
    <w:rsid w:val="1D8B2357"/>
    <w:rsid w:val="1D914272"/>
    <w:rsid w:val="1E4515C4"/>
    <w:rsid w:val="1EBA7398"/>
    <w:rsid w:val="1EE44212"/>
    <w:rsid w:val="1F417171"/>
    <w:rsid w:val="1F6470B0"/>
    <w:rsid w:val="1F9F033C"/>
    <w:rsid w:val="1FA0658E"/>
    <w:rsid w:val="204F1D62"/>
    <w:rsid w:val="205729E2"/>
    <w:rsid w:val="20880DD0"/>
    <w:rsid w:val="20914128"/>
    <w:rsid w:val="20D90162"/>
    <w:rsid w:val="21735AF9"/>
    <w:rsid w:val="21A06DEB"/>
    <w:rsid w:val="21C226F3"/>
    <w:rsid w:val="220652BA"/>
    <w:rsid w:val="22915548"/>
    <w:rsid w:val="22EE2E53"/>
    <w:rsid w:val="22FF5139"/>
    <w:rsid w:val="24672062"/>
    <w:rsid w:val="248C3E9A"/>
    <w:rsid w:val="248E2DE1"/>
    <w:rsid w:val="24AE4614"/>
    <w:rsid w:val="24BD5937"/>
    <w:rsid w:val="24CB3DC0"/>
    <w:rsid w:val="24D665AE"/>
    <w:rsid w:val="24E928B8"/>
    <w:rsid w:val="24FB6014"/>
    <w:rsid w:val="254823C1"/>
    <w:rsid w:val="2614136F"/>
    <w:rsid w:val="26B20955"/>
    <w:rsid w:val="27420045"/>
    <w:rsid w:val="274D5ACF"/>
    <w:rsid w:val="27677991"/>
    <w:rsid w:val="278A4A2C"/>
    <w:rsid w:val="28456613"/>
    <w:rsid w:val="28491410"/>
    <w:rsid w:val="2860721B"/>
    <w:rsid w:val="28A80261"/>
    <w:rsid w:val="292567E1"/>
    <w:rsid w:val="29626024"/>
    <w:rsid w:val="2AC93501"/>
    <w:rsid w:val="2B05230C"/>
    <w:rsid w:val="2BFC0FF0"/>
    <w:rsid w:val="2C304924"/>
    <w:rsid w:val="2C426408"/>
    <w:rsid w:val="2C9F197B"/>
    <w:rsid w:val="2CAD3314"/>
    <w:rsid w:val="2CC35BC3"/>
    <w:rsid w:val="2CCF2A57"/>
    <w:rsid w:val="2CED0673"/>
    <w:rsid w:val="2D2C2A74"/>
    <w:rsid w:val="2D3F79D7"/>
    <w:rsid w:val="2D96271E"/>
    <w:rsid w:val="2D9E007B"/>
    <w:rsid w:val="2DA76D39"/>
    <w:rsid w:val="2E4C297A"/>
    <w:rsid w:val="2E7806D6"/>
    <w:rsid w:val="2E8207C4"/>
    <w:rsid w:val="2F5E2951"/>
    <w:rsid w:val="2FD84DB8"/>
    <w:rsid w:val="300761B5"/>
    <w:rsid w:val="300E2A05"/>
    <w:rsid w:val="301D21FC"/>
    <w:rsid w:val="303A24A6"/>
    <w:rsid w:val="304E59DB"/>
    <w:rsid w:val="3098247E"/>
    <w:rsid w:val="30FB789A"/>
    <w:rsid w:val="322122F4"/>
    <w:rsid w:val="322C3CB1"/>
    <w:rsid w:val="330E1253"/>
    <w:rsid w:val="331F458A"/>
    <w:rsid w:val="337E678E"/>
    <w:rsid w:val="338B4A07"/>
    <w:rsid w:val="347F407A"/>
    <w:rsid w:val="34C507EF"/>
    <w:rsid w:val="34D5216F"/>
    <w:rsid w:val="354D18D5"/>
    <w:rsid w:val="36676E29"/>
    <w:rsid w:val="369062CC"/>
    <w:rsid w:val="36A65A03"/>
    <w:rsid w:val="36E14B30"/>
    <w:rsid w:val="36E33724"/>
    <w:rsid w:val="370E4697"/>
    <w:rsid w:val="371371EE"/>
    <w:rsid w:val="37206361"/>
    <w:rsid w:val="37411742"/>
    <w:rsid w:val="37B00EE0"/>
    <w:rsid w:val="38064393"/>
    <w:rsid w:val="380C6E13"/>
    <w:rsid w:val="381B0776"/>
    <w:rsid w:val="386D0B7F"/>
    <w:rsid w:val="38705A0B"/>
    <w:rsid w:val="38934A8A"/>
    <w:rsid w:val="390C7F70"/>
    <w:rsid w:val="392D2431"/>
    <w:rsid w:val="39C74C55"/>
    <w:rsid w:val="39F43377"/>
    <w:rsid w:val="3A170959"/>
    <w:rsid w:val="3A1C1BAF"/>
    <w:rsid w:val="3A305137"/>
    <w:rsid w:val="3A570589"/>
    <w:rsid w:val="3AE07D2F"/>
    <w:rsid w:val="3AF95E24"/>
    <w:rsid w:val="3B31460B"/>
    <w:rsid w:val="3B3836C7"/>
    <w:rsid w:val="3BB80457"/>
    <w:rsid w:val="3BD50A45"/>
    <w:rsid w:val="3C2B6D87"/>
    <w:rsid w:val="3CAF5C6E"/>
    <w:rsid w:val="3D0D0E66"/>
    <w:rsid w:val="3D183C25"/>
    <w:rsid w:val="3D1909C8"/>
    <w:rsid w:val="3D5640D5"/>
    <w:rsid w:val="3DEE62BF"/>
    <w:rsid w:val="3E6D08CC"/>
    <w:rsid w:val="3F081602"/>
    <w:rsid w:val="3F7841B5"/>
    <w:rsid w:val="3F852AA5"/>
    <w:rsid w:val="3F99798D"/>
    <w:rsid w:val="3FB65C45"/>
    <w:rsid w:val="3FCF35E7"/>
    <w:rsid w:val="401270D9"/>
    <w:rsid w:val="406F4F58"/>
    <w:rsid w:val="40B732E0"/>
    <w:rsid w:val="40CE016E"/>
    <w:rsid w:val="40CE3973"/>
    <w:rsid w:val="41E158E5"/>
    <w:rsid w:val="42153520"/>
    <w:rsid w:val="424474C6"/>
    <w:rsid w:val="426B4971"/>
    <w:rsid w:val="42795447"/>
    <w:rsid w:val="42AC0347"/>
    <w:rsid w:val="42DF4555"/>
    <w:rsid w:val="42F04068"/>
    <w:rsid w:val="43171167"/>
    <w:rsid w:val="43326EBF"/>
    <w:rsid w:val="43901207"/>
    <w:rsid w:val="43D321DE"/>
    <w:rsid w:val="445251D5"/>
    <w:rsid w:val="44605159"/>
    <w:rsid w:val="44B7744D"/>
    <w:rsid w:val="4504286C"/>
    <w:rsid w:val="45144193"/>
    <w:rsid w:val="451D77E8"/>
    <w:rsid w:val="464F5D68"/>
    <w:rsid w:val="465D46FF"/>
    <w:rsid w:val="466924B3"/>
    <w:rsid w:val="468679DC"/>
    <w:rsid w:val="46A25D38"/>
    <w:rsid w:val="46CB09CA"/>
    <w:rsid w:val="47384EDF"/>
    <w:rsid w:val="48167282"/>
    <w:rsid w:val="4843113A"/>
    <w:rsid w:val="48457423"/>
    <w:rsid w:val="48582566"/>
    <w:rsid w:val="48864335"/>
    <w:rsid w:val="494E52FD"/>
    <w:rsid w:val="49D22F38"/>
    <w:rsid w:val="49DD3664"/>
    <w:rsid w:val="4A7B03DF"/>
    <w:rsid w:val="4B130F93"/>
    <w:rsid w:val="4C2048B8"/>
    <w:rsid w:val="4C83217E"/>
    <w:rsid w:val="4C833D43"/>
    <w:rsid w:val="4CD60F5E"/>
    <w:rsid w:val="4D461C92"/>
    <w:rsid w:val="4D466727"/>
    <w:rsid w:val="4D50664E"/>
    <w:rsid w:val="4E7D0D4F"/>
    <w:rsid w:val="4EA70ED0"/>
    <w:rsid w:val="4F431134"/>
    <w:rsid w:val="4F807FCA"/>
    <w:rsid w:val="4FCF212F"/>
    <w:rsid w:val="4FF95795"/>
    <w:rsid w:val="5067435B"/>
    <w:rsid w:val="507E0104"/>
    <w:rsid w:val="50A97422"/>
    <w:rsid w:val="51F7263B"/>
    <w:rsid w:val="52524C16"/>
    <w:rsid w:val="526606C2"/>
    <w:rsid w:val="5293012E"/>
    <w:rsid w:val="529C40E3"/>
    <w:rsid w:val="52CC4050"/>
    <w:rsid w:val="531D273D"/>
    <w:rsid w:val="5338205E"/>
    <w:rsid w:val="535527CB"/>
    <w:rsid w:val="53743ED2"/>
    <w:rsid w:val="53C108BF"/>
    <w:rsid w:val="53D24C9F"/>
    <w:rsid w:val="541A08A5"/>
    <w:rsid w:val="54D63934"/>
    <w:rsid w:val="54F02F3B"/>
    <w:rsid w:val="556D1537"/>
    <w:rsid w:val="56091A90"/>
    <w:rsid w:val="562904EF"/>
    <w:rsid w:val="565C2507"/>
    <w:rsid w:val="5682571F"/>
    <w:rsid w:val="57E32488"/>
    <w:rsid w:val="58196DAC"/>
    <w:rsid w:val="58382B00"/>
    <w:rsid w:val="58EE3C77"/>
    <w:rsid w:val="59017D1E"/>
    <w:rsid w:val="59063F78"/>
    <w:rsid w:val="59594AC9"/>
    <w:rsid w:val="596A402B"/>
    <w:rsid w:val="599975CF"/>
    <w:rsid w:val="59C12681"/>
    <w:rsid w:val="59CE316E"/>
    <w:rsid w:val="5A627539"/>
    <w:rsid w:val="5A75672B"/>
    <w:rsid w:val="5A932270"/>
    <w:rsid w:val="5AD771BE"/>
    <w:rsid w:val="5B505E97"/>
    <w:rsid w:val="5BB21112"/>
    <w:rsid w:val="5C1E267D"/>
    <w:rsid w:val="5D1458EA"/>
    <w:rsid w:val="5D226789"/>
    <w:rsid w:val="5DF647A0"/>
    <w:rsid w:val="5DFF0E1E"/>
    <w:rsid w:val="5E503D20"/>
    <w:rsid w:val="5E886CE4"/>
    <w:rsid w:val="5EFB2B28"/>
    <w:rsid w:val="5F4571B2"/>
    <w:rsid w:val="603A1DC8"/>
    <w:rsid w:val="60D5460C"/>
    <w:rsid w:val="61581B1D"/>
    <w:rsid w:val="61F72DEE"/>
    <w:rsid w:val="62111B1F"/>
    <w:rsid w:val="62B61E66"/>
    <w:rsid w:val="63D01E3F"/>
    <w:rsid w:val="63F0428F"/>
    <w:rsid w:val="643050EE"/>
    <w:rsid w:val="643248A8"/>
    <w:rsid w:val="64780896"/>
    <w:rsid w:val="65B64922"/>
    <w:rsid w:val="6645421B"/>
    <w:rsid w:val="669929BC"/>
    <w:rsid w:val="66B4618F"/>
    <w:rsid w:val="66B56861"/>
    <w:rsid w:val="66CD2666"/>
    <w:rsid w:val="66F7101E"/>
    <w:rsid w:val="66FE3167"/>
    <w:rsid w:val="670F1A60"/>
    <w:rsid w:val="67185FD7"/>
    <w:rsid w:val="67CC5F51"/>
    <w:rsid w:val="67E46396"/>
    <w:rsid w:val="68031475"/>
    <w:rsid w:val="6832131A"/>
    <w:rsid w:val="697F1C90"/>
    <w:rsid w:val="69AC6EAA"/>
    <w:rsid w:val="69FA7873"/>
    <w:rsid w:val="6AD0079D"/>
    <w:rsid w:val="6ADD55FC"/>
    <w:rsid w:val="6AE9031A"/>
    <w:rsid w:val="6B366553"/>
    <w:rsid w:val="6BA3608B"/>
    <w:rsid w:val="6BE61D2D"/>
    <w:rsid w:val="6C0F2059"/>
    <w:rsid w:val="6C521322"/>
    <w:rsid w:val="6CF52602"/>
    <w:rsid w:val="6CF748E0"/>
    <w:rsid w:val="6D0660FE"/>
    <w:rsid w:val="6D3A7F90"/>
    <w:rsid w:val="6E223B68"/>
    <w:rsid w:val="6E2A648C"/>
    <w:rsid w:val="6F03756C"/>
    <w:rsid w:val="6F3027C1"/>
    <w:rsid w:val="6F6B0AA1"/>
    <w:rsid w:val="6FD5166D"/>
    <w:rsid w:val="700C5C21"/>
    <w:rsid w:val="701C1C58"/>
    <w:rsid w:val="701D465E"/>
    <w:rsid w:val="7055244F"/>
    <w:rsid w:val="705E77F2"/>
    <w:rsid w:val="70E537FD"/>
    <w:rsid w:val="70E84CDA"/>
    <w:rsid w:val="712B426F"/>
    <w:rsid w:val="71D770C3"/>
    <w:rsid w:val="726F4F19"/>
    <w:rsid w:val="72830B08"/>
    <w:rsid w:val="72A11576"/>
    <w:rsid w:val="72B50B7E"/>
    <w:rsid w:val="73DF3770"/>
    <w:rsid w:val="73FB6A64"/>
    <w:rsid w:val="74727AC0"/>
    <w:rsid w:val="74AF129E"/>
    <w:rsid w:val="74CE5606"/>
    <w:rsid w:val="752E4C17"/>
    <w:rsid w:val="758119C2"/>
    <w:rsid w:val="761D1EEE"/>
    <w:rsid w:val="766C5EFC"/>
    <w:rsid w:val="76872172"/>
    <w:rsid w:val="76B659D2"/>
    <w:rsid w:val="76CC46E8"/>
    <w:rsid w:val="7707390B"/>
    <w:rsid w:val="770C71DA"/>
    <w:rsid w:val="7733278C"/>
    <w:rsid w:val="77377CE0"/>
    <w:rsid w:val="77E37F3B"/>
    <w:rsid w:val="781A6515"/>
    <w:rsid w:val="781B6807"/>
    <w:rsid w:val="782347DB"/>
    <w:rsid w:val="78743289"/>
    <w:rsid w:val="78970D25"/>
    <w:rsid w:val="78A44C3B"/>
    <w:rsid w:val="78AE6B25"/>
    <w:rsid w:val="78CA4C57"/>
    <w:rsid w:val="7A1847B2"/>
    <w:rsid w:val="7A200710"/>
    <w:rsid w:val="7A337B1E"/>
    <w:rsid w:val="7A666C01"/>
    <w:rsid w:val="7A744676"/>
    <w:rsid w:val="7A99611A"/>
    <w:rsid w:val="7AD91D9F"/>
    <w:rsid w:val="7BDC213F"/>
    <w:rsid w:val="7C0F2651"/>
    <w:rsid w:val="7C264E67"/>
    <w:rsid w:val="7C6641AB"/>
    <w:rsid w:val="7C743467"/>
    <w:rsid w:val="7CA63C51"/>
    <w:rsid w:val="7D6A4C5A"/>
    <w:rsid w:val="7DBB1D66"/>
    <w:rsid w:val="7DD81BC4"/>
    <w:rsid w:val="7DF54524"/>
    <w:rsid w:val="7E206D18"/>
    <w:rsid w:val="7E5751DF"/>
    <w:rsid w:val="7E5E3E35"/>
    <w:rsid w:val="7EAD237F"/>
    <w:rsid w:val="7EC632F1"/>
    <w:rsid w:val="7ED35B5A"/>
    <w:rsid w:val="7F127358"/>
    <w:rsid w:val="7F985AAF"/>
    <w:rsid w:val="7FDA2596"/>
    <w:rsid w:val="7FF5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3"/>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07"/>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next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4"/>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24"/>
    <w:qFormat/>
    <w:uiPriority w:val="0"/>
    <w:rPr>
      <w:rFonts w:ascii="仿宋_GB2312" w:eastAsia="仿宋_GB2312"/>
      <w:sz w:val="32"/>
    </w:rPr>
  </w:style>
  <w:style w:type="paragraph" w:customStyle="1" w:styleId="2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25">
    <w:name w:val="Body Text Indent"/>
    <w:basedOn w:val="1"/>
    <w:link w:val="86"/>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2"/>
    <w:qFormat/>
    <w:uiPriority w:val="0"/>
  </w:style>
  <w:style w:type="paragraph" w:styleId="36">
    <w:name w:val="Body Text Indent 2"/>
    <w:basedOn w:val="1"/>
    <w:link w:val="81"/>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19"/>
    <w:qFormat/>
    <w:uiPriority w:val="99"/>
    <w:pPr>
      <w:tabs>
        <w:tab w:val="center" w:pos="4153"/>
        <w:tab w:val="right" w:pos="8306"/>
      </w:tabs>
      <w:snapToGrid w:val="0"/>
      <w:jc w:val="left"/>
    </w:pPr>
    <w:rPr>
      <w:sz w:val="18"/>
    </w:rPr>
  </w:style>
  <w:style w:type="paragraph" w:styleId="39">
    <w:name w:val="envelope return"/>
    <w:basedOn w:val="1"/>
    <w:qFormat/>
    <w:uiPriority w:val="0"/>
    <w:pPr>
      <w:snapToGrid w:val="0"/>
    </w:pPr>
    <w:rPr>
      <w:rFonts w:ascii="Arial" w:hAnsi="Arial"/>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1680" w:leftChars="800"/>
    </w:pPr>
    <w:rPr>
      <w:sz w:val="24"/>
    </w:rPr>
  </w:style>
  <w:style w:type="paragraph" w:styleId="43">
    <w:name w:val="toc 4"/>
    <w:basedOn w:val="1"/>
    <w:next w:val="1"/>
    <w:qFormat/>
    <w:uiPriority w:val="0"/>
    <w:pPr>
      <w:ind w:left="1260" w:leftChars="600"/>
    </w:pPr>
  </w:style>
  <w:style w:type="paragraph" w:styleId="44">
    <w:name w:val="Subtitle"/>
    <w:basedOn w:val="1"/>
    <w:qFormat/>
    <w:uiPriority w:val="99"/>
    <w:pPr>
      <w:spacing w:before="240" w:after="60" w:line="312" w:lineRule="auto"/>
      <w:jc w:val="center"/>
      <w:outlineLvl w:val="1"/>
    </w:pPr>
    <w:rPr>
      <w:rFonts w:ascii="Calibri Light" w:hAnsi="Calibri Light"/>
      <w:b/>
      <w:bCs/>
      <w:kern w:val="28"/>
      <w:sz w:val="32"/>
      <w:szCs w:val="32"/>
    </w:rPr>
  </w:style>
  <w:style w:type="paragraph" w:styleId="45">
    <w:name w:val="footnote text"/>
    <w:basedOn w:val="1"/>
    <w:link w:val="92"/>
    <w:qFormat/>
    <w:uiPriority w:val="0"/>
    <w:pPr>
      <w:spacing w:line="360" w:lineRule="auto"/>
    </w:pPr>
    <w:rPr>
      <w:sz w:val="18"/>
    </w:rPr>
  </w:style>
  <w:style w:type="paragraph" w:styleId="46">
    <w:name w:val="toc 6"/>
    <w:basedOn w:val="1"/>
    <w:next w:val="1"/>
    <w:qFormat/>
    <w:uiPriority w:val="0"/>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qFormat/>
    <w:uiPriority w:val="0"/>
    <w:pPr>
      <w:spacing w:line="360" w:lineRule="auto"/>
      <w:ind w:firstLine="632"/>
    </w:pPr>
    <w:rPr>
      <w:rFonts w:ascii="黑体" w:eastAsia="黑体"/>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0"/>
    <w:next w:val="20"/>
    <w:link w:val="83"/>
    <w:qFormat/>
    <w:uiPriority w:val="0"/>
    <w:pPr>
      <w:adjustRightInd/>
      <w:spacing w:line="240" w:lineRule="auto"/>
      <w:textAlignment w:val="auto"/>
    </w:pPr>
  </w:style>
  <w:style w:type="paragraph" w:styleId="61">
    <w:name w:val="Body Text First Indent"/>
    <w:basedOn w:val="23"/>
    <w:next w:val="62"/>
    <w:qFormat/>
    <w:uiPriority w:val="0"/>
    <w:pPr>
      <w:spacing w:line="360" w:lineRule="auto"/>
      <w:ind w:firstLine="420"/>
    </w:pPr>
    <w:rPr>
      <w:rFonts w:ascii="宋体" w:hAnsi="宋体"/>
      <w:sz w:val="24"/>
    </w:rPr>
  </w:style>
  <w:style w:type="paragraph" w:styleId="62">
    <w:name w:val="Body Text First Indent 2"/>
    <w:basedOn w:val="25"/>
    <w:next w:val="1"/>
    <w:link w:val="110"/>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默认"/>
    <w:qFormat/>
    <w:uiPriority w:val="99"/>
    <w:rPr>
      <w:rFonts w:ascii="Helvetica" w:hAnsi="Helvetica" w:eastAsia="宋体" w:cs="Times New Roman"/>
      <w:color w:val="000000"/>
      <w:sz w:val="22"/>
      <w:szCs w:val="22"/>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character" w:customStyle="1" w:styleId="76">
    <w:name w:val="Char Char7"/>
    <w:qFormat/>
    <w:uiPriority w:val="0"/>
    <w:rPr>
      <w:rFonts w:ascii="宋体" w:hAnsi="宋体" w:eastAsia="宋体"/>
      <w:kern w:val="2"/>
      <w:sz w:val="28"/>
    </w:rPr>
  </w:style>
  <w:style w:type="character" w:customStyle="1" w:styleId="77">
    <w:name w:val="font91"/>
    <w:qFormat/>
    <w:uiPriority w:val="0"/>
    <w:rPr>
      <w:rFonts w:hint="eastAsia" w:ascii="宋体" w:hAnsi="宋体" w:eastAsia="宋体" w:cs="宋体"/>
      <w:color w:val="000000"/>
      <w:sz w:val="20"/>
      <w:szCs w:val="20"/>
      <w:u w:val="none"/>
    </w:rPr>
  </w:style>
  <w:style w:type="character" w:customStyle="1" w:styleId="78">
    <w:name w:val="未命名11"/>
    <w:qFormat/>
    <w:uiPriority w:val="0"/>
    <w:rPr>
      <w:color w:val="77FFFF"/>
      <w:sz w:val="24"/>
    </w:rPr>
  </w:style>
  <w:style w:type="character" w:customStyle="1" w:styleId="79">
    <w:name w:val="font51"/>
    <w:qFormat/>
    <w:uiPriority w:val="0"/>
    <w:rPr>
      <w:rFonts w:hint="eastAsia" w:ascii="宋体" w:hAnsi="宋体" w:eastAsia="宋体" w:cs="宋体"/>
      <w:color w:val="000000"/>
      <w:sz w:val="20"/>
      <w:szCs w:val="20"/>
      <w:u w:val="none"/>
      <w:vertAlign w:val="superscript"/>
    </w:rPr>
  </w:style>
  <w:style w:type="character" w:customStyle="1" w:styleId="80">
    <w:name w:val="content-white1"/>
    <w:qFormat/>
    <w:uiPriority w:val="0"/>
    <w:rPr>
      <w:color w:val="auto"/>
      <w:sz w:val="18"/>
      <w:u w:val="none"/>
    </w:rPr>
  </w:style>
  <w:style w:type="character" w:customStyle="1" w:styleId="81">
    <w:name w:val="正文文本缩进 2 字符"/>
    <w:link w:val="36"/>
    <w:qFormat/>
    <w:uiPriority w:val="0"/>
    <w:rPr>
      <w:kern w:val="2"/>
      <w:sz w:val="28"/>
    </w:rPr>
  </w:style>
  <w:style w:type="character" w:customStyle="1" w:styleId="82">
    <w:name w:val="Char Char11"/>
    <w:qFormat/>
    <w:uiPriority w:val="0"/>
    <w:rPr>
      <w:rFonts w:ascii="宋体"/>
      <w:kern w:val="2"/>
      <w:sz w:val="28"/>
    </w:rPr>
  </w:style>
  <w:style w:type="character" w:customStyle="1" w:styleId="83">
    <w:name w:val="批注主题 字符"/>
    <w:basedOn w:val="84"/>
    <w:link w:val="60"/>
    <w:qFormat/>
    <w:uiPriority w:val="0"/>
    <w:rPr>
      <w:sz w:val="24"/>
    </w:rPr>
  </w:style>
  <w:style w:type="character" w:customStyle="1" w:styleId="84">
    <w:name w:val="批注文字 字符"/>
    <w:link w:val="20"/>
    <w:qFormat/>
    <w:uiPriority w:val="0"/>
    <w:rPr>
      <w:sz w:val="24"/>
    </w:rPr>
  </w:style>
  <w:style w:type="character" w:customStyle="1" w:styleId="85">
    <w:name w:val="font41"/>
    <w:qFormat/>
    <w:uiPriority w:val="0"/>
    <w:rPr>
      <w:rFonts w:hint="eastAsia" w:ascii="宋体" w:hAnsi="宋体" w:eastAsia="宋体" w:cs="宋体"/>
      <w:color w:val="000000"/>
      <w:sz w:val="20"/>
      <w:szCs w:val="20"/>
      <w:u w:val="none"/>
    </w:rPr>
  </w:style>
  <w:style w:type="character" w:customStyle="1" w:styleId="86">
    <w:name w:val="正文文本缩进 字符"/>
    <w:link w:val="25"/>
    <w:qFormat/>
    <w:uiPriority w:val="0"/>
    <w:rPr>
      <w:kern w:val="2"/>
      <w:sz w:val="44"/>
    </w:rPr>
  </w:style>
  <w:style w:type="character" w:customStyle="1" w:styleId="87">
    <w:name w:val="Table Text Char"/>
    <w:link w:val="88"/>
    <w:qFormat/>
    <w:uiPriority w:val="0"/>
    <w:rPr>
      <w:rFonts w:ascii="Arial" w:hAnsi="Arial"/>
      <w:kern w:val="2"/>
      <w:sz w:val="18"/>
      <w:lang w:val="en-US" w:eastAsia="zh-CN" w:bidi="ar-SA"/>
    </w:rPr>
  </w:style>
  <w:style w:type="paragraph" w:customStyle="1" w:styleId="88">
    <w:name w:val="Table Text"/>
    <w:link w:val="87"/>
    <w:qFormat/>
    <w:uiPriority w:val="0"/>
    <w:pPr>
      <w:snapToGrid w:val="0"/>
      <w:spacing w:before="80" w:after="80"/>
    </w:pPr>
    <w:rPr>
      <w:rFonts w:ascii="Arial" w:hAnsi="Arial" w:eastAsia="宋体" w:cs="Times New Roman"/>
      <w:kern w:val="2"/>
      <w:sz w:val="18"/>
      <w:lang w:val="en-US" w:eastAsia="zh-CN" w:bidi="ar-SA"/>
    </w:rPr>
  </w:style>
  <w:style w:type="character" w:customStyle="1" w:styleId="89">
    <w:name w:val="v151"/>
    <w:qFormat/>
    <w:uiPriority w:val="0"/>
    <w:rPr>
      <w:sz w:val="18"/>
    </w:rPr>
  </w:style>
  <w:style w:type="character" w:customStyle="1" w:styleId="90">
    <w:name w:val="样式 宋体"/>
    <w:qFormat/>
    <w:uiPriority w:val="0"/>
    <w:rPr>
      <w:rFonts w:ascii="宋体" w:hAnsi="宋体" w:eastAsia="宋体"/>
      <w:sz w:val="28"/>
    </w:rPr>
  </w:style>
  <w:style w:type="character" w:customStyle="1" w:styleId="91">
    <w:name w:val="title_emph1"/>
    <w:qFormat/>
    <w:uiPriority w:val="0"/>
    <w:rPr>
      <w:rFonts w:hint="default" w:ascii="Arial" w:hAnsi="Arial"/>
      <w:b/>
      <w:sz w:val="20"/>
    </w:rPr>
  </w:style>
  <w:style w:type="character" w:customStyle="1" w:styleId="92">
    <w:name w:val="脚注文本 字符"/>
    <w:link w:val="45"/>
    <w:qFormat/>
    <w:uiPriority w:val="0"/>
    <w:rPr>
      <w:kern w:val="2"/>
      <w:sz w:val="18"/>
    </w:rPr>
  </w:style>
  <w:style w:type="character" w:customStyle="1" w:styleId="93">
    <w:name w:val="Char Char"/>
    <w:qFormat/>
    <w:uiPriority w:val="0"/>
    <w:rPr>
      <w:rFonts w:ascii="宋体" w:hAnsi="宋体" w:eastAsia="宋体"/>
      <w:kern w:val="2"/>
      <w:sz w:val="24"/>
      <w:lang w:val="en-US" w:eastAsia="zh-CN" w:bidi="ar-SA"/>
    </w:rPr>
  </w:style>
  <w:style w:type="character" w:customStyle="1" w:styleId="94">
    <w:name w:val="Table Heading Char Char"/>
    <w:qFormat/>
    <w:uiPriority w:val="0"/>
    <w:rPr>
      <w:rFonts w:ascii="Arial" w:hAnsi="Arial" w:eastAsia="黑体"/>
      <w:kern w:val="2"/>
      <w:sz w:val="18"/>
      <w:lang w:val="en-US" w:eastAsia="zh-CN"/>
    </w:rPr>
  </w:style>
  <w:style w:type="character" w:customStyle="1" w:styleId="95">
    <w:name w:val="正文 + 三号 Char"/>
    <w:qFormat/>
    <w:uiPriority w:val="0"/>
    <w:rPr>
      <w:rFonts w:eastAsia="宋体"/>
      <w:kern w:val="2"/>
      <w:sz w:val="21"/>
      <w:lang w:val="en-US" w:eastAsia="zh-CN"/>
    </w:rPr>
  </w:style>
  <w:style w:type="character" w:customStyle="1" w:styleId="96">
    <w:name w:val="Char Char5"/>
    <w:qFormat/>
    <w:uiPriority w:val="0"/>
    <w:rPr>
      <w:rFonts w:ascii="Arial" w:hAnsi="Arial" w:eastAsia="宋体"/>
      <w:b/>
      <w:smallCaps/>
      <w:kern w:val="28"/>
      <w:sz w:val="36"/>
      <w:lang w:val="en-US" w:eastAsia="en-US"/>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font01"/>
    <w:basedOn w:val="65"/>
    <w:qFormat/>
    <w:uiPriority w:val="0"/>
    <w:rPr>
      <w:rFonts w:hint="default" w:ascii="Times New Roman" w:hAnsi="Times New Roman" w:cs="Times New Roman"/>
      <w:color w:val="000000"/>
      <w:sz w:val="20"/>
      <w:szCs w:val="20"/>
      <w:u w:val="none"/>
    </w:rPr>
  </w:style>
  <w:style w:type="character" w:customStyle="1" w:styleId="100">
    <w:name w:val="font101"/>
    <w:qFormat/>
    <w:uiPriority w:val="0"/>
    <w:rPr>
      <w:rFonts w:hint="default" w:ascii="Times New Roman" w:hAnsi="Times New Roman" w:cs="Times New Roman"/>
      <w:color w:val="000000"/>
      <w:sz w:val="20"/>
      <w:szCs w:val="20"/>
      <w:u w:val="none"/>
    </w:rPr>
  </w:style>
  <w:style w:type="character" w:customStyle="1" w:styleId="101">
    <w:name w:val="Table Text Char1 Char"/>
    <w:qFormat/>
    <w:uiPriority w:val="0"/>
    <w:rPr>
      <w:rFonts w:ascii="Arial" w:hAnsi="Arial"/>
      <w:kern w:val="2"/>
      <w:sz w:val="18"/>
      <w:lang w:val="en-US" w:eastAsia="zh-CN" w:bidi="ar-SA"/>
    </w:rPr>
  </w:style>
  <w:style w:type="character" w:customStyle="1" w:styleId="102">
    <w:name w:val="Char Char2"/>
    <w:qFormat/>
    <w:uiPriority w:val="0"/>
    <w:rPr>
      <w:rFonts w:eastAsia="宋体"/>
      <w:kern w:val="2"/>
      <w:sz w:val="18"/>
      <w:lang w:val="en-US" w:eastAsia="zh-CN"/>
    </w:rPr>
  </w:style>
  <w:style w:type="character" w:customStyle="1" w:styleId="103">
    <w:name w:val="标题 2 字符"/>
    <w:link w:val="4"/>
    <w:qFormat/>
    <w:uiPriority w:val="0"/>
    <w:rPr>
      <w:rFonts w:ascii="Arial" w:hAnsi="Arial" w:eastAsia="黑体"/>
      <w:b/>
      <w:kern w:val="2"/>
      <w:sz w:val="32"/>
    </w:rPr>
  </w:style>
  <w:style w:type="character" w:customStyle="1" w:styleId="104">
    <w:name w:val="font31"/>
    <w:qFormat/>
    <w:uiPriority w:val="0"/>
    <w:rPr>
      <w:rFonts w:hint="eastAsia" w:ascii="宋体" w:hAnsi="宋体" w:eastAsia="宋体" w:cs="宋体"/>
      <w:b/>
      <w:color w:val="000000"/>
      <w:sz w:val="20"/>
      <w:szCs w:val="20"/>
      <w:u w:val="none"/>
    </w:rPr>
  </w:style>
  <w:style w:type="character" w:customStyle="1" w:styleId="105">
    <w:name w:val="文字 Char"/>
    <w:link w:val="106"/>
    <w:qFormat/>
    <w:uiPriority w:val="0"/>
    <w:rPr>
      <w:rFonts w:ascii="宋体"/>
      <w:kern w:val="2"/>
      <w:sz w:val="28"/>
    </w:rPr>
  </w:style>
  <w:style w:type="paragraph" w:customStyle="1" w:styleId="106">
    <w:name w:val="文字"/>
    <w:basedOn w:val="1"/>
    <w:link w:val="105"/>
    <w:qFormat/>
    <w:uiPriority w:val="0"/>
    <w:pPr>
      <w:tabs>
        <w:tab w:val="left" w:pos="8520"/>
      </w:tabs>
      <w:spacing w:line="312" w:lineRule="auto"/>
      <w:ind w:right="-210" w:firstLine="556"/>
    </w:pPr>
    <w:rPr>
      <w:rFonts w:ascii="宋体"/>
    </w:rPr>
  </w:style>
  <w:style w:type="character" w:customStyle="1" w:styleId="107">
    <w:name w:val="标题 3 字符"/>
    <w:link w:val="5"/>
    <w:qFormat/>
    <w:uiPriority w:val="0"/>
    <w:rPr>
      <w:rFonts w:eastAsia="宋体"/>
      <w:b/>
      <w:kern w:val="2"/>
      <w:sz w:val="32"/>
      <w:lang w:val="en-US" w:eastAsia="zh-CN"/>
    </w:rPr>
  </w:style>
  <w:style w:type="character" w:customStyle="1" w:styleId="108">
    <w:name w:val="Char Char6"/>
    <w:qFormat/>
    <w:uiPriority w:val="0"/>
    <w:rPr>
      <w:rFonts w:ascii="仿宋_GB2312" w:eastAsia="仿宋_GB2312"/>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正文文本首行缩进 2 字符"/>
    <w:basedOn w:val="86"/>
    <w:link w:val="62"/>
    <w:qFormat/>
    <w:uiPriority w:val="0"/>
    <w:rPr>
      <w:kern w:val="2"/>
      <w:sz w:val="44"/>
    </w:rPr>
  </w:style>
  <w:style w:type="character" w:customStyle="1" w:styleId="111">
    <w:name w:val="标书正文:  0.74 厘米 Char1"/>
    <w:qFormat/>
    <w:uiPriority w:val="0"/>
    <w:rPr>
      <w:rFonts w:eastAsia="宋体"/>
      <w:kern w:val="2"/>
      <w:sz w:val="24"/>
      <w:lang w:val="en-US" w:eastAsia="zh-CN"/>
    </w:rPr>
  </w:style>
  <w:style w:type="character" w:customStyle="1" w:styleId="112">
    <w:name w:val="日期 字符"/>
    <w:link w:val="35"/>
    <w:qFormat/>
    <w:uiPriority w:val="0"/>
    <w:rPr>
      <w:kern w:val="2"/>
      <w:sz w:val="28"/>
    </w:rPr>
  </w:style>
  <w:style w:type="character" w:customStyle="1" w:styleId="113">
    <w:name w:val="font1"/>
    <w:qFormat/>
    <w:uiPriority w:val="0"/>
    <w:rPr>
      <w:color w:val="000000"/>
      <w:sz w:val="18"/>
    </w:rPr>
  </w:style>
  <w:style w:type="character" w:customStyle="1" w:styleId="114">
    <w:name w:val="Char Char4"/>
    <w:qFormat/>
    <w:uiPriority w:val="0"/>
    <w:rPr>
      <w:rFonts w:eastAsia="宋体"/>
      <w:b/>
      <w:kern w:val="2"/>
      <w:sz w:val="21"/>
      <w:lang w:val="en-US" w:eastAsia="zh-CN"/>
    </w:rPr>
  </w:style>
  <w:style w:type="character" w:customStyle="1" w:styleId="115">
    <w:name w:val="top-det1"/>
    <w:qFormat/>
    <w:uiPriority w:val="0"/>
    <w:rPr>
      <w:b/>
      <w:color w:val="000000"/>
    </w:rPr>
  </w:style>
  <w:style w:type="character" w:customStyle="1" w:styleId="116">
    <w:name w:val="crowed11"/>
    <w:qFormat/>
    <w:uiPriority w:val="0"/>
    <w:rPr>
      <w:rFonts w:hint="default"/>
      <w:sz w:val="24"/>
    </w:rPr>
  </w:style>
  <w:style w:type="character" w:customStyle="1" w:styleId="117">
    <w:name w:val="H2 Char"/>
    <w:qFormat/>
    <w:uiPriority w:val="0"/>
    <w:rPr>
      <w:rFonts w:ascii="Arial" w:hAnsi="Arial" w:eastAsia="宋体"/>
      <w:kern w:val="2"/>
      <w:sz w:val="28"/>
      <w:lang w:val="en-US" w:eastAsia="zh-CN"/>
    </w:rPr>
  </w:style>
  <w:style w:type="character" w:customStyle="1" w:styleId="118">
    <w:name w:val="小 Char"/>
    <w:qFormat/>
    <w:uiPriority w:val="0"/>
    <w:rPr>
      <w:rFonts w:ascii="宋体" w:hAnsi="Courier New" w:eastAsia="宋体"/>
      <w:kern w:val="2"/>
      <w:sz w:val="21"/>
      <w:lang w:val="en-US" w:eastAsia="zh-CN" w:bidi="ar-SA"/>
    </w:rPr>
  </w:style>
  <w:style w:type="character" w:customStyle="1" w:styleId="119">
    <w:name w:val="页脚 字符"/>
    <w:link w:val="38"/>
    <w:qFormat/>
    <w:uiPriority w:val="99"/>
    <w:rPr>
      <w:kern w:val="2"/>
      <w:sz w:val="18"/>
    </w:rPr>
  </w:style>
  <w:style w:type="character" w:customStyle="1" w:styleId="120">
    <w:name w:val="font11"/>
    <w:qFormat/>
    <w:uiPriority w:val="0"/>
    <w:rPr>
      <w:rFonts w:hint="eastAsia" w:ascii="宋体" w:hAnsi="宋体" w:eastAsia="宋体" w:cs="宋体"/>
      <w:color w:val="000000"/>
      <w:sz w:val="20"/>
      <w:szCs w:val="20"/>
      <w:u w:val="none"/>
      <w:vertAlign w:val="superscript"/>
    </w:rPr>
  </w:style>
  <w:style w:type="paragraph" w:customStyle="1" w:styleId="121">
    <w:name w:val="样式 正文缩进正文（首行缩进两字）表正文正文非缩进特点标题4段1 + 首行缩进:  2 字符"/>
    <w:basedOn w:val="16"/>
    <w:qFormat/>
    <w:uiPriority w:val="0"/>
    <w:pPr>
      <w:ind w:firstLine="480" w:firstLineChars="200"/>
    </w:pPr>
  </w:style>
  <w:style w:type="paragraph" w:customStyle="1" w:styleId="122">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3">
    <w:name w:val="修订1"/>
    <w:qFormat/>
    <w:uiPriority w:val="0"/>
    <w:rPr>
      <w:rFonts w:ascii="Calibri" w:hAnsi="Calibri" w:eastAsia="宋体" w:cs="Times New Roman"/>
      <w:kern w:val="2"/>
      <w:sz w:val="21"/>
      <w:lang w:val="en-US" w:eastAsia="zh-CN" w:bidi="ar-SA"/>
    </w:rPr>
  </w:style>
  <w:style w:type="paragraph" w:customStyle="1" w:styleId="124">
    <w:name w:val="正文（首行不缩进）"/>
    <w:basedOn w:val="1"/>
    <w:qFormat/>
    <w:uiPriority w:val="0"/>
    <w:pPr>
      <w:autoSpaceDE w:val="0"/>
      <w:autoSpaceDN w:val="0"/>
      <w:adjustRightInd w:val="0"/>
      <w:spacing w:line="360" w:lineRule="auto"/>
      <w:jc w:val="left"/>
    </w:pPr>
    <w:rPr>
      <w:kern w:val="0"/>
      <w:sz w:val="21"/>
    </w:rPr>
  </w:style>
  <w:style w:type="paragraph" w:customStyle="1" w:styleId="12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6">
    <w:name w:val="无间隔1"/>
    <w:qFormat/>
    <w:uiPriority w:val="1"/>
    <w:pPr>
      <w:jc w:val="both"/>
    </w:pPr>
    <w:rPr>
      <w:rFonts w:ascii="Calibri" w:hAnsi="Calibri" w:eastAsia="Times New Roman" w:cs="Times New Roman"/>
      <w:lang w:val="en-US" w:eastAsia="zh-CN" w:bidi="ar-SA"/>
    </w:rPr>
  </w:style>
  <w:style w:type="paragraph" w:customStyle="1" w:styleId="127">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8">
    <w:name w:val="Table Paragraph"/>
    <w:basedOn w:val="1"/>
    <w:qFormat/>
    <w:uiPriority w:val="1"/>
    <w:pPr>
      <w:autoSpaceDE w:val="0"/>
      <w:autoSpaceDN w:val="0"/>
      <w:adjustRightInd w:val="0"/>
    </w:pPr>
    <w:rPr>
      <w:sz w:val="24"/>
    </w:rPr>
  </w:style>
  <w:style w:type="paragraph" w:customStyle="1" w:styleId="129">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0">
    <w:name w:val="样式5"/>
    <w:basedOn w:val="131"/>
    <w:next w:val="1"/>
    <w:qFormat/>
    <w:uiPriority w:val="0"/>
  </w:style>
  <w:style w:type="paragraph" w:customStyle="1" w:styleId="131">
    <w:name w:val="编号正文"/>
    <w:basedOn w:val="132"/>
    <w:qFormat/>
    <w:uiPriority w:val="0"/>
    <w:pPr>
      <w:snapToGrid/>
      <w:spacing w:line="360" w:lineRule="auto"/>
      <w:ind w:left="1407" w:hanging="1047"/>
      <w:jc w:val="left"/>
    </w:pPr>
    <w:rPr>
      <w:rFonts w:eastAsia="仿宋_GB2312"/>
    </w:rPr>
  </w:style>
  <w:style w:type="paragraph" w:customStyle="1" w:styleId="132">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3">
    <w:name w:val="样式10"/>
    <w:basedOn w:val="1"/>
    <w:next w:val="1"/>
    <w:qFormat/>
    <w:uiPriority w:val="0"/>
    <w:rPr>
      <w:rFonts w:ascii="Times New Roman" w:hAnsi="Times New Roman" w:eastAsia="仿宋"/>
      <w:sz w:val="24"/>
    </w:rPr>
  </w:style>
  <w:style w:type="paragraph" w:customStyle="1" w:styleId="134">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5">
    <w:name w:val="Char Char1 Char"/>
    <w:basedOn w:val="1"/>
    <w:qFormat/>
    <w:uiPriority w:val="0"/>
    <w:rPr>
      <w:rFonts w:ascii="Tahoma" w:hAnsi="Tahoma"/>
      <w:sz w:val="24"/>
      <w:szCs w:val="24"/>
    </w:rPr>
  </w:style>
  <w:style w:type="paragraph" w:customStyle="1" w:styleId="136">
    <w:name w:val="样式1xz"/>
    <w:basedOn w:val="1"/>
    <w:qFormat/>
    <w:uiPriority w:val="0"/>
    <w:pPr>
      <w:tabs>
        <w:tab w:val="left" w:pos="1050"/>
        <w:tab w:val="right" w:leader="dot" w:pos="8296"/>
      </w:tabs>
    </w:pPr>
    <w:rPr>
      <w:caps/>
      <w:spacing w:val="20"/>
      <w:sz w:val="24"/>
    </w:rPr>
  </w:style>
  <w:style w:type="paragraph" w:customStyle="1" w:styleId="137">
    <w:name w:val="_Style 19"/>
    <w:basedOn w:val="1"/>
    <w:next w:val="138"/>
    <w:qFormat/>
    <w:uiPriority w:val="0"/>
    <w:pPr>
      <w:ind w:firstLine="420" w:firstLineChars="200"/>
    </w:pPr>
    <w:rPr>
      <w:sz w:val="21"/>
      <w:szCs w:val="22"/>
    </w:rPr>
  </w:style>
  <w:style w:type="paragraph" w:customStyle="1" w:styleId="138">
    <w:name w:val="列表段落1"/>
    <w:basedOn w:val="1"/>
    <w:qFormat/>
    <w:uiPriority w:val="0"/>
    <w:pPr>
      <w:ind w:firstLine="420" w:firstLineChars="200"/>
    </w:pPr>
  </w:style>
  <w:style w:type="paragraph" w:customStyle="1" w:styleId="139">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1">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4">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5">
    <w:name w:val="正文文本 21"/>
    <w:basedOn w:val="1"/>
    <w:qFormat/>
    <w:uiPriority w:val="0"/>
    <w:pPr>
      <w:adjustRightInd w:val="0"/>
      <w:spacing w:before="120" w:line="360" w:lineRule="auto"/>
      <w:ind w:firstLine="480"/>
      <w:textAlignment w:val="baseline"/>
    </w:pPr>
    <w:rPr>
      <w:sz w:val="24"/>
    </w:rPr>
  </w:style>
  <w:style w:type="paragraph" w:customStyle="1" w:styleId="146">
    <w:name w:val="首行缩进"/>
    <w:basedOn w:val="1"/>
    <w:qFormat/>
    <w:uiPriority w:val="0"/>
    <w:pPr>
      <w:numPr>
        <w:ilvl w:val="0"/>
        <w:numId w:val="4"/>
      </w:numPr>
      <w:spacing w:line="360" w:lineRule="auto"/>
    </w:pPr>
    <w:rPr>
      <w:rFonts w:eastAsia="仿宋_GB2312"/>
    </w:rPr>
  </w:style>
  <w:style w:type="paragraph" w:customStyle="1" w:styleId="147">
    <w:name w:val="简单回函地址"/>
    <w:basedOn w:val="1"/>
    <w:qFormat/>
    <w:uiPriority w:val="0"/>
    <w:pPr>
      <w:adjustRightInd w:val="0"/>
      <w:snapToGrid w:val="0"/>
      <w:spacing w:line="360" w:lineRule="auto"/>
    </w:pPr>
    <w:rPr>
      <w:sz w:val="24"/>
    </w:rPr>
  </w:style>
  <w:style w:type="paragraph" w:customStyle="1" w:styleId="148">
    <w:name w:val="二级列表"/>
    <w:basedOn w:val="149"/>
    <w:next w:val="149"/>
    <w:qFormat/>
    <w:uiPriority w:val="0"/>
    <w:pPr>
      <w:tabs>
        <w:tab w:val="left" w:pos="2120"/>
      </w:tabs>
      <w:ind w:firstLine="0" w:firstLineChars="0"/>
    </w:pPr>
    <w:rPr>
      <w:b/>
    </w:rPr>
  </w:style>
  <w:style w:type="paragraph" w:customStyle="1" w:styleId="149">
    <w:name w:val="段落正文"/>
    <w:basedOn w:val="1"/>
    <w:qFormat/>
    <w:uiPriority w:val="0"/>
    <w:pPr>
      <w:spacing w:beforeLines="50" w:line="360" w:lineRule="auto"/>
      <w:ind w:firstLine="200" w:firstLineChars="200"/>
    </w:pPr>
    <w:rPr>
      <w:spacing w:val="2"/>
      <w:sz w:val="24"/>
    </w:rPr>
  </w:style>
  <w:style w:type="paragraph" w:customStyle="1" w:styleId="150">
    <w:name w:val="标题无"/>
    <w:basedOn w:val="1"/>
    <w:qFormat/>
    <w:uiPriority w:val="0"/>
    <w:pPr>
      <w:spacing w:line="360" w:lineRule="auto"/>
    </w:pPr>
    <w:rPr>
      <w:sz w:val="24"/>
    </w:rPr>
  </w:style>
  <w:style w:type="paragraph" w:customStyle="1" w:styleId="151">
    <w:name w:val="没有缩进（为图形使用）"/>
    <w:basedOn w:val="1"/>
    <w:qFormat/>
    <w:uiPriority w:val="0"/>
    <w:pPr>
      <w:spacing w:before="120" w:after="120" w:line="360" w:lineRule="auto"/>
    </w:pPr>
    <w:rPr>
      <w:sz w:val="24"/>
    </w:rPr>
  </w:style>
  <w:style w:type="paragraph" w:customStyle="1" w:styleId="15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3">
    <w:name w:val="正文表格"/>
    <w:basedOn w:val="1"/>
    <w:qFormat/>
    <w:uiPriority w:val="0"/>
    <w:pPr>
      <w:adjustRightInd w:val="0"/>
      <w:spacing w:before="40" w:after="40"/>
    </w:pPr>
    <w:rPr>
      <w:sz w:val="24"/>
    </w:rPr>
  </w:style>
  <w:style w:type="paragraph" w:customStyle="1" w:styleId="15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5">
    <w:name w:val="标书正文:  0.74 厘米"/>
    <w:basedOn w:val="1"/>
    <w:qFormat/>
    <w:uiPriority w:val="0"/>
    <w:pPr>
      <w:snapToGrid w:val="0"/>
      <w:spacing w:line="360" w:lineRule="auto"/>
      <w:ind w:firstLine="420"/>
    </w:pPr>
    <w:rPr>
      <w:sz w:val="24"/>
    </w:rPr>
  </w:style>
  <w:style w:type="paragraph" w:customStyle="1" w:styleId="156">
    <w:name w:val="Title - Date"/>
    <w:basedOn w:val="59"/>
    <w:next w:val="1"/>
    <w:qFormat/>
    <w:uiPriority w:val="0"/>
    <w:pPr>
      <w:spacing w:before="240" w:after="720"/>
    </w:pPr>
    <w:rPr>
      <w:sz w:val="28"/>
    </w:rPr>
  </w:style>
  <w:style w:type="paragraph" w:customStyle="1" w:styleId="157">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58">
    <w:name w:val="样式11"/>
    <w:basedOn w:val="1"/>
    <w:next w:val="1"/>
    <w:qFormat/>
    <w:uiPriority w:val="0"/>
    <w:rPr>
      <w:rFonts w:ascii="Times New Roman" w:hAnsi="Times New Roman"/>
    </w:rPr>
  </w:style>
  <w:style w:type="paragraph" w:customStyle="1" w:styleId="159">
    <w:name w:val="Char Char14 Char Char"/>
    <w:basedOn w:val="1"/>
    <w:qFormat/>
    <w:uiPriority w:val="0"/>
    <w:rPr>
      <w:sz w:val="21"/>
      <w:szCs w:val="24"/>
    </w:rPr>
  </w:style>
  <w:style w:type="paragraph" w:customStyle="1" w:styleId="160">
    <w:name w:val="表头文本"/>
    <w:qFormat/>
    <w:uiPriority w:val="0"/>
    <w:pPr>
      <w:jc w:val="center"/>
    </w:pPr>
    <w:rPr>
      <w:rFonts w:ascii="Arial" w:hAnsi="Arial" w:eastAsia="宋体" w:cs="Times New Roman"/>
      <w:b/>
      <w:sz w:val="21"/>
      <w:lang w:val="en-US" w:eastAsia="zh-CN" w:bidi="ar-SA"/>
    </w:rPr>
  </w:style>
  <w:style w:type="paragraph" w:customStyle="1" w:styleId="161">
    <w:name w:val="Char Char Char Char Char Char Char"/>
    <w:basedOn w:val="1"/>
    <w:qFormat/>
    <w:uiPriority w:val="0"/>
    <w:rPr>
      <w:rFonts w:ascii="Tahoma" w:hAnsi="Tahoma"/>
      <w:sz w:val="24"/>
    </w:rPr>
  </w:style>
  <w:style w:type="paragraph" w:customStyle="1" w:styleId="16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5">
    <w:name w:val="正文文本缩进 21"/>
    <w:basedOn w:val="1"/>
    <w:qFormat/>
    <w:uiPriority w:val="0"/>
    <w:pPr>
      <w:adjustRightInd w:val="0"/>
      <w:spacing w:before="120"/>
      <w:ind w:firstLine="420"/>
      <w:textAlignment w:val="baseline"/>
    </w:pPr>
    <w:rPr>
      <w:sz w:val="24"/>
    </w:rPr>
  </w:style>
  <w:style w:type="paragraph" w:customStyle="1" w:styleId="166">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8">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9">
    <w:name w:val="样式 首行缩进:  0.74 厘米"/>
    <w:basedOn w:val="1"/>
    <w:qFormat/>
    <w:uiPriority w:val="0"/>
    <w:pPr>
      <w:spacing w:line="360" w:lineRule="auto"/>
      <w:ind w:firstLine="420"/>
    </w:pPr>
    <w:rPr>
      <w:sz w:val="24"/>
    </w:rPr>
  </w:style>
  <w:style w:type="paragraph" w:customStyle="1" w:styleId="170">
    <w:name w:val="表格文本"/>
    <w:qFormat/>
    <w:uiPriority w:val="0"/>
    <w:pPr>
      <w:tabs>
        <w:tab w:val="decimal" w:pos="0"/>
      </w:tabs>
    </w:pPr>
    <w:rPr>
      <w:rFonts w:ascii="Arial" w:hAnsi="Arial" w:eastAsia="宋体" w:cs="Times New Roman"/>
      <w:sz w:val="21"/>
      <w:lang w:val="en-US" w:eastAsia="zh-CN" w:bidi="ar-SA"/>
    </w:rPr>
  </w:style>
  <w:style w:type="paragraph" w:customStyle="1" w:styleId="171">
    <w:name w:val="默认段落字体 Para Char Char Char Char Char Char Char"/>
    <w:basedOn w:val="1"/>
    <w:qFormat/>
    <w:uiPriority w:val="0"/>
    <w:rPr>
      <w:rFonts w:ascii="Tahoma" w:hAnsi="Tahoma"/>
      <w:sz w:val="24"/>
    </w:rPr>
  </w:style>
  <w:style w:type="paragraph" w:customStyle="1" w:styleId="172">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3">
    <w:name w:val="Char1"/>
    <w:basedOn w:val="1"/>
    <w:qFormat/>
    <w:uiPriority w:val="0"/>
    <w:rPr>
      <w:sz w:val="21"/>
    </w:rPr>
  </w:style>
  <w:style w:type="paragraph" w:customStyle="1" w:styleId="174">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5">
    <w:name w:val="Char1 Char Char Char"/>
    <w:basedOn w:val="1"/>
    <w:qFormat/>
    <w:uiPriority w:val="0"/>
    <w:rPr>
      <w:rFonts w:ascii="Tahoma" w:hAnsi="Tahoma"/>
      <w:sz w:val="30"/>
    </w:rPr>
  </w:style>
  <w:style w:type="paragraph" w:customStyle="1" w:styleId="176">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7">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8">
    <w:name w:val="Table Contents"/>
    <w:basedOn w:val="23"/>
    <w:qFormat/>
    <w:uiPriority w:val="0"/>
    <w:pPr>
      <w:suppressAutoHyphens/>
      <w:jc w:val="left"/>
    </w:pPr>
    <w:rPr>
      <w:rFonts w:ascii="Times New Roman" w:eastAsia="Times New Roman"/>
      <w:kern w:val="0"/>
      <w:sz w:val="24"/>
    </w:rPr>
  </w:style>
  <w:style w:type="paragraph" w:customStyle="1" w:styleId="17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0">
    <w:name w:val="List Paragraph11"/>
    <w:basedOn w:val="1"/>
    <w:qFormat/>
    <w:uiPriority w:val="0"/>
    <w:pPr>
      <w:ind w:firstLine="420" w:firstLineChars="200"/>
    </w:pPr>
    <w:rPr>
      <w:rFonts w:ascii="等线" w:hAnsi="等线" w:eastAsia="等线"/>
      <w:sz w:val="21"/>
      <w:szCs w:val="22"/>
    </w:rPr>
  </w:style>
  <w:style w:type="paragraph" w:customStyle="1" w:styleId="181">
    <w:name w:val="附录3"/>
    <w:basedOn w:val="1"/>
    <w:next w:val="1"/>
    <w:qFormat/>
    <w:uiPriority w:val="0"/>
    <w:pPr>
      <w:tabs>
        <w:tab w:val="left" w:pos="851"/>
      </w:tabs>
      <w:ind w:left="425" w:hanging="425"/>
      <w:outlineLvl w:val="2"/>
    </w:pPr>
    <w:rPr>
      <w:rFonts w:eastAsia="黑体"/>
      <w:b/>
      <w:sz w:val="32"/>
    </w:rPr>
  </w:style>
  <w:style w:type="paragraph" w:customStyle="1" w:styleId="182">
    <w:name w:val="标题3——2"/>
    <w:basedOn w:val="5"/>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4">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5">
    <w:name w:val="List Paragraph1"/>
    <w:basedOn w:val="1"/>
    <w:qFormat/>
    <w:uiPriority w:val="0"/>
    <w:pPr>
      <w:ind w:firstLine="420" w:firstLineChars="200"/>
    </w:pPr>
    <w:rPr>
      <w:sz w:val="21"/>
      <w:szCs w:val="22"/>
    </w:rPr>
  </w:style>
  <w:style w:type="paragraph" w:customStyle="1" w:styleId="186">
    <w:name w:val="af"/>
    <w:basedOn w:val="1"/>
    <w:qFormat/>
    <w:uiPriority w:val="0"/>
    <w:pPr>
      <w:widowControl/>
      <w:spacing w:line="300" w:lineRule="atLeast"/>
      <w:jc w:val="left"/>
    </w:pPr>
    <w:rPr>
      <w:rFonts w:ascii="宋体" w:hAnsi="宋体"/>
      <w:kern w:val="0"/>
      <w:sz w:val="18"/>
    </w:rPr>
  </w:style>
  <w:style w:type="paragraph" w:customStyle="1" w:styleId="187">
    <w:name w:val="样式8"/>
    <w:basedOn w:val="1"/>
    <w:next w:val="1"/>
    <w:qFormat/>
    <w:uiPriority w:val="0"/>
    <w:rPr>
      <w:rFonts w:ascii="Times New Roman" w:hAnsi="Times New Roman" w:eastAsia="仿宋"/>
      <w:sz w:val="24"/>
    </w:rPr>
  </w:style>
  <w:style w:type="paragraph" w:customStyle="1" w:styleId="188">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9">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0">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1">
    <w:name w:val="图片文字"/>
    <w:basedOn w:val="1"/>
    <w:qFormat/>
    <w:uiPriority w:val="0"/>
    <w:pPr>
      <w:spacing w:line="240" w:lineRule="atLeast"/>
      <w:jc w:val="center"/>
    </w:pPr>
    <w:rPr>
      <w:sz w:val="21"/>
    </w:rPr>
  </w:style>
  <w:style w:type="paragraph" w:customStyle="1" w:styleId="192">
    <w:name w:val="表格内文字"/>
    <w:basedOn w:val="33"/>
    <w:qFormat/>
    <w:uiPriority w:val="0"/>
    <w:pPr>
      <w:adjustRightInd w:val="0"/>
    </w:pPr>
    <w:rPr>
      <w:color w:val="000000"/>
      <w:lang w:val="en-GB"/>
    </w:rPr>
  </w:style>
  <w:style w:type="paragraph" w:customStyle="1" w:styleId="193">
    <w:name w:val="二级条标题"/>
    <w:basedOn w:val="194"/>
    <w:next w:val="196"/>
    <w:qFormat/>
    <w:uiPriority w:val="0"/>
    <w:pPr>
      <w:ind w:left="840"/>
      <w:outlineLvl w:val="3"/>
    </w:pPr>
  </w:style>
  <w:style w:type="paragraph" w:customStyle="1" w:styleId="194">
    <w:name w:val="一级条标题"/>
    <w:basedOn w:val="195"/>
    <w:next w:val="196"/>
    <w:qFormat/>
    <w:uiPriority w:val="0"/>
    <w:pPr>
      <w:numPr>
        <w:numId w:val="0"/>
      </w:numPr>
      <w:spacing w:beforeLines="0" w:afterLines="0"/>
      <w:ind w:left="525"/>
      <w:outlineLvl w:val="2"/>
    </w:pPr>
    <w:rPr>
      <w:sz w:val="21"/>
    </w:rPr>
  </w:style>
  <w:style w:type="paragraph" w:customStyle="1" w:styleId="195">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6">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7">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98">
    <w:name w:val="标题 5（有编号）（绿盟科技）"/>
    <w:basedOn w:val="1"/>
    <w:next w:val="152"/>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9">
    <w:name w:val="Char2 Char Char Char Char Char Char"/>
    <w:basedOn w:val="1"/>
    <w:qFormat/>
    <w:uiPriority w:val="0"/>
    <w:rPr>
      <w:rFonts w:ascii="仿宋_GB2312"/>
      <w:b/>
      <w:sz w:val="30"/>
    </w:rPr>
  </w:style>
  <w:style w:type="paragraph" w:customStyle="1" w:styleId="200">
    <w:name w:val="表头样式"/>
    <w:basedOn w:val="1"/>
    <w:qFormat/>
    <w:uiPriority w:val="0"/>
    <w:pPr>
      <w:autoSpaceDE w:val="0"/>
      <w:autoSpaceDN w:val="0"/>
      <w:adjustRightInd w:val="0"/>
      <w:spacing w:line="360" w:lineRule="auto"/>
      <w:jc w:val="left"/>
    </w:pPr>
    <w:rPr>
      <w:b/>
      <w:kern w:val="0"/>
      <w:sz w:val="21"/>
    </w:rPr>
  </w:style>
  <w:style w:type="paragraph" w:customStyle="1" w:styleId="201">
    <w:name w:val="文本框样式1"/>
    <w:basedOn w:val="1"/>
    <w:qFormat/>
    <w:uiPriority w:val="0"/>
    <w:pPr>
      <w:adjustRightInd w:val="0"/>
      <w:snapToGrid w:val="0"/>
      <w:spacing w:before="60" w:line="180" w:lineRule="exact"/>
      <w:jc w:val="center"/>
    </w:pPr>
    <w:rPr>
      <w:sz w:val="21"/>
    </w:rPr>
  </w:style>
  <w:style w:type="paragraph" w:customStyle="1" w:styleId="202">
    <w:name w:val="样式6"/>
    <w:basedOn w:val="1"/>
    <w:next w:val="1"/>
    <w:qFormat/>
    <w:uiPriority w:val="0"/>
    <w:rPr>
      <w:rFonts w:ascii="Times New Roman" w:hAnsi="Times New Roman"/>
    </w:rPr>
  </w:style>
  <w:style w:type="paragraph" w:customStyle="1" w:styleId="203">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6">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7">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8">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IN Feature"/>
    <w:next w:val="211"/>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1">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2">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3">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4">
    <w:name w:val="正文字缩2字"/>
    <w:basedOn w:val="1"/>
    <w:qFormat/>
    <w:uiPriority w:val="0"/>
    <w:pPr>
      <w:spacing w:before="60" w:after="60" w:line="360" w:lineRule="auto"/>
      <w:ind w:left="200" w:leftChars="200" w:firstLine="200" w:firstLineChars="200"/>
    </w:pPr>
    <w:rPr>
      <w:sz w:val="24"/>
    </w:rPr>
  </w:style>
  <w:style w:type="paragraph" w:customStyle="1" w:styleId="21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6">
    <w:name w:val="样式4"/>
    <w:basedOn w:val="6"/>
    <w:qFormat/>
    <w:uiPriority w:val="0"/>
    <w:pPr>
      <w:adjustRightInd w:val="0"/>
      <w:snapToGrid w:val="0"/>
    </w:pPr>
  </w:style>
  <w:style w:type="paragraph" w:customStyle="1" w:styleId="217">
    <w:name w:val="样式 行距: 1.5 倍行距1"/>
    <w:basedOn w:val="1"/>
    <w:qFormat/>
    <w:uiPriority w:val="0"/>
    <w:pPr>
      <w:snapToGrid w:val="0"/>
    </w:pPr>
    <w:rPr>
      <w:sz w:val="21"/>
    </w:rPr>
  </w:style>
  <w:style w:type="paragraph" w:customStyle="1" w:styleId="218">
    <w:name w:val="Char"/>
    <w:basedOn w:val="1"/>
    <w:qFormat/>
    <w:uiPriority w:val="0"/>
    <w:pPr>
      <w:spacing w:line="240" w:lineRule="atLeast"/>
      <w:ind w:left="420" w:firstLine="420"/>
    </w:pPr>
    <w:rPr>
      <w:kern w:val="0"/>
      <w:sz w:val="21"/>
    </w:rPr>
  </w:style>
  <w:style w:type="paragraph" w:customStyle="1" w:styleId="219">
    <w:name w:val="样式1"/>
    <w:basedOn w:val="6"/>
    <w:qFormat/>
    <w:uiPriority w:val="0"/>
    <w:pPr>
      <w:tabs>
        <w:tab w:val="left" w:pos="720"/>
      </w:tabs>
      <w:spacing w:before="500" w:after="260" w:line="560" w:lineRule="atLeast"/>
      <w:ind w:left="420" w:hanging="420"/>
    </w:pPr>
  </w:style>
  <w:style w:type="paragraph" w:customStyle="1" w:styleId="220">
    <w:name w:val="标准正文"/>
    <w:basedOn w:val="25"/>
    <w:qFormat/>
    <w:uiPriority w:val="0"/>
    <w:pPr>
      <w:spacing w:before="60" w:after="60" w:line="360" w:lineRule="auto"/>
      <w:ind w:left="0" w:firstLine="482"/>
    </w:pPr>
    <w:rPr>
      <w:rFonts w:ascii="Arial" w:hAnsi="Arial"/>
      <w:sz w:val="24"/>
    </w:rPr>
  </w:style>
  <w:style w:type="paragraph" w:customStyle="1" w:styleId="221">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2">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3">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4">
    <w:name w:val="样式7"/>
    <w:basedOn w:val="1"/>
    <w:next w:val="1"/>
    <w:qFormat/>
    <w:uiPriority w:val="0"/>
    <w:rPr>
      <w:rFonts w:ascii="Times New Roman" w:hAnsi="Times New Roman"/>
    </w:rPr>
  </w:style>
  <w:style w:type="paragraph" w:customStyle="1" w:styleId="225">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6">
    <w:name w:val="样式 宋体 五号 行距: 单倍行距"/>
    <w:basedOn w:val="1"/>
    <w:qFormat/>
    <w:uiPriority w:val="0"/>
    <w:pPr>
      <w:adjustRightInd w:val="0"/>
      <w:jc w:val="left"/>
    </w:pPr>
    <w:rPr>
      <w:rFonts w:ascii="宋体" w:hAnsi="宋体"/>
      <w:kern w:val="0"/>
      <w:sz w:val="21"/>
    </w:rPr>
  </w:style>
  <w:style w:type="paragraph" w:customStyle="1" w:styleId="227">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8">
    <w:name w:val="Char Char 字元 字元 字元 Char Char Char Char"/>
    <w:basedOn w:val="1"/>
    <w:qFormat/>
    <w:uiPriority w:val="0"/>
    <w:pPr>
      <w:adjustRightInd w:val="0"/>
      <w:spacing w:line="360" w:lineRule="auto"/>
    </w:pPr>
    <w:rPr>
      <w:kern w:val="0"/>
      <w:sz w:val="24"/>
    </w:rPr>
  </w:style>
  <w:style w:type="paragraph" w:customStyle="1" w:styleId="229">
    <w:name w:val="内容标题"/>
    <w:basedOn w:val="18"/>
    <w:qFormat/>
    <w:uiPriority w:val="0"/>
    <w:rPr>
      <w:rFonts w:ascii="Tahoma" w:hAnsi="Tahoma"/>
      <w:sz w:val="24"/>
    </w:rPr>
  </w:style>
  <w:style w:type="paragraph" w:customStyle="1" w:styleId="230">
    <w:name w:val="Char Char Char Char Char Char Char Char Char Char Char Char Char Char Char Char"/>
    <w:basedOn w:val="1"/>
    <w:qFormat/>
    <w:uiPriority w:val="0"/>
    <w:pPr>
      <w:tabs>
        <w:tab w:val="left" w:pos="360"/>
      </w:tabs>
    </w:pPr>
    <w:rPr>
      <w:sz w:val="24"/>
    </w:rPr>
  </w:style>
  <w:style w:type="paragraph" w:customStyle="1" w:styleId="23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3">
    <w:name w:val="图例"/>
    <w:basedOn w:val="1"/>
    <w:qFormat/>
    <w:uiPriority w:val="0"/>
    <w:pPr>
      <w:spacing w:before="120" w:after="120" w:line="360" w:lineRule="auto"/>
      <w:jc w:val="center"/>
    </w:pPr>
    <w:rPr>
      <w:rFonts w:eastAsia="仿宋_GB2312"/>
      <w:b/>
      <w:sz w:val="24"/>
    </w:rPr>
  </w:style>
  <w:style w:type="paragraph" w:customStyle="1" w:styleId="234">
    <w:name w:val="00"/>
    <w:basedOn w:val="1"/>
    <w:qFormat/>
    <w:uiPriority w:val="0"/>
    <w:pPr>
      <w:autoSpaceDE w:val="0"/>
      <w:autoSpaceDN w:val="0"/>
      <w:adjustRightInd w:val="0"/>
      <w:jc w:val="left"/>
    </w:pPr>
    <w:rPr>
      <w:rFonts w:ascii="黑体" w:eastAsia="黑体"/>
      <w:b/>
      <w:kern w:val="0"/>
      <w:sz w:val="20"/>
    </w:rPr>
  </w:style>
  <w:style w:type="paragraph" w:customStyle="1" w:styleId="235">
    <w:name w:val="Char1 Char Char Char1"/>
    <w:basedOn w:val="1"/>
    <w:qFormat/>
    <w:uiPriority w:val="0"/>
    <w:rPr>
      <w:rFonts w:ascii="Tahoma" w:hAnsi="Tahoma"/>
      <w:sz w:val="24"/>
    </w:rPr>
  </w:style>
  <w:style w:type="paragraph" w:customStyle="1" w:styleId="236">
    <w:name w:val="表文字"/>
    <w:qFormat/>
    <w:uiPriority w:val="0"/>
    <w:rPr>
      <w:rFonts w:ascii="宋体" w:hAnsi="Calibri" w:eastAsia="宋体" w:cs="Times New Roman"/>
      <w:kern w:val="2"/>
      <w:lang w:val="en-US" w:eastAsia="zh-CN" w:bidi="ar-SA"/>
    </w:rPr>
  </w:style>
  <w:style w:type="paragraph" w:customStyle="1" w:styleId="237">
    <w:name w:val="正文4"/>
    <w:basedOn w:val="1"/>
    <w:qFormat/>
    <w:uiPriority w:val="0"/>
    <w:pPr>
      <w:tabs>
        <w:tab w:val="left" w:pos="1275"/>
      </w:tabs>
      <w:spacing w:before="60" w:after="60" w:line="360" w:lineRule="auto"/>
      <w:ind w:left="820" w:leftChars="400" w:hanging="705"/>
    </w:pPr>
    <w:rPr>
      <w:sz w:val="24"/>
    </w:rPr>
  </w:style>
  <w:style w:type="paragraph" w:customStyle="1" w:styleId="238">
    <w:name w:val="可研正文"/>
    <w:basedOn w:val="23"/>
    <w:qFormat/>
    <w:uiPriority w:val="0"/>
    <w:pPr>
      <w:adjustRightInd w:val="0"/>
      <w:snapToGrid w:val="0"/>
      <w:spacing w:line="440" w:lineRule="exact"/>
      <w:ind w:firstLine="567"/>
    </w:pPr>
    <w:rPr>
      <w:sz w:val="28"/>
    </w:rPr>
  </w:style>
  <w:style w:type="paragraph" w:customStyle="1" w:styleId="239">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0">
    <w:name w:val="正文 + 三号"/>
    <w:basedOn w:val="1"/>
    <w:qFormat/>
    <w:uiPriority w:val="0"/>
    <w:rPr>
      <w:sz w:val="21"/>
    </w:rPr>
  </w:style>
  <w:style w:type="paragraph" w:customStyle="1" w:styleId="241">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2">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3">
    <w:name w:val="标题1"/>
    <w:basedOn w:val="1"/>
    <w:next w:val="1"/>
    <w:qFormat/>
    <w:uiPriority w:val="0"/>
    <w:rPr>
      <w:rFonts w:ascii="Times New Roman" w:hAnsi="Times New Roman"/>
    </w:rPr>
  </w:style>
  <w:style w:type="paragraph" w:customStyle="1" w:styleId="244">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5">
    <w:name w:val="关键词"/>
    <w:basedOn w:val="1"/>
    <w:next w:val="1"/>
    <w:qFormat/>
    <w:uiPriority w:val="0"/>
    <w:pPr>
      <w:spacing w:line="360" w:lineRule="auto"/>
    </w:pPr>
    <w:rPr>
      <w:rFonts w:eastAsia="黑体"/>
      <w:sz w:val="20"/>
    </w:rPr>
  </w:style>
  <w:style w:type="paragraph" w:customStyle="1" w:styleId="246">
    <w:name w:val="Char Char Char Char Char Char Char1"/>
    <w:basedOn w:val="18"/>
    <w:qFormat/>
    <w:uiPriority w:val="0"/>
    <w:rPr>
      <w:rFonts w:ascii="宋体" w:hAnsi="Tahoma"/>
    </w:rPr>
  </w:style>
  <w:style w:type="paragraph" w:customStyle="1" w:styleId="247">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8">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0">
    <w:name w:val="Char2"/>
    <w:basedOn w:val="1"/>
    <w:qFormat/>
    <w:uiPriority w:val="0"/>
    <w:pPr>
      <w:spacing w:line="240" w:lineRule="atLeast"/>
      <w:ind w:left="420" w:firstLine="420"/>
    </w:pPr>
    <w:rPr>
      <w:kern w:val="0"/>
      <w:sz w:val="21"/>
    </w:rPr>
  </w:style>
  <w:style w:type="paragraph" w:customStyle="1" w:styleId="251">
    <w:name w:val="样式12"/>
    <w:basedOn w:val="1"/>
    <w:next w:val="1"/>
    <w:qFormat/>
    <w:uiPriority w:val="0"/>
    <w:rPr>
      <w:rFonts w:ascii="Times New Roman" w:hAnsi="Times New Roman" w:eastAsia="仿宋"/>
      <w:sz w:val="24"/>
    </w:rPr>
  </w:style>
  <w:style w:type="paragraph" w:customStyle="1" w:styleId="252">
    <w:name w:val="样式2"/>
    <w:basedOn w:val="6"/>
    <w:qFormat/>
    <w:uiPriority w:val="0"/>
    <w:pPr>
      <w:numPr>
        <w:ilvl w:val="0"/>
        <w:numId w:val="13"/>
      </w:numPr>
      <w:spacing w:before="560" w:line="400" w:lineRule="exact"/>
      <w:jc w:val="center"/>
      <w:outlineLvl w:val="0"/>
    </w:pPr>
    <w:rPr>
      <w:sz w:val="44"/>
    </w:rPr>
  </w:style>
  <w:style w:type="paragraph" w:customStyle="1" w:styleId="25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4">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5">
    <w:name w:val="文章正文"/>
    <w:basedOn w:val="1"/>
    <w:qFormat/>
    <w:uiPriority w:val="0"/>
    <w:pPr>
      <w:ind w:firstLine="560" w:firstLineChars="200"/>
    </w:pPr>
    <w:rPr>
      <w:rFonts w:ascii="仿宋_GB2312" w:hAnsi="宋体" w:eastAsia="仿宋_GB2312"/>
      <w:color w:val="000000"/>
    </w:rPr>
  </w:style>
  <w:style w:type="paragraph" w:customStyle="1" w:styleId="256">
    <w:name w:val="默认段落字体 Para Char Char Char Char Char Char Char Char Char1 Char Char Char Char"/>
    <w:basedOn w:val="1"/>
    <w:qFormat/>
    <w:uiPriority w:val="0"/>
    <w:rPr>
      <w:rFonts w:ascii="Tahoma" w:hAnsi="Tahoma"/>
      <w:sz w:val="24"/>
    </w:rPr>
  </w:style>
  <w:style w:type="paragraph" w:customStyle="1" w:styleId="257">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8">
    <w:name w:val="Title - Revision"/>
    <w:basedOn w:val="59"/>
    <w:qFormat/>
    <w:uiPriority w:val="0"/>
    <w:pPr>
      <w:spacing w:before="720"/>
    </w:pPr>
  </w:style>
  <w:style w:type="paragraph" w:customStyle="1" w:styleId="259">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1">
    <w:name w:val="Note"/>
    <w:basedOn w:val="1"/>
    <w:qFormat/>
    <w:uiPriority w:val="0"/>
    <w:pPr>
      <w:pBdr>
        <w:top w:val="single" w:color="auto" w:sz="12" w:space="3"/>
        <w:bottom w:val="single" w:color="auto" w:sz="12" w:space="3"/>
      </w:pBdr>
      <w:spacing w:line="360" w:lineRule="auto"/>
    </w:pPr>
    <w:rPr>
      <w:sz w:val="24"/>
    </w:rPr>
  </w:style>
  <w:style w:type="paragraph" w:customStyle="1" w:styleId="26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4">
    <w:name w:val="样式9"/>
    <w:basedOn w:val="1"/>
    <w:next w:val="1"/>
    <w:qFormat/>
    <w:uiPriority w:val="0"/>
    <w:rPr>
      <w:rFonts w:ascii="Times New Roman" w:hAnsi="Times New Roman" w:eastAsia="仿宋"/>
      <w:sz w:val="24"/>
    </w:rPr>
  </w:style>
  <w:style w:type="paragraph" w:customStyle="1" w:styleId="265">
    <w:name w:val="首行缩进 1"/>
    <w:basedOn w:val="1"/>
    <w:qFormat/>
    <w:uiPriority w:val="0"/>
    <w:pPr>
      <w:spacing w:after="120" w:line="360" w:lineRule="auto"/>
      <w:ind w:firstLine="200" w:firstLineChars="200"/>
    </w:pPr>
    <w:rPr>
      <w:sz w:val="24"/>
    </w:rPr>
  </w:style>
  <w:style w:type="paragraph" w:customStyle="1" w:styleId="266">
    <w:name w:val="1"/>
    <w:basedOn w:val="1"/>
    <w:next w:val="33"/>
    <w:qFormat/>
    <w:uiPriority w:val="0"/>
    <w:rPr>
      <w:rFonts w:ascii="宋体" w:hAnsi="Courier New"/>
      <w:sz w:val="21"/>
    </w:rPr>
  </w:style>
  <w:style w:type="paragraph" w:customStyle="1" w:styleId="267">
    <w:name w:val="1.正文"/>
    <w:basedOn w:val="1"/>
    <w:qFormat/>
    <w:uiPriority w:val="0"/>
    <w:pPr>
      <w:spacing w:line="360" w:lineRule="auto"/>
      <w:ind w:left="540" w:leftChars="225" w:firstLine="540" w:firstLineChars="225"/>
    </w:pPr>
    <w:rPr>
      <w:sz w:val="24"/>
    </w:rPr>
  </w:style>
  <w:style w:type="paragraph" w:customStyle="1" w:styleId="268">
    <w:name w:val="Style Heading 3h3Heading 3 - oldLevel 3 HeadH3level_3PIM 3se..."/>
    <w:basedOn w:val="5"/>
    <w:qFormat/>
    <w:uiPriority w:val="0"/>
    <w:pPr>
      <w:tabs>
        <w:tab w:val="left" w:pos="709"/>
        <w:tab w:val="left" w:pos="1620"/>
      </w:tabs>
      <w:ind w:left="1620" w:hanging="360"/>
    </w:pPr>
  </w:style>
  <w:style w:type="paragraph" w:customStyle="1" w:styleId="269">
    <w:name w:val="摘要"/>
    <w:basedOn w:val="1"/>
    <w:next w:val="4"/>
    <w:qFormat/>
    <w:uiPriority w:val="0"/>
    <w:pPr>
      <w:spacing w:line="360" w:lineRule="auto"/>
    </w:pPr>
    <w:rPr>
      <w:rFonts w:eastAsia="黑体"/>
      <w:sz w:val="20"/>
    </w:rPr>
  </w:style>
  <w:style w:type="paragraph" w:customStyle="1" w:styleId="270">
    <w:name w:val="Char Char Char"/>
    <w:basedOn w:val="1"/>
    <w:qFormat/>
    <w:uiPriority w:val="0"/>
    <w:rPr>
      <w:rFonts w:ascii="Tahoma" w:hAnsi="Tahoma"/>
      <w:sz w:val="24"/>
    </w:rPr>
  </w:style>
  <w:style w:type="character" w:customStyle="1" w:styleId="271">
    <w:name w:val="font61"/>
    <w:basedOn w:val="65"/>
    <w:qFormat/>
    <w:uiPriority w:val="0"/>
    <w:rPr>
      <w:rFonts w:hint="default" w:ascii="Times New Roman" w:hAnsi="Times New Roman" w:cs="Times New Roman"/>
      <w:color w:val="000000"/>
      <w:sz w:val="18"/>
      <w:szCs w:val="18"/>
      <w:u w:val="none"/>
    </w:rPr>
  </w:style>
  <w:style w:type="character" w:customStyle="1" w:styleId="272">
    <w:name w:val="font21"/>
    <w:basedOn w:val="65"/>
    <w:qFormat/>
    <w:uiPriority w:val="0"/>
    <w:rPr>
      <w:rFonts w:hint="eastAsia" w:ascii="宋体" w:hAnsi="宋体" w:eastAsia="宋体" w:cs="宋体"/>
      <w:color w:val="000000"/>
      <w:sz w:val="18"/>
      <w:szCs w:val="18"/>
      <w:u w:val="none"/>
    </w:rPr>
  </w:style>
  <w:style w:type="character" w:customStyle="1" w:styleId="273">
    <w:name w:val="NormalCharacter"/>
    <w:link w:val="1"/>
    <w:qFormat/>
    <w:uiPriority w:val="0"/>
    <w:rPr>
      <w:rFonts w:ascii="Calibri" w:hAnsi="Calibri" w:eastAsia="宋体" w:cs="Times New Roman"/>
      <w:kern w:val="2"/>
      <w:sz w:val="28"/>
      <w:lang w:val="en-US" w:eastAsia="zh-CN" w:bidi="ar-SA"/>
    </w:rPr>
  </w:style>
  <w:style w:type="character" w:customStyle="1" w:styleId="274">
    <w:name w:val="font71"/>
    <w:basedOn w:val="65"/>
    <w:qFormat/>
    <w:uiPriority w:val="0"/>
    <w:rPr>
      <w:rFonts w:hint="eastAsia" w:ascii="宋体" w:hAnsi="宋体" w:eastAsia="宋体" w:cs="宋体"/>
      <w:color w:val="000000"/>
      <w:sz w:val="20"/>
      <w:szCs w:val="20"/>
      <w:u w:val="none"/>
    </w:rPr>
  </w:style>
  <w:style w:type="paragraph" w:customStyle="1" w:styleId="275">
    <w:name w:val="BodyText"/>
    <w:basedOn w:val="1"/>
    <w:next w:val="1"/>
    <w:qFormat/>
    <w:uiPriority w:val="99"/>
    <w:pPr>
      <w:spacing w:line="500" w:lineRule="exact"/>
      <w:textAlignment w:val="baseline"/>
    </w:pPr>
    <w:rPr>
      <w:rFonts w:ascii="宋体" w:hAnsi="宋体" w:cs="宋体"/>
      <w:kern w:val="0"/>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 w:type="paragraph" w:customStyle="1" w:styleId="278">
    <w:name w:val="Heading3"/>
    <w:basedOn w:val="1"/>
    <w:next w:val="1"/>
    <w:qFormat/>
    <w:uiPriority w:val="0"/>
    <w:pPr>
      <w:keepNext/>
      <w:keepLines/>
      <w:spacing w:before="260" w:after="260" w:line="413" w:lineRule="auto"/>
      <w:jc w:val="both"/>
      <w:textAlignment w:val="baseline"/>
    </w:pPr>
    <w:rPr>
      <w:b/>
      <w:kern w:val="2"/>
      <w:sz w:val="32"/>
      <w:lang w:val="en-US" w:eastAsia="zh-CN" w:bidi="ar-SA"/>
    </w:rPr>
  </w:style>
  <w:style w:type="paragraph" w:customStyle="1" w:styleId="279">
    <w:name w:val="参数正文"/>
    <w:basedOn w:val="1"/>
    <w:qFormat/>
    <w:uiPriority w:val="0"/>
    <w:pPr>
      <w:spacing w:before="0" w:beforeLines="0" w:beforeAutospacing="0" w:after="0" w:afterLines="0" w:afterAutospacing="0"/>
    </w:pPr>
    <w:rPr>
      <w:lang w:val="en-US" w:eastAsia="uk-UA"/>
    </w:rPr>
  </w:style>
  <w:style w:type="paragraph" w:customStyle="1" w:styleId="280">
    <w:name w:val="正文（自己设定的格式）"/>
    <w:basedOn w:val="1"/>
    <w:qFormat/>
    <w:uiPriority w:val="0"/>
    <w:pPr>
      <w:spacing w:line="580" w:lineRule="exact"/>
      <w:ind w:firstLine="200" w:firstLineChars="200"/>
    </w:pPr>
    <w:rPr>
      <w:rFonts w:ascii="Calibri" w:hAnsi="Calibri" w:eastAsia="方正仿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32</Pages>
  <Words>334</Words>
  <Characters>382</Characters>
  <Lines>133</Lines>
  <Paragraphs>37</Paragraphs>
  <TotalTime>13</TotalTime>
  <ScaleCrop>false</ScaleCrop>
  <LinksUpToDate>false</LinksUpToDate>
  <CharactersWithSpaces>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WPS_1640659495</cp:lastModifiedBy>
  <cp:lastPrinted>2025-10-15T05:00:00Z</cp:lastPrinted>
  <dcterms:modified xsi:type="dcterms:W3CDTF">2026-05-27T08:42:13Z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7990579_cloud</vt:lpwstr>
  </property>
  <property fmtid="{D5CDD505-2E9C-101B-9397-08002B2CF9AE}" pid="4" name="ICV">
    <vt:lpwstr>47FCB1732C42471B924C1B585AE40A8B_13</vt:lpwstr>
  </property>
  <property fmtid="{D5CDD505-2E9C-101B-9397-08002B2CF9AE}" pid="5" name="KSOTemplateDocerSaveRecord">
    <vt:lpwstr>eyJoZGlkIjoiMDhjNmU2MzVjZDFjOTgxMTIzNzQ1Nzg2ZTEwMDcwZTgiLCJ1c2VySWQiOiIxMzA3MTMwNDA3In0=</vt:lpwstr>
  </property>
</Properties>
</file>