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C7CF74">
      <w:pPr>
        <w:spacing w:line="380" w:lineRule="exact"/>
        <w:jc w:val="center"/>
        <w:rPr>
          <w:rFonts w:hint="eastAsia" w:ascii="宋体" w:hAnsi="宋体" w:eastAsia="宋体" w:cs="宋体"/>
          <w:color w:val="000000"/>
          <w:sz w:val="24"/>
          <w:szCs w:val="24"/>
        </w:rPr>
      </w:pPr>
    </w:p>
    <w:p w14:paraId="210A3B49">
      <w:pPr>
        <w:spacing w:line="380" w:lineRule="exact"/>
        <w:jc w:val="center"/>
        <w:rPr>
          <w:rFonts w:hint="eastAsia" w:ascii="宋体" w:hAnsi="宋体" w:eastAsia="宋体" w:cs="宋体"/>
          <w:color w:val="000000"/>
          <w:sz w:val="120"/>
          <w:szCs w:val="120"/>
        </w:rPr>
      </w:pPr>
    </w:p>
    <w:p w14:paraId="70FA349D">
      <w:pPr>
        <w:spacing w:line="380" w:lineRule="exact"/>
        <w:jc w:val="center"/>
        <w:rPr>
          <w:rFonts w:hint="eastAsia" w:ascii="宋体" w:hAnsi="宋体" w:eastAsia="宋体" w:cs="宋体"/>
          <w:color w:val="000000"/>
          <w:sz w:val="120"/>
          <w:szCs w:val="120"/>
        </w:rPr>
      </w:pPr>
    </w:p>
    <w:p w14:paraId="47A9EF7D">
      <w:pPr>
        <w:spacing w:line="1460" w:lineRule="exact"/>
        <w:jc w:val="center"/>
        <w:rPr>
          <w:rFonts w:hint="eastAsia" w:ascii="宋体" w:hAnsi="宋体" w:eastAsia="宋体" w:cs="宋体"/>
          <w:b/>
          <w:color w:val="000000"/>
          <w:spacing w:val="80"/>
          <w:sz w:val="130"/>
          <w:szCs w:val="130"/>
        </w:rPr>
      </w:pPr>
      <w:r>
        <w:rPr>
          <w:rFonts w:hint="eastAsia" w:ascii="宋体" w:hAnsi="宋体" w:eastAsia="宋体" w:cs="宋体"/>
          <w:b/>
          <w:color w:val="000000"/>
          <w:spacing w:val="80"/>
          <w:sz w:val="130"/>
          <w:szCs w:val="130"/>
        </w:rPr>
        <w:t>询价通知书</w:t>
      </w:r>
    </w:p>
    <w:p w14:paraId="36A062AF">
      <w:pPr>
        <w:spacing w:line="380" w:lineRule="exact"/>
        <w:jc w:val="center"/>
        <w:rPr>
          <w:rFonts w:hint="eastAsia" w:ascii="宋体" w:hAnsi="宋体" w:eastAsia="宋体" w:cs="宋体"/>
          <w:color w:val="000000"/>
          <w:sz w:val="36"/>
          <w:szCs w:val="36"/>
        </w:rPr>
      </w:pPr>
    </w:p>
    <w:p w14:paraId="70B4190B">
      <w:pPr>
        <w:spacing w:line="380" w:lineRule="exact"/>
        <w:jc w:val="center"/>
        <w:rPr>
          <w:rFonts w:hint="eastAsia" w:ascii="宋体" w:hAnsi="宋体" w:eastAsia="宋体" w:cs="宋体"/>
          <w:color w:val="000000"/>
          <w:sz w:val="36"/>
          <w:szCs w:val="36"/>
        </w:rPr>
      </w:pPr>
    </w:p>
    <w:p w14:paraId="44D0FBF7">
      <w:pPr>
        <w:spacing w:line="380" w:lineRule="exact"/>
        <w:jc w:val="center"/>
        <w:rPr>
          <w:rFonts w:hint="eastAsia" w:ascii="宋体" w:hAnsi="宋体" w:eastAsia="宋体" w:cs="宋体"/>
          <w:color w:val="000000"/>
          <w:sz w:val="36"/>
          <w:szCs w:val="36"/>
        </w:rPr>
      </w:pPr>
    </w:p>
    <w:p w14:paraId="0C50E5D2">
      <w:pPr>
        <w:spacing w:line="380" w:lineRule="exact"/>
        <w:jc w:val="center"/>
        <w:rPr>
          <w:rFonts w:hint="eastAsia" w:ascii="宋体" w:hAnsi="宋体" w:eastAsia="宋体" w:cs="宋体"/>
          <w:color w:val="000000"/>
          <w:sz w:val="36"/>
          <w:szCs w:val="36"/>
        </w:rPr>
      </w:pPr>
    </w:p>
    <w:p w14:paraId="436E4AC4">
      <w:pPr>
        <w:spacing w:line="380" w:lineRule="exact"/>
        <w:jc w:val="center"/>
        <w:rPr>
          <w:rFonts w:hint="eastAsia" w:ascii="宋体" w:hAnsi="宋体" w:eastAsia="宋体" w:cs="宋体"/>
          <w:color w:val="000000"/>
          <w:sz w:val="36"/>
          <w:szCs w:val="36"/>
        </w:rPr>
      </w:pPr>
    </w:p>
    <w:p w14:paraId="63E8685B">
      <w:pPr>
        <w:spacing w:line="380" w:lineRule="exact"/>
        <w:jc w:val="center"/>
        <w:rPr>
          <w:rFonts w:hint="eastAsia" w:ascii="宋体" w:hAnsi="宋体" w:eastAsia="宋体" w:cs="宋体"/>
          <w:color w:val="000000"/>
          <w:sz w:val="36"/>
          <w:szCs w:val="36"/>
        </w:rPr>
      </w:pPr>
    </w:p>
    <w:p w14:paraId="071C469C">
      <w:pPr>
        <w:spacing w:line="380" w:lineRule="exact"/>
        <w:jc w:val="center"/>
        <w:rPr>
          <w:rFonts w:hint="eastAsia" w:ascii="宋体" w:hAnsi="宋体" w:eastAsia="宋体" w:cs="宋体"/>
          <w:color w:val="000000"/>
          <w:sz w:val="36"/>
          <w:szCs w:val="36"/>
        </w:rPr>
      </w:pPr>
    </w:p>
    <w:p w14:paraId="73965AF0">
      <w:pPr>
        <w:spacing w:line="380" w:lineRule="exact"/>
        <w:jc w:val="center"/>
        <w:rPr>
          <w:rFonts w:hint="eastAsia" w:ascii="宋体" w:hAnsi="宋体" w:eastAsia="宋体" w:cs="宋体"/>
          <w:color w:val="000000"/>
          <w:sz w:val="36"/>
          <w:szCs w:val="36"/>
        </w:rPr>
      </w:pPr>
    </w:p>
    <w:p w14:paraId="534346A7">
      <w:pPr>
        <w:spacing w:line="700" w:lineRule="exact"/>
        <w:ind w:firstLine="723" w:firstLineChars="200"/>
        <w:rPr>
          <w:rFonts w:hint="eastAsia" w:ascii="宋体" w:hAnsi="宋体" w:eastAsia="宋体" w:cs="宋体"/>
          <w:b/>
          <w:bCs w:val="0"/>
          <w:color w:val="000000"/>
          <w:kern w:val="2"/>
          <w:sz w:val="36"/>
          <w:szCs w:val="36"/>
          <w:lang w:val="en-US" w:eastAsia="zh-CN" w:bidi="ar-SA"/>
        </w:rPr>
      </w:pPr>
      <w:r>
        <w:rPr>
          <w:rFonts w:hint="eastAsia" w:ascii="宋体" w:hAnsi="宋体" w:eastAsia="宋体" w:cs="宋体"/>
          <w:b/>
          <w:bCs w:val="0"/>
          <w:color w:val="000000"/>
          <w:kern w:val="2"/>
          <w:sz w:val="36"/>
          <w:szCs w:val="36"/>
          <w:lang w:val="en-US" w:eastAsia="zh-CN" w:bidi="ar-SA"/>
        </w:rPr>
        <w:t>项目名称：室外党建文化墙建设项目（第二次）</w:t>
      </w:r>
    </w:p>
    <w:p w14:paraId="06273854">
      <w:pPr>
        <w:spacing w:line="700" w:lineRule="exact"/>
        <w:ind w:firstLine="723" w:firstLineChars="200"/>
        <w:rPr>
          <w:rFonts w:hint="eastAsia" w:ascii="宋体" w:hAnsi="宋体" w:eastAsia="宋体" w:cs="宋体"/>
          <w:b/>
          <w:color w:val="000000"/>
          <w:sz w:val="36"/>
          <w:szCs w:val="36"/>
        </w:rPr>
      </w:pPr>
    </w:p>
    <w:p w14:paraId="035E5385">
      <w:pPr>
        <w:spacing w:line="700" w:lineRule="exact"/>
        <w:ind w:firstLine="723" w:firstLineChars="200"/>
        <w:rPr>
          <w:rFonts w:hint="eastAsia" w:ascii="宋体" w:hAnsi="宋体" w:eastAsia="宋体" w:cs="宋体"/>
          <w:b/>
          <w:color w:val="000000"/>
          <w:sz w:val="36"/>
          <w:szCs w:val="36"/>
        </w:rPr>
      </w:pPr>
    </w:p>
    <w:p w14:paraId="2CF129C5">
      <w:pPr>
        <w:spacing w:line="700" w:lineRule="exact"/>
        <w:ind w:firstLine="1084" w:firstLineChars="300"/>
        <w:rPr>
          <w:rFonts w:hint="eastAsia" w:ascii="宋体" w:hAnsi="宋体" w:eastAsia="宋体" w:cs="宋体"/>
          <w:b/>
          <w:color w:val="000000"/>
          <w:sz w:val="32"/>
          <w:szCs w:val="32"/>
          <w:lang w:eastAsia="zh-CN"/>
        </w:rPr>
      </w:pPr>
      <w:r>
        <w:rPr>
          <w:rFonts w:hint="eastAsia" w:ascii="宋体" w:hAnsi="宋体" w:eastAsia="宋体" w:cs="宋体"/>
          <w:b/>
          <w:color w:val="000000"/>
          <w:sz w:val="36"/>
          <w:szCs w:val="36"/>
        </w:rPr>
        <w:t>采 购 人：</w:t>
      </w:r>
      <w:r>
        <w:rPr>
          <w:rFonts w:hint="eastAsia" w:ascii="宋体" w:hAnsi="宋体" w:eastAsia="宋体" w:cs="宋体"/>
          <w:b/>
          <w:color w:val="000000"/>
          <w:sz w:val="36"/>
          <w:szCs w:val="36"/>
          <w:lang w:eastAsia="zh-CN"/>
        </w:rPr>
        <w:t>重庆理工职业学院</w:t>
      </w:r>
    </w:p>
    <w:p w14:paraId="1F38A775">
      <w:pPr>
        <w:spacing w:line="700" w:lineRule="exact"/>
        <w:ind w:firstLine="1084" w:firstLineChars="300"/>
        <w:rPr>
          <w:rFonts w:hint="eastAsia" w:ascii="宋体" w:hAnsi="宋体" w:eastAsia="宋体" w:cs="宋体"/>
          <w:b/>
          <w:color w:val="000000"/>
          <w:sz w:val="36"/>
          <w:szCs w:val="36"/>
          <w:lang w:val="en-US" w:eastAsia="zh-CN"/>
        </w:rPr>
      </w:pPr>
      <w:r>
        <w:rPr>
          <w:rFonts w:hint="eastAsia" w:ascii="宋体" w:hAnsi="宋体" w:eastAsia="宋体" w:cs="宋体"/>
          <w:b/>
          <w:color w:val="000000"/>
          <w:sz w:val="36"/>
          <w:szCs w:val="36"/>
        </w:rPr>
        <w:t>采购代理机构：</w:t>
      </w:r>
      <w:r>
        <w:rPr>
          <w:rFonts w:hint="eastAsia" w:ascii="宋体" w:hAnsi="宋体" w:eastAsia="宋体" w:cs="宋体"/>
          <w:b/>
          <w:color w:val="000000"/>
          <w:sz w:val="36"/>
          <w:szCs w:val="36"/>
          <w:lang w:val="en-US" w:eastAsia="zh-CN"/>
        </w:rPr>
        <w:t>中科高盛咨询集团有限公司</w:t>
      </w:r>
    </w:p>
    <w:p w14:paraId="43420C62">
      <w:pPr>
        <w:spacing w:line="380" w:lineRule="exact"/>
        <w:jc w:val="center"/>
        <w:rPr>
          <w:rFonts w:hint="eastAsia" w:ascii="宋体" w:hAnsi="宋体" w:eastAsia="宋体" w:cs="宋体"/>
          <w:b/>
          <w:color w:val="000000"/>
          <w:sz w:val="36"/>
          <w:szCs w:val="36"/>
        </w:rPr>
      </w:pPr>
    </w:p>
    <w:p w14:paraId="39FDEAA9">
      <w:pPr>
        <w:spacing w:line="380" w:lineRule="exact"/>
        <w:jc w:val="center"/>
        <w:rPr>
          <w:rFonts w:hint="eastAsia" w:ascii="宋体" w:hAnsi="宋体" w:eastAsia="宋体" w:cs="宋体"/>
          <w:b/>
          <w:color w:val="000000"/>
          <w:sz w:val="36"/>
          <w:szCs w:val="36"/>
        </w:rPr>
      </w:pPr>
    </w:p>
    <w:p w14:paraId="594298ED">
      <w:pPr>
        <w:spacing w:line="380" w:lineRule="exact"/>
        <w:jc w:val="center"/>
        <w:rPr>
          <w:rFonts w:hint="eastAsia" w:ascii="宋体" w:hAnsi="宋体" w:eastAsia="宋体" w:cs="宋体"/>
          <w:b/>
          <w:color w:val="000000"/>
          <w:sz w:val="36"/>
          <w:szCs w:val="36"/>
        </w:rPr>
      </w:pPr>
    </w:p>
    <w:p w14:paraId="1365F765">
      <w:pPr>
        <w:spacing w:line="380" w:lineRule="exact"/>
        <w:jc w:val="center"/>
        <w:rPr>
          <w:rFonts w:hint="eastAsia" w:ascii="宋体" w:hAnsi="宋体" w:eastAsia="宋体" w:cs="宋体"/>
          <w:b/>
          <w:color w:val="000000"/>
          <w:sz w:val="36"/>
          <w:szCs w:val="36"/>
        </w:rPr>
      </w:pPr>
      <w:r>
        <w:rPr>
          <w:rFonts w:hint="eastAsia" w:ascii="宋体" w:hAnsi="宋体" w:eastAsia="宋体" w:cs="宋体"/>
          <w:b/>
          <w:color w:val="000000"/>
          <w:sz w:val="36"/>
          <w:szCs w:val="36"/>
        </w:rPr>
        <w:t>二〇二</w:t>
      </w:r>
      <w:r>
        <w:rPr>
          <w:rFonts w:hint="eastAsia" w:ascii="宋体" w:hAnsi="宋体" w:eastAsia="宋体" w:cs="宋体"/>
          <w:b/>
          <w:color w:val="000000"/>
          <w:sz w:val="36"/>
          <w:szCs w:val="36"/>
          <w:lang w:val="en-US" w:eastAsia="zh-CN"/>
        </w:rPr>
        <w:t>五</w:t>
      </w:r>
      <w:r>
        <w:rPr>
          <w:rFonts w:hint="eastAsia" w:ascii="宋体" w:hAnsi="宋体" w:eastAsia="宋体" w:cs="宋体"/>
          <w:b/>
          <w:color w:val="000000"/>
          <w:sz w:val="36"/>
          <w:szCs w:val="36"/>
        </w:rPr>
        <w:t>年</w:t>
      </w:r>
      <w:r>
        <w:rPr>
          <w:rFonts w:hint="eastAsia" w:ascii="宋体" w:hAnsi="宋体" w:eastAsia="宋体" w:cs="宋体"/>
          <w:b/>
          <w:color w:val="000000"/>
          <w:sz w:val="36"/>
          <w:szCs w:val="36"/>
          <w:lang w:val="en-US" w:eastAsia="zh-CN"/>
        </w:rPr>
        <w:t>五</w:t>
      </w:r>
      <w:r>
        <w:rPr>
          <w:rFonts w:hint="eastAsia" w:ascii="宋体" w:hAnsi="宋体" w:eastAsia="宋体" w:cs="宋体"/>
          <w:b/>
          <w:color w:val="000000"/>
          <w:sz w:val="36"/>
          <w:szCs w:val="36"/>
        </w:rPr>
        <w:t>月</w:t>
      </w:r>
    </w:p>
    <w:p w14:paraId="5F24F606">
      <w:pPr>
        <w:spacing w:line="1180" w:lineRule="exact"/>
        <w:jc w:val="center"/>
        <w:outlineLvl w:val="0"/>
        <w:rPr>
          <w:rFonts w:hint="eastAsia" w:ascii="宋体" w:hAnsi="宋体" w:eastAsia="宋体" w:cs="宋体"/>
          <w:b/>
          <w:color w:val="000000"/>
          <w:sz w:val="48"/>
          <w:szCs w:val="48"/>
        </w:rPr>
        <w:sectPr>
          <w:headerReference r:id="rId3" w:type="default"/>
          <w:pgSz w:w="11907" w:h="16840"/>
          <w:pgMar w:top="1134" w:right="1191" w:bottom="1134" w:left="1304" w:header="851" w:footer="992" w:gutter="0"/>
          <w:pgNumType w:start="3"/>
          <w:cols w:space="720" w:num="1"/>
          <w:titlePg/>
          <w:docGrid w:linePitch="381" w:charSpace="-5735"/>
        </w:sectPr>
      </w:pPr>
    </w:p>
    <w:p w14:paraId="142157D2">
      <w:pPr>
        <w:spacing w:line="600" w:lineRule="exact"/>
        <w:jc w:val="center"/>
        <w:rPr>
          <w:rFonts w:hint="eastAsia" w:ascii="宋体" w:hAnsi="宋体" w:eastAsia="宋体" w:cs="宋体"/>
          <w:b/>
          <w:color w:val="000000"/>
          <w:sz w:val="48"/>
          <w:szCs w:val="48"/>
        </w:rPr>
      </w:pPr>
      <w:r>
        <w:rPr>
          <w:rFonts w:hint="eastAsia" w:ascii="宋体" w:hAnsi="宋体" w:eastAsia="宋体" w:cs="宋体"/>
          <w:b/>
          <w:color w:val="000000"/>
          <w:sz w:val="48"/>
          <w:szCs w:val="48"/>
        </w:rPr>
        <w:t>目  录</w:t>
      </w:r>
    </w:p>
    <w:p w14:paraId="08251850">
      <w:pPr>
        <w:pStyle w:val="45"/>
        <w:tabs>
          <w:tab w:val="right" w:leader="dot" w:pos="9412"/>
        </w:tabs>
      </w:pPr>
      <w:bookmarkStart w:id="0" w:name="_Toc487204770"/>
      <w:bookmarkStart w:id="1" w:name="_Toc12789052"/>
      <w:bookmarkStart w:id="2" w:name="_Toc11641050"/>
      <w:r>
        <w:rPr>
          <w:rFonts w:hint="eastAsia" w:ascii="宋体" w:hAnsi="宋体" w:eastAsia="宋体" w:cs="宋体"/>
          <w:color w:val="000000"/>
          <w:sz w:val="21"/>
          <w:szCs w:val="21"/>
        </w:rPr>
        <w:fldChar w:fldCharType="begin"/>
      </w:r>
      <w:r>
        <w:rPr>
          <w:rFonts w:hint="eastAsia" w:ascii="宋体" w:hAnsi="宋体" w:eastAsia="宋体" w:cs="宋体"/>
          <w:color w:val="000000"/>
          <w:sz w:val="21"/>
          <w:szCs w:val="21"/>
        </w:rPr>
        <w:instrText xml:space="preserve"> TOC \o "1-3" \h \z </w:instrText>
      </w:r>
      <w:r>
        <w:rPr>
          <w:rFonts w:hint="eastAsia" w:ascii="宋体" w:hAnsi="宋体" w:eastAsia="宋体" w:cs="宋体"/>
          <w:color w:val="000000"/>
          <w:sz w:val="21"/>
          <w:szCs w:val="21"/>
        </w:rPr>
        <w:fldChar w:fldCharType="separate"/>
      </w:r>
      <w:r>
        <w:rPr>
          <w:rFonts w:hint="eastAsia" w:ascii="宋体" w:hAnsi="宋体" w:eastAsia="宋体" w:cs="宋体"/>
          <w:color w:val="000000"/>
          <w:szCs w:val="21"/>
        </w:rPr>
        <w:fldChar w:fldCharType="begin"/>
      </w:r>
      <w:r>
        <w:rPr>
          <w:rFonts w:hint="eastAsia" w:ascii="宋体" w:hAnsi="宋体" w:eastAsia="宋体" w:cs="宋体"/>
          <w:szCs w:val="21"/>
        </w:rPr>
        <w:instrText xml:space="preserve"> HYPERLINK \l _Toc3701 </w:instrText>
      </w:r>
      <w:r>
        <w:rPr>
          <w:rFonts w:hint="eastAsia" w:ascii="宋体" w:hAnsi="宋体" w:eastAsia="宋体" w:cs="宋体"/>
          <w:szCs w:val="21"/>
        </w:rPr>
        <w:fldChar w:fldCharType="separate"/>
      </w:r>
      <w:r>
        <w:rPr>
          <w:rFonts w:hint="eastAsia" w:ascii="宋体" w:hAnsi="宋体" w:eastAsia="宋体" w:cs="宋体"/>
          <w:szCs w:val="36"/>
        </w:rPr>
        <w:t>第一篇 询价邀请书</w:t>
      </w:r>
      <w:r>
        <w:tab/>
      </w:r>
      <w:r>
        <w:fldChar w:fldCharType="begin"/>
      </w:r>
      <w:r>
        <w:instrText xml:space="preserve"> PAGEREF _Toc3701 \h </w:instrText>
      </w:r>
      <w:r>
        <w:fldChar w:fldCharType="separate"/>
      </w:r>
      <w:r>
        <w:t>- 2 -</w:t>
      </w:r>
      <w:r>
        <w:fldChar w:fldCharType="end"/>
      </w:r>
      <w:r>
        <w:rPr>
          <w:rFonts w:hint="eastAsia" w:ascii="宋体" w:hAnsi="宋体" w:eastAsia="宋体" w:cs="宋体"/>
          <w:color w:val="000000"/>
          <w:szCs w:val="21"/>
        </w:rPr>
        <w:fldChar w:fldCharType="end"/>
      </w:r>
    </w:p>
    <w:p w14:paraId="7145A6DB">
      <w:pPr>
        <w:pStyle w:val="45"/>
        <w:tabs>
          <w:tab w:val="right" w:leader="dot" w:pos="9412"/>
        </w:tabs>
      </w:pPr>
      <w:r>
        <w:rPr>
          <w:rFonts w:hint="eastAsia" w:ascii="宋体" w:hAnsi="宋体" w:eastAsia="宋体" w:cs="宋体"/>
          <w:color w:val="000000"/>
          <w:szCs w:val="21"/>
        </w:rPr>
        <w:fldChar w:fldCharType="begin"/>
      </w:r>
      <w:r>
        <w:rPr>
          <w:rFonts w:hint="eastAsia" w:ascii="宋体" w:hAnsi="宋体" w:eastAsia="宋体" w:cs="宋体"/>
          <w:szCs w:val="21"/>
        </w:rPr>
        <w:instrText xml:space="preserve"> HYPERLINK \l _Toc24322 </w:instrText>
      </w:r>
      <w:r>
        <w:rPr>
          <w:rFonts w:hint="eastAsia" w:ascii="宋体" w:hAnsi="宋体" w:eastAsia="宋体" w:cs="宋体"/>
          <w:szCs w:val="21"/>
        </w:rPr>
        <w:fldChar w:fldCharType="separate"/>
      </w:r>
      <w:r>
        <w:rPr>
          <w:rFonts w:hint="eastAsia" w:ascii="宋体" w:hAnsi="宋体" w:eastAsia="宋体" w:cs="宋体"/>
          <w:szCs w:val="36"/>
        </w:rPr>
        <w:t>第二篇 供应商须知</w:t>
      </w:r>
      <w:r>
        <w:tab/>
      </w:r>
      <w:r>
        <w:fldChar w:fldCharType="begin"/>
      </w:r>
      <w:r>
        <w:instrText xml:space="preserve"> PAGEREF _Toc24322 \h </w:instrText>
      </w:r>
      <w:r>
        <w:fldChar w:fldCharType="separate"/>
      </w:r>
      <w:r>
        <w:t>- 5 -</w:t>
      </w:r>
      <w:r>
        <w:fldChar w:fldCharType="end"/>
      </w:r>
      <w:r>
        <w:rPr>
          <w:rFonts w:hint="eastAsia" w:ascii="宋体" w:hAnsi="宋体" w:eastAsia="宋体" w:cs="宋体"/>
          <w:color w:val="000000"/>
          <w:szCs w:val="21"/>
        </w:rPr>
        <w:fldChar w:fldCharType="end"/>
      </w:r>
    </w:p>
    <w:p w14:paraId="46CEB0F2">
      <w:pPr>
        <w:pStyle w:val="29"/>
        <w:tabs>
          <w:tab w:val="right" w:leader="dot" w:pos="9412"/>
        </w:tabs>
      </w:pPr>
      <w:r>
        <w:rPr>
          <w:rFonts w:hint="eastAsia" w:ascii="宋体" w:hAnsi="宋体" w:eastAsia="宋体" w:cs="宋体"/>
          <w:color w:val="000000"/>
          <w:szCs w:val="21"/>
        </w:rPr>
        <w:fldChar w:fldCharType="begin"/>
      </w:r>
      <w:r>
        <w:rPr>
          <w:rFonts w:hint="eastAsia" w:ascii="宋体" w:hAnsi="宋体" w:eastAsia="宋体" w:cs="宋体"/>
          <w:szCs w:val="21"/>
        </w:rPr>
        <w:instrText xml:space="preserve"> HYPERLINK \l _Toc26241 </w:instrText>
      </w:r>
      <w:r>
        <w:rPr>
          <w:rFonts w:hint="eastAsia" w:ascii="宋体" w:hAnsi="宋体" w:eastAsia="宋体" w:cs="宋体"/>
          <w:szCs w:val="21"/>
        </w:rPr>
        <w:fldChar w:fldCharType="separate"/>
      </w:r>
      <w:r>
        <w:rPr>
          <w:rFonts w:hint="eastAsia" w:ascii="宋体" w:hAnsi="宋体" w:eastAsia="宋体" w:cs="宋体"/>
          <w:szCs w:val="24"/>
        </w:rPr>
        <w:t>一、询价费用</w:t>
      </w:r>
      <w:r>
        <w:tab/>
      </w:r>
      <w:r>
        <w:fldChar w:fldCharType="begin"/>
      </w:r>
      <w:r>
        <w:instrText xml:space="preserve"> PAGEREF _Toc26241 \h </w:instrText>
      </w:r>
      <w:r>
        <w:fldChar w:fldCharType="separate"/>
      </w:r>
      <w:r>
        <w:t>- 5 -</w:t>
      </w:r>
      <w:r>
        <w:fldChar w:fldCharType="end"/>
      </w:r>
      <w:r>
        <w:rPr>
          <w:rFonts w:hint="eastAsia" w:ascii="宋体" w:hAnsi="宋体" w:eastAsia="宋体" w:cs="宋体"/>
          <w:color w:val="000000"/>
          <w:szCs w:val="21"/>
        </w:rPr>
        <w:fldChar w:fldCharType="end"/>
      </w:r>
    </w:p>
    <w:p w14:paraId="46113530">
      <w:pPr>
        <w:pStyle w:val="29"/>
        <w:tabs>
          <w:tab w:val="right" w:leader="dot" w:pos="9412"/>
        </w:tabs>
      </w:pPr>
      <w:r>
        <w:rPr>
          <w:rFonts w:hint="eastAsia" w:ascii="宋体" w:hAnsi="宋体" w:eastAsia="宋体" w:cs="宋体"/>
          <w:color w:val="000000"/>
          <w:szCs w:val="21"/>
        </w:rPr>
        <w:fldChar w:fldCharType="begin"/>
      </w:r>
      <w:r>
        <w:rPr>
          <w:rFonts w:hint="eastAsia" w:ascii="宋体" w:hAnsi="宋体" w:eastAsia="宋体" w:cs="宋体"/>
          <w:szCs w:val="21"/>
        </w:rPr>
        <w:instrText xml:space="preserve"> HYPERLINK \l _Toc11489 </w:instrText>
      </w:r>
      <w:r>
        <w:rPr>
          <w:rFonts w:hint="eastAsia" w:ascii="宋体" w:hAnsi="宋体" w:eastAsia="宋体" w:cs="宋体"/>
          <w:szCs w:val="21"/>
        </w:rPr>
        <w:fldChar w:fldCharType="separate"/>
      </w:r>
      <w:r>
        <w:rPr>
          <w:rFonts w:hint="eastAsia" w:ascii="宋体" w:hAnsi="宋体" w:eastAsia="宋体" w:cs="宋体"/>
          <w:szCs w:val="24"/>
        </w:rPr>
        <w:t>二、询价通知书</w:t>
      </w:r>
      <w:r>
        <w:tab/>
      </w:r>
      <w:r>
        <w:fldChar w:fldCharType="begin"/>
      </w:r>
      <w:r>
        <w:instrText xml:space="preserve"> PAGEREF _Toc11489 \h </w:instrText>
      </w:r>
      <w:r>
        <w:fldChar w:fldCharType="separate"/>
      </w:r>
      <w:r>
        <w:t>- 5 -</w:t>
      </w:r>
      <w:r>
        <w:fldChar w:fldCharType="end"/>
      </w:r>
      <w:r>
        <w:rPr>
          <w:rFonts w:hint="eastAsia" w:ascii="宋体" w:hAnsi="宋体" w:eastAsia="宋体" w:cs="宋体"/>
          <w:color w:val="000000"/>
          <w:szCs w:val="21"/>
        </w:rPr>
        <w:fldChar w:fldCharType="end"/>
      </w:r>
    </w:p>
    <w:p w14:paraId="46F6AC9F">
      <w:pPr>
        <w:pStyle w:val="29"/>
        <w:tabs>
          <w:tab w:val="right" w:leader="dot" w:pos="9412"/>
        </w:tabs>
      </w:pPr>
      <w:r>
        <w:rPr>
          <w:rFonts w:hint="eastAsia" w:ascii="宋体" w:hAnsi="宋体" w:eastAsia="宋体" w:cs="宋体"/>
          <w:color w:val="000000"/>
          <w:szCs w:val="21"/>
        </w:rPr>
        <w:fldChar w:fldCharType="begin"/>
      </w:r>
      <w:r>
        <w:rPr>
          <w:rFonts w:hint="eastAsia" w:ascii="宋体" w:hAnsi="宋体" w:eastAsia="宋体" w:cs="宋体"/>
          <w:szCs w:val="21"/>
        </w:rPr>
        <w:instrText xml:space="preserve"> HYPERLINK \l _Toc15772 </w:instrText>
      </w:r>
      <w:r>
        <w:rPr>
          <w:rFonts w:hint="eastAsia" w:ascii="宋体" w:hAnsi="宋体" w:eastAsia="宋体" w:cs="宋体"/>
          <w:szCs w:val="21"/>
        </w:rPr>
        <w:fldChar w:fldCharType="separate"/>
      </w:r>
      <w:r>
        <w:rPr>
          <w:rFonts w:hint="eastAsia" w:ascii="宋体" w:hAnsi="宋体" w:eastAsia="宋体" w:cs="宋体"/>
          <w:szCs w:val="24"/>
        </w:rPr>
        <w:t>三、询价要求</w:t>
      </w:r>
      <w:r>
        <w:tab/>
      </w:r>
      <w:r>
        <w:fldChar w:fldCharType="begin"/>
      </w:r>
      <w:r>
        <w:instrText xml:space="preserve"> PAGEREF _Toc15772 \h </w:instrText>
      </w:r>
      <w:r>
        <w:fldChar w:fldCharType="separate"/>
      </w:r>
      <w:r>
        <w:t>- 5 -</w:t>
      </w:r>
      <w:r>
        <w:fldChar w:fldCharType="end"/>
      </w:r>
      <w:r>
        <w:rPr>
          <w:rFonts w:hint="eastAsia" w:ascii="宋体" w:hAnsi="宋体" w:eastAsia="宋体" w:cs="宋体"/>
          <w:color w:val="000000"/>
          <w:szCs w:val="21"/>
        </w:rPr>
        <w:fldChar w:fldCharType="end"/>
      </w:r>
    </w:p>
    <w:p w14:paraId="1D00DF4D">
      <w:pPr>
        <w:pStyle w:val="29"/>
        <w:tabs>
          <w:tab w:val="right" w:leader="dot" w:pos="9412"/>
        </w:tabs>
      </w:pPr>
      <w:r>
        <w:rPr>
          <w:rFonts w:hint="eastAsia" w:ascii="宋体" w:hAnsi="宋体" w:eastAsia="宋体" w:cs="宋体"/>
          <w:color w:val="000000"/>
          <w:szCs w:val="21"/>
        </w:rPr>
        <w:fldChar w:fldCharType="begin"/>
      </w:r>
      <w:r>
        <w:rPr>
          <w:rFonts w:hint="eastAsia" w:ascii="宋体" w:hAnsi="宋体" w:eastAsia="宋体" w:cs="宋体"/>
          <w:szCs w:val="21"/>
        </w:rPr>
        <w:instrText xml:space="preserve"> HYPERLINK \l _Toc12422 </w:instrText>
      </w:r>
      <w:r>
        <w:rPr>
          <w:rFonts w:hint="eastAsia" w:ascii="宋体" w:hAnsi="宋体" w:eastAsia="宋体" w:cs="宋体"/>
          <w:szCs w:val="21"/>
        </w:rPr>
        <w:fldChar w:fldCharType="separate"/>
      </w:r>
      <w:r>
        <w:rPr>
          <w:rFonts w:hint="eastAsia" w:ascii="宋体" w:hAnsi="宋体" w:eastAsia="宋体" w:cs="宋体"/>
          <w:szCs w:val="24"/>
        </w:rPr>
        <w:t>四、询价程序及成交标准</w:t>
      </w:r>
      <w:r>
        <w:tab/>
      </w:r>
      <w:r>
        <w:fldChar w:fldCharType="begin"/>
      </w:r>
      <w:r>
        <w:instrText xml:space="preserve"> PAGEREF _Toc12422 \h </w:instrText>
      </w:r>
      <w:r>
        <w:fldChar w:fldCharType="separate"/>
      </w:r>
      <w:r>
        <w:t>- 7 -</w:t>
      </w:r>
      <w:r>
        <w:fldChar w:fldCharType="end"/>
      </w:r>
      <w:r>
        <w:rPr>
          <w:rFonts w:hint="eastAsia" w:ascii="宋体" w:hAnsi="宋体" w:eastAsia="宋体" w:cs="宋体"/>
          <w:color w:val="000000"/>
          <w:szCs w:val="21"/>
        </w:rPr>
        <w:fldChar w:fldCharType="end"/>
      </w:r>
    </w:p>
    <w:p w14:paraId="4118C20A">
      <w:pPr>
        <w:pStyle w:val="29"/>
        <w:tabs>
          <w:tab w:val="right" w:leader="dot" w:pos="9412"/>
        </w:tabs>
      </w:pPr>
      <w:r>
        <w:rPr>
          <w:rFonts w:hint="eastAsia" w:ascii="宋体" w:hAnsi="宋体" w:eastAsia="宋体" w:cs="宋体"/>
          <w:color w:val="000000"/>
          <w:szCs w:val="21"/>
        </w:rPr>
        <w:fldChar w:fldCharType="begin"/>
      </w:r>
      <w:r>
        <w:rPr>
          <w:rFonts w:hint="eastAsia" w:ascii="宋体" w:hAnsi="宋体" w:eastAsia="宋体" w:cs="宋体"/>
          <w:szCs w:val="21"/>
        </w:rPr>
        <w:instrText xml:space="preserve"> HYPERLINK \l _Toc13926 </w:instrText>
      </w:r>
      <w:r>
        <w:rPr>
          <w:rFonts w:hint="eastAsia" w:ascii="宋体" w:hAnsi="宋体" w:eastAsia="宋体" w:cs="宋体"/>
          <w:szCs w:val="21"/>
        </w:rPr>
        <w:fldChar w:fldCharType="separate"/>
      </w:r>
      <w:r>
        <w:rPr>
          <w:rFonts w:hint="eastAsia" w:ascii="宋体" w:hAnsi="宋体" w:eastAsia="宋体" w:cs="宋体"/>
          <w:szCs w:val="24"/>
        </w:rPr>
        <w:t>五、评审依据</w:t>
      </w:r>
      <w:r>
        <w:tab/>
      </w:r>
      <w:r>
        <w:fldChar w:fldCharType="begin"/>
      </w:r>
      <w:r>
        <w:instrText xml:space="preserve"> PAGEREF _Toc13926 \h </w:instrText>
      </w:r>
      <w:r>
        <w:fldChar w:fldCharType="separate"/>
      </w:r>
      <w:r>
        <w:t>- 9 -</w:t>
      </w:r>
      <w:r>
        <w:fldChar w:fldCharType="end"/>
      </w:r>
      <w:r>
        <w:rPr>
          <w:rFonts w:hint="eastAsia" w:ascii="宋体" w:hAnsi="宋体" w:eastAsia="宋体" w:cs="宋体"/>
          <w:color w:val="000000"/>
          <w:szCs w:val="21"/>
        </w:rPr>
        <w:fldChar w:fldCharType="end"/>
      </w:r>
    </w:p>
    <w:p w14:paraId="446CA39A">
      <w:pPr>
        <w:pStyle w:val="29"/>
        <w:tabs>
          <w:tab w:val="right" w:leader="dot" w:pos="9412"/>
        </w:tabs>
      </w:pPr>
      <w:r>
        <w:rPr>
          <w:rFonts w:hint="eastAsia" w:ascii="宋体" w:hAnsi="宋体" w:eastAsia="宋体" w:cs="宋体"/>
          <w:color w:val="000000"/>
          <w:szCs w:val="21"/>
        </w:rPr>
        <w:fldChar w:fldCharType="begin"/>
      </w:r>
      <w:r>
        <w:rPr>
          <w:rFonts w:hint="eastAsia" w:ascii="宋体" w:hAnsi="宋体" w:eastAsia="宋体" w:cs="宋体"/>
          <w:szCs w:val="21"/>
        </w:rPr>
        <w:instrText xml:space="preserve"> HYPERLINK \l _Toc24344 </w:instrText>
      </w:r>
      <w:r>
        <w:rPr>
          <w:rFonts w:hint="eastAsia" w:ascii="宋体" w:hAnsi="宋体" w:eastAsia="宋体" w:cs="宋体"/>
          <w:szCs w:val="21"/>
        </w:rPr>
        <w:fldChar w:fldCharType="separate"/>
      </w:r>
      <w:r>
        <w:rPr>
          <w:rFonts w:hint="eastAsia" w:ascii="宋体" w:hAnsi="宋体" w:eastAsia="宋体" w:cs="宋体"/>
          <w:szCs w:val="24"/>
        </w:rPr>
        <w:t>六、成交通知</w:t>
      </w:r>
      <w:r>
        <w:tab/>
      </w:r>
      <w:r>
        <w:fldChar w:fldCharType="begin"/>
      </w:r>
      <w:r>
        <w:instrText xml:space="preserve"> PAGEREF _Toc24344 \h </w:instrText>
      </w:r>
      <w:r>
        <w:fldChar w:fldCharType="separate"/>
      </w:r>
      <w:r>
        <w:t>- 10 -</w:t>
      </w:r>
      <w:r>
        <w:fldChar w:fldCharType="end"/>
      </w:r>
      <w:r>
        <w:rPr>
          <w:rFonts w:hint="eastAsia" w:ascii="宋体" w:hAnsi="宋体" w:eastAsia="宋体" w:cs="宋体"/>
          <w:color w:val="000000"/>
          <w:szCs w:val="21"/>
        </w:rPr>
        <w:fldChar w:fldCharType="end"/>
      </w:r>
    </w:p>
    <w:p w14:paraId="3A5E3589">
      <w:pPr>
        <w:pStyle w:val="29"/>
        <w:tabs>
          <w:tab w:val="right" w:leader="dot" w:pos="9412"/>
        </w:tabs>
      </w:pPr>
      <w:r>
        <w:rPr>
          <w:rFonts w:hint="eastAsia" w:ascii="宋体" w:hAnsi="宋体" w:eastAsia="宋体" w:cs="宋体"/>
          <w:color w:val="000000"/>
          <w:szCs w:val="21"/>
        </w:rPr>
        <w:fldChar w:fldCharType="begin"/>
      </w:r>
      <w:r>
        <w:rPr>
          <w:rFonts w:hint="eastAsia" w:ascii="宋体" w:hAnsi="宋体" w:eastAsia="宋体" w:cs="宋体"/>
          <w:szCs w:val="21"/>
        </w:rPr>
        <w:instrText xml:space="preserve"> HYPERLINK \l _Toc29570 </w:instrText>
      </w:r>
      <w:r>
        <w:rPr>
          <w:rFonts w:hint="eastAsia" w:ascii="宋体" w:hAnsi="宋体" w:eastAsia="宋体" w:cs="宋体"/>
          <w:szCs w:val="21"/>
        </w:rPr>
        <w:fldChar w:fldCharType="separate"/>
      </w:r>
      <w:r>
        <w:rPr>
          <w:rFonts w:hint="eastAsia" w:ascii="宋体" w:hAnsi="宋体" w:eastAsia="宋体" w:cs="宋体"/>
          <w:szCs w:val="24"/>
        </w:rPr>
        <w:t>七、关于询问、质疑和投诉</w:t>
      </w:r>
      <w:r>
        <w:tab/>
      </w:r>
      <w:r>
        <w:fldChar w:fldCharType="begin"/>
      </w:r>
      <w:r>
        <w:instrText xml:space="preserve"> PAGEREF _Toc29570 \h </w:instrText>
      </w:r>
      <w:r>
        <w:fldChar w:fldCharType="separate"/>
      </w:r>
      <w:r>
        <w:t>- 10 -</w:t>
      </w:r>
      <w:r>
        <w:fldChar w:fldCharType="end"/>
      </w:r>
      <w:r>
        <w:rPr>
          <w:rFonts w:hint="eastAsia" w:ascii="宋体" w:hAnsi="宋体" w:eastAsia="宋体" w:cs="宋体"/>
          <w:color w:val="000000"/>
          <w:szCs w:val="21"/>
        </w:rPr>
        <w:fldChar w:fldCharType="end"/>
      </w:r>
    </w:p>
    <w:p w14:paraId="29333C2B">
      <w:pPr>
        <w:pStyle w:val="29"/>
        <w:tabs>
          <w:tab w:val="right" w:leader="dot" w:pos="9412"/>
        </w:tabs>
      </w:pPr>
      <w:r>
        <w:rPr>
          <w:rFonts w:hint="eastAsia" w:ascii="宋体" w:hAnsi="宋体" w:eastAsia="宋体" w:cs="宋体"/>
          <w:color w:val="000000"/>
          <w:szCs w:val="21"/>
        </w:rPr>
        <w:fldChar w:fldCharType="begin"/>
      </w:r>
      <w:r>
        <w:rPr>
          <w:rFonts w:hint="eastAsia" w:ascii="宋体" w:hAnsi="宋体" w:eastAsia="宋体" w:cs="宋体"/>
          <w:szCs w:val="21"/>
        </w:rPr>
        <w:instrText xml:space="preserve"> HYPERLINK \l _Toc4729 </w:instrText>
      </w:r>
      <w:r>
        <w:rPr>
          <w:rFonts w:hint="eastAsia" w:ascii="宋体" w:hAnsi="宋体" w:eastAsia="宋体" w:cs="宋体"/>
          <w:szCs w:val="21"/>
        </w:rPr>
        <w:fldChar w:fldCharType="separate"/>
      </w:r>
      <w:r>
        <w:rPr>
          <w:rFonts w:hint="eastAsia" w:ascii="宋体" w:hAnsi="宋体" w:eastAsia="宋体" w:cs="宋体"/>
          <w:szCs w:val="24"/>
        </w:rPr>
        <w:t>八、询价供应商虚假应标、不履约等行为的处理</w:t>
      </w:r>
      <w:r>
        <w:tab/>
      </w:r>
      <w:r>
        <w:fldChar w:fldCharType="begin"/>
      </w:r>
      <w:r>
        <w:instrText xml:space="preserve"> PAGEREF _Toc4729 \h </w:instrText>
      </w:r>
      <w:r>
        <w:fldChar w:fldCharType="separate"/>
      </w:r>
      <w:r>
        <w:t>- 11 -</w:t>
      </w:r>
      <w:r>
        <w:fldChar w:fldCharType="end"/>
      </w:r>
      <w:r>
        <w:rPr>
          <w:rFonts w:hint="eastAsia" w:ascii="宋体" w:hAnsi="宋体" w:eastAsia="宋体" w:cs="宋体"/>
          <w:color w:val="000000"/>
          <w:szCs w:val="21"/>
        </w:rPr>
        <w:fldChar w:fldCharType="end"/>
      </w:r>
    </w:p>
    <w:p w14:paraId="0EDD8E18">
      <w:pPr>
        <w:pStyle w:val="29"/>
        <w:tabs>
          <w:tab w:val="right" w:leader="dot" w:pos="9412"/>
        </w:tabs>
      </w:pPr>
      <w:r>
        <w:rPr>
          <w:rFonts w:hint="eastAsia" w:ascii="宋体" w:hAnsi="宋体" w:eastAsia="宋体" w:cs="宋体"/>
          <w:color w:val="000000"/>
          <w:szCs w:val="21"/>
        </w:rPr>
        <w:fldChar w:fldCharType="begin"/>
      </w:r>
      <w:r>
        <w:rPr>
          <w:rFonts w:hint="eastAsia" w:ascii="宋体" w:hAnsi="宋体" w:eastAsia="宋体" w:cs="宋体"/>
          <w:szCs w:val="21"/>
        </w:rPr>
        <w:instrText xml:space="preserve"> HYPERLINK \l _Toc18916 </w:instrText>
      </w:r>
      <w:r>
        <w:rPr>
          <w:rFonts w:hint="eastAsia" w:ascii="宋体" w:hAnsi="宋体" w:eastAsia="宋体" w:cs="宋体"/>
          <w:szCs w:val="21"/>
        </w:rPr>
        <w:fldChar w:fldCharType="separate"/>
      </w:r>
      <w:r>
        <w:rPr>
          <w:rFonts w:hint="eastAsia" w:ascii="宋体" w:hAnsi="宋体" w:eastAsia="宋体" w:cs="宋体"/>
          <w:szCs w:val="24"/>
        </w:rPr>
        <w:t>九、招标代理服务费</w:t>
      </w:r>
      <w:r>
        <w:tab/>
      </w:r>
      <w:r>
        <w:fldChar w:fldCharType="begin"/>
      </w:r>
      <w:r>
        <w:instrText xml:space="preserve"> PAGEREF _Toc18916 \h </w:instrText>
      </w:r>
      <w:r>
        <w:fldChar w:fldCharType="separate"/>
      </w:r>
      <w:r>
        <w:t>- 11 -</w:t>
      </w:r>
      <w:r>
        <w:fldChar w:fldCharType="end"/>
      </w:r>
      <w:r>
        <w:rPr>
          <w:rFonts w:hint="eastAsia" w:ascii="宋体" w:hAnsi="宋体" w:eastAsia="宋体" w:cs="宋体"/>
          <w:color w:val="000000"/>
          <w:szCs w:val="21"/>
        </w:rPr>
        <w:fldChar w:fldCharType="end"/>
      </w:r>
    </w:p>
    <w:p w14:paraId="395A9484">
      <w:pPr>
        <w:pStyle w:val="29"/>
        <w:tabs>
          <w:tab w:val="right" w:leader="dot" w:pos="9412"/>
        </w:tabs>
      </w:pPr>
      <w:r>
        <w:rPr>
          <w:rFonts w:hint="eastAsia" w:ascii="宋体" w:hAnsi="宋体" w:eastAsia="宋体" w:cs="宋体"/>
          <w:color w:val="000000"/>
          <w:szCs w:val="21"/>
        </w:rPr>
        <w:fldChar w:fldCharType="begin"/>
      </w:r>
      <w:r>
        <w:rPr>
          <w:rFonts w:hint="eastAsia" w:ascii="宋体" w:hAnsi="宋体" w:eastAsia="宋体" w:cs="宋体"/>
          <w:szCs w:val="21"/>
        </w:rPr>
        <w:instrText xml:space="preserve"> HYPERLINK \l _Toc11236 </w:instrText>
      </w:r>
      <w:r>
        <w:rPr>
          <w:rFonts w:hint="eastAsia" w:ascii="宋体" w:hAnsi="宋体" w:eastAsia="宋体" w:cs="宋体"/>
          <w:szCs w:val="21"/>
        </w:rPr>
        <w:fldChar w:fldCharType="separate"/>
      </w:r>
      <w:r>
        <w:rPr>
          <w:rFonts w:hint="eastAsia" w:ascii="宋体" w:hAnsi="宋体" w:eastAsia="宋体" w:cs="宋体"/>
          <w:szCs w:val="24"/>
          <w:lang w:val="en-US" w:eastAsia="zh-CN"/>
        </w:rPr>
        <w:t>十</w:t>
      </w:r>
      <w:r>
        <w:rPr>
          <w:rFonts w:hint="eastAsia" w:ascii="宋体" w:hAnsi="宋体" w:eastAsia="宋体" w:cs="宋体"/>
          <w:szCs w:val="24"/>
        </w:rPr>
        <w:t>、签订合同</w:t>
      </w:r>
      <w:r>
        <w:tab/>
      </w:r>
      <w:r>
        <w:fldChar w:fldCharType="begin"/>
      </w:r>
      <w:r>
        <w:instrText xml:space="preserve"> PAGEREF _Toc11236 \h </w:instrText>
      </w:r>
      <w:r>
        <w:fldChar w:fldCharType="separate"/>
      </w:r>
      <w:r>
        <w:t>- 11 -</w:t>
      </w:r>
      <w:r>
        <w:fldChar w:fldCharType="end"/>
      </w:r>
      <w:r>
        <w:rPr>
          <w:rFonts w:hint="eastAsia" w:ascii="宋体" w:hAnsi="宋体" w:eastAsia="宋体" w:cs="宋体"/>
          <w:color w:val="000000"/>
          <w:szCs w:val="21"/>
        </w:rPr>
        <w:fldChar w:fldCharType="end"/>
      </w:r>
    </w:p>
    <w:p w14:paraId="7FD7CDA3">
      <w:pPr>
        <w:pStyle w:val="45"/>
        <w:tabs>
          <w:tab w:val="right" w:leader="dot" w:pos="9412"/>
        </w:tabs>
      </w:pPr>
      <w:r>
        <w:rPr>
          <w:rFonts w:hint="eastAsia" w:ascii="宋体" w:hAnsi="宋体" w:eastAsia="宋体" w:cs="宋体"/>
          <w:color w:val="000000"/>
          <w:szCs w:val="21"/>
        </w:rPr>
        <w:fldChar w:fldCharType="begin"/>
      </w:r>
      <w:r>
        <w:rPr>
          <w:rFonts w:hint="eastAsia" w:ascii="宋体" w:hAnsi="宋体" w:eastAsia="宋体" w:cs="宋体"/>
          <w:szCs w:val="21"/>
        </w:rPr>
        <w:instrText xml:space="preserve"> HYPERLINK \l _Toc23951 </w:instrText>
      </w:r>
      <w:r>
        <w:rPr>
          <w:rFonts w:hint="eastAsia" w:ascii="宋体" w:hAnsi="宋体" w:eastAsia="宋体" w:cs="宋体"/>
          <w:szCs w:val="21"/>
        </w:rPr>
        <w:fldChar w:fldCharType="separate"/>
      </w:r>
      <w:r>
        <w:rPr>
          <w:rFonts w:hint="eastAsia" w:ascii="宋体" w:hAnsi="宋体" w:eastAsia="宋体" w:cs="宋体"/>
          <w:szCs w:val="36"/>
        </w:rPr>
        <w:t>第三篇 询价项目技术需求</w:t>
      </w:r>
      <w:r>
        <w:tab/>
      </w:r>
      <w:r>
        <w:fldChar w:fldCharType="begin"/>
      </w:r>
      <w:r>
        <w:instrText xml:space="preserve"> PAGEREF _Toc23951 \h </w:instrText>
      </w:r>
      <w:r>
        <w:fldChar w:fldCharType="separate"/>
      </w:r>
      <w:r>
        <w:t>- 13 -</w:t>
      </w:r>
      <w:r>
        <w:fldChar w:fldCharType="end"/>
      </w:r>
      <w:r>
        <w:rPr>
          <w:rFonts w:hint="eastAsia" w:ascii="宋体" w:hAnsi="宋体" w:eastAsia="宋体" w:cs="宋体"/>
          <w:color w:val="000000"/>
          <w:szCs w:val="21"/>
        </w:rPr>
        <w:fldChar w:fldCharType="end"/>
      </w:r>
    </w:p>
    <w:p w14:paraId="2F13995D">
      <w:pPr>
        <w:pStyle w:val="29"/>
        <w:tabs>
          <w:tab w:val="right" w:leader="dot" w:pos="9412"/>
        </w:tabs>
      </w:pPr>
      <w:r>
        <w:rPr>
          <w:rFonts w:hint="eastAsia" w:ascii="宋体" w:hAnsi="宋体" w:eastAsia="宋体" w:cs="宋体"/>
          <w:color w:val="000000"/>
          <w:szCs w:val="21"/>
        </w:rPr>
        <w:fldChar w:fldCharType="begin"/>
      </w:r>
      <w:r>
        <w:rPr>
          <w:rFonts w:hint="eastAsia" w:ascii="宋体" w:hAnsi="宋体" w:eastAsia="宋体" w:cs="宋体"/>
          <w:szCs w:val="21"/>
        </w:rPr>
        <w:instrText xml:space="preserve"> HYPERLINK \l _Toc12346 </w:instrText>
      </w:r>
      <w:r>
        <w:rPr>
          <w:rFonts w:hint="eastAsia" w:ascii="宋体" w:hAnsi="宋体" w:eastAsia="宋体" w:cs="宋体"/>
          <w:szCs w:val="21"/>
        </w:rPr>
        <w:fldChar w:fldCharType="separate"/>
      </w:r>
      <w:r>
        <w:rPr>
          <w:rFonts w:hint="eastAsia" w:ascii="宋体" w:hAnsi="宋体" w:eastAsia="宋体" w:cs="宋体"/>
          <w:bCs w:val="0"/>
          <w:spacing w:val="-14"/>
          <w:szCs w:val="24"/>
          <w:lang w:val="en-US" w:eastAsia="zh-CN"/>
        </w:rPr>
        <w:t>一、</w:t>
      </w:r>
      <w:r>
        <w:rPr>
          <w:rFonts w:hint="eastAsia" w:ascii="宋体" w:hAnsi="宋体" w:eastAsia="宋体" w:cs="宋体"/>
          <w:bCs w:val="0"/>
          <w:spacing w:val="-14"/>
          <w:szCs w:val="24"/>
        </w:rPr>
        <w:t>采购需求</w:t>
      </w:r>
      <w:r>
        <w:tab/>
      </w:r>
      <w:r>
        <w:fldChar w:fldCharType="begin"/>
      </w:r>
      <w:r>
        <w:instrText xml:space="preserve"> PAGEREF _Toc12346 \h </w:instrText>
      </w:r>
      <w:r>
        <w:fldChar w:fldCharType="separate"/>
      </w:r>
      <w:r>
        <w:t>- 13 -</w:t>
      </w:r>
      <w:r>
        <w:fldChar w:fldCharType="end"/>
      </w:r>
      <w:r>
        <w:rPr>
          <w:rFonts w:hint="eastAsia" w:ascii="宋体" w:hAnsi="宋体" w:eastAsia="宋体" w:cs="宋体"/>
          <w:color w:val="000000"/>
          <w:szCs w:val="21"/>
        </w:rPr>
        <w:fldChar w:fldCharType="end"/>
      </w:r>
    </w:p>
    <w:p w14:paraId="41ADB038">
      <w:pPr>
        <w:pStyle w:val="45"/>
        <w:tabs>
          <w:tab w:val="right" w:leader="dot" w:pos="9412"/>
        </w:tabs>
      </w:pPr>
      <w:r>
        <w:rPr>
          <w:rFonts w:hint="eastAsia" w:ascii="宋体" w:hAnsi="宋体" w:eastAsia="宋体" w:cs="宋体"/>
          <w:color w:val="000000"/>
          <w:szCs w:val="21"/>
        </w:rPr>
        <w:fldChar w:fldCharType="begin"/>
      </w:r>
      <w:r>
        <w:rPr>
          <w:rFonts w:hint="eastAsia" w:ascii="宋体" w:hAnsi="宋体" w:eastAsia="宋体" w:cs="宋体"/>
          <w:szCs w:val="21"/>
        </w:rPr>
        <w:instrText xml:space="preserve"> HYPERLINK \l _Toc21458 </w:instrText>
      </w:r>
      <w:r>
        <w:rPr>
          <w:rFonts w:hint="eastAsia" w:ascii="宋体" w:hAnsi="宋体" w:eastAsia="宋体" w:cs="宋体"/>
          <w:szCs w:val="21"/>
        </w:rPr>
        <w:fldChar w:fldCharType="separate"/>
      </w:r>
      <w:r>
        <w:rPr>
          <w:rFonts w:hint="eastAsia" w:ascii="宋体" w:hAnsi="宋体" w:eastAsia="宋体" w:cs="宋体"/>
          <w:szCs w:val="36"/>
        </w:rPr>
        <w:t>第四篇 询价项目商务需求</w:t>
      </w:r>
      <w:r>
        <w:tab/>
      </w:r>
      <w:r>
        <w:fldChar w:fldCharType="begin"/>
      </w:r>
      <w:r>
        <w:instrText xml:space="preserve"> PAGEREF _Toc21458 \h </w:instrText>
      </w:r>
      <w:r>
        <w:fldChar w:fldCharType="separate"/>
      </w:r>
      <w:r>
        <w:t>- 17 -</w:t>
      </w:r>
      <w:r>
        <w:fldChar w:fldCharType="end"/>
      </w:r>
      <w:r>
        <w:rPr>
          <w:rFonts w:hint="eastAsia" w:ascii="宋体" w:hAnsi="宋体" w:eastAsia="宋体" w:cs="宋体"/>
          <w:color w:val="000000"/>
          <w:szCs w:val="21"/>
        </w:rPr>
        <w:fldChar w:fldCharType="end"/>
      </w:r>
    </w:p>
    <w:p w14:paraId="0D07D822">
      <w:pPr>
        <w:pStyle w:val="29"/>
        <w:tabs>
          <w:tab w:val="right" w:leader="dot" w:pos="9412"/>
        </w:tabs>
      </w:pPr>
      <w:r>
        <w:rPr>
          <w:rFonts w:hint="eastAsia" w:ascii="宋体" w:hAnsi="宋体" w:eastAsia="宋体" w:cs="宋体"/>
          <w:color w:val="000000"/>
          <w:szCs w:val="21"/>
        </w:rPr>
        <w:fldChar w:fldCharType="begin"/>
      </w:r>
      <w:r>
        <w:rPr>
          <w:rFonts w:hint="eastAsia" w:ascii="宋体" w:hAnsi="宋体" w:eastAsia="宋体" w:cs="宋体"/>
          <w:szCs w:val="21"/>
        </w:rPr>
        <w:instrText xml:space="preserve"> HYPERLINK \l _Toc17136 </w:instrText>
      </w:r>
      <w:r>
        <w:rPr>
          <w:rFonts w:hint="eastAsia" w:ascii="宋体" w:hAnsi="宋体" w:eastAsia="宋体" w:cs="宋体"/>
          <w:szCs w:val="21"/>
        </w:rPr>
        <w:fldChar w:fldCharType="separate"/>
      </w:r>
      <w:r>
        <w:rPr>
          <w:rFonts w:hint="eastAsia" w:ascii="宋体" w:hAnsi="宋体" w:eastAsia="宋体" w:cs="宋体"/>
          <w:szCs w:val="24"/>
          <w:lang w:eastAsia="zh-CN"/>
        </w:rPr>
        <w:t>一</w:t>
      </w:r>
      <w:r>
        <w:rPr>
          <w:rFonts w:hint="eastAsia" w:ascii="宋体" w:hAnsi="宋体" w:eastAsia="宋体" w:cs="宋体"/>
          <w:szCs w:val="24"/>
        </w:rPr>
        <w:t>、交货时间、交货地点、验收方式及交付方式</w:t>
      </w:r>
      <w:r>
        <w:tab/>
      </w:r>
      <w:r>
        <w:fldChar w:fldCharType="begin"/>
      </w:r>
      <w:r>
        <w:instrText xml:space="preserve"> PAGEREF _Toc17136 \h </w:instrText>
      </w:r>
      <w:r>
        <w:fldChar w:fldCharType="separate"/>
      </w:r>
      <w:r>
        <w:t>- 17 -</w:t>
      </w:r>
      <w:r>
        <w:fldChar w:fldCharType="end"/>
      </w:r>
      <w:r>
        <w:rPr>
          <w:rFonts w:hint="eastAsia" w:ascii="宋体" w:hAnsi="宋体" w:eastAsia="宋体" w:cs="宋体"/>
          <w:color w:val="000000"/>
          <w:szCs w:val="21"/>
        </w:rPr>
        <w:fldChar w:fldCharType="end"/>
      </w:r>
    </w:p>
    <w:p w14:paraId="5AE46222">
      <w:pPr>
        <w:pStyle w:val="29"/>
        <w:tabs>
          <w:tab w:val="right" w:leader="dot" w:pos="9412"/>
        </w:tabs>
      </w:pPr>
      <w:r>
        <w:rPr>
          <w:rFonts w:hint="eastAsia" w:ascii="宋体" w:hAnsi="宋体" w:eastAsia="宋体" w:cs="宋体"/>
          <w:color w:val="000000"/>
          <w:szCs w:val="21"/>
        </w:rPr>
        <w:fldChar w:fldCharType="begin"/>
      </w:r>
      <w:r>
        <w:rPr>
          <w:rFonts w:hint="eastAsia" w:ascii="宋体" w:hAnsi="宋体" w:eastAsia="宋体" w:cs="宋体"/>
          <w:szCs w:val="21"/>
        </w:rPr>
        <w:instrText xml:space="preserve"> HYPERLINK \l _Toc22998 </w:instrText>
      </w:r>
      <w:r>
        <w:rPr>
          <w:rFonts w:hint="eastAsia" w:ascii="宋体" w:hAnsi="宋体" w:eastAsia="宋体" w:cs="宋体"/>
          <w:szCs w:val="21"/>
        </w:rPr>
        <w:fldChar w:fldCharType="separate"/>
      </w:r>
      <w:r>
        <w:rPr>
          <w:rFonts w:hint="eastAsia" w:ascii="宋体" w:hAnsi="宋体" w:eastAsia="宋体" w:cs="宋体"/>
          <w:kern w:val="0"/>
          <w:szCs w:val="24"/>
          <w:lang w:val="en-US" w:eastAsia="zh-CN"/>
        </w:rPr>
        <w:t>二</w:t>
      </w:r>
      <w:r>
        <w:rPr>
          <w:rFonts w:hint="eastAsia" w:ascii="宋体" w:hAnsi="宋体" w:eastAsia="宋体" w:cs="宋体"/>
          <w:kern w:val="0"/>
          <w:szCs w:val="24"/>
        </w:rPr>
        <w:t>、报价要求及项目结算</w:t>
      </w:r>
      <w:r>
        <w:tab/>
      </w:r>
      <w:r>
        <w:fldChar w:fldCharType="begin"/>
      </w:r>
      <w:r>
        <w:instrText xml:space="preserve"> PAGEREF _Toc22998 \h </w:instrText>
      </w:r>
      <w:r>
        <w:fldChar w:fldCharType="separate"/>
      </w:r>
      <w:r>
        <w:t>- 17 -</w:t>
      </w:r>
      <w:r>
        <w:fldChar w:fldCharType="end"/>
      </w:r>
      <w:r>
        <w:rPr>
          <w:rFonts w:hint="eastAsia" w:ascii="宋体" w:hAnsi="宋体" w:eastAsia="宋体" w:cs="宋体"/>
          <w:color w:val="000000"/>
          <w:szCs w:val="21"/>
        </w:rPr>
        <w:fldChar w:fldCharType="end"/>
      </w:r>
    </w:p>
    <w:p w14:paraId="7677F84C">
      <w:pPr>
        <w:pStyle w:val="29"/>
        <w:tabs>
          <w:tab w:val="right" w:leader="dot" w:pos="9412"/>
        </w:tabs>
      </w:pPr>
      <w:r>
        <w:rPr>
          <w:rFonts w:hint="eastAsia" w:ascii="宋体" w:hAnsi="宋体" w:eastAsia="宋体" w:cs="宋体"/>
          <w:color w:val="000000"/>
          <w:szCs w:val="21"/>
        </w:rPr>
        <w:fldChar w:fldCharType="begin"/>
      </w:r>
      <w:r>
        <w:rPr>
          <w:rFonts w:hint="eastAsia" w:ascii="宋体" w:hAnsi="宋体" w:eastAsia="宋体" w:cs="宋体"/>
          <w:szCs w:val="21"/>
        </w:rPr>
        <w:instrText xml:space="preserve"> HYPERLINK \l _Toc5975 </w:instrText>
      </w:r>
      <w:r>
        <w:rPr>
          <w:rFonts w:hint="eastAsia" w:ascii="宋体" w:hAnsi="宋体" w:eastAsia="宋体" w:cs="宋体"/>
          <w:szCs w:val="21"/>
        </w:rPr>
        <w:fldChar w:fldCharType="separate"/>
      </w:r>
      <w:r>
        <w:rPr>
          <w:rFonts w:hint="eastAsia" w:ascii="宋体" w:hAnsi="宋体" w:eastAsia="宋体" w:cs="宋体"/>
          <w:szCs w:val="24"/>
          <w:lang w:val="en-US" w:eastAsia="zh-CN"/>
        </w:rPr>
        <w:t>三</w:t>
      </w:r>
      <w:r>
        <w:rPr>
          <w:rFonts w:hint="eastAsia" w:ascii="宋体" w:hAnsi="宋体" w:eastAsia="宋体" w:cs="宋体"/>
          <w:szCs w:val="24"/>
        </w:rPr>
        <w:t>、付款方式</w:t>
      </w:r>
      <w:r>
        <w:tab/>
      </w:r>
      <w:r>
        <w:fldChar w:fldCharType="begin"/>
      </w:r>
      <w:r>
        <w:instrText xml:space="preserve"> PAGEREF _Toc5975 \h </w:instrText>
      </w:r>
      <w:r>
        <w:fldChar w:fldCharType="separate"/>
      </w:r>
      <w:r>
        <w:t>- 17 -</w:t>
      </w:r>
      <w:r>
        <w:fldChar w:fldCharType="end"/>
      </w:r>
      <w:r>
        <w:rPr>
          <w:rFonts w:hint="eastAsia" w:ascii="宋体" w:hAnsi="宋体" w:eastAsia="宋体" w:cs="宋体"/>
          <w:color w:val="000000"/>
          <w:szCs w:val="21"/>
        </w:rPr>
        <w:fldChar w:fldCharType="end"/>
      </w:r>
    </w:p>
    <w:p w14:paraId="2034E2EB">
      <w:pPr>
        <w:pStyle w:val="29"/>
        <w:tabs>
          <w:tab w:val="right" w:leader="dot" w:pos="9412"/>
        </w:tabs>
      </w:pPr>
      <w:r>
        <w:rPr>
          <w:rFonts w:hint="eastAsia" w:ascii="宋体" w:hAnsi="宋体" w:eastAsia="宋体" w:cs="宋体"/>
          <w:color w:val="000000"/>
          <w:szCs w:val="21"/>
        </w:rPr>
        <w:fldChar w:fldCharType="begin"/>
      </w:r>
      <w:r>
        <w:rPr>
          <w:rFonts w:hint="eastAsia" w:ascii="宋体" w:hAnsi="宋体" w:eastAsia="宋体" w:cs="宋体"/>
          <w:szCs w:val="21"/>
        </w:rPr>
        <w:instrText xml:space="preserve"> HYPERLINK \l _Toc2922 </w:instrText>
      </w:r>
      <w:r>
        <w:rPr>
          <w:rFonts w:hint="eastAsia" w:ascii="宋体" w:hAnsi="宋体" w:eastAsia="宋体" w:cs="宋体"/>
          <w:szCs w:val="21"/>
        </w:rPr>
        <w:fldChar w:fldCharType="separate"/>
      </w:r>
      <w:r>
        <w:rPr>
          <w:rFonts w:hint="eastAsia" w:ascii="宋体" w:hAnsi="宋体" w:eastAsia="宋体" w:cs="宋体"/>
          <w:szCs w:val="24"/>
          <w:lang w:val="en-US" w:eastAsia="zh-CN"/>
        </w:rPr>
        <w:t>四</w:t>
      </w:r>
      <w:r>
        <w:rPr>
          <w:rFonts w:hint="eastAsia" w:ascii="宋体" w:hAnsi="宋体" w:eastAsia="宋体" w:cs="宋体"/>
          <w:szCs w:val="24"/>
        </w:rPr>
        <w:t>、知识产权</w:t>
      </w:r>
      <w:r>
        <w:tab/>
      </w:r>
      <w:r>
        <w:fldChar w:fldCharType="begin"/>
      </w:r>
      <w:r>
        <w:instrText xml:space="preserve"> PAGEREF _Toc2922 \h </w:instrText>
      </w:r>
      <w:r>
        <w:fldChar w:fldCharType="separate"/>
      </w:r>
      <w:r>
        <w:t>- 17 -</w:t>
      </w:r>
      <w:r>
        <w:fldChar w:fldCharType="end"/>
      </w:r>
      <w:r>
        <w:rPr>
          <w:rFonts w:hint="eastAsia" w:ascii="宋体" w:hAnsi="宋体" w:eastAsia="宋体" w:cs="宋体"/>
          <w:color w:val="000000"/>
          <w:szCs w:val="21"/>
        </w:rPr>
        <w:fldChar w:fldCharType="end"/>
      </w:r>
    </w:p>
    <w:p w14:paraId="3C8B7DE7">
      <w:pPr>
        <w:pStyle w:val="29"/>
        <w:tabs>
          <w:tab w:val="right" w:leader="dot" w:pos="9412"/>
        </w:tabs>
      </w:pPr>
      <w:r>
        <w:rPr>
          <w:rFonts w:hint="eastAsia" w:ascii="宋体" w:hAnsi="宋体" w:eastAsia="宋体" w:cs="宋体"/>
          <w:color w:val="000000"/>
          <w:szCs w:val="21"/>
        </w:rPr>
        <w:fldChar w:fldCharType="begin"/>
      </w:r>
      <w:r>
        <w:rPr>
          <w:rFonts w:hint="eastAsia" w:ascii="宋体" w:hAnsi="宋体" w:eastAsia="宋体" w:cs="宋体"/>
          <w:szCs w:val="21"/>
        </w:rPr>
        <w:instrText xml:space="preserve"> HYPERLINK \l _Toc20443 </w:instrText>
      </w:r>
      <w:r>
        <w:rPr>
          <w:rFonts w:hint="eastAsia" w:ascii="宋体" w:hAnsi="宋体" w:eastAsia="宋体" w:cs="宋体"/>
          <w:szCs w:val="21"/>
        </w:rPr>
        <w:fldChar w:fldCharType="separate"/>
      </w:r>
      <w:r>
        <w:rPr>
          <w:rFonts w:hint="eastAsia" w:ascii="宋体" w:hAnsi="宋体" w:eastAsia="宋体" w:cs="宋体"/>
          <w:szCs w:val="24"/>
          <w:lang w:val="en-US" w:eastAsia="zh-CN"/>
        </w:rPr>
        <w:t>五</w:t>
      </w:r>
      <w:r>
        <w:rPr>
          <w:rFonts w:hint="eastAsia" w:ascii="宋体" w:hAnsi="宋体" w:eastAsia="宋体" w:cs="宋体"/>
          <w:szCs w:val="24"/>
        </w:rPr>
        <w:t>、其他</w:t>
      </w:r>
      <w:r>
        <w:tab/>
      </w:r>
      <w:r>
        <w:fldChar w:fldCharType="begin"/>
      </w:r>
      <w:r>
        <w:instrText xml:space="preserve"> PAGEREF _Toc20443 \h </w:instrText>
      </w:r>
      <w:r>
        <w:fldChar w:fldCharType="separate"/>
      </w:r>
      <w:r>
        <w:t>- 17 -</w:t>
      </w:r>
      <w:r>
        <w:fldChar w:fldCharType="end"/>
      </w:r>
      <w:r>
        <w:rPr>
          <w:rFonts w:hint="eastAsia" w:ascii="宋体" w:hAnsi="宋体" w:eastAsia="宋体" w:cs="宋体"/>
          <w:color w:val="000000"/>
          <w:szCs w:val="21"/>
        </w:rPr>
        <w:fldChar w:fldCharType="end"/>
      </w:r>
    </w:p>
    <w:p w14:paraId="6B605659">
      <w:pPr>
        <w:pStyle w:val="45"/>
        <w:tabs>
          <w:tab w:val="right" w:leader="dot" w:pos="9412"/>
        </w:tabs>
      </w:pPr>
      <w:r>
        <w:rPr>
          <w:rFonts w:hint="eastAsia" w:ascii="宋体" w:hAnsi="宋体" w:eastAsia="宋体" w:cs="宋体"/>
          <w:color w:val="000000"/>
          <w:szCs w:val="21"/>
        </w:rPr>
        <w:fldChar w:fldCharType="begin"/>
      </w:r>
      <w:r>
        <w:rPr>
          <w:rFonts w:hint="eastAsia" w:ascii="宋体" w:hAnsi="宋体" w:eastAsia="宋体" w:cs="宋体"/>
          <w:szCs w:val="21"/>
        </w:rPr>
        <w:instrText xml:space="preserve"> HYPERLINK \l _Toc27958 </w:instrText>
      </w:r>
      <w:r>
        <w:rPr>
          <w:rFonts w:hint="eastAsia" w:ascii="宋体" w:hAnsi="宋体" w:eastAsia="宋体" w:cs="宋体"/>
          <w:szCs w:val="21"/>
        </w:rPr>
        <w:fldChar w:fldCharType="separate"/>
      </w:r>
      <w:r>
        <w:rPr>
          <w:rFonts w:hint="eastAsia" w:ascii="宋体" w:hAnsi="宋体" w:eastAsia="宋体" w:cs="宋体"/>
          <w:szCs w:val="36"/>
        </w:rPr>
        <w:t>第五篇 合同主要条款和格式合同（样本）</w:t>
      </w:r>
      <w:r>
        <w:tab/>
      </w:r>
      <w:r>
        <w:fldChar w:fldCharType="begin"/>
      </w:r>
      <w:r>
        <w:instrText xml:space="preserve"> PAGEREF _Toc27958 \h </w:instrText>
      </w:r>
      <w:r>
        <w:fldChar w:fldCharType="separate"/>
      </w:r>
      <w:r>
        <w:t>- 18 -</w:t>
      </w:r>
      <w:r>
        <w:fldChar w:fldCharType="end"/>
      </w:r>
      <w:r>
        <w:rPr>
          <w:rFonts w:hint="eastAsia" w:ascii="宋体" w:hAnsi="宋体" w:eastAsia="宋体" w:cs="宋体"/>
          <w:color w:val="000000"/>
          <w:szCs w:val="21"/>
        </w:rPr>
        <w:fldChar w:fldCharType="end"/>
      </w:r>
    </w:p>
    <w:p w14:paraId="7918EB1B">
      <w:pPr>
        <w:pStyle w:val="29"/>
        <w:tabs>
          <w:tab w:val="right" w:leader="dot" w:pos="9412"/>
        </w:tabs>
      </w:pPr>
      <w:r>
        <w:rPr>
          <w:rFonts w:hint="eastAsia" w:ascii="宋体" w:hAnsi="宋体" w:eastAsia="宋体" w:cs="宋体"/>
          <w:color w:val="000000"/>
          <w:szCs w:val="21"/>
        </w:rPr>
        <w:fldChar w:fldCharType="begin"/>
      </w:r>
      <w:r>
        <w:rPr>
          <w:rFonts w:hint="eastAsia" w:ascii="宋体" w:hAnsi="宋体" w:eastAsia="宋体" w:cs="宋体"/>
          <w:szCs w:val="21"/>
        </w:rPr>
        <w:instrText xml:space="preserve"> HYPERLINK \l _Toc12044 </w:instrText>
      </w:r>
      <w:r>
        <w:rPr>
          <w:rFonts w:hint="eastAsia" w:ascii="宋体" w:hAnsi="宋体" w:eastAsia="宋体" w:cs="宋体"/>
          <w:szCs w:val="21"/>
        </w:rPr>
        <w:fldChar w:fldCharType="separate"/>
      </w:r>
      <w:r>
        <w:rPr>
          <w:rFonts w:hint="eastAsia" w:ascii="方正小标宋_GBK" w:hAnsi="Times New Roman" w:eastAsia="方正小标宋_GBK"/>
          <w:szCs w:val="36"/>
          <w:shd w:val="clear" w:color="auto" w:fill="FFFFFF"/>
        </w:rPr>
        <w:t>党建文化墙工程建设合同</w:t>
      </w:r>
      <w:r>
        <w:tab/>
      </w:r>
      <w:r>
        <w:fldChar w:fldCharType="begin"/>
      </w:r>
      <w:r>
        <w:instrText xml:space="preserve"> PAGEREF _Toc12044 \h </w:instrText>
      </w:r>
      <w:r>
        <w:fldChar w:fldCharType="separate"/>
      </w:r>
      <w:r>
        <w:t>- 21 -</w:t>
      </w:r>
      <w:r>
        <w:fldChar w:fldCharType="end"/>
      </w:r>
      <w:r>
        <w:rPr>
          <w:rFonts w:hint="eastAsia" w:ascii="宋体" w:hAnsi="宋体" w:eastAsia="宋体" w:cs="宋体"/>
          <w:color w:val="000000"/>
          <w:szCs w:val="21"/>
        </w:rPr>
        <w:fldChar w:fldCharType="end"/>
      </w:r>
    </w:p>
    <w:p w14:paraId="10906E53">
      <w:pPr>
        <w:pStyle w:val="29"/>
        <w:tabs>
          <w:tab w:val="right" w:leader="dot" w:pos="9412"/>
        </w:tabs>
      </w:pPr>
      <w:r>
        <w:rPr>
          <w:rFonts w:hint="eastAsia" w:ascii="宋体" w:hAnsi="宋体" w:eastAsia="宋体" w:cs="宋体"/>
          <w:color w:val="000000"/>
          <w:szCs w:val="21"/>
        </w:rPr>
        <w:fldChar w:fldCharType="begin"/>
      </w:r>
      <w:r>
        <w:rPr>
          <w:rFonts w:hint="eastAsia" w:ascii="宋体" w:hAnsi="宋体" w:eastAsia="宋体" w:cs="宋体"/>
          <w:szCs w:val="21"/>
        </w:rPr>
        <w:instrText xml:space="preserve"> HYPERLINK \l _Toc19973 </w:instrText>
      </w:r>
      <w:r>
        <w:rPr>
          <w:rFonts w:hint="eastAsia" w:ascii="宋体" w:hAnsi="宋体" w:eastAsia="宋体" w:cs="宋体"/>
          <w:szCs w:val="21"/>
        </w:rPr>
        <w:fldChar w:fldCharType="separate"/>
      </w:r>
      <w:r>
        <w:rPr>
          <w:rFonts w:hint="eastAsia" w:ascii="宋体" w:hAnsi="宋体" w:eastAsia="宋体" w:cs="宋体"/>
          <w:bCs w:val="0"/>
          <w:szCs w:val="24"/>
          <w:lang w:val="en-US"/>
        </w:rPr>
        <w:t>合同</w:t>
      </w:r>
      <w:r>
        <w:rPr>
          <w:rFonts w:hint="eastAsia" w:ascii="宋体" w:hAnsi="宋体" w:eastAsia="宋体" w:cs="宋体"/>
          <w:bCs w:val="0"/>
          <w:szCs w:val="24"/>
        </w:rPr>
        <w:t>附件</w:t>
      </w:r>
      <w:r>
        <w:rPr>
          <w:rFonts w:hint="eastAsia" w:ascii="宋体" w:hAnsi="宋体" w:eastAsia="宋体" w:cs="宋体"/>
          <w:bCs w:val="0"/>
          <w:szCs w:val="24"/>
          <w:lang w:val="en-US"/>
        </w:rPr>
        <w:t>3：</w:t>
      </w:r>
      <w:r>
        <w:tab/>
      </w:r>
      <w:r>
        <w:fldChar w:fldCharType="begin"/>
      </w:r>
      <w:r>
        <w:instrText xml:space="preserve"> PAGEREF _Toc19973 \h </w:instrText>
      </w:r>
      <w:r>
        <w:fldChar w:fldCharType="separate"/>
      </w:r>
      <w:r>
        <w:t>- 29 -</w:t>
      </w:r>
      <w:r>
        <w:fldChar w:fldCharType="end"/>
      </w:r>
      <w:r>
        <w:rPr>
          <w:rFonts w:hint="eastAsia" w:ascii="宋体" w:hAnsi="宋体" w:eastAsia="宋体" w:cs="宋体"/>
          <w:color w:val="000000"/>
          <w:szCs w:val="21"/>
        </w:rPr>
        <w:fldChar w:fldCharType="end"/>
      </w:r>
    </w:p>
    <w:p w14:paraId="0B150625">
      <w:pPr>
        <w:pStyle w:val="45"/>
        <w:tabs>
          <w:tab w:val="right" w:leader="dot" w:pos="9412"/>
        </w:tabs>
      </w:pPr>
      <w:r>
        <w:rPr>
          <w:rFonts w:hint="eastAsia" w:ascii="宋体" w:hAnsi="宋体" w:eastAsia="宋体" w:cs="宋体"/>
          <w:color w:val="000000"/>
          <w:szCs w:val="21"/>
        </w:rPr>
        <w:fldChar w:fldCharType="begin"/>
      </w:r>
      <w:r>
        <w:rPr>
          <w:rFonts w:hint="eastAsia" w:ascii="宋体" w:hAnsi="宋体" w:eastAsia="宋体" w:cs="宋体"/>
          <w:szCs w:val="21"/>
        </w:rPr>
        <w:instrText xml:space="preserve"> HYPERLINK \l _Toc27928 </w:instrText>
      </w:r>
      <w:r>
        <w:rPr>
          <w:rFonts w:hint="eastAsia" w:ascii="宋体" w:hAnsi="宋体" w:eastAsia="宋体" w:cs="宋体"/>
          <w:szCs w:val="21"/>
        </w:rPr>
        <w:fldChar w:fldCharType="separate"/>
      </w:r>
      <w:r>
        <w:rPr>
          <w:rFonts w:hint="eastAsia" w:ascii="宋体" w:hAnsi="宋体" w:eastAsia="宋体" w:cs="宋体"/>
          <w:szCs w:val="36"/>
        </w:rPr>
        <w:t>第六篇 响应文件格式要求</w:t>
      </w:r>
      <w:r>
        <w:tab/>
      </w:r>
      <w:r>
        <w:fldChar w:fldCharType="begin"/>
      </w:r>
      <w:r>
        <w:instrText xml:space="preserve"> PAGEREF _Toc27928 \h </w:instrText>
      </w:r>
      <w:r>
        <w:fldChar w:fldCharType="separate"/>
      </w:r>
      <w:r>
        <w:t>- 37 -</w:t>
      </w:r>
      <w:r>
        <w:fldChar w:fldCharType="end"/>
      </w:r>
      <w:r>
        <w:rPr>
          <w:rFonts w:hint="eastAsia" w:ascii="宋体" w:hAnsi="宋体" w:eastAsia="宋体" w:cs="宋体"/>
          <w:color w:val="000000"/>
          <w:szCs w:val="21"/>
        </w:rPr>
        <w:fldChar w:fldCharType="end"/>
      </w:r>
    </w:p>
    <w:p w14:paraId="20D62C6D">
      <w:pPr>
        <w:pStyle w:val="29"/>
        <w:tabs>
          <w:tab w:val="right" w:leader="dot" w:pos="9412"/>
        </w:tabs>
      </w:pPr>
      <w:r>
        <w:rPr>
          <w:rFonts w:hint="eastAsia" w:ascii="宋体" w:hAnsi="宋体" w:eastAsia="宋体" w:cs="宋体"/>
          <w:color w:val="000000"/>
          <w:szCs w:val="21"/>
        </w:rPr>
        <w:fldChar w:fldCharType="begin"/>
      </w:r>
      <w:r>
        <w:rPr>
          <w:rFonts w:hint="eastAsia" w:ascii="宋体" w:hAnsi="宋体" w:eastAsia="宋体" w:cs="宋体"/>
          <w:szCs w:val="21"/>
        </w:rPr>
        <w:instrText xml:space="preserve"> HYPERLINK \l _Toc24471 </w:instrText>
      </w:r>
      <w:r>
        <w:rPr>
          <w:rFonts w:hint="eastAsia" w:ascii="宋体" w:hAnsi="宋体" w:eastAsia="宋体" w:cs="宋体"/>
          <w:szCs w:val="21"/>
        </w:rPr>
        <w:fldChar w:fldCharType="separate"/>
      </w:r>
      <w:r>
        <w:rPr>
          <w:rFonts w:hint="eastAsia" w:ascii="宋体" w:hAnsi="宋体" w:eastAsia="宋体" w:cs="宋体"/>
          <w:szCs w:val="24"/>
        </w:rPr>
        <w:t>一、经济部分</w:t>
      </w:r>
      <w:r>
        <w:tab/>
      </w:r>
      <w:r>
        <w:fldChar w:fldCharType="begin"/>
      </w:r>
      <w:r>
        <w:instrText xml:space="preserve"> PAGEREF _Toc24471 \h </w:instrText>
      </w:r>
      <w:r>
        <w:fldChar w:fldCharType="separate"/>
      </w:r>
      <w:r>
        <w:t>- 39 -</w:t>
      </w:r>
      <w:r>
        <w:fldChar w:fldCharType="end"/>
      </w:r>
      <w:r>
        <w:rPr>
          <w:rFonts w:hint="eastAsia" w:ascii="宋体" w:hAnsi="宋体" w:eastAsia="宋体" w:cs="宋体"/>
          <w:color w:val="000000"/>
          <w:szCs w:val="21"/>
        </w:rPr>
        <w:fldChar w:fldCharType="end"/>
      </w:r>
    </w:p>
    <w:p w14:paraId="250D3F65">
      <w:pPr>
        <w:pStyle w:val="29"/>
        <w:tabs>
          <w:tab w:val="right" w:leader="dot" w:pos="9412"/>
        </w:tabs>
      </w:pPr>
      <w:r>
        <w:rPr>
          <w:rFonts w:hint="eastAsia" w:ascii="宋体" w:hAnsi="宋体" w:eastAsia="宋体" w:cs="宋体"/>
          <w:color w:val="000000"/>
          <w:szCs w:val="21"/>
        </w:rPr>
        <w:fldChar w:fldCharType="begin"/>
      </w:r>
      <w:r>
        <w:rPr>
          <w:rFonts w:hint="eastAsia" w:ascii="宋体" w:hAnsi="宋体" w:eastAsia="宋体" w:cs="宋体"/>
          <w:szCs w:val="21"/>
        </w:rPr>
        <w:instrText xml:space="preserve"> HYPERLINK \l _Toc3553 </w:instrText>
      </w:r>
      <w:r>
        <w:rPr>
          <w:rFonts w:hint="eastAsia" w:ascii="宋体" w:hAnsi="宋体" w:eastAsia="宋体" w:cs="宋体"/>
          <w:szCs w:val="21"/>
        </w:rPr>
        <w:fldChar w:fldCharType="separate"/>
      </w:r>
      <w:r>
        <w:rPr>
          <w:rFonts w:hint="eastAsia" w:ascii="宋体" w:hAnsi="宋体" w:eastAsia="宋体" w:cs="宋体"/>
          <w:szCs w:val="24"/>
        </w:rPr>
        <w:t>二、技术部分</w:t>
      </w:r>
      <w:r>
        <w:tab/>
      </w:r>
      <w:r>
        <w:fldChar w:fldCharType="begin"/>
      </w:r>
      <w:r>
        <w:instrText xml:space="preserve"> PAGEREF _Toc3553 \h </w:instrText>
      </w:r>
      <w:r>
        <w:fldChar w:fldCharType="separate"/>
      </w:r>
      <w:r>
        <w:t>- 41 -</w:t>
      </w:r>
      <w:r>
        <w:fldChar w:fldCharType="end"/>
      </w:r>
      <w:r>
        <w:rPr>
          <w:rFonts w:hint="eastAsia" w:ascii="宋体" w:hAnsi="宋体" w:eastAsia="宋体" w:cs="宋体"/>
          <w:color w:val="000000"/>
          <w:szCs w:val="21"/>
        </w:rPr>
        <w:fldChar w:fldCharType="end"/>
      </w:r>
    </w:p>
    <w:p w14:paraId="095D4FD0">
      <w:pPr>
        <w:pStyle w:val="29"/>
        <w:tabs>
          <w:tab w:val="right" w:leader="dot" w:pos="9412"/>
        </w:tabs>
      </w:pPr>
      <w:r>
        <w:rPr>
          <w:rFonts w:hint="eastAsia" w:ascii="宋体" w:hAnsi="宋体" w:eastAsia="宋体" w:cs="宋体"/>
          <w:color w:val="000000"/>
          <w:szCs w:val="21"/>
        </w:rPr>
        <w:fldChar w:fldCharType="begin"/>
      </w:r>
      <w:r>
        <w:rPr>
          <w:rFonts w:hint="eastAsia" w:ascii="宋体" w:hAnsi="宋体" w:eastAsia="宋体" w:cs="宋体"/>
          <w:szCs w:val="21"/>
        </w:rPr>
        <w:instrText xml:space="preserve"> HYPERLINK \l _Toc21215 </w:instrText>
      </w:r>
      <w:r>
        <w:rPr>
          <w:rFonts w:hint="eastAsia" w:ascii="宋体" w:hAnsi="宋体" w:eastAsia="宋体" w:cs="宋体"/>
          <w:szCs w:val="21"/>
        </w:rPr>
        <w:fldChar w:fldCharType="separate"/>
      </w:r>
      <w:r>
        <w:rPr>
          <w:rFonts w:hint="eastAsia" w:ascii="宋体" w:hAnsi="宋体" w:eastAsia="宋体" w:cs="宋体"/>
          <w:szCs w:val="24"/>
        </w:rPr>
        <w:t>三、商务部分</w:t>
      </w:r>
      <w:r>
        <w:tab/>
      </w:r>
      <w:r>
        <w:fldChar w:fldCharType="begin"/>
      </w:r>
      <w:r>
        <w:instrText xml:space="preserve"> PAGEREF _Toc21215 \h </w:instrText>
      </w:r>
      <w:r>
        <w:fldChar w:fldCharType="separate"/>
      </w:r>
      <w:r>
        <w:t>- 42 -</w:t>
      </w:r>
      <w:r>
        <w:fldChar w:fldCharType="end"/>
      </w:r>
      <w:r>
        <w:rPr>
          <w:rFonts w:hint="eastAsia" w:ascii="宋体" w:hAnsi="宋体" w:eastAsia="宋体" w:cs="宋体"/>
          <w:color w:val="000000"/>
          <w:szCs w:val="21"/>
        </w:rPr>
        <w:fldChar w:fldCharType="end"/>
      </w:r>
    </w:p>
    <w:p w14:paraId="0B75EF8F">
      <w:pPr>
        <w:pStyle w:val="29"/>
        <w:tabs>
          <w:tab w:val="right" w:leader="dot" w:pos="9412"/>
        </w:tabs>
      </w:pPr>
      <w:r>
        <w:rPr>
          <w:rFonts w:hint="eastAsia" w:ascii="宋体" w:hAnsi="宋体" w:eastAsia="宋体" w:cs="宋体"/>
          <w:color w:val="000000"/>
          <w:szCs w:val="21"/>
        </w:rPr>
        <w:fldChar w:fldCharType="begin"/>
      </w:r>
      <w:r>
        <w:rPr>
          <w:rFonts w:hint="eastAsia" w:ascii="宋体" w:hAnsi="宋体" w:eastAsia="宋体" w:cs="宋体"/>
          <w:szCs w:val="21"/>
        </w:rPr>
        <w:instrText xml:space="preserve"> HYPERLINK \l _Toc12481 </w:instrText>
      </w:r>
      <w:r>
        <w:rPr>
          <w:rFonts w:hint="eastAsia" w:ascii="宋体" w:hAnsi="宋体" w:eastAsia="宋体" w:cs="宋体"/>
          <w:szCs w:val="21"/>
        </w:rPr>
        <w:fldChar w:fldCharType="separate"/>
      </w:r>
      <w:r>
        <w:rPr>
          <w:rFonts w:hint="eastAsia" w:ascii="宋体" w:hAnsi="宋体" w:eastAsia="宋体" w:cs="宋体"/>
          <w:szCs w:val="24"/>
        </w:rPr>
        <w:t>四、资格文件</w:t>
      </w:r>
      <w:r>
        <w:tab/>
      </w:r>
      <w:r>
        <w:fldChar w:fldCharType="begin"/>
      </w:r>
      <w:r>
        <w:instrText xml:space="preserve"> PAGEREF _Toc12481 \h </w:instrText>
      </w:r>
      <w:r>
        <w:fldChar w:fldCharType="separate"/>
      </w:r>
      <w:r>
        <w:t>- 44 -</w:t>
      </w:r>
      <w:r>
        <w:fldChar w:fldCharType="end"/>
      </w:r>
      <w:r>
        <w:rPr>
          <w:rFonts w:hint="eastAsia" w:ascii="宋体" w:hAnsi="宋体" w:eastAsia="宋体" w:cs="宋体"/>
          <w:color w:val="000000"/>
          <w:szCs w:val="21"/>
        </w:rPr>
        <w:fldChar w:fldCharType="end"/>
      </w:r>
    </w:p>
    <w:p w14:paraId="1DFB9A2F">
      <w:pPr>
        <w:pStyle w:val="29"/>
        <w:tabs>
          <w:tab w:val="right" w:leader="dot" w:pos="9412"/>
        </w:tabs>
      </w:pPr>
      <w:r>
        <w:rPr>
          <w:rFonts w:hint="eastAsia" w:ascii="宋体" w:hAnsi="宋体" w:eastAsia="宋体" w:cs="宋体"/>
          <w:color w:val="000000"/>
          <w:szCs w:val="21"/>
        </w:rPr>
        <w:fldChar w:fldCharType="begin"/>
      </w:r>
      <w:r>
        <w:rPr>
          <w:rFonts w:hint="eastAsia" w:ascii="宋体" w:hAnsi="宋体" w:eastAsia="宋体" w:cs="宋体"/>
          <w:szCs w:val="21"/>
        </w:rPr>
        <w:instrText xml:space="preserve"> HYPERLINK \l _Toc31547 </w:instrText>
      </w:r>
      <w:r>
        <w:rPr>
          <w:rFonts w:hint="eastAsia" w:ascii="宋体" w:hAnsi="宋体" w:eastAsia="宋体" w:cs="宋体"/>
          <w:szCs w:val="21"/>
        </w:rPr>
        <w:fldChar w:fldCharType="separate"/>
      </w:r>
      <w:r>
        <w:rPr>
          <w:rFonts w:hint="eastAsia" w:ascii="宋体" w:hAnsi="宋体" w:eastAsia="宋体" w:cs="宋体"/>
          <w:szCs w:val="24"/>
        </w:rPr>
        <w:t>五、</w:t>
      </w:r>
      <w:r>
        <w:rPr>
          <w:rFonts w:hint="eastAsia" w:ascii="宋体" w:hAnsi="宋体" w:eastAsia="宋体" w:cs="宋体"/>
          <w:spacing w:val="-18"/>
        </w:rPr>
        <w:t>其他应提供的资料</w:t>
      </w:r>
      <w:r>
        <w:tab/>
      </w:r>
      <w:r>
        <w:fldChar w:fldCharType="begin"/>
      </w:r>
      <w:r>
        <w:instrText xml:space="preserve"> PAGEREF _Toc31547 \h </w:instrText>
      </w:r>
      <w:r>
        <w:fldChar w:fldCharType="separate"/>
      </w:r>
      <w:r>
        <w:t>- 49 -</w:t>
      </w:r>
      <w:r>
        <w:fldChar w:fldCharType="end"/>
      </w:r>
      <w:r>
        <w:rPr>
          <w:rFonts w:hint="eastAsia" w:ascii="宋体" w:hAnsi="宋体" w:eastAsia="宋体" w:cs="宋体"/>
          <w:color w:val="000000"/>
          <w:szCs w:val="21"/>
        </w:rPr>
        <w:fldChar w:fldCharType="end"/>
      </w:r>
    </w:p>
    <w:p w14:paraId="5BAD70B9">
      <w:pPr>
        <w:pStyle w:val="45"/>
        <w:tabs>
          <w:tab w:val="right" w:leader="dot" w:pos="9402"/>
        </w:tabs>
        <w:spacing w:line="480" w:lineRule="exact"/>
        <w:ind w:left="560"/>
        <w:rPr>
          <w:rFonts w:hint="eastAsia" w:ascii="宋体" w:hAnsi="宋体" w:eastAsia="宋体" w:cs="宋体"/>
          <w:color w:val="000000"/>
          <w:sz w:val="18"/>
          <w:szCs w:val="22"/>
        </w:rPr>
        <w:sectPr>
          <w:footerReference r:id="rId4" w:type="default"/>
          <w:pgSz w:w="11907" w:h="16840"/>
          <w:pgMar w:top="1134" w:right="1191" w:bottom="1134" w:left="1304" w:header="851" w:footer="992" w:gutter="0"/>
          <w:pgNumType w:fmt="numberInDash" w:start="1"/>
          <w:cols w:space="720" w:num="1"/>
          <w:docGrid w:linePitch="380" w:charSpace="-5735"/>
        </w:sectPr>
      </w:pPr>
      <w:r>
        <w:rPr>
          <w:rFonts w:hint="eastAsia" w:ascii="宋体" w:hAnsi="宋体" w:eastAsia="宋体" w:cs="宋体"/>
          <w:color w:val="000000"/>
          <w:szCs w:val="21"/>
        </w:rPr>
        <w:fldChar w:fldCharType="end"/>
      </w:r>
    </w:p>
    <w:p w14:paraId="54372ED1">
      <w:pPr>
        <w:pStyle w:val="4"/>
        <w:spacing w:before="0" w:after="0" w:line="400" w:lineRule="exact"/>
        <w:jc w:val="center"/>
        <w:rPr>
          <w:rFonts w:hint="eastAsia" w:ascii="宋体" w:hAnsi="宋体" w:eastAsia="宋体" w:cs="宋体"/>
          <w:color w:val="000000"/>
          <w:sz w:val="36"/>
          <w:szCs w:val="36"/>
        </w:rPr>
      </w:pPr>
      <w:bookmarkStart w:id="3" w:name="_Toc3701"/>
      <w:r>
        <w:rPr>
          <w:rFonts w:hint="eastAsia" w:ascii="宋体" w:hAnsi="宋体" w:eastAsia="宋体" w:cs="宋体"/>
          <w:color w:val="000000"/>
          <w:sz w:val="36"/>
          <w:szCs w:val="36"/>
        </w:rPr>
        <w:t>第一篇 询价邀请书</w:t>
      </w:r>
      <w:bookmarkEnd w:id="0"/>
      <w:bookmarkEnd w:id="1"/>
      <w:bookmarkEnd w:id="2"/>
      <w:bookmarkEnd w:id="3"/>
    </w:p>
    <w:p w14:paraId="4F6FEAC4">
      <w:pPr>
        <w:spacing w:line="400" w:lineRule="exact"/>
        <w:ind w:firstLine="480" w:firstLineChars="200"/>
        <w:rPr>
          <w:rFonts w:hint="eastAsia" w:ascii="宋体" w:hAnsi="宋体" w:eastAsia="宋体" w:cs="宋体"/>
          <w:color w:val="000000"/>
          <w:sz w:val="24"/>
          <w:szCs w:val="24"/>
        </w:rPr>
      </w:pPr>
      <w:bookmarkStart w:id="4" w:name="_Toc373860293"/>
      <w:bookmarkStart w:id="5" w:name="_Toc317775178"/>
      <w:r>
        <w:rPr>
          <w:rFonts w:hint="eastAsia" w:ascii="宋体" w:hAnsi="宋体" w:eastAsia="宋体" w:cs="宋体"/>
          <w:color w:val="000000"/>
          <w:sz w:val="24"/>
          <w:szCs w:val="24"/>
          <w:lang w:eastAsia="zh-CN"/>
        </w:rPr>
        <w:t>中科高盛咨询集团有限公司</w:t>
      </w:r>
      <w:r>
        <w:rPr>
          <w:rFonts w:hint="eastAsia" w:ascii="宋体" w:hAnsi="宋体" w:eastAsia="宋体" w:cs="宋体"/>
          <w:color w:val="000000"/>
          <w:sz w:val="24"/>
          <w:szCs w:val="24"/>
        </w:rPr>
        <w:t>受</w:t>
      </w:r>
      <w:r>
        <w:rPr>
          <w:rFonts w:hint="eastAsia" w:ascii="宋体" w:hAnsi="宋体" w:eastAsia="宋体" w:cs="宋体"/>
          <w:color w:val="000000"/>
          <w:sz w:val="24"/>
          <w:szCs w:val="24"/>
          <w:lang w:eastAsia="zh-CN"/>
        </w:rPr>
        <w:t>重庆理工职业学院</w:t>
      </w:r>
      <w:r>
        <w:rPr>
          <w:rFonts w:hint="eastAsia" w:ascii="宋体" w:hAnsi="宋体" w:eastAsia="宋体" w:cs="宋体"/>
          <w:color w:val="000000"/>
          <w:sz w:val="24"/>
          <w:szCs w:val="24"/>
        </w:rPr>
        <w:t>的委托，对</w:t>
      </w:r>
      <w:r>
        <w:rPr>
          <w:rFonts w:hint="eastAsia" w:ascii="宋体" w:hAnsi="宋体" w:eastAsia="宋体" w:cs="宋体"/>
          <w:color w:val="000000"/>
          <w:sz w:val="24"/>
          <w:szCs w:val="24"/>
          <w:lang w:eastAsia="zh-CN"/>
        </w:rPr>
        <w:t>室外党建文化墙建设项目（第二次）</w:t>
      </w:r>
      <w:r>
        <w:rPr>
          <w:rFonts w:hint="eastAsia" w:ascii="宋体" w:hAnsi="宋体" w:eastAsia="宋体" w:cs="宋体"/>
          <w:color w:val="000000"/>
          <w:sz w:val="24"/>
          <w:szCs w:val="24"/>
        </w:rPr>
        <w:t>进行询价采购</w:t>
      </w:r>
      <w:r>
        <w:rPr>
          <w:rFonts w:hint="eastAsia" w:ascii="宋体" w:hAnsi="宋体" w:eastAsia="宋体" w:cs="宋体"/>
          <w:color w:val="000000"/>
          <w:sz w:val="24"/>
          <w:szCs w:val="24"/>
          <w:lang w:eastAsia="zh-CN"/>
        </w:rPr>
        <w:t>，企业采购询价通知书</w:t>
      </w:r>
      <w:r>
        <w:rPr>
          <w:rFonts w:hint="eastAsia" w:ascii="宋体" w:hAnsi="宋体" w:eastAsia="宋体" w:cs="宋体"/>
          <w:color w:val="000000"/>
          <w:sz w:val="24"/>
          <w:szCs w:val="24"/>
          <w:lang w:val="en-US" w:eastAsia="zh-CN"/>
        </w:rPr>
        <w:t>参照政府采购管理办法进行制定</w:t>
      </w:r>
      <w:r>
        <w:rPr>
          <w:rFonts w:hint="eastAsia" w:ascii="宋体" w:hAnsi="宋体" w:eastAsia="宋体" w:cs="宋体"/>
          <w:color w:val="000000"/>
          <w:sz w:val="24"/>
          <w:szCs w:val="24"/>
        </w:rPr>
        <w:t>，欢迎有资格的投标人参加投标。</w:t>
      </w:r>
    </w:p>
    <w:p w14:paraId="3429316B">
      <w:pPr>
        <w:pStyle w:val="5"/>
        <w:spacing w:before="0" w:after="0" w:line="400" w:lineRule="exac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一、招标项目内容</w:t>
      </w:r>
    </w:p>
    <w:tbl>
      <w:tblPr>
        <w:tblStyle w:val="57"/>
        <w:tblW w:w="88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8"/>
        <w:gridCol w:w="1692"/>
        <w:gridCol w:w="1668"/>
        <w:gridCol w:w="2064"/>
      </w:tblGrid>
      <w:tr w14:paraId="39A1B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3388" w:type="dxa"/>
            <w:noWrap w:val="0"/>
            <w:vAlign w:val="center"/>
          </w:tcPr>
          <w:p w14:paraId="787BAB80">
            <w:pPr>
              <w:pStyle w:val="23"/>
              <w:spacing w:line="240" w:lineRule="atLeast"/>
              <w:ind w:left="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项目名称</w:t>
            </w:r>
          </w:p>
        </w:tc>
        <w:tc>
          <w:tcPr>
            <w:tcW w:w="1692" w:type="dxa"/>
            <w:noWrap w:val="0"/>
            <w:vAlign w:val="center"/>
          </w:tcPr>
          <w:p w14:paraId="7C420EBC">
            <w:pPr>
              <w:pStyle w:val="23"/>
              <w:spacing w:line="240" w:lineRule="atLeast"/>
              <w:ind w:left="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投标保证金</w:t>
            </w:r>
          </w:p>
          <w:p w14:paraId="60909320">
            <w:pPr>
              <w:pStyle w:val="23"/>
              <w:spacing w:line="240" w:lineRule="atLeast"/>
              <w:ind w:left="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w:t>
            </w:r>
            <w:r>
              <w:rPr>
                <w:rFonts w:hint="eastAsia" w:ascii="宋体" w:hAnsi="宋体" w:eastAsia="宋体" w:cs="宋体"/>
                <w:b/>
                <w:color w:val="000000"/>
                <w:sz w:val="24"/>
                <w:szCs w:val="24"/>
                <w:lang w:val="en-US" w:eastAsia="zh-CN"/>
              </w:rPr>
              <w:t>万</w:t>
            </w:r>
            <w:r>
              <w:rPr>
                <w:rFonts w:hint="eastAsia" w:ascii="宋体" w:hAnsi="宋体" w:eastAsia="宋体" w:cs="宋体"/>
                <w:b/>
                <w:color w:val="000000"/>
                <w:sz w:val="24"/>
                <w:szCs w:val="24"/>
              </w:rPr>
              <w:t>元）</w:t>
            </w:r>
          </w:p>
        </w:tc>
        <w:tc>
          <w:tcPr>
            <w:tcW w:w="1668" w:type="dxa"/>
            <w:noWrap w:val="0"/>
            <w:vAlign w:val="center"/>
          </w:tcPr>
          <w:p w14:paraId="2A4D74B5">
            <w:pPr>
              <w:pStyle w:val="23"/>
              <w:spacing w:line="240" w:lineRule="atLeast"/>
              <w:ind w:left="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最高限价</w:t>
            </w:r>
          </w:p>
          <w:p w14:paraId="5B9279C9">
            <w:pPr>
              <w:pStyle w:val="23"/>
              <w:spacing w:line="240" w:lineRule="atLeast"/>
              <w:ind w:left="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w:t>
            </w:r>
            <w:r>
              <w:rPr>
                <w:rFonts w:hint="eastAsia" w:ascii="宋体" w:hAnsi="宋体" w:eastAsia="宋体" w:cs="宋体"/>
                <w:b/>
                <w:color w:val="000000"/>
                <w:sz w:val="24"/>
                <w:szCs w:val="24"/>
                <w:lang w:val="en-US" w:eastAsia="zh-CN"/>
              </w:rPr>
              <w:t>万</w:t>
            </w:r>
            <w:r>
              <w:rPr>
                <w:rFonts w:hint="eastAsia" w:ascii="宋体" w:hAnsi="宋体" w:eastAsia="宋体" w:cs="宋体"/>
                <w:b/>
                <w:color w:val="000000"/>
                <w:sz w:val="24"/>
                <w:szCs w:val="24"/>
              </w:rPr>
              <w:t>元）</w:t>
            </w:r>
          </w:p>
        </w:tc>
        <w:tc>
          <w:tcPr>
            <w:tcW w:w="2064" w:type="dxa"/>
            <w:noWrap w:val="0"/>
            <w:vAlign w:val="center"/>
          </w:tcPr>
          <w:p w14:paraId="28592BAA">
            <w:pPr>
              <w:jc w:val="center"/>
              <w:rPr>
                <w:rFonts w:hint="eastAsia" w:ascii="宋体" w:hAnsi="宋体" w:eastAsia="宋体" w:cs="宋体"/>
                <w:b/>
                <w:color w:val="000000"/>
                <w:sz w:val="24"/>
                <w:szCs w:val="24"/>
              </w:rPr>
            </w:pPr>
            <w:r>
              <w:rPr>
                <w:rFonts w:hint="eastAsia" w:ascii="宋体" w:hAnsi="宋体" w:cs="宋体"/>
                <w:b/>
                <w:bCs/>
                <w:kern w:val="0"/>
                <w:sz w:val="21"/>
                <w:szCs w:val="24"/>
              </w:rPr>
              <w:t>成交供应商数量（名）</w:t>
            </w:r>
          </w:p>
        </w:tc>
      </w:tr>
      <w:tr w14:paraId="7E5C4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2" w:hRule="atLeast"/>
          <w:jc w:val="center"/>
        </w:trPr>
        <w:tc>
          <w:tcPr>
            <w:tcW w:w="3388" w:type="dxa"/>
            <w:noWrap w:val="0"/>
            <w:vAlign w:val="center"/>
          </w:tcPr>
          <w:p w14:paraId="7FD2D1C1">
            <w:pPr>
              <w:pStyle w:val="16"/>
              <w:spacing w:line="240" w:lineRule="atLeast"/>
              <w:ind w:firstLine="0"/>
              <w:jc w:val="center"/>
              <w:rPr>
                <w:rFonts w:hint="eastAsia" w:ascii="宋体" w:hAnsi="宋体" w:eastAsia="宋体" w:cs="宋体"/>
                <w:color w:val="000000"/>
                <w:lang w:eastAsia="zh-CN"/>
              </w:rPr>
            </w:pPr>
            <w:r>
              <w:rPr>
                <w:rFonts w:hint="eastAsia" w:ascii="宋体" w:hAnsi="宋体" w:eastAsia="宋体" w:cs="宋体"/>
                <w:color w:val="000000"/>
                <w:lang w:eastAsia="zh-CN"/>
              </w:rPr>
              <w:t>室外党建文化墙建设项目（第二次）</w:t>
            </w:r>
          </w:p>
        </w:tc>
        <w:tc>
          <w:tcPr>
            <w:tcW w:w="1692" w:type="dxa"/>
            <w:noWrap w:val="0"/>
            <w:vAlign w:val="center"/>
          </w:tcPr>
          <w:p w14:paraId="17208816">
            <w:pPr>
              <w:pStyle w:val="23"/>
              <w:spacing w:line="240" w:lineRule="atLeast"/>
              <w:ind w:left="0"/>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0.2</w:t>
            </w:r>
          </w:p>
        </w:tc>
        <w:tc>
          <w:tcPr>
            <w:tcW w:w="1668" w:type="dxa"/>
            <w:noWrap w:val="0"/>
            <w:vAlign w:val="center"/>
          </w:tcPr>
          <w:p w14:paraId="33742417">
            <w:pPr>
              <w:keepNext w:val="0"/>
              <w:keepLines w:val="0"/>
              <w:widowControl/>
              <w:suppressLineNumbers w:val="0"/>
              <w:jc w:val="center"/>
              <w:textAlignment w:val="center"/>
              <w:rPr>
                <w:rFonts w:hint="eastAsia" w:ascii="宋体" w:hAnsi="宋体" w:eastAsia="宋体" w:cs="宋体"/>
                <w:b/>
                <w:bCs/>
                <w:i w:val="0"/>
                <w:iCs w:val="0"/>
                <w:color w:val="000000"/>
                <w:kern w:val="2"/>
                <w:sz w:val="20"/>
                <w:szCs w:val="20"/>
                <w:u w:val="none"/>
                <w:lang w:val="en-US" w:eastAsia="zh-CN" w:bidi="ar-SA"/>
              </w:rPr>
            </w:pPr>
            <w:r>
              <w:rPr>
                <w:rFonts w:hint="eastAsia" w:ascii="宋体" w:hAnsi="宋体" w:eastAsia="宋体" w:cs="宋体"/>
                <w:color w:val="auto"/>
                <w:kern w:val="2"/>
                <w:sz w:val="24"/>
                <w:szCs w:val="24"/>
                <w:lang w:val="en-US" w:eastAsia="zh-CN" w:bidi="ar-SA"/>
              </w:rPr>
              <w:t xml:space="preserve">19.35 </w:t>
            </w:r>
          </w:p>
        </w:tc>
        <w:tc>
          <w:tcPr>
            <w:tcW w:w="2064" w:type="dxa"/>
            <w:noWrap w:val="0"/>
            <w:vAlign w:val="center"/>
          </w:tcPr>
          <w:p w14:paraId="1E65CB08">
            <w:pPr>
              <w:widowControl/>
              <w:jc w:val="center"/>
              <w:rPr>
                <w:rFonts w:hint="eastAsia" w:ascii="宋体" w:hAnsi="宋体" w:eastAsia="宋体" w:cs="宋体"/>
                <w:color w:val="auto"/>
                <w:kern w:val="2"/>
                <w:sz w:val="24"/>
                <w:szCs w:val="24"/>
                <w:lang w:val="en-US" w:eastAsia="zh-CN" w:bidi="ar-SA"/>
              </w:rPr>
            </w:pPr>
            <w:r>
              <w:rPr>
                <w:rFonts w:hint="eastAsia" w:ascii="宋体" w:hAnsi="宋体" w:cs="宋体"/>
                <w:kern w:val="0"/>
                <w:sz w:val="21"/>
                <w:szCs w:val="24"/>
              </w:rPr>
              <w:t>1</w:t>
            </w:r>
          </w:p>
        </w:tc>
      </w:tr>
    </w:tbl>
    <w:p w14:paraId="46A3FABC">
      <w:pPr>
        <w:pStyle w:val="5"/>
        <w:spacing w:before="0" w:after="0" w:line="400" w:lineRule="exac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二、资金来源</w:t>
      </w:r>
    </w:p>
    <w:p w14:paraId="33D97BB1">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单位自筹资金。</w:t>
      </w:r>
    </w:p>
    <w:p w14:paraId="42D5E5B2">
      <w:pPr>
        <w:pStyle w:val="5"/>
        <w:spacing w:before="0" w:after="0" w:line="400" w:lineRule="exact"/>
        <w:rPr>
          <w:rFonts w:hint="eastAsia" w:ascii="宋体" w:hAnsi="宋体" w:eastAsia="宋体" w:cs="宋体"/>
          <w:color w:val="000000"/>
          <w:sz w:val="24"/>
          <w:szCs w:val="24"/>
        </w:rPr>
      </w:pPr>
      <w:bookmarkStart w:id="6" w:name="_Toc31296"/>
      <w:bookmarkStart w:id="7" w:name="_Toc487204773"/>
      <w:bookmarkStart w:id="8" w:name="_Toc342913390"/>
      <w:r>
        <w:rPr>
          <w:rFonts w:hint="eastAsia" w:ascii="宋体" w:hAnsi="宋体" w:eastAsia="宋体" w:cs="宋体"/>
          <w:color w:val="000000"/>
          <w:sz w:val="24"/>
          <w:szCs w:val="24"/>
        </w:rPr>
        <w:t>三、资格要求</w:t>
      </w:r>
      <w:bookmarkEnd w:id="6"/>
      <w:bookmarkEnd w:id="7"/>
      <w:bookmarkEnd w:id="8"/>
    </w:p>
    <w:p w14:paraId="74D018CD">
      <w:pPr>
        <w:pStyle w:val="96"/>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询价供应商是指向采购人提供货物、工程或者服务的法人、其他组织或者自然人。以下简称供应商。</w:t>
      </w:r>
    </w:p>
    <w:p w14:paraId="3E0590CB">
      <w:pPr>
        <w:pStyle w:val="96"/>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合格的供应商应符合下列条件：</w:t>
      </w:r>
    </w:p>
    <w:p w14:paraId="636FA7B4">
      <w:pPr>
        <w:pStyle w:val="96"/>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（一）一般资格条件</w:t>
      </w:r>
    </w:p>
    <w:p w14:paraId="7A845D11">
      <w:pPr>
        <w:pStyle w:val="96"/>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1.具有独立承担民事责任的能力；</w:t>
      </w:r>
    </w:p>
    <w:p w14:paraId="2092BA04">
      <w:pPr>
        <w:pStyle w:val="96"/>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2.具有良好的商业信誉和健全的财务会计制度；</w:t>
      </w:r>
    </w:p>
    <w:p w14:paraId="722E2889">
      <w:pPr>
        <w:pStyle w:val="96"/>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3.具有履行合同所必需的设备和专业技术能力；</w:t>
      </w:r>
    </w:p>
    <w:p w14:paraId="301ADB84">
      <w:pPr>
        <w:pStyle w:val="96"/>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4.有依法缴纳税收和社会保障资金的良好记录；</w:t>
      </w:r>
    </w:p>
    <w:p w14:paraId="3D807D0A">
      <w:pPr>
        <w:pStyle w:val="96"/>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5.参加政府采购活动前三年内，在经营活动中没有重大违法记录。</w:t>
      </w:r>
    </w:p>
    <w:p w14:paraId="38D7A153">
      <w:pPr>
        <w:pStyle w:val="96"/>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6.法律、行政法规规定的其他条件。</w:t>
      </w:r>
    </w:p>
    <w:p w14:paraId="1436D0D3">
      <w:pPr>
        <w:pStyle w:val="96"/>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（二）特定资格条件</w:t>
      </w:r>
    </w:p>
    <w:p w14:paraId="7F830818">
      <w:pPr>
        <w:ind w:firstLine="480" w:firstLineChars="200"/>
        <w:rPr>
          <w:rFonts w:hint="eastAsia" w:ascii="宋体" w:hAnsi="宋体" w:eastAsia="宋体" w:cs="宋体"/>
          <w:b w:val="0"/>
          <w:color w:val="000000"/>
          <w:kern w:val="2"/>
          <w:sz w:val="24"/>
          <w:szCs w:val="24"/>
          <w:lang w:val="en-US" w:eastAsia="zh-CN" w:bidi="ar-SA"/>
        </w:rPr>
      </w:pPr>
      <w:bookmarkStart w:id="9" w:name="_Toc487204774"/>
      <w:r>
        <w:rPr>
          <w:rFonts w:hint="eastAsia" w:ascii="宋体" w:hAnsi="宋体" w:eastAsia="宋体" w:cs="宋体"/>
          <w:color w:val="000000"/>
          <w:sz w:val="24"/>
          <w:szCs w:val="24"/>
          <w:lang w:val="en-US" w:eastAsia="zh-CN"/>
        </w:rPr>
        <w:t>1.</w:t>
      </w:r>
      <w:r>
        <w:rPr>
          <w:rFonts w:hint="eastAsia" w:ascii="宋体" w:hAnsi="宋体" w:eastAsia="宋体" w:cs="宋体"/>
          <w:b w:val="0"/>
          <w:color w:val="000000"/>
          <w:kern w:val="2"/>
          <w:sz w:val="24"/>
          <w:szCs w:val="24"/>
          <w:lang w:val="en-US" w:eastAsia="zh-CN" w:bidi="ar-SA"/>
        </w:rPr>
        <w:t>具有建设行政主管部门颁发的建筑装修装饰工程专业承包贰级及以上资质。</w:t>
      </w:r>
    </w:p>
    <w:p w14:paraId="69114760">
      <w:pPr>
        <w:ind w:firstLine="480" w:firstLineChars="200"/>
        <w:rPr>
          <w:rFonts w:hint="eastAsia" w:ascii="宋体" w:hAnsi="宋体" w:eastAsia="宋体" w:cs="宋体"/>
          <w:b w:val="0"/>
          <w:color w:val="000000"/>
          <w:kern w:val="2"/>
          <w:sz w:val="24"/>
          <w:szCs w:val="24"/>
          <w:lang w:val="en-US" w:eastAsia="zh-CN" w:bidi="ar-SA"/>
        </w:rPr>
      </w:pPr>
      <w:r>
        <w:rPr>
          <w:rFonts w:hint="eastAsia" w:ascii="宋体" w:hAnsi="宋体" w:eastAsia="宋体" w:cs="宋体"/>
          <w:b w:val="0"/>
          <w:color w:val="000000"/>
          <w:kern w:val="2"/>
          <w:sz w:val="24"/>
          <w:szCs w:val="24"/>
          <w:lang w:val="en-US" w:eastAsia="zh-CN" w:bidi="ar-SA"/>
        </w:rPr>
        <w:t>2.供应商须具有有效期内的安全生产许可证，企业主要负责人具备相应的由建设行政主管部门颁发的有效的安全生产考核合格证书。</w:t>
      </w:r>
    </w:p>
    <w:p w14:paraId="63E45F9E">
      <w:pPr>
        <w:pStyle w:val="5"/>
        <w:spacing w:before="0" w:after="0" w:line="400" w:lineRule="exact"/>
        <w:rPr>
          <w:rFonts w:hint="eastAsia" w:ascii="宋体" w:hAnsi="宋体" w:eastAsia="宋体" w:cs="宋体"/>
          <w:color w:val="000000"/>
          <w:sz w:val="24"/>
          <w:szCs w:val="24"/>
        </w:rPr>
      </w:pPr>
      <w:bookmarkStart w:id="10" w:name="_Toc6116"/>
      <w:r>
        <w:rPr>
          <w:rFonts w:hint="eastAsia" w:ascii="宋体" w:hAnsi="宋体" w:eastAsia="宋体" w:cs="宋体"/>
          <w:color w:val="000000"/>
          <w:sz w:val="24"/>
          <w:szCs w:val="24"/>
        </w:rPr>
        <w:t>四、询价有关说明</w:t>
      </w:r>
      <w:bookmarkEnd w:id="4"/>
      <w:bookmarkEnd w:id="9"/>
      <w:bookmarkEnd w:id="10"/>
    </w:p>
    <w:p w14:paraId="33D24B08">
      <w:pPr>
        <w:snapToGrid w:val="0"/>
        <w:spacing w:line="400" w:lineRule="exact"/>
        <w:ind w:firstLine="480" w:firstLineChars="200"/>
        <w:rPr>
          <w:rFonts w:hint="eastAsia" w:ascii="宋体" w:hAnsi="宋体" w:eastAsia="宋体" w:cs="宋体"/>
          <w:color w:val="000000"/>
          <w:sz w:val="24"/>
          <w:szCs w:val="24"/>
        </w:rPr>
      </w:pPr>
      <w:bookmarkStart w:id="11" w:name="_Toc373860294"/>
      <w:r>
        <w:rPr>
          <w:rFonts w:hint="eastAsia" w:ascii="宋体" w:hAnsi="宋体" w:eastAsia="宋体" w:cs="宋体"/>
          <w:color w:val="000000"/>
          <w:sz w:val="24"/>
          <w:szCs w:val="24"/>
        </w:rPr>
        <w:t xml:space="preserve">(一）凡有意参加询价的供应商，请于本公告发布之日起至提交响应文件截止时间之前，在“行采家”平台（ </w:t>
      </w:r>
      <w:r>
        <w:rPr>
          <w:rFonts w:hint="eastAsia" w:ascii="宋体" w:hAnsi="宋体" w:eastAsia="宋体" w:cs="宋体"/>
          <w:color w:val="000000"/>
          <w:sz w:val="24"/>
          <w:szCs w:val="24"/>
        </w:rPr>
        <w:fldChar w:fldCharType="begin"/>
      </w:r>
      <w:r>
        <w:rPr>
          <w:rFonts w:hint="eastAsia" w:ascii="宋体" w:hAnsi="宋体" w:eastAsia="宋体" w:cs="宋体"/>
          <w:color w:val="000000"/>
          <w:sz w:val="24"/>
          <w:szCs w:val="24"/>
        </w:rPr>
        <w:instrText xml:space="preserve"> HYPERLINK "https://www.gec123.com/" </w:instrText>
      </w:r>
      <w:r>
        <w:rPr>
          <w:rFonts w:hint="eastAsia" w:ascii="宋体" w:hAnsi="宋体" w:eastAsia="宋体" w:cs="宋体"/>
          <w:color w:val="000000"/>
          <w:sz w:val="24"/>
          <w:szCs w:val="24"/>
        </w:rPr>
        <w:fldChar w:fldCharType="separate"/>
      </w:r>
      <w:r>
        <w:rPr>
          <w:rFonts w:hint="eastAsia" w:ascii="宋体" w:hAnsi="宋体" w:eastAsia="宋体" w:cs="宋体"/>
          <w:color w:val="000000"/>
          <w:sz w:val="24"/>
          <w:szCs w:val="24"/>
        </w:rPr>
        <w:t>https://www.gec123.com/</w:t>
      </w:r>
      <w:r>
        <w:rPr>
          <w:rFonts w:hint="eastAsia" w:ascii="宋体" w:hAnsi="宋体" w:eastAsia="宋体" w:cs="宋体"/>
          <w:color w:val="000000"/>
          <w:sz w:val="24"/>
          <w:szCs w:val="24"/>
        </w:rPr>
        <w:fldChar w:fldCharType="end"/>
      </w:r>
      <w:r>
        <w:rPr>
          <w:rFonts w:hint="eastAsia" w:ascii="宋体" w:hAnsi="宋体" w:eastAsia="宋体" w:cs="宋体"/>
          <w:color w:val="000000"/>
          <w:sz w:val="24"/>
          <w:szCs w:val="24"/>
        </w:rPr>
        <w:t>）或重庆理工职业学院官网校企合作一体化 招标采购平台（http://www.cqip.com.cn/html/15/Index.shtml）下载本项目招标文件以及图纸、补遗等开标前公布的所有项目资料。无论供应商下载与否，均视为已知晓所有招标内容。</w:t>
      </w:r>
    </w:p>
    <w:p w14:paraId="3176A9FD">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（二）</w:t>
      </w:r>
      <w:r>
        <w:rPr>
          <w:rFonts w:hint="eastAsia" w:ascii="宋体" w:hAnsi="宋体" w:eastAsia="宋体" w:cs="宋体"/>
          <w:color w:val="000000"/>
          <w:sz w:val="24"/>
          <w:szCs w:val="24"/>
          <w:lang w:val="en-US" w:eastAsia="zh-CN"/>
        </w:rPr>
        <w:t>招标</w:t>
      </w:r>
      <w:r>
        <w:rPr>
          <w:rFonts w:hint="eastAsia" w:ascii="宋体" w:hAnsi="宋体" w:eastAsia="宋体" w:cs="宋体"/>
          <w:color w:val="000000"/>
          <w:sz w:val="24"/>
          <w:szCs w:val="24"/>
        </w:rPr>
        <w:t>文件购买费：人民币</w:t>
      </w:r>
      <w:r>
        <w:rPr>
          <w:rFonts w:hint="eastAsia" w:ascii="宋体" w:hAnsi="宋体" w:eastAsia="宋体" w:cs="宋体"/>
          <w:color w:val="000000"/>
          <w:sz w:val="24"/>
          <w:szCs w:val="24"/>
          <w:lang w:val="en-US" w:eastAsia="zh-CN"/>
        </w:rPr>
        <w:t xml:space="preserve">300 </w:t>
      </w:r>
      <w:r>
        <w:rPr>
          <w:rFonts w:hint="eastAsia" w:ascii="宋体" w:hAnsi="宋体" w:eastAsia="宋体" w:cs="宋体"/>
          <w:color w:val="000000"/>
          <w:sz w:val="24"/>
          <w:szCs w:val="24"/>
        </w:rPr>
        <w:t>元/份（售后不退）。</w:t>
      </w:r>
    </w:p>
    <w:p w14:paraId="32664066">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eastAsia="宋体" w:cs="宋体"/>
          <w:color w:val="000000"/>
          <w:sz w:val="24"/>
          <w:szCs w:val="24"/>
          <w:lang w:eastAsia="zh-CN"/>
        </w:rPr>
        <w:t>三</w:t>
      </w:r>
      <w:r>
        <w:rPr>
          <w:rFonts w:hint="eastAsia" w:ascii="宋体" w:hAnsi="宋体" w:eastAsia="宋体" w:cs="宋体"/>
          <w:color w:val="000000"/>
          <w:sz w:val="24"/>
          <w:szCs w:val="24"/>
        </w:rPr>
        <w:t>）供应商须满足以下三种要件，其响应文件才被接受：</w:t>
      </w:r>
    </w:p>
    <w:p w14:paraId="5BFD82CF">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1、按时递交了响应文件；</w:t>
      </w:r>
    </w:p>
    <w:p w14:paraId="67FF2AAE">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2、按时报名签到；</w:t>
      </w:r>
    </w:p>
    <w:p w14:paraId="7982403A">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cs="宋体"/>
          <w:color w:val="000000"/>
          <w:sz w:val="24"/>
          <w:szCs w:val="24"/>
          <w:lang w:val="en-US" w:eastAsia="zh-CN"/>
        </w:rPr>
        <w:t>在</w:t>
      </w:r>
      <w:r>
        <w:rPr>
          <w:rFonts w:hint="eastAsia" w:ascii="宋体" w:hAnsi="宋体" w:eastAsia="宋体" w:cs="宋体"/>
          <w:bCs/>
          <w:color w:val="000000"/>
          <w:sz w:val="24"/>
          <w:szCs w:val="24"/>
        </w:rPr>
        <w:t>响应文件递交截止时间</w:t>
      </w:r>
      <w:r>
        <w:rPr>
          <w:rFonts w:hint="eastAsia" w:ascii="宋体" w:hAnsi="宋体" w:eastAsia="宋体" w:cs="宋体"/>
          <w:bCs/>
          <w:color w:val="000000"/>
          <w:sz w:val="24"/>
          <w:szCs w:val="24"/>
          <w:lang w:val="en-US" w:eastAsia="zh-CN"/>
        </w:rPr>
        <w:t>前</w:t>
      </w:r>
      <w:r>
        <w:rPr>
          <w:rFonts w:hint="eastAsia" w:ascii="宋体" w:hAnsi="宋体" w:eastAsia="宋体" w:cs="宋体"/>
          <w:color w:val="000000"/>
          <w:sz w:val="24"/>
          <w:szCs w:val="24"/>
        </w:rPr>
        <w:t>缴纳了</w:t>
      </w:r>
      <w:r>
        <w:rPr>
          <w:rFonts w:hint="eastAsia" w:ascii="宋体" w:hAnsi="宋体" w:cs="宋体"/>
          <w:color w:val="000000"/>
          <w:sz w:val="24"/>
          <w:szCs w:val="24"/>
          <w:lang w:eastAsia="zh-CN"/>
        </w:rPr>
        <w:t>询价采购</w:t>
      </w:r>
      <w:r>
        <w:rPr>
          <w:rFonts w:hint="eastAsia" w:ascii="宋体" w:hAnsi="宋体" w:eastAsia="宋体" w:cs="宋体"/>
          <w:color w:val="000000"/>
          <w:sz w:val="24"/>
          <w:szCs w:val="24"/>
        </w:rPr>
        <w:t>文件购买费</w:t>
      </w:r>
      <w:r>
        <w:rPr>
          <w:rFonts w:hint="eastAsia" w:ascii="宋体" w:hAnsi="宋体" w:cs="宋体"/>
          <w:color w:val="000000"/>
          <w:sz w:val="24"/>
          <w:szCs w:val="24"/>
          <w:lang w:val="en-US" w:eastAsia="zh-CN"/>
        </w:rPr>
        <w:t>及</w:t>
      </w:r>
      <w:r>
        <w:rPr>
          <w:rFonts w:hint="eastAsia" w:ascii="宋体" w:hAnsi="宋体" w:eastAsia="宋体" w:cs="宋体"/>
          <w:color w:val="000000"/>
          <w:sz w:val="24"/>
          <w:szCs w:val="24"/>
          <w:lang w:val="en-US" w:eastAsia="zh-CN"/>
        </w:rPr>
        <w:t>投标保证金</w:t>
      </w:r>
      <w:r>
        <w:rPr>
          <w:rFonts w:hint="eastAsia" w:ascii="宋体" w:hAnsi="宋体" w:eastAsia="宋体" w:cs="宋体"/>
          <w:color w:val="000000"/>
          <w:sz w:val="24"/>
          <w:szCs w:val="24"/>
        </w:rPr>
        <w:t>。</w:t>
      </w:r>
    </w:p>
    <w:p w14:paraId="7CC9AAA2">
      <w:pPr>
        <w:snapToGrid w:val="0"/>
        <w:spacing w:line="400" w:lineRule="exact"/>
        <w:ind w:firstLine="480" w:firstLineChars="200"/>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rPr>
        <w:t>（四）响应文件递交地址：</w:t>
      </w:r>
      <w:r>
        <w:rPr>
          <w:rFonts w:hint="eastAsia" w:ascii="宋体" w:hAnsi="宋体" w:eastAsia="宋体" w:cs="宋体"/>
          <w:color w:val="000000"/>
          <w:sz w:val="24"/>
          <w:szCs w:val="24"/>
          <w:lang w:val="en-US" w:eastAsia="zh-CN"/>
        </w:rPr>
        <w:t>重庆市巴南区界石镇东城大道 588号重庆理工职业学院行政楼五楼527室</w:t>
      </w:r>
    </w:p>
    <w:p w14:paraId="6BE88831">
      <w:pPr>
        <w:snapToGrid w:val="0"/>
        <w:spacing w:line="400" w:lineRule="exact"/>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（五）响应文件递交开始时间：20</w:t>
      </w:r>
      <w:r>
        <w:rPr>
          <w:rFonts w:hint="eastAsia" w:ascii="宋体" w:hAnsi="宋体" w:eastAsia="宋体" w:cs="宋体"/>
          <w:bCs/>
          <w:color w:val="000000"/>
          <w:sz w:val="24"/>
          <w:szCs w:val="24"/>
          <w:lang w:val="en-US" w:eastAsia="zh-CN"/>
        </w:rPr>
        <w:t>25</w:t>
      </w:r>
      <w:r>
        <w:rPr>
          <w:rFonts w:hint="eastAsia" w:ascii="宋体" w:hAnsi="宋体" w:eastAsia="宋体" w:cs="宋体"/>
          <w:bCs/>
          <w:color w:val="000000"/>
          <w:sz w:val="24"/>
          <w:szCs w:val="24"/>
        </w:rPr>
        <w:t>年</w:t>
      </w:r>
      <w:r>
        <w:rPr>
          <w:rFonts w:hint="eastAsia" w:ascii="宋体" w:hAnsi="宋体" w:eastAsia="宋体" w:cs="宋体"/>
          <w:bCs/>
          <w:color w:val="000000"/>
          <w:sz w:val="24"/>
          <w:szCs w:val="24"/>
          <w:lang w:val="en-US" w:eastAsia="zh-CN"/>
        </w:rPr>
        <w:t>6</w:t>
      </w:r>
      <w:r>
        <w:rPr>
          <w:rFonts w:hint="eastAsia" w:ascii="宋体" w:hAnsi="宋体" w:eastAsia="宋体" w:cs="宋体"/>
          <w:bCs/>
          <w:color w:val="000000"/>
          <w:sz w:val="24"/>
          <w:szCs w:val="24"/>
        </w:rPr>
        <w:t>月</w:t>
      </w:r>
      <w:r>
        <w:rPr>
          <w:rFonts w:hint="eastAsia" w:ascii="宋体" w:hAnsi="宋体" w:eastAsia="宋体" w:cs="宋体"/>
          <w:bCs/>
          <w:color w:val="000000"/>
          <w:sz w:val="24"/>
          <w:szCs w:val="24"/>
          <w:lang w:val="en-US" w:eastAsia="zh-CN"/>
        </w:rPr>
        <w:t>4</w:t>
      </w:r>
      <w:r>
        <w:rPr>
          <w:rFonts w:hint="eastAsia" w:ascii="宋体" w:hAnsi="宋体" w:eastAsia="宋体" w:cs="宋体"/>
          <w:bCs/>
          <w:color w:val="000000"/>
          <w:sz w:val="24"/>
          <w:szCs w:val="24"/>
        </w:rPr>
        <w:t>日北京时间</w:t>
      </w:r>
      <w:r>
        <w:rPr>
          <w:rFonts w:hint="eastAsia" w:ascii="宋体" w:hAnsi="宋体" w:eastAsia="宋体" w:cs="宋体"/>
          <w:bCs/>
          <w:color w:val="000000"/>
          <w:sz w:val="24"/>
          <w:szCs w:val="24"/>
          <w:lang w:val="en-US" w:eastAsia="zh-CN"/>
        </w:rPr>
        <w:t>14</w:t>
      </w:r>
      <w:r>
        <w:rPr>
          <w:rFonts w:hint="eastAsia" w:ascii="宋体" w:hAnsi="宋体" w:eastAsia="宋体" w:cs="宋体"/>
          <w:bCs/>
          <w:color w:val="000000"/>
          <w:sz w:val="24"/>
          <w:szCs w:val="24"/>
        </w:rPr>
        <w:t>:</w:t>
      </w:r>
      <w:r>
        <w:rPr>
          <w:rFonts w:hint="eastAsia" w:ascii="宋体" w:hAnsi="宋体" w:eastAsia="宋体" w:cs="宋体"/>
          <w:bCs/>
          <w:color w:val="000000"/>
          <w:sz w:val="24"/>
          <w:szCs w:val="24"/>
          <w:lang w:val="en-US" w:eastAsia="zh-CN"/>
        </w:rPr>
        <w:t>0</w:t>
      </w:r>
      <w:r>
        <w:rPr>
          <w:rFonts w:hint="eastAsia" w:ascii="宋体" w:hAnsi="宋体" w:eastAsia="宋体" w:cs="宋体"/>
          <w:bCs/>
          <w:color w:val="000000"/>
          <w:sz w:val="24"/>
          <w:szCs w:val="24"/>
        </w:rPr>
        <w:t>0</w:t>
      </w:r>
    </w:p>
    <w:p w14:paraId="1A02915B">
      <w:pPr>
        <w:snapToGrid w:val="0"/>
        <w:spacing w:line="400" w:lineRule="exact"/>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（六）响应文件递交截止时间：202</w:t>
      </w:r>
      <w:r>
        <w:rPr>
          <w:rFonts w:hint="eastAsia" w:ascii="宋体" w:hAnsi="宋体" w:eastAsia="宋体" w:cs="宋体"/>
          <w:bCs/>
          <w:color w:val="000000"/>
          <w:sz w:val="24"/>
          <w:szCs w:val="24"/>
          <w:lang w:val="en-US" w:eastAsia="zh-CN"/>
        </w:rPr>
        <w:t>5</w:t>
      </w:r>
      <w:r>
        <w:rPr>
          <w:rFonts w:hint="eastAsia" w:ascii="宋体" w:hAnsi="宋体" w:eastAsia="宋体" w:cs="宋体"/>
          <w:bCs/>
          <w:color w:val="000000"/>
          <w:sz w:val="24"/>
          <w:szCs w:val="24"/>
        </w:rPr>
        <w:t>年</w:t>
      </w:r>
      <w:r>
        <w:rPr>
          <w:rFonts w:hint="eastAsia" w:ascii="宋体" w:hAnsi="宋体" w:eastAsia="宋体" w:cs="宋体"/>
          <w:bCs/>
          <w:color w:val="000000"/>
          <w:sz w:val="24"/>
          <w:szCs w:val="24"/>
          <w:lang w:val="en-US" w:eastAsia="zh-CN"/>
        </w:rPr>
        <w:t>6</w:t>
      </w:r>
      <w:r>
        <w:rPr>
          <w:rFonts w:hint="eastAsia" w:ascii="宋体" w:hAnsi="宋体" w:eastAsia="宋体" w:cs="宋体"/>
          <w:bCs/>
          <w:color w:val="000000"/>
          <w:sz w:val="24"/>
          <w:szCs w:val="24"/>
        </w:rPr>
        <w:t>月</w:t>
      </w:r>
      <w:r>
        <w:rPr>
          <w:rFonts w:hint="eastAsia" w:ascii="宋体" w:hAnsi="宋体" w:eastAsia="宋体" w:cs="宋体"/>
          <w:bCs/>
          <w:color w:val="000000"/>
          <w:sz w:val="24"/>
          <w:szCs w:val="24"/>
          <w:lang w:val="en-US" w:eastAsia="zh-CN"/>
        </w:rPr>
        <w:t>4</w:t>
      </w:r>
      <w:r>
        <w:rPr>
          <w:rFonts w:hint="eastAsia" w:ascii="宋体" w:hAnsi="宋体" w:eastAsia="宋体" w:cs="宋体"/>
          <w:bCs/>
          <w:color w:val="000000"/>
          <w:sz w:val="24"/>
          <w:szCs w:val="24"/>
        </w:rPr>
        <w:t>日北京时间</w:t>
      </w:r>
      <w:r>
        <w:rPr>
          <w:rFonts w:hint="eastAsia" w:ascii="宋体" w:hAnsi="宋体" w:eastAsia="宋体" w:cs="宋体"/>
          <w:bCs/>
          <w:color w:val="000000"/>
          <w:sz w:val="24"/>
          <w:szCs w:val="24"/>
          <w:lang w:val="en-US" w:eastAsia="zh-CN"/>
        </w:rPr>
        <w:t>14</w:t>
      </w:r>
      <w:r>
        <w:rPr>
          <w:rFonts w:hint="eastAsia" w:ascii="宋体" w:hAnsi="宋体" w:eastAsia="宋体" w:cs="宋体"/>
          <w:bCs/>
          <w:color w:val="000000"/>
          <w:sz w:val="24"/>
          <w:szCs w:val="24"/>
        </w:rPr>
        <w:t>:</w:t>
      </w:r>
      <w:r>
        <w:rPr>
          <w:rFonts w:hint="eastAsia" w:ascii="宋体" w:hAnsi="宋体" w:eastAsia="宋体" w:cs="宋体"/>
          <w:bCs/>
          <w:color w:val="000000"/>
          <w:sz w:val="24"/>
          <w:szCs w:val="24"/>
          <w:lang w:val="en-US" w:eastAsia="zh-CN"/>
        </w:rPr>
        <w:t>3</w:t>
      </w:r>
      <w:r>
        <w:rPr>
          <w:rFonts w:hint="eastAsia" w:ascii="宋体" w:hAnsi="宋体" w:eastAsia="宋体" w:cs="宋体"/>
          <w:bCs/>
          <w:color w:val="000000"/>
          <w:sz w:val="24"/>
          <w:szCs w:val="24"/>
        </w:rPr>
        <w:t xml:space="preserve">0  </w:t>
      </w:r>
    </w:p>
    <w:p w14:paraId="2687C46C">
      <w:pPr>
        <w:snapToGrid w:val="0"/>
        <w:spacing w:line="400" w:lineRule="exact"/>
        <w:ind w:firstLine="480" w:firstLineChars="200"/>
        <w:rPr>
          <w:rFonts w:hint="eastAsia" w:ascii="宋体" w:hAnsi="宋体" w:eastAsia="宋体" w:cs="宋体"/>
          <w:bCs/>
          <w:color w:val="000000"/>
          <w:sz w:val="24"/>
          <w:szCs w:val="24"/>
        </w:rPr>
      </w:pPr>
      <w:r>
        <w:rPr>
          <w:rFonts w:hint="eastAsia" w:ascii="宋体" w:hAnsi="宋体" w:eastAsia="宋体" w:cs="宋体"/>
          <w:color w:val="000000"/>
          <w:sz w:val="24"/>
          <w:szCs w:val="24"/>
        </w:rPr>
        <w:t>（七）询价开始时间：</w:t>
      </w:r>
      <w:r>
        <w:rPr>
          <w:rFonts w:hint="eastAsia" w:ascii="宋体" w:hAnsi="宋体" w:eastAsia="宋体" w:cs="宋体"/>
          <w:bCs/>
          <w:color w:val="000000"/>
          <w:sz w:val="24"/>
          <w:szCs w:val="24"/>
        </w:rPr>
        <w:t>202</w:t>
      </w:r>
      <w:r>
        <w:rPr>
          <w:rFonts w:hint="eastAsia" w:ascii="宋体" w:hAnsi="宋体" w:eastAsia="宋体" w:cs="宋体"/>
          <w:bCs/>
          <w:color w:val="000000"/>
          <w:sz w:val="24"/>
          <w:szCs w:val="24"/>
          <w:lang w:val="en-US" w:eastAsia="zh-CN"/>
        </w:rPr>
        <w:t>5</w:t>
      </w:r>
      <w:r>
        <w:rPr>
          <w:rFonts w:hint="eastAsia" w:ascii="宋体" w:hAnsi="宋体" w:eastAsia="宋体" w:cs="宋体"/>
          <w:bCs/>
          <w:color w:val="000000"/>
          <w:sz w:val="24"/>
          <w:szCs w:val="24"/>
        </w:rPr>
        <w:t>年</w:t>
      </w:r>
      <w:r>
        <w:rPr>
          <w:rFonts w:hint="eastAsia" w:ascii="宋体" w:hAnsi="宋体" w:eastAsia="宋体" w:cs="宋体"/>
          <w:bCs/>
          <w:color w:val="000000"/>
          <w:sz w:val="24"/>
          <w:szCs w:val="24"/>
          <w:lang w:val="en-US" w:eastAsia="zh-CN"/>
        </w:rPr>
        <w:t xml:space="preserve">6 </w:t>
      </w:r>
      <w:r>
        <w:rPr>
          <w:rFonts w:hint="eastAsia" w:ascii="宋体" w:hAnsi="宋体" w:eastAsia="宋体" w:cs="宋体"/>
          <w:bCs/>
          <w:color w:val="000000"/>
          <w:sz w:val="24"/>
          <w:szCs w:val="24"/>
        </w:rPr>
        <w:t>月</w:t>
      </w:r>
      <w:r>
        <w:rPr>
          <w:rFonts w:hint="eastAsia" w:ascii="宋体" w:hAnsi="宋体" w:eastAsia="宋体" w:cs="宋体"/>
          <w:bCs/>
          <w:color w:val="000000"/>
          <w:sz w:val="24"/>
          <w:szCs w:val="24"/>
          <w:lang w:val="en-US" w:eastAsia="zh-CN"/>
        </w:rPr>
        <w:t>4</w:t>
      </w:r>
      <w:r>
        <w:rPr>
          <w:rFonts w:hint="eastAsia" w:ascii="宋体" w:hAnsi="宋体" w:eastAsia="宋体" w:cs="宋体"/>
          <w:bCs/>
          <w:color w:val="000000"/>
          <w:sz w:val="24"/>
          <w:szCs w:val="24"/>
        </w:rPr>
        <w:t>日北京时间</w:t>
      </w:r>
      <w:r>
        <w:rPr>
          <w:rFonts w:hint="eastAsia" w:ascii="宋体" w:hAnsi="宋体" w:eastAsia="宋体" w:cs="宋体"/>
          <w:bCs/>
          <w:color w:val="000000"/>
          <w:sz w:val="24"/>
          <w:szCs w:val="24"/>
          <w:lang w:val="en-US" w:eastAsia="zh-CN"/>
        </w:rPr>
        <w:t>14</w:t>
      </w:r>
      <w:r>
        <w:rPr>
          <w:rFonts w:hint="eastAsia" w:ascii="宋体" w:hAnsi="宋体" w:eastAsia="宋体" w:cs="宋体"/>
          <w:bCs/>
          <w:color w:val="000000"/>
          <w:sz w:val="24"/>
          <w:szCs w:val="24"/>
        </w:rPr>
        <w:t>:</w:t>
      </w:r>
      <w:r>
        <w:rPr>
          <w:rFonts w:hint="eastAsia" w:ascii="宋体" w:hAnsi="宋体" w:eastAsia="宋体" w:cs="宋体"/>
          <w:bCs/>
          <w:color w:val="000000"/>
          <w:sz w:val="24"/>
          <w:szCs w:val="24"/>
          <w:lang w:val="en-US" w:eastAsia="zh-CN"/>
        </w:rPr>
        <w:t>3</w:t>
      </w:r>
      <w:r>
        <w:rPr>
          <w:rFonts w:hint="eastAsia" w:ascii="宋体" w:hAnsi="宋体" w:eastAsia="宋体" w:cs="宋体"/>
          <w:bCs/>
          <w:color w:val="000000"/>
          <w:sz w:val="24"/>
          <w:szCs w:val="24"/>
        </w:rPr>
        <w:t xml:space="preserve">0  </w:t>
      </w:r>
    </w:p>
    <w:p w14:paraId="0E1A4150">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（八）询价地址：同响应文件递交地址</w:t>
      </w:r>
    </w:p>
    <w:p w14:paraId="55EED448">
      <w:pPr>
        <w:pStyle w:val="5"/>
        <w:spacing w:before="0" w:after="0" w:line="400" w:lineRule="exact"/>
        <w:rPr>
          <w:rFonts w:hint="eastAsia" w:ascii="宋体" w:hAnsi="宋体" w:eastAsia="宋体" w:cs="宋体"/>
          <w:color w:val="000000"/>
          <w:sz w:val="24"/>
          <w:szCs w:val="24"/>
        </w:rPr>
      </w:pPr>
      <w:bookmarkStart w:id="12" w:name="_Toc9245"/>
      <w:bookmarkStart w:id="13" w:name="_Toc487204775"/>
      <w:r>
        <w:rPr>
          <w:rFonts w:hint="eastAsia" w:ascii="宋体" w:hAnsi="宋体" w:eastAsia="宋体" w:cs="宋体"/>
          <w:color w:val="000000"/>
          <w:sz w:val="24"/>
          <w:szCs w:val="24"/>
        </w:rPr>
        <w:t>五、保证金</w:t>
      </w:r>
      <w:bookmarkEnd w:id="11"/>
      <w:bookmarkEnd w:id="12"/>
      <w:bookmarkEnd w:id="13"/>
    </w:p>
    <w:p w14:paraId="19C11F31">
      <w:pPr>
        <w:snapToGrid w:val="0"/>
        <w:spacing w:line="440" w:lineRule="exact"/>
        <w:ind w:firstLine="480" w:firstLineChars="200"/>
        <w:rPr>
          <w:rFonts w:hint="eastAsia" w:ascii="宋体" w:hAnsi="宋体" w:eastAsia="宋体" w:cs="宋体"/>
          <w:color w:val="000000"/>
          <w:sz w:val="24"/>
          <w:szCs w:val="24"/>
        </w:rPr>
      </w:pPr>
      <w:bookmarkStart w:id="14" w:name="_Toc487204776"/>
      <w:r>
        <w:rPr>
          <w:rFonts w:hint="eastAsia" w:ascii="宋体" w:hAnsi="宋体" w:eastAsia="宋体" w:cs="宋体"/>
          <w:color w:val="000000"/>
          <w:sz w:val="24"/>
          <w:szCs w:val="24"/>
        </w:rPr>
        <w:t>（一）询价保证金递交</w:t>
      </w:r>
    </w:p>
    <w:p w14:paraId="75E70A91">
      <w:pPr>
        <w:snapToGrid w:val="0"/>
        <w:spacing w:line="440" w:lineRule="exact"/>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供应商须按本项目规定的投标保证金金额进行缴纳（保证金金额：2000元整），由供应商从其银行账户将投标保证金汇至以下账户，投标保证金的到账截止时间为响应文件递交截止时间前。</w:t>
      </w:r>
    </w:p>
    <w:p w14:paraId="7F2923C3">
      <w:pPr>
        <w:snapToGrid w:val="0"/>
        <w:spacing w:line="440" w:lineRule="exact"/>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保证金账户：</w:t>
      </w:r>
    </w:p>
    <w:p w14:paraId="00C67D04">
      <w:pPr>
        <w:snapToGrid w:val="0"/>
        <w:spacing w:line="440" w:lineRule="exact"/>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户  名：中科高盛咨询集团有限公司重庆分公司</w:t>
      </w:r>
    </w:p>
    <w:p w14:paraId="2589F6EC">
      <w:pPr>
        <w:snapToGrid w:val="0"/>
        <w:spacing w:line="440" w:lineRule="exact"/>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开户行：恒丰银行股份有限公司重庆渝北支行</w:t>
      </w:r>
    </w:p>
    <w:p w14:paraId="4F30C49B">
      <w:pPr>
        <w:snapToGrid w:val="0"/>
        <w:spacing w:line="440" w:lineRule="exact"/>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行  号：315653026010</w:t>
      </w:r>
    </w:p>
    <w:p w14:paraId="53DCB7D5">
      <w:pPr>
        <w:snapToGrid w:val="0"/>
        <w:spacing w:line="440" w:lineRule="exact"/>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账  号：5005 0101 2601 0000 0065</w:t>
      </w:r>
    </w:p>
    <w:p w14:paraId="3468F43E">
      <w:pPr>
        <w:snapToGrid w:val="0"/>
        <w:spacing w:line="440" w:lineRule="exact"/>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1.供应商必须在付款凭证备注栏中注明“室外党建文化墙建设项目（第二次）投标保证金”（可简写）。</w:t>
      </w:r>
    </w:p>
    <w:p w14:paraId="54AB6481">
      <w:pPr>
        <w:snapToGrid w:val="0"/>
        <w:spacing w:line="440" w:lineRule="exact"/>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2.各供应商在银行转账（电汇）时，须充分考虑银行转账（电汇）的时间差风险，如同城转账、异地转账或汇款、跨行转账或电汇的时间要求。</w:t>
      </w:r>
    </w:p>
    <w:p w14:paraId="7579E59F">
      <w:pPr>
        <w:snapToGrid w:val="0"/>
        <w:spacing w:line="440" w:lineRule="exact"/>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3.各供应商在递交投标保证金时，到款账户为上述指定的投标保证金专用账户，来款账户必须为本公司基本账户。</w:t>
      </w:r>
    </w:p>
    <w:p w14:paraId="04743FE2">
      <w:pPr>
        <w:snapToGrid w:val="0"/>
        <w:spacing w:line="440" w:lineRule="exact"/>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（二）保证金退还方式</w:t>
      </w:r>
    </w:p>
    <w:p w14:paraId="12E6D0D8">
      <w:pPr>
        <w:snapToGrid w:val="0"/>
        <w:spacing w:line="440" w:lineRule="exact"/>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未成交供应商的保证金，在成交通知书发放后，五个工作日内按来款渠道直接退还。</w:t>
      </w:r>
    </w:p>
    <w:p w14:paraId="1539A4CB">
      <w:pPr>
        <w:snapToGrid w:val="0"/>
        <w:spacing w:line="440" w:lineRule="exac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成交供应商的投标保证金，在成交供应商与采购人签订合同后，五个工作日内按资金来款渠道直接退还。</w:t>
      </w:r>
    </w:p>
    <w:p w14:paraId="7A761352">
      <w:pPr>
        <w:pStyle w:val="5"/>
        <w:spacing w:before="0" w:after="0" w:line="400" w:lineRule="exact"/>
        <w:rPr>
          <w:rFonts w:hint="eastAsia" w:ascii="宋体" w:hAnsi="宋体" w:eastAsia="宋体" w:cs="宋体"/>
          <w:color w:val="000000"/>
          <w:sz w:val="24"/>
          <w:szCs w:val="24"/>
        </w:rPr>
      </w:pPr>
      <w:bookmarkStart w:id="15" w:name="_Toc30584"/>
      <w:r>
        <w:rPr>
          <w:rFonts w:hint="eastAsia" w:ascii="宋体" w:hAnsi="宋体" w:eastAsia="宋体" w:cs="宋体"/>
          <w:color w:val="000000"/>
          <w:sz w:val="24"/>
          <w:szCs w:val="24"/>
          <w:lang w:val="en-US" w:eastAsia="zh-CN"/>
        </w:rPr>
        <w:t>六</w:t>
      </w:r>
      <w:r>
        <w:rPr>
          <w:rFonts w:hint="eastAsia" w:ascii="宋体" w:hAnsi="宋体" w:eastAsia="宋体" w:cs="宋体"/>
          <w:color w:val="000000"/>
          <w:sz w:val="24"/>
          <w:szCs w:val="24"/>
        </w:rPr>
        <w:t>、</w:t>
      </w:r>
      <w:bookmarkEnd w:id="5"/>
      <w:r>
        <w:rPr>
          <w:rFonts w:hint="eastAsia" w:ascii="宋体" w:hAnsi="宋体" w:eastAsia="宋体" w:cs="宋体"/>
          <w:color w:val="000000"/>
          <w:sz w:val="24"/>
          <w:szCs w:val="24"/>
        </w:rPr>
        <w:t>询价有关规定</w:t>
      </w:r>
      <w:bookmarkEnd w:id="14"/>
      <w:bookmarkEnd w:id="15"/>
    </w:p>
    <w:p w14:paraId="598A5F8B">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（一）单位负责人为同一人或者存在直接控股、管理关系的不同供应商，不得参加同一合同项下的政府采购活动，否则均为无效响应。</w:t>
      </w:r>
    </w:p>
    <w:p w14:paraId="49C0EAC9">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（二）为采购项目提供整体设计、规范编制或者项目管理、监理、检测等服务的供应商，不得再参加该采购项目的其他采购活动，否则均为无效响应。</w:t>
      </w:r>
    </w:p>
    <w:p w14:paraId="744DA6F3">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三）若同一合同项（分包）下为单一品目的货物采购中，同一品牌同一型号产品有多家供应商参加询价的，只能按照一家供应商计算。询价时在其他条件（资格符合性检查、响应文件的有效性、完整性和响应程度检查）合格的前提下，选取报价最低的供应商进入评审，舍掉其他供应商。</w:t>
      </w:r>
    </w:p>
    <w:p w14:paraId="1E00FF70">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（四）同一项目的货物，制造商参与询价的，不得再委托代理商参与询价，否则均为无效响应。</w:t>
      </w:r>
    </w:p>
    <w:p w14:paraId="38775E08">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五</w:t>
      </w:r>
      <w:r>
        <w:rPr>
          <w:rFonts w:hint="eastAsia" w:ascii="宋体" w:hAnsi="宋体" w:eastAsia="宋体" w:cs="宋体"/>
          <w:color w:val="000000"/>
          <w:sz w:val="24"/>
          <w:szCs w:val="24"/>
        </w:rPr>
        <w:t>）超过响应文件截止时间递交的响应文件，恕不接收。</w:t>
      </w:r>
    </w:p>
    <w:p w14:paraId="35A88C49">
      <w:pPr>
        <w:snapToGrid w:val="0"/>
        <w:spacing w:line="400" w:lineRule="exact"/>
        <w:ind w:firstLine="480" w:firstLineChars="200"/>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w:t>
      </w:r>
      <w:r>
        <w:rPr>
          <w:rFonts w:hint="eastAsia" w:ascii="宋体" w:hAnsi="宋体" w:eastAsia="宋体" w:cs="宋体"/>
          <w:b w:val="0"/>
          <w:bCs w:val="0"/>
          <w:color w:val="000000"/>
          <w:sz w:val="24"/>
          <w:szCs w:val="24"/>
          <w:lang w:val="en-US" w:eastAsia="zh-CN"/>
        </w:rPr>
        <w:t>六</w:t>
      </w:r>
      <w:r>
        <w:rPr>
          <w:rFonts w:hint="eastAsia" w:ascii="宋体" w:hAnsi="宋体" w:eastAsia="宋体" w:cs="宋体"/>
          <w:b w:val="0"/>
          <w:bCs w:val="0"/>
          <w:color w:val="000000"/>
          <w:sz w:val="24"/>
          <w:szCs w:val="24"/>
        </w:rPr>
        <w:t>）供应商有下列情况之一的，将拒绝其参与采购活动：在本项目询价截止日前三年内被列入失信被执行人、重大税收违法案件当事人名单的；被列入政府采购严重违法失信名单且在处罚期内的；被列入政府采购严重违法失信行为记录名单且在处罚期内的；其他不符合《中华人民共和国政府采购法》第二十二条规定条件的。</w:t>
      </w:r>
    </w:p>
    <w:p w14:paraId="0CF66FF0">
      <w:pPr>
        <w:snapToGrid w:val="0"/>
        <w:spacing w:line="400" w:lineRule="exact"/>
        <w:ind w:firstLine="480" w:firstLineChars="200"/>
        <w:rPr>
          <w:rFonts w:hint="eastAsia" w:ascii="宋体" w:hAnsi="宋体" w:eastAsia="宋体" w:cs="宋体"/>
          <w:color w:val="000000"/>
          <w:sz w:val="24"/>
          <w:szCs w:val="24"/>
        </w:rPr>
      </w:pPr>
      <w:bookmarkStart w:id="16" w:name="_Toc22476"/>
      <w:bookmarkStart w:id="17" w:name="_Toc102227313"/>
      <w:r>
        <w:rPr>
          <w:rFonts w:hint="eastAsia" w:ascii="宋体" w:hAnsi="宋体" w:eastAsia="宋体" w:cs="宋体"/>
          <w:color w:val="000000"/>
          <w:sz w:val="24"/>
          <w:szCs w:val="24"/>
          <w:lang w:val="en-US" w:eastAsia="zh-CN"/>
        </w:rPr>
        <w:t>七</w:t>
      </w:r>
      <w:r>
        <w:rPr>
          <w:rFonts w:hint="eastAsia" w:ascii="宋体" w:hAnsi="宋体" w:eastAsia="宋体" w:cs="宋体"/>
          <w:color w:val="000000"/>
          <w:sz w:val="24"/>
          <w:szCs w:val="24"/>
        </w:rPr>
        <w:t>、联系方式</w:t>
      </w:r>
      <w:bookmarkEnd w:id="16"/>
    </w:p>
    <w:p w14:paraId="2D6FFADA">
      <w:pPr>
        <w:numPr>
          <w:ilvl w:val="0"/>
          <w:numId w:val="0"/>
        </w:numPr>
        <w:snapToGrid w:val="0"/>
        <w:spacing w:line="400" w:lineRule="exact"/>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（一）采购人：重庆理工职业学院</w:t>
      </w:r>
    </w:p>
    <w:p w14:paraId="14859C0C">
      <w:pPr>
        <w:numPr>
          <w:ilvl w:val="0"/>
          <w:numId w:val="0"/>
        </w:numPr>
        <w:snapToGrid w:val="0"/>
        <w:spacing w:line="400" w:lineRule="exact"/>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联系人：</w:t>
      </w:r>
      <w:r>
        <w:rPr>
          <w:rFonts w:hint="eastAsia" w:ascii="宋体" w:hAnsi="宋体" w:cs="宋体"/>
          <w:color w:val="000000"/>
          <w:sz w:val="24"/>
          <w:szCs w:val="24"/>
          <w:lang w:val="en-US" w:eastAsia="zh-CN"/>
        </w:rPr>
        <w:t>吴</w:t>
      </w:r>
      <w:r>
        <w:rPr>
          <w:rFonts w:hint="eastAsia" w:ascii="宋体" w:hAnsi="宋体" w:eastAsia="宋体" w:cs="宋体"/>
          <w:color w:val="000000"/>
          <w:sz w:val="24"/>
          <w:szCs w:val="24"/>
          <w:lang w:val="en-US" w:eastAsia="zh-CN"/>
        </w:rPr>
        <w:t>老师</w:t>
      </w:r>
    </w:p>
    <w:p w14:paraId="4945D8DA">
      <w:pPr>
        <w:numPr>
          <w:ilvl w:val="0"/>
          <w:numId w:val="0"/>
        </w:numPr>
        <w:snapToGrid w:val="0"/>
        <w:spacing w:line="400" w:lineRule="exact"/>
        <w:ind w:firstLine="480" w:firstLineChars="200"/>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电  话：</w:t>
      </w:r>
      <w:r>
        <w:rPr>
          <w:rFonts w:hint="eastAsia" w:ascii="宋体" w:hAnsi="宋体"/>
          <w:snapToGrid w:val="0"/>
          <w:kern w:val="0"/>
          <w:sz w:val="24"/>
          <w:szCs w:val="24"/>
          <w:u w:val="none"/>
        </w:rPr>
        <w:t xml:space="preserve">13668080436 </w:t>
      </w:r>
    </w:p>
    <w:p w14:paraId="0EA07D48">
      <w:pPr>
        <w:numPr>
          <w:ilvl w:val="0"/>
          <w:numId w:val="0"/>
        </w:numPr>
        <w:snapToGrid w:val="0"/>
        <w:spacing w:line="400" w:lineRule="exact"/>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val="en-US" w:eastAsia="zh-CN"/>
        </w:rPr>
        <w:t>地  址：重庆市巴南区界石镇东城大道 588号</w:t>
      </w:r>
    </w:p>
    <w:p w14:paraId="0022B36E">
      <w:pPr>
        <w:numPr>
          <w:ilvl w:val="0"/>
          <w:numId w:val="1"/>
        </w:num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采购代理机构：</w:t>
      </w:r>
      <w:r>
        <w:rPr>
          <w:rFonts w:hint="eastAsia" w:ascii="宋体" w:hAnsi="宋体" w:eastAsia="宋体" w:cs="宋体"/>
          <w:color w:val="000000"/>
          <w:sz w:val="24"/>
          <w:szCs w:val="24"/>
          <w:lang w:val="en-US" w:eastAsia="zh-CN"/>
        </w:rPr>
        <w:t>中科高盛咨询集团有限公司</w:t>
      </w:r>
    </w:p>
    <w:p w14:paraId="437609CA">
      <w:pPr>
        <w:numPr>
          <w:ilvl w:val="0"/>
          <w:numId w:val="0"/>
        </w:numPr>
        <w:snapToGrid w:val="0"/>
        <w:spacing w:line="400" w:lineRule="exact"/>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联系人：</w:t>
      </w:r>
      <w:r>
        <w:rPr>
          <w:rFonts w:hint="eastAsia" w:ascii="宋体" w:hAnsi="宋体" w:eastAsia="宋体" w:cs="宋体"/>
          <w:color w:val="000000"/>
          <w:sz w:val="24"/>
          <w:szCs w:val="24"/>
          <w:lang w:val="en-US" w:eastAsia="zh-CN"/>
        </w:rPr>
        <w:t>刘先生</w:t>
      </w:r>
      <w:r>
        <w:rPr>
          <w:rFonts w:hint="eastAsia" w:ascii="宋体" w:hAnsi="宋体" w:eastAsia="宋体" w:cs="宋体"/>
          <w:color w:val="000000"/>
          <w:sz w:val="24"/>
          <w:szCs w:val="24"/>
          <w:lang w:val="en-US" w:eastAsia="zh-CN"/>
        </w:rPr>
        <w:tab/>
      </w:r>
    </w:p>
    <w:p w14:paraId="200A233A">
      <w:pPr>
        <w:snapToGrid w:val="0"/>
        <w:spacing w:line="400" w:lineRule="exact"/>
        <w:ind w:firstLine="480" w:firstLineChars="200"/>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eastAsia="zh-CN"/>
        </w:rPr>
        <w:t>电  话：</w:t>
      </w:r>
      <w:r>
        <w:rPr>
          <w:rFonts w:hint="eastAsia" w:ascii="宋体" w:hAnsi="宋体" w:eastAsia="宋体" w:cs="宋体"/>
          <w:color w:val="000000"/>
          <w:sz w:val="24"/>
          <w:szCs w:val="24"/>
          <w:lang w:val="en-US" w:eastAsia="zh-CN"/>
        </w:rPr>
        <w:t>17382327155</w:t>
      </w:r>
    </w:p>
    <w:p w14:paraId="68D3A65D">
      <w:pPr>
        <w:snapToGrid w:val="0"/>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地  址：</w:t>
      </w:r>
      <w:r>
        <w:rPr>
          <w:rFonts w:hint="eastAsia" w:ascii="宋体" w:hAnsi="宋体" w:eastAsia="宋体" w:cs="宋体"/>
          <w:color w:val="000000"/>
          <w:sz w:val="24"/>
          <w:szCs w:val="24"/>
          <w:lang w:val="en-US" w:eastAsia="zh-CN"/>
        </w:rPr>
        <w:t xml:space="preserve">重庆市渝北区泰山大道东段动力国际B座7-12 </w:t>
      </w:r>
    </w:p>
    <w:p w14:paraId="0489B126">
      <w:pPr>
        <w:jc w:val="center"/>
        <w:outlineLvl w:val="0"/>
        <w:rPr>
          <w:rFonts w:hint="eastAsia" w:ascii="宋体" w:hAnsi="宋体" w:eastAsia="宋体" w:cs="宋体"/>
          <w:color w:val="000000"/>
          <w:sz w:val="36"/>
          <w:szCs w:val="36"/>
        </w:rPr>
        <w:sectPr>
          <w:pgSz w:w="11907" w:h="16840"/>
          <w:pgMar w:top="1134" w:right="1191" w:bottom="1021" w:left="1304" w:header="964" w:footer="992" w:gutter="0"/>
          <w:pgNumType w:fmt="numberInDash"/>
          <w:cols w:space="720" w:num="1"/>
          <w:docGrid w:linePitch="312" w:charSpace="0"/>
        </w:sectPr>
      </w:pPr>
      <w:bookmarkStart w:id="18" w:name="_Toc487204778"/>
    </w:p>
    <w:p w14:paraId="1FC73AA2">
      <w:pPr>
        <w:pStyle w:val="4"/>
        <w:spacing w:before="0" w:after="0" w:line="400" w:lineRule="exact"/>
        <w:jc w:val="center"/>
        <w:rPr>
          <w:rFonts w:hint="eastAsia" w:ascii="宋体" w:hAnsi="宋体" w:eastAsia="宋体" w:cs="宋体"/>
          <w:color w:val="000000"/>
          <w:sz w:val="36"/>
          <w:szCs w:val="36"/>
        </w:rPr>
      </w:pPr>
      <w:bookmarkStart w:id="19" w:name="_Toc24322"/>
      <w:r>
        <w:rPr>
          <w:rFonts w:hint="eastAsia" w:ascii="宋体" w:hAnsi="宋体" w:eastAsia="宋体" w:cs="宋体"/>
          <w:color w:val="000000"/>
          <w:sz w:val="36"/>
          <w:szCs w:val="36"/>
        </w:rPr>
        <w:t>第二篇 供应商须知</w:t>
      </w:r>
      <w:bookmarkEnd w:id="17"/>
      <w:bookmarkEnd w:id="18"/>
      <w:bookmarkEnd w:id="19"/>
    </w:p>
    <w:p w14:paraId="4466519B">
      <w:pPr>
        <w:pStyle w:val="5"/>
        <w:spacing w:before="0" w:after="0" w:line="400" w:lineRule="exact"/>
        <w:rPr>
          <w:rFonts w:hint="eastAsia" w:ascii="宋体" w:hAnsi="宋体" w:eastAsia="宋体" w:cs="宋体"/>
          <w:color w:val="000000"/>
          <w:sz w:val="24"/>
          <w:szCs w:val="24"/>
        </w:rPr>
      </w:pPr>
      <w:bookmarkStart w:id="20" w:name="_Toc426965630"/>
      <w:bookmarkStart w:id="21" w:name="_Toc487204779"/>
      <w:bookmarkStart w:id="22" w:name="_Toc342913389"/>
      <w:bookmarkStart w:id="23" w:name="_Toc26241"/>
      <w:r>
        <w:rPr>
          <w:rFonts w:hint="eastAsia" w:ascii="宋体" w:hAnsi="宋体" w:eastAsia="宋体" w:cs="宋体"/>
          <w:color w:val="000000"/>
          <w:sz w:val="24"/>
          <w:szCs w:val="24"/>
        </w:rPr>
        <w:t>一、询价费用</w:t>
      </w:r>
      <w:bookmarkEnd w:id="20"/>
      <w:bookmarkEnd w:id="21"/>
      <w:bookmarkEnd w:id="22"/>
      <w:bookmarkEnd w:id="23"/>
    </w:p>
    <w:p w14:paraId="1BE9560B">
      <w:pPr>
        <w:pStyle w:val="96"/>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参与询价的供应商应承担其编制响应文件与递交响应文件所涉及的一切费用，不论询价结果如何，采购人和采购代理机构在任何情况下无义务也无责任承担这些费用。</w:t>
      </w:r>
    </w:p>
    <w:p w14:paraId="6640212C">
      <w:pPr>
        <w:pStyle w:val="5"/>
        <w:tabs>
          <w:tab w:val="left" w:pos="2640"/>
        </w:tabs>
        <w:spacing w:before="0" w:after="0" w:line="400" w:lineRule="exact"/>
        <w:rPr>
          <w:rFonts w:hint="eastAsia" w:ascii="宋体" w:hAnsi="宋体" w:eastAsia="宋体" w:cs="宋体"/>
          <w:color w:val="000000"/>
          <w:sz w:val="24"/>
          <w:szCs w:val="24"/>
        </w:rPr>
      </w:pPr>
      <w:bookmarkStart w:id="24" w:name="_Toc426965631"/>
      <w:bookmarkStart w:id="25" w:name="_Toc487204780"/>
      <w:bookmarkStart w:id="26" w:name="_Toc342913391"/>
      <w:bookmarkStart w:id="27" w:name="_Toc11489"/>
      <w:r>
        <w:rPr>
          <w:rFonts w:hint="eastAsia" w:ascii="宋体" w:hAnsi="宋体" w:eastAsia="宋体" w:cs="宋体"/>
          <w:color w:val="000000"/>
          <w:sz w:val="24"/>
          <w:szCs w:val="24"/>
        </w:rPr>
        <w:t>二、</w:t>
      </w:r>
      <w:bookmarkEnd w:id="24"/>
      <w:bookmarkEnd w:id="25"/>
      <w:bookmarkEnd w:id="26"/>
      <w:r>
        <w:rPr>
          <w:rFonts w:hint="eastAsia" w:ascii="宋体" w:hAnsi="宋体" w:eastAsia="宋体" w:cs="宋体"/>
          <w:color w:val="000000"/>
          <w:sz w:val="24"/>
          <w:szCs w:val="24"/>
        </w:rPr>
        <w:t>询价通知书</w:t>
      </w:r>
      <w:bookmarkEnd w:id="27"/>
      <w:r>
        <w:rPr>
          <w:rFonts w:hint="eastAsia" w:ascii="宋体" w:hAnsi="宋体" w:eastAsia="宋体" w:cs="宋体"/>
          <w:color w:val="000000"/>
          <w:sz w:val="24"/>
          <w:szCs w:val="24"/>
        </w:rPr>
        <w:tab/>
      </w:r>
    </w:p>
    <w:p w14:paraId="4A613ED2">
      <w:pPr>
        <w:snapToGrid w:val="0"/>
        <w:spacing w:line="400" w:lineRule="exact"/>
        <w:ind w:firstLine="360" w:firstLineChars="150"/>
        <w:rPr>
          <w:rFonts w:hint="eastAsia" w:ascii="宋体" w:hAnsi="宋体" w:eastAsia="宋体" w:cs="宋体"/>
          <w:color w:val="000000"/>
          <w:sz w:val="24"/>
          <w:szCs w:val="24"/>
        </w:rPr>
      </w:pPr>
      <w:r>
        <w:rPr>
          <w:rFonts w:hint="eastAsia" w:ascii="宋体" w:hAnsi="宋体" w:eastAsia="宋体" w:cs="宋体"/>
          <w:color w:val="000000"/>
          <w:sz w:val="24"/>
          <w:szCs w:val="24"/>
        </w:rPr>
        <w:t>（一）询价通知书由询价邀请书、供应商须知、询价项目技术需求、询价项目商务需求、合同主要条款和格式合同、响应文件格式要求六部分组成。</w:t>
      </w:r>
    </w:p>
    <w:p w14:paraId="7840DC63">
      <w:pPr>
        <w:snapToGrid w:val="0"/>
        <w:spacing w:line="400" w:lineRule="exact"/>
        <w:ind w:firstLine="360" w:firstLineChars="150"/>
        <w:rPr>
          <w:rFonts w:hint="eastAsia" w:ascii="宋体" w:hAnsi="宋体" w:eastAsia="宋体" w:cs="宋体"/>
          <w:color w:val="000000"/>
          <w:sz w:val="24"/>
          <w:szCs w:val="24"/>
        </w:rPr>
      </w:pPr>
      <w:r>
        <w:rPr>
          <w:rFonts w:hint="eastAsia" w:ascii="宋体" w:hAnsi="宋体" w:eastAsia="宋体" w:cs="宋体"/>
          <w:color w:val="000000"/>
          <w:sz w:val="24"/>
          <w:szCs w:val="24"/>
        </w:rPr>
        <w:t>（二）采购人（或采购代理机构）所作的一切有效的书面通知、修改及补充，都是询价通知书不可分割的部分。</w:t>
      </w:r>
    </w:p>
    <w:p w14:paraId="4FCE27E8">
      <w:pPr>
        <w:snapToGrid w:val="0"/>
        <w:spacing w:line="400" w:lineRule="exact"/>
        <w:ind w:firstLine="360" w:firstLineChars="150"/>
        <w:rPr>
          <w:rFonts w:hint="eastAsia" w:ascii="宋体" w:hAnsi="宋体" w:eastAsia="宋体" w:cs="宋体"/>
          <w:color w:val="000000"/>
          <w:sz w:val="24"/>
          <w:szCs w:val="24"/>
        </w:rPr>
      </w:pPr>
      <w:r>
        <w:rPr>
          <w:rFonts w:hint="eastAsia" w:ascii="宋体" w:hAnsi="宋体" w:eastAsia="宋体" w:cs="宋体"/>
          <w:color w:val="000000"/>
          <w:sz w:val="24"/>
          <w:szCs w:val="24"/>
        </w:rPr>
        <w:t>（三）询价通知书的解释</w:t>
      </w:r>
    </w:p>
    <w:p w14:paraId="6BC7C713">
      <w:pPr>
        <w:snapToGrid w:val="0"/>
        <w:spacing w:line="400" w:lineRule="exact"/>
        <w:ind w:firstLine="360" w:firstLineChars="150"/>
        <w:rPr>
          <w:rFonts w:hint="eastAsia" w:ascii="宋体" w:hAnsi="宋体" w:eastAsia="宋体" w:cs="宋体"/>
          <w:color w:val="000000"/>
          <w:sz w:val="24"/>
          <w:szCs w:val="24"/>
        </w:rPr>
      </w:pPr>
      <w:r>
        <w:rPr>
          <w:rFonts w:hint="eastAsia" w:ascii="宋体" w:hAnsi="宋体" w:eastAsia="宋体" w:cs="宋体"/>
          <w:color w:val="000000"/>
          <w:sz w:val="24"/>
          <w:szCs w:val="24"/>
        </w:rPr>
        <w:t>供应商如对询价通知书有疑问，必须以书面形式在提交响应文件截止时间1个工作日前向采购人（或采购代理机构）要求澄清，采购人（或采购代理机构）可视具体情况做出处理或答复。如供应商未提出疑问，视为完全理解并同意本询价通知书。一经进入询价程序，即视为供应商已详细阅读全部文件资料，完全理解询价通知书所有条款内容并同意放弃对这方面有不明白及误解的权利。</w:t>
      </w:r>
      <w:bookmarkStart w:id="28" w:name="_Toc318166429"/>
      <w:bookmarkStart w:id="29" w:name="_Toc318159780"/>
      <w:bookmarkStart w:id="30" w:name="_Toc318159160"/>
      <w:bookmarkStart w:id="31" w:name="_Toc318159349"/>
    </w:p>
    <w:bookmarkEnd w:id="28"/>
    <w:bookmarkEnd w:id="29"/>
    <w:bookmarkEnd w:id="30"/>
    <w:bookmarkEnd w:id="31"/>
    <w:p w14:paraId="15F23265">
      <w:pPr>
        <w:pStyle w:val="5"/>
        <w:spacing w:before="0" w:after="0" w:line="400" w:lineRule="exact"/>
        <w:rPr>
          <w:rFonts w:hint="eastAsia" w:ascii="宋体" w:hAnsi="宋体" w:eastAsia="宋体" w:cs="宋体"/>
          <w:color w:val="000000"/>
          <w:sz w:val="24"/>
          <w:szCs w:val="24"/>
        </w:rPr>
      </w:pPr>
      <w:bookmarkStart w:id="32" w:name="_Toc15772"/>
      <w:bookmarkStart w:id="33" w:name="_Toc426965632"/>
      <w:bookmarkStart w:id="34" w:name="_Toc342913392"/>
      <w:bookmarkStart w:id="35" w:name="_Toc102227318"/>
      <w:bookmarkStart w:id="36" w:name="_Toc179714297"/>
      <w:bookmarkStart w:id="37" w:name="_Toc487204781"/>
      <w:r>
        <w:rPr>
          <w:rFonts w:hint="eastAsia" w:ascii="宋体" w:hAnsi="宋体" w:eastAsia="宋体" w:cs="宋体"/>
          <w:color w:val="000000"/>
          <w:sz w:val="24"/>
          <w:szCs w:val="24"/>
        </w:rPr>
        <w:t>三、询价要求</w:t>
      </w:r>
      <w:bookmarkEnd w:id="32"/>
      <w:bookmarkEnd w:id="33"/>
      <w:bookmarkEnd w:id="34"/>
      <w:bookmarkEnd w:id="35"/>
      <w:bookmarkEnd w:id="36"/>
      <w:bookmarkEnd w:id="37"/>
    </w:p>
    <w:p w14:paraId="4E47BFB8">
      <w:pPr>
        <w:pStyle w:val="6"/>
        <w:spacing w:before="0" w:after="0" w:line="400" w:lineRule="exact"/>
        <w:rPr>
          <w:rFonts w:hint="eastAsia" w:ascii="宋体" w:hAnsi="宋体" w:eastAsia="宋体" w:cs="宋体"/>
          <w:color w:val="000000"/>
          <w:sz w:val="24"/>
          <w:szCs w:val="24"/>
        </w:rPr>
      </w:pPr>
      <w:r>
        <w:rPr>
          <w:rFonts w:hint="eastAsia" w:ascii="宋体" w:hAnsi="宋体" w:eastAsia="宋体" w:cs="宋体"/>
          <w:color w:val="000000"/>
          <w:sz w:val="24"/>
          <w:szCs w:val="24"/>
        </w:rPr>
        <w:t>（一）响应文件</w:t>
      </w:r>
    </w:p>
    <w:p w14:paraId="71E30B8A">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供应商应当按照询价通知书的要求编制响应文件，并对询价通知书提出的要求和条件作出实质性响应，响应文件原则上采用软面订本，同时应编制完整的页码、目录（注：询价通知书中规定的需要提供相关原件或者加盖制造商鲜章的资料作为响应文件的组成部分时，该部分资料可不标注页码）。</w:t>
      </w:r>
    </w:p>
    <w:p w14:paraId="57855EA4">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1.响应文件组成</w:t>
      </w:r>
    </w:p>
    <w:p w14:paraId="09FAF602">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响应文件包括纸质文件和电子文件。电子文件内容应当</w:t>
      </w:r>
      <w:r>
        <w:rPr>
          <w:rFonts w:hint="eastAsia" w:ascii="宋体" w:hAnsi="宋体" w:eastAsia="宋体" w:cs="宋体"/>
          <w:color w:val="000000"/>
          <w:sz w:val="24"/>
          <w:szCs w:val="24"/>
          <w:lang w:val="en-US" w:eastAsia="zh-CN"/>
        </w:rPr>
        <w:t>与纸质文件正本一致</w:t>
      </w:r>
      <w:r>
        <w:rPr>
          <w:rFonts w:hint="eastAsia" w:ascii="宋体" w:hAnsi="宋体" w:eastAsia="宋体" w:cs="宋体"/>
          <w:color w:val="000000"/>
          <w:sz w:val="24"/>
          <w:szCs w:val="24"/>
        </w:rPr>
        <w:t>；纸质文件由第六篇“响应文件格式要求”规定的部分和供应商所作的一切有效补充、修改和承诺等文件组成，也可在基本格式基础上对表格进行扩展，未规定格式的由供应商自定格式。</w:t>
      </w:r>
    </w:p>
    <w:p w14:paraId="22324E8F">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2.联合体</w:t>
      </w:r>
    </w:p>
    <w:p w14:paraId="4D954BAE">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本项目不接受联合体响应。</w:t>
      </w:r>
    </w:p>
    <w:p w14:paraId="480DA09B">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3.询价有效期：响应文件及有关承诺文件有效期为询价开始时间起90天。</w:t>
      </w:r>
    </w:p>
    <w:p w14:paraId="5FD41F3D">
      <w:pPr>
        <w:pStyle w:val="6"/>
        <w:spacing w:before="0" w:after="0" w:line="400" w:lineRule="exact"/>
        <w:rPr>
          <w:rFonts w:hint="eastAsia" w:ascii="宋体" w:hAnsi="宋体" w:eastAsia="宋体" w:cs="宋体"/>
          <w:color w:val="000000"/>
          <w:sz w:val="24"/>
          <w:szCs w:val="24"/>
        </w:rPr>
      </w:pPr>
      <w:r>
        <w:rPr>
          <w:rFonts w:hint="eastAsia" w:ascii="宋体" w:hAnsi="宋体" w:eastAsia="宋体" w:cs="宋体"/>
          <w:color w:val="000000"/>
          <w:sz w:val="24"/>
          <w:szCs w:val="24"/>
        </w:rPr>
        <w:t>（二）保证金：</w:t>
      </w:r>
    </w:p>
    <w:p w14:paraId="153A1EC0">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1.供应商提交保证金金额和方式详见“</w:t>
      </w:r>
      <w:r>
        <w:rPr>
          <w:rFonts w:hint="eastAsia" w:ascii="宋体" w:hAnsi="宋体" w:eastAsia="宋体" w:cs="宋体"/>
          <w:b/>
          <w:bCs/>
          <w:color w:val="000000"/>
          <w:sz w:val="24"/>
          <w:szCs w:val="24"/>
          <w:u w:val="single"/>
        </w:rPr>
        <w:t>第一篇”</w:t>
      </w:r>
      <w:r>
        <w:rPr>
          <w:rFonts w:hint="eastAsia" w:ascii="宋体" w:hAnsi="宋体" w:eastAsia="宋体" w:cs="宋体"/>
          <w:color w:val="000000"/>
          <w:sz w:val="24"/>
          <w:szCs w:val="24"/>
        </w:rPr>
        <w:t>；</w:t>
      </w:r>
    </w:p>
    <w:p w14:paraId="39E891B1">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2.发生以下情况之一者，保证金不予退还：</w:t>
      </w:r>
    </w:p>
    <w:p w14:paraId="664993B3">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2.1供应商在提交响应文件截止时间后撤回响应文件的；</w:t>
      </w:r>
    </w:p>
    <w:p w14:paraId="3B089E78">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2.2供应商在响应文件中提供虚假材料的</w:t>
      </w:r>
    </w:p>
    <w:p w14:paraId="4F1DC77C">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2.3除因不可抗力或询价通知书认可的情形以外，成交供应商不与采购人签订合同的；</w:t>
      </w:r>
    </w:p>
    <w:p w14:paraId="032CDE23">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2.4供应商与采购人、其他供应商或者采购代理机构恶意串通的；</w:t>
      </w:r>
    </w:p>
    <w:p w14:paraId="26E9F31E">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2.5询价通知书规定的其他情形。</w:t>
      </w:r>
    </w:p>
    <w:p w14:paraId="548F85F0">
      <w:pPr>
        <w:pStyle w:val="6"/>
        <w:spacing w:before="0" w:after="0" w:line="400" w:lineRule="exact"/>
        <w:rPr>
          <w:rFonts w:hint="eastAsia" w:ascii="宋体" w:hAnsi="宋体" w:eastAsia="宋体" w:cs="宋体"/>
          <w:color w:val="000000"/>
          <w:sz w:val="24"/>
          <w:szCs w:val="24"/>
        </w:rPr>
      </w:pPr>
      <w:r>
        <w:rPr>
          <w:rFonts w:hint="eastAsia" w:ascii="宋体" w:hAnsi="宋体" w:eastAsia="宋体" w:cs="宋体"/>
          <w:color w:val="000000"/>
          <w:sz w:val="24"/>
          <w:szCs w:val="24"/>
        </w:rPr>
        <w:t>（三）修正错误</w:t>
      </w:r>
    </w:p>
    <w:p w14:paraId="14C7EE6C">
      <w:pPr>
        <w:pStyle w:val="30"/>
        <w:spacing w:line="400" w:lineRule="exact"/>
        <w:ind w:firstLine="480" w:firstLineChars="200"/>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rPr>
        <w:t>若响应文件出现计算或表达上的错误，修正错误的原则如下：</w:t>
      </w:r>
    </w:p>
    <w:p w14:paraId="05B07818">
      <w:pPr>
        <w:pStyle w:val="30"/>
        <w:spacing w:line="400" w:lineRule="exact"/>
        <w:ind w:firstLine="480" w:firstLineChars="200"/>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rPr>
        <w:t>1</w:t>
      </w:r>
      <w:r>
        <w:rPr>
          <w:rFonts w:hint="eastAsia" w:ascii="宋体" w:hAnsi="宋体" w:eastAsia="宋体" w:cs="宋体"/>
          <w:color w:val="000000"/>
          <w:sz w:val="24"/>
          <w:szCs w:val="24"/>
        </w:rPr>
        <w:t>.</w:t>
      </w:r>
      <w:r>
        <w:rPr>
          <w:rFonts w:hint="eastAsia" w:ascii="宋体" w:hAnsi="宋体" w:eastAsia="宋体" w:cs="宋体"/>
          <w:color w:val="000000"/>
          <w:kern w:val="2"/>
          <w:sz w:val="24"/>
          <w:szCs w:val="24"/>
        </w:rPr>
        <w:t>响应文件中报价函的内容与响应文件中相应内容不一致的，以报价函为准；</w:t>
      </w:r>
    </w:p>
    <w:p w14:paraId="1D5D008F">
      <w:pPr>
        <w:pStyle w:val="30"/>
        <w:spacing w:line="400" w:lineRule="exact"/>
        <w:ind w:firstLine="480" w:firstLineChars="200"/>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rPr>
        <w:t>2</w:t>
      </w:r>
      <w:r>
        <w:rPr>
          <w:rFonts w:hint="eastAsia" w:ascii="宋体" w:hAnsi="宋体" w:eastAsia="宋体" w:cs="宋体"/>
          <w:color w:val="000000"/>
          <w:sz w:val="24"/>
          <w:szCs w:val="24"/>
        </w:rPr>
        <w:t>.</w:t>
      </w:r>
      <w:r>
        <w:rPr>
          <w:rFonts w:hint="eastAsia" w:ascii="宋体" w:hAnsi="宋体" w:eastAsia="宋体" w:cs="宋体"/>
          <w:color w:val="000000"/>
          <w:kern w:val="2"/>
          <w:sz w:val="24"/>
          <w:szCs w:val="24"/>
        </w:rPr>
        <w:t>大写金额和小写金额不一致的，以大写金额为准；</w:t>
      </w:r>
    </w:p>
    <w:p w14:paraId="6B8471C7">
      <w:pPr>
        <w:pStyle w:val="30"/>
        <w:spacing w:line="400" w:lineRule="exact"/>
        <w:ind w:firstLine="480" w:firstLineChars="200"/>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rPr>
        <w:t>3</w:t>
      </w:r>
      <w:r>
        <w:rPr>
          <w:rFonts w:hint="eastAsia" w:ascii="宋体" w:hAnsi="宋体" w:eastAsia="宋体" w:cs="宋体"/>
          <w:color w:val="000000"/>
          <w:sz w:val="24"/>
          <w:szCs w:val="24"/>
        </w:rPr>
        <w:t>.</w:t>
      </w:r>
      <w:r>
        <w:rPr>
          <w:rFonts w:hint="eastAsia" w:ascii="宋体" w:hAnsi="宋体" w:eastAsia="宋体" w:cs="宋体"/>
          <w:color w:val="000000"/>
          <w:kern w:val="2"/>
          <w:sz w:val="24"/>
          <w:szCs w:val="24"/>
        </w:rPr>
        <w:t>单价金额小数点或者百分比有明显错位的，以报价函总价为准，并修改单价；</w:t>
      </w:r>
    </w:p>
    <w:p w14:paraId="246D2B5D">
      <w:pPr>
        <w:pStyle w:val="30"/>
        <w:spacing w:line="400" w:lineRule="exact"/>
        <w:ind w:firstLine="480" w:firstLineChars="200"/>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rPr>
        <w:t>4</w:t>
      </w:r>
      <w:r>
        <w:rPr>
          <w:rFonts w:hint="eastAsia" w:ascii="宋体" w:hAnsi="宋体" w:eastAsia="宋体" w:cs="宋体"/>
          <w:color w:val="000000"/>
          <w:sz w:val="24"/>
          <w:szCs w:val="24"/>
        </w:rPr>
        <w:t>.</w:t>
      </w:r>
      <w:r>
        <w:rPr>
          <w:rFonts w:hint="eastAsia" w:ascii="宋体" w:hAnsi="宋体" w:eastAsia="宋体" w:cs="宋体"/>
          <w:color w:val="000000"/>
          <w:kern w:val="2"/>
          <w:sz w:val="24"/>
          <w:szCs w:val="24"/>
        </w:rPr>
        <w:t>总价金额与按单价汇总金额不一致的，以单价金额计算结果为准。</w:t>
      </w:r>
    </w:p>
    <w:p w14:paraId="71AF0C13">
      <w:pPr>
        <w:pStyle w:val="30"/>
        <w:spacing w:line="400" w:lineRule="exact"/>
        <w:ind w:firstLine="480" w:firstLineChars="200"/>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rPr>
        <w:t>询价小组按上述修正错误的原则及方法调整或修正供应商报价，若同时出现两种以上不一致的，按照前款规定的顺序修正，供应商同意并签字确认后，调整后的报价对供应商具有约束作用。如果供应商不接受修正后的报价，则其响应将作为无效响应处理。</w:t>
      </w:r>
    </w:p>
    <w:p w14:paraId="2A6301B5">
      <w:pPr>
        <w:pStyle w:val="6"/>
        <w:spacing w:before="0" w:after="0" w:line="400" w:lineRule="exact"/>
        <w:rPr>
          <w:rFonts w:hint="eastAsia" w:ascii="宋体" w:hAnsi="宋体" w:eastAsia="宋体" w:cs="宋体"/>
          <w:color w:val="000000"/>
          <w:sz w:val="24"/>
          <w:szCs w:val="24"/>
        </w:rPr>
      </w:pPr>
      <w:r>
        <w:rPr>
          <w:rFonts w:hint="eastAsia" w:ascii="宋体" w:hAnsi="宋体" w:eastAsia="宋体" w:cs="宋体"/>
          <w:color w:val="000000"/>
          <w:sz w:val="24"/>
          <w:szCs w:val="24"/>
        </w:rPr>
        <w:t>（四）提交响应文件的份数和签署</w:t>
      </w:r>
    </w:p>
    <w:p w14:paraId="3A923C17">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w:t>
      </w:r>
      <w:r>
        <w:rPr>
          <w:rFonts w:hint="eastAsia" w:ascii="宋体" w:hAnsi="宋体" w:eastAsia="宋体" w:cs="宋体"/>
          <w:color w:val="000000"/>
          <w:sz w:val="24"/>
          <w:szCs w:val="24"/>
        </w:rPr>
        <w:t>响应文件一式</w:t>
      </w:r>
      <w:r>
        <w:rPr>
          <w:rFonts w:hint="eastAsia" w:ascii="宋体" w:hAnsi="宋体" w:cs="宋体"/>
          <w:color w:val="000000"/>
          <w:sz w:val="24"/>
          <w:szCs w:val="24"/>
          <w:lang w:val="en-US" w:eastAsia="zh-CN"/>
        </w:rPr>
        <w:t>三</w:t>
      </w:r>
      <w:r>
        <w:rPr>
          <w:rFonts w:hint="eastAsia" w:ascii="宋体" w:hAnsi="宋体" w:eastAsia="宋体" w:cs="宋体"/>
          <w:color w:val="000000"/>
          <w:sz w:val="24"/>
          <w:szCs w:val="24"/>
        </w:rPr>
        <w:t>份，其中正本一份，副本</w:t>
      </w:r>
      <w:r>
        <w:rPr>
          <w:rFonts w:hint="eastAsia" w:ascii="宋体" w:hAnsi="宋体" w:cs="宋体"/>
          <w:color w:val="000000"/>
          <w:sz w:val="24"/>
          <w:szCs w:val="24"/>
          <w:lang w:val="en-US" w:eastAsia="zh-CN"/>
        </w:rPr>
        <w:t>一</w:t>
      </w:r>
      <w:r>
        <w:rPr>
          <w:rFonts w:hint="eastAsia" w:ascii="宋体" w:hAnsi="宋体" w:eastAsia="宋体" w:cs="宋体"/>
          <w:color w:val="000000"/>
          <w:sz w:val="24"/>
          <w:szCs w:val="24"/>
        </w:rPr>
        <w:t>份，电子文档一份（电子文档</w:t>
      </w:r>
      <w:r>
        <w:rPr>
          <w:rFonts w:hint="eastAsia" w:ascii="宋体" w:hAnsi="宋体" w:eastAsia="宋体" w:cs="宋体"/>
          <w:color w:val="000000"/>
          <w:sz w:val="24"/>
          <w:szCs w:val="24"/>
          <w:lang w:val="en-US" w:eastAsia="zh-CN"/>
        </w:rPr>
        <w:t>为正本扫描件</w:t>
      </w:r>
      <w:r>
        <w:rPr>
          <w:rFonts w:hint="eastAsia" w:ascii="宋体" w:hAnsi="宋体" w:eastAsia="宋体" w:cs="宋体"/>
          <w:color w:val="000000"/>
          <w:sz w:val="24"/>
          <w:szCs w:val="24"/>
        </w:rPr>
        <w:t>内容应与纸质文件正本一致，如不一致以纸质文件正本为准。采用U盘为电子文档载体）；副本可为正本的复印件，应与正本一致，如出现不一致情况以正本为准。</w:t>
      </w:r>
    </w:p>
    <w:p w14:paraId="67738847">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2.在响应文件正本中，询价采购文件第六篇响应文件格式中规定签字、盖章的地方必须按其规定签字、盖章。</w:t>
      </w:r>
    </w:p>
    <w:p w14:paraId="18C8B84E">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3.电报、电话、传真形式的响应文件概不接受。</w:t>
      </w:r>
    </w:p>
    <w:p w14:paraId="5071C6D2">
      <w:pPr>
        <w:pStyle w:val="6"/>
        <w:spacing w:before="0" w:after="0" w:line="400" w:lineRule="exact"/>
        <w:rPr>
          <w:rFonts w:hint="eastAsia" w:ascii="宋体" w:hAnsi="宋体" w:eastAsia="宋体" w:cs="宋体"/>
          <w:color w:val="000000"/>
          <w:sz w:val="24"/>
          <w:szCs w:val="24"/>
        </w:rPr>
      </w:pPr>
      <w:r>
        <w:rPr>
          <w:rFonts w:hint="eastAsia" w:ascii="宋体" w:hAnsi="宋体" w:eastAsia="宋体" w:cs="宋体"/>
          <w:color w:val="000000"/>
          <w:sz w:val="24"/>
          <w:szCs w:val="24"/>
        </w:rPr>
        <w:t>（五）响应文件的递交</w:t>
      </w:r>
    </w:p>
    <w:p w14:paraId="07968357">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1.响应文件的密封与标记</w:t>
      </w:r>
    </w:p>
    <w:p w14:paraId="12159620">
      <w:pPr>
        <w:spacing w:line="400" w:lineRule="exact"/>
        <w:ind w:firstLine="410"/>
        <w:rPr>
          <w:rFonts w:hint="eastAsia" w:ascii="宋体" w:hAnsi="宋体" w:eastAsia="宋体" w:cs="宋体"/>
          <w:color w:val="000000"/>
          <w:spacing w:val="-18"/>
          <w:sz w:val="24"/>
          <w:szCs w:val="24"/>
        </w:rPr>
      </w:pPr>
      <w:r>
        <w:rPr>
          <w:rFonts w:hint="eastAsia" w:ascii="宋体" w:hAnsi="宋体" w:eastAsia="宋体" w:cs="宋体"/>
          <w:b/>
          <w:color w:val="000000"/>
          <w:spacing w:val="-18"/>
          <w:sz w:val="24"/>
          <w:szCs w:val="24"/>
          <w:u w:val="single"/>
        </w:rPr>
        <w:t>响应文件的正本、副本电子文档均应密封送达递交响应文件地点</w:t>
      </w:r>
      <w:r>
        <w:rPr>
          <w:rFonts w:hint="eastAsia" w:ascii="宋体" w:hAnsi="宋体" w:eastAsia="宋体" w:cs="宋体"/>
          <w:color w:val="000000"/>
          <w:spacing w:val="-18"/>
          <w:sz w:val="24"/>
          <w:szCs w:val="24"/>
        </w:rPr>
        <w:t>。信封上注明项目名称、分包号（若有）、供应商名称和地址（若正本、副本分别进行密封的，还应在封套上注明“正本”、“副本”字样）。信封封口处应加盖供应商公章或法人授权代表签字。</w:t>
      </w:r>
    </w:p>
    <w:p w14:paraId="2BE2902D">
      <w:pPr>
        <w:pStyle w:val="3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2.如果未按上述规定进行密封与标记的，采购人、采购代理机构将拒收其。</w:t>
      </w:r>
    </w:p>
    <w:p w14:paraId="3EC2C2F2">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响应文件投递截止时间：见询价通知书第一篇。供应商在提交响应文件截止时间前，可以对所提交的响应文件进行补充、修改或者撤回，并书面通知采购人、采购代理机构。补充、修改的内容作为响应文件的组成部分。补充、修改的内容与响应文件不一致的，以补充、修改的内容为准。</w:t>
      </w:r>
    </w:p>
    <w:p w14:paraId="6CDCBEF1">
      <w:pPr>
        <w:pStyle w:val="6"/>
        <w:spacing w:before="0" w:after="0" w:line="400" w:lineRule="exact"/>
        <w:rPr>
          <w:rFonts w:hint="eastAsia" w:ascii="宋体" w:hAnsi="宋体" w:eastAsia="宋体" w:cs="宋体"/>
          <w:color w:val="000000"/>
          <w:sz w:val="24"/>
          <w:szCs w:val="24"/>
        </w:rPr>
      </w:pPr>
      <w:r>
        <w:rPr>
          <w:rFonts w:hint="eastAsia" w:ascii="宋体" w:hAnsi="宋体" w:eastAsia="宋体" w:cs="宋体"/>
          <w:color w:val="000000"/>
          <w:sz w:val="24"/>
          <w:szCs w:val="24"/>
        </w:rPr>
        <w:t>（六）响应文件语言：简体中文</w:t>
      </w:r>
    </w:p>
    <w:p w14:paraId="237B55E4">
      <w:pPr>
        <w:pStyle w:val="6"/>
        <w:spacing w:before="0" w:after="0" w:line="400" w:lineRule="exact"/>
        <w:rPr>
          <w:rFonts w:hint="eastAsia" w:ascii="宋体" w:hAnsi="宋体" w:eastAsia="宋体" w:cs="宋体"/>
          <w:color w:val="000000"/>
          <w:sz w:val="24"/>
          <w:szCs w:val="24"/>
        </w:rPr>
      </w:pPr>
      <w:r>
        <w:rPr>
          <w:rFonts w:hint="eastAsia" w:ascii="宋体" w:hAnsi="宋体" w:eastAsia="宋体" w:cs="宋体"/>
          <w:color w:val="000000"/>
          <w:sz w:val="24"/>
          <w:szCs w:val="24"/>
        </w:rPr>
        <w:t>（七）供应商参与人员</w:t>
      </w:r>
    </w:p>
    <w:p w14:paraId="05CE7512">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1.各个供应商参与询价的人员必须为法定代表人或具有法定代表人授权委托书的授权代表，除此之外，可再委派一名随从人员。</w:t>
      </w:r>
    </w:p>
    <w:p w14:paraId="1BD74243">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参与询价的供应商代表若为法定代表人时，必须携带法定代表人有效期内的身份证原件；若为授权代表，必须携带授权代表有效期内的身份证原件。随从人员必须携带响应供应商有效期内的介绍信。上述人员中随从人员未携带有效期内的介绍信，根据现场工作人员安排到指定地点休息；法定代表人或授权代表未携带有效期内的身份证原件，无法核实身份，其参与询价活动无效。</w:t>
      </w:r>
    </w:p>
    <w:p w14:paraId="014D1755">
      <w:pPr>
        <w:pStyle w:val="6"/>
        <w:spacing w:before="0" w:after="0" w:line="400" w:lineRule="exact"/>
        <w:rPr>
          <w:rFonts w:hint="eastAsia" w:ascii="宋体" w:hAnsi="宋体" w:eastAsia="宋体" w:cs="宋体"/>
          <w:color w:val="000000"/>
          <w:sz w:val="24"/>
          <w:szCs w:val="24"/>
        </w:rPr>
      </w:pPr>
      <w:r>
        <w:rPr>
          <w:rFonts w:hint="eastAsia" w:ascii="宋体" w:hAnsi="宋体" w:eastAsia="宋体" w:cs="宋体"/>
          <w:color w:val="000000"/>
          <w:sz w:val="24"/>
          <w:szCs w:val="24"/>
        </w:rPr>
        <w:t>（八）无效响应</w:t>
      </w:r>
    </w:p>
    <w:p w14:paraId="48266D78">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供应商发生以下条款情况之一者，视为无效响应，其响应文件将被拒绝：</w:t>
      </w:r>
    </w:p>
    <w:p w14:paraId="1B547468">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1.供应商不符合规定的基本资格条件或特定资格条件的或未通过符合性检查的；</w:t>
      </w:r>
    </w:p>
    <w:p w14:paraId="1E469DF6">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2.供应商的法定代表人或其授权代表未参加询价；</w:t>
      </w:r>
    </w:p>
    <w:p w14:paraId="09A55DE7">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3.供应商未按照询价通知书的要求缴纳保证金的；</w:t>
      </w:r>
    </w:p>
    <w:p w14:paraId="37E2191B">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4.供应商所提交的响应文件不按规定签字、盖章的；</w:t>
      </w:r>
    </w:p>
    <w:p w14:paraId="7DA5657A">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5.供应商的报价超过采购预算或者最高限价的（若有采购预算单价，则含采购预算单价）的；</w:t>
      </w:r>
    </w:p>
    <w:p w14:paraId="0852C93C">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6.供应商响应文件内容有与国家现行法律法规相违背的内容，或附有采购人无法接受的条件的；</w:t>
      </w:r>
    </w:p>
    <w:p w14:paraId="607D865C">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7.单位负责人为同一人或者存在直接控股、管理关系的不同供应商，不得再参加该采购项目的其他采购活动；</w:t>
      </w:r>
    </w:p>
    <w:p w14:paraId="06588410">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8.为采购项目提供整体设计、规范编制或者项目管理、监理、检测等服务的供应商再参加本项目的采购活动的；</w:t>
      </w:r>
    </w:p>
    <w:p w14:paraId="3B4E45A0">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9.供应商串通响应本项目的；</w:t>
      </w:r>
    </w:p>
    <w:p w14:paraId="6FC4F034">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10.供应商组成联合体响应的（拒绝联合体响应时适用）；</w:t>
      </w:r>
    </w:p>
    <w:p w14:paraId="0FF763FF">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11.法律、法规和询价通知书规定的其他无效情形。</w:t>
      </w:r>
    </w:p>
    <w:p w14:paraId="3C6D9BDB">
      <w:pPr>
        <w:pStyle w:val="6"/>
        <w:spacing w:before="0" w:after="0" w:line="400" w:lineRule="exact"/>
        <w:rPr>
          <w:rFonts w:hint="eastAsia" w:ascii="宋体" w:hAnsi="宋体" w:eastAsia="宋体" w:cs="宋体"/>
          <w:color w:val="000000"/>
          <w:sz w:val="24"/>
          <w:szCs w:val="24"/>
        </w:rPr>
      </w:pPr>
      <w:bookmarkStart w:id="38" w:name="_Toc492721019"/>
      <w:bookmarkStart w:id="39" w:name="_Toc493506302"/>
      <w:r>
        <w:rPr>
          <w:rFonts w:hint="eastAsia" w:ascii="宋体" w:hAnsi="宋体" w:eastAsia="宋体" w:cs="宋体"/>
          <w:color w:val="000000"/>
          <w:sz w:val="24"/>
          <w:szCs w:val="24"/>
        </w:rPr>
        <w:t>（九）</w:t>
      </w:r>
      <w:bookmarkEnd w:id="38"/>
      <w:bookmarkEnd w:id="39"/>
      <w:r>
        <w:rPr>
          <w:rFonts w:hint="eastAsia" w:ascii="宋体" w:hAnsi="宋体" w:eastAsia="宋体" w:cs="宋体"/>
          <w:color w:val="000000"/>
          <w:sz w:val="24"/>
          <w:szCs w:val="24"/>
        </w:rPr>
        <w:t>终止采购活动</w:t>
      </w:r>
    </w:p>
    <w:p w14:paraId="5A681601">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出现下列情形之一的，采购人或者采购代理机构应当终止询价采购活动，发布项目终止公告并说明原因，重新开展采购活动：</w:t>
      </w:r>
    </w:p>
    <w:p w14:paraId="1D746DEB">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1.符合专业条件的供应商或者对询价通知书作实质响应的供应商不足三家的:重新采购后有效供应商仍少于3个，按法定程序进行询价，确定成交供应商。；</w:t>
      </w:r>
    </w:p>
    <w:p w14:paraId="53A53CC8">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2.供应商的报价均超过了采购预算，采购人不能支付的；</w:t>
      </w:r>
    </w:p>
    <w:p w14:paraId="0D874F46">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3.出现影响采购公正的违法、违规行为的；</w:t>
      </w:r>
    </w:p>
    <w:p w14:paraId="11C45346">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4.因情况变化，不在符合规定的询价采购方式适用情形的。</w:t>
      </w:r>
    </w:p>
    <w:p w14:paraId="5C67EDE4">
      <w:pPr>
        <w:snapToGrid w:val="0"/>
        <w:spacing w:line="400" w:lineRule="exact"/>
        <w:ind w:firstLine="600" w:firstLineChars="250"/>
        <w:rPr>
          <w:rFonts w:hint="eastAsia" w:ascii="宋体" w:hAnsi="宋体" w:eastAsia="宋体" w:cs="宋体"/>
          <w:color w:val="000000"/>
          <w:sz w:val="24"/>
          <w:szCs w:val="24"/>
        </w:rPr>
      </w:pPr>
      <w:r>
        <w:rPr>
          <w:rFonts w:hint="eastAsia" w:ascii="宋体" w:hAnsi="宋体" w:eastAsia="宋体" w:cs="宋体"/>
          <w:color w:val="000000"/>
          <w:sz w:val="24"/>
          <w:szCs w:val="24"/>
        </w:rPr>
        <w:t>终止采购活动后，除采购任务取消情形外，应当重新组织采购。</w:t>
      </w:r>
    </w:p>
    <w:p w14:paraId="0010AA71">
      <w:pPr>
        <w:pStyle w:val="5"/>
        <w:spacing w:before="0" w:after="0" w:line="400" w:lineRule="exact"/>
        <w:rPr>
          <w:rFonts w:hint="eastAsia" w:ascii="宋体" w:hAnsi="宋体" w:eastAsia="宋体" w:cs="宋体"/>
          <w:color w:val="000000"/>
          <w:sz w:val="24"/>
          <w:szCs w:val="24"/>
        </w:rPr>
      </w:pPr>
      <w:bookmarkStart w:id="40" w:name="_Toc426965633"/>
      <w:bookmarkStart w:id="41" w:name="_Toc179714298"/>
      <w:bookmarkStart w:id="42" w:name="_Toc102227319"/>
      <w:bookmarkStart w:id="43" w:name="_Toc487204782"/>
      <w:bookmarkStart w:id="44" w:name="_Toc342913393"/>
      <w:bookmarkStart w:id="45" w:name="_Toc12422"/>
      <w:r>
        <w:rPr>
          <w:rFonts w:hint="eastAsia" w:ascii="宋体" w:hAnsi="宋体" w:eastAsia="宋体" w:cs="宋体"/>
          <w:color w:val="000000"/>
          <w:sz w:val="24"/>
          <w:szCs w:val="24"/>
        </w:rPr>
        <w:t>四、</w:t>
      </w:r>
      <w:bookmarkEnd w:id="40"/>
      <w:bookmarkEnd w:id="41"/>
      <w:bookmarkEnd w:id="42"/>
      <w:bookmarkEnd w:id="43"/>
      <w:bookmarkEnd w:id="44"/>
      <w:r>
        <w:rPr>
          <w:rFonts w:hint="eastAsia" w:ascii="宋体" w:hAnsi="宋体" w:eastAsia="宋体" w:cs="宋体"/>
          <w:color w:val="000000"/>
          <w:sz w:val="24"/>
          <w:szCs w:val="24"/>
        </w:rPr>
        <w:t>询价程序及成交标准</w:t>
      </w:r>
      <w:bookmarkEnd w:id="45"/>
    </w:p>
    <w:p w14:paraId="3D729DBF">
      <w:pPr>
        <w:spacing w:line="400" w:lineRule="exact"/>
        <w:ind w:firstLine="306" w:firstLineChars="150"/>
        <w:rPr>
          <w:rFonts w:hint="eastAsia" w:ascii="宋体" w:hAnsi="宋体" w:eastAsia="宋体" w:cs="宋体"/>
          <w:color w:val="000000"/>
          <w:sz w:val="24"/>
          <w:szCs w:val="24"/>
        </w:rPr>
      </w:pPr>
      <w:r>
        <w:rPr>
          <w:rFonts w:hint="eastAsia" w:ascii="宋体" w:hAnsi="宋体" w:eastAsia="宋体" w:cs="宋体"/>
          <w:color w:val="000000"/>
          <w:spacing w:val="-18"/>
          <w:sz w:val="24"/>
          <w:szCs w:val="24"/>
        </w:rPr>
        <w:t>（一）本项目询价按照询价通知书规定的时间和地点进行。</w:t>
      </w:r>
      <w:r>
        <w:rPr>
          <w:rFonts w:hint="eastAsia" w:ascii="宋体" w:hAnsi="宋体" w:eastAsia="宋体" w:cs="宋体"/>
          <w:color w:val="000000"/>
          <w:sz w:val="24"/>
          <w:szCs w:val="24"/>
        </w:rPr>
        <w:t>供应商须有法定代表人或其授权代表参加并签到。</w:t>
      </w:r>
    </w:p>
    <w:p w14:paraId="6644ED8B">
      <w:pPr>
        <w:spacing w:line="400" w:lineRule="exact"/>
        <w:ind w:firstLine="306" w:firstLineChars="150"/>
        <w:rPr>
          <w:rFonts w:hint="eastAsia" w:ascii="宋体" w:hAnsi="宋体" w:eastAsia="宋体" w:cs="宋体"/>
          <w:color w:val="000000"/>
          <w:spacing w:val="-18"/>
          <w:sz w:val="24"/>
          <w:szCs w:val="24"/>
        </w:rPr>
      </w:pPr>
      <w:r>
        <w:rPr>
          <w:rFonts w:hint="eastAsia" w:ascii="宋体" w:hAnsi="宋体" w:eastAsia="宋体" w:cs="宋体"/>
          <w:color w:val="000000"/>
          <w:spacing w:val="-18"/>
          <w:sz w:val="24"/>
          <w:szCs w:val="24"/>
        </w:rPr>
        <w:t>（二）询价小组由评审专家</w:t>
      </w:r>
      <w:r>
        <w:rPr>
          <w:rFonts w:hint="eastAsia" w:ascii="宋体" w:hAnsi="宋体" w:eastAsia="宋体" w:cs="宋体"/>
          <w:color w:val="000000"/>
          <w:spacing w:val="-18"/>
          <w:sz w:val="24"/>
          <w:szCs w:val="24"/>
          <w:lang w:val="en-US" w:eastAsia="zh-CN"/>
        </w:rPr>
        <w:t>3</w:t>
      </w:r>
      <w:r>
        <w:rPr>
          <w:rFonts w:hint="eastAsia" w:ascii="宋体" w:hAnsi="宋体" w:eastAsia="宋体" w:cs="宋体"/>
          <w:color w:val="000000"/>
          <w:spacing w:val="-18"/>
          <w:sz w:val="24"/>
          <w:szCs w:val="24"/>
        </w:rPr>
        <w:t>人组成，其中评审专家不得少于询价小组成员总数的2/3。</w:t>
      </w:r>
    </w:p>
    <w:p w14:paraId="3F2F1EC2">
      <w:pPr>
        <w:spacing w:line="400" w:lineRule="exact"/>
        <w:ind w:firstLine="306" w:firstLineChars="150"/>
        <w:rPr>
          <w:rFonts w:hint="eastAsia" w:ascii="宋体" w:hAnsi="宋体" w:eastAsia="宋体" w:cs="宋体"/>
          <w:color w:val="000000"/>
          <w:sz w:val="24"/>
          <w:szCs w:val="24"/>
        </w:rPr>
      </w:pPr>
      <w:r>
        <w:rPr>
          <w:rFonts w:hint="eastAsia" w:ascii="宋体" w:hAnsi="宋体" w:eastAsia="宋体" w:cs="宋体"/>
          <w:color w:val="000000"/>
          <w:spacing w:val="-18"/>
          <w:sz w:val="24"/>
          <w:szCs w:val="24"/>
        </w:rPr>
        <w:t>（三）资格性符合性检查</w:t>
      </w:r>
    </w:p>
    <w:p w14:paraId="775FD088">
      <w:pPr>
        <w:snapToGrid w:val="0"/>
        <w:spacing w:line="400" w:lineRule="exact"/>
        <w:ind w:firstLine="480" w:firstLineChars="20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w:t>
      </w:r>
      <w:r>
        <w:rPr>
          <w:rFonts w:hint="eastAsia" w:ascii="宋体" w:hAnsi="宋体" w:eastAsia="宋体" w:cs="宋体"/>
          <w:color w:val="000000"/>
          <w:sz w:val="24"/>
          <w:szCs w:val="24"/>
        </w:rPr>
        <w:t>.</w:t>
      </w:r>
      <w:r>
        <w:rPr>
          <w:rFonts w:hint="eastAsia" w:ascii="宋体" w:hAnsi="宋体" w:eastAsia="宋体" w:cs="宋体"/>
          <w:color w:val="000000"/>
          <w:kern w:val="0"/>
          <w:sz w:val="24"/>
          <w:szCs w:val="24"/>
        </w:rPr>
        <w:t>资格性检查。依据法律法规和询价通知书的规定，对响应文件中的资格证明、保证金等进行审查，以确定供应商是否具备询价资格。资格性检查资料表如下：</w:t>
      </w:r>
    </w:p>
    <w:p w14:paraId="49E1171F">
      <w:pPr>
        <w:pStyle w:val="95"/>
        <w:rPr>
          <w:rFonts w:hint="eastAsia" w:ascii="宋体" w:hAnsi="宋体" w:eastAsia="宋体" w:cs="宋体"/>
          <w:color w:val="000000"/>
        </w:rPr>
      </w:pPr>
    </w:p>
    <w:p w14:paraId="07FBDEE0">
      <w:pPr>
        <w:rPr>
          <w:rFonts w:hint="eastAsia"/>
        </w:rPr>
      </w:pPr>
    </w:p>
    <w:tbl>
      <w:tblPr>
        <w:tblStyle w:val="5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425"/>
        <w:gridCol w:w="4536"/>
        <w:gridCol w:w="3991"/>
      </w:tblGrid>
      <w:tr w14:paraId="2E266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6" w:type="dxa"/>
            <w:tcBorders>
              <w:top w:val="single" w:color="auto" w:sz="4" w:space="0"/>
              <w:left w:val="single" w:color="auto" w:sz="4" w:space="0"/>
              <w:bottom w:val="single" w:color="auto" w:sz="4" w:space="0"/>
              <w:right w:val="single" w:color="auto" w:sz="4" w:space="0"/>
            </w:tcBorders>
            <w:noWrap w:val="0"/>
            <w:vAlign w:val="center"/>
          </w:tcPr>
          <w:p w14:paraId="56FF582C">
            <w:pPr>
              <w:spacing w:line="240" w:lineRule="exact"/>
              <w:jc w:val="center"/>
              <w:rPr>
                <w:rFonts w:hint="eastAsia" w:ascii="宋体" w:hAnsi="宋体" w:eastAsia="宋体" w:cs="宋体"/>
                <w:b/>
                <w:color w:val="000000"/>
                <w:kern w:val="0"/>
                <w:sz w:val="21"/>
                <w:szCs w:val="21"/>
              </w:rPr>
            </w:pPr>
            <w:r>
              <w:rPr>
                <w:rFonts w:hint="eastAsia" w:ascii="宋体" w:hAnsi="宋体" w:eastAsia="宋体" w:cs="宋体"/>
                <w:b/>
                <w:color w:val="000000"/>
                <w:kern w:val="0"/>
                <w:sz w:val="21"/>
                <w:szCs w:val="21"/>
              </w:rPr>
              <w:t>序号</w:t>
            </w:r>
          </w:p>
        </w:tc>
        <w:tc>
          <w:tcPr>
            <w:tcW w:w="4961" w:type="dxa"/>
            <w:gridSpan w:val="2"/>
            <w:tcBorders>
              <w:top w:val="single" w:color="auto" w:sz="4" w:space="0"/>
              <w:left w:val="single" w:color="auto" w:sz="4" w:space="0"/>
              <w:bottom w:val="single" w:color="auto" w:sz="4" w:space="0"/>
              <w:right w:val="single" w:color="auto" w:sz="4" w:space="0"/>
            </w:tcBorders>
            <w:noWrap w:val="0"/>
            <w:vAlign w:val="center"/>
          </w:tcPr>
          <w:p w14:paraId="2954F275">
            <w:pPr>
              <w:spacing w:line="240" w:lineRule="exact"/>
              <w:jc w:val="center"/>
              <w:rPr>
                <w:rFonts w:hint="eastAsia" w:ascii="宋体" w:hAnsi="宋体" w:eastAsia="宋体" w:cs="宋体"/>
                <w:b/>
                <w:color w:val="000000"/>
                <w:kern w:val="0"/>
                <w:sz w:val="21"/>
                <w:szCs w:val="21"/>
              </w:rPr>
            </w:pPr>
            <w:r>
              <w:rPr>
                <w:rFonts w:hint="eastAsia" w:ascii="宋体" w:hAnsi="宋体" w:eastAsia="宋体" w:cs="宋体"/>
                <w:b/>
                <w:color w:val="000000"/>
                <w:kern w:val="0"/>
                <w:sz w:val="21"/>
                <w:szCs w:val="21"/>
              </w:rPr>
              <w:t>检查因素</w:t>
            </w:r>
          </w:p>
        </w:tc>
        <w:tc>
          <w:tcPr>
            <w:tcW w:w="3991" w:type="dxa"/>
            <w:tcBorders>
              <w:top w:val="single" w:color="auto" w:sz="4" w:space="0"/>
              <w:left w:val="single" w:color="auto" w:sz="4" w:space="0"/>
              <w:bottom w:val="single" w:color="auto" w:sz="4" w:space="0"/>
              <w:right w:val="single" w:color="auto" w:sz="4" w:space="0"/>
            </w:tcBorders>
            <w:noWrap w:val="0"/>
            <w:vAlign w:val="center"/>
          </w:tcPr>
          <w:p w14:paraId="02AFD115">
            <w:pPr>
              <w:spacing w:line="240" w:lineRule="exact"/>
              <w:jc w:val="center"/>
              <w:rPr>
                <w:rFonts w:hint="eastAsia" w:ascii="宋体" w:hAnsi="宋体" w:eastAsia="宋体" w:cs="宋体"/>
                <w:b/>
                <w:color w:val="000000"/>
                <w:kern w:val="0"/>
                <w:sz w:val="21"/>
                <w:szCs w:val="21"/>
              </w:rPr>
            </w:pPr>
            <w:r>
              <w:rPr>
                <w:rFonts w:hint="eastAsia" w:ascii="宋体" w:hAnsi="宋体" w:eastAsia="宋体" w:cs="宋体"/>
                <w:b/>
                <w:color w:val="000000"/>
                <w:kern w:val="0"/>
                <w:sz w:val="21"/>
                <w:szCs w:val="21"/>
              </w:rPr>
              <w:t>检查内容</w:t>
            </w:r>
          </w:p>
        </w:tc>
      </w:tr>
      <w:tr w14:paraId="7668B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6" w:type="dxa"/>
            <w:vMerge w:val="restart"/>
            <w:tcBorders>
              <w:top w:val="single" w:color="auto" w:sz="4" w:space="0"/>
              <w:left w:val="single" w:color="auto" w:sz="4" w:space="0"/>
              <w:right w:val="single" w:color="auto" w:sz="4" w:space="0"/>
            </w:tcBorders>
            <w:noWrap w:val="0"/>
            <w:vAlign w:val="center"/>
          </w:tcPr>
          <w:p w14:paraId="11945E52">
            <w:pPr>
              <w:spacing w:line="24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1</w:t>
            </w:r>
          </w:p>
        </w:tc>
        <w:tc>
          <w:tcPr>
            <w:tcW w:w="425" w:type="dxa"/>
            <w:vMerge w:val="restart"/>
            <w:tcBorders>
              <w:top w:val="single" w:color="auto" w:sz="4" w:space="0"/>
              <w:left w:val="single" w:color="auto" w:sz="4" w:space="0"/>
              <w:right w:val="single" w:color="auto" w:sz="4" w:space="0"/>
            </w:tcBorders>
            <w:noWrap w:val="0"/>
            <w:vAlign w:val="center"/>
          </w:tcPr>
          <w:p w14:paraId="2C904659">
            <w:pPr>
              <w:spacing w:line="240" w:lineRule="exact"/>
              <w:jc w:val="center"/>
              <w:rPr>
                <w:rFonts w:hint="eastAsia" w:ascii="宋体" w:hAnsi="宋体" w:eastAsia="宋体" w:cs="宋体"/>
                <w:color w:val="000000"/>
                <w:sz w:val="21"/>
                <w:szCs w:val="21"/>
                <w:lang w:val="zh-CN"/>
              </w:rPr>
            </w:pPr>
            <w:r>
              <w:rPr>
                <w:rFonts w:hint="eastAsia" w:ascii="宋体" w:hAnsi="宋体" w:eastAsia="宋体" w:cs="宋体"/>
                <w:color w:val="000000"/>
                <w:sz w:val="21"/>
                <w:szCs w:val="21"/>
                <w:lang w:val="zh-CN"/>
              </w:rPr>
              <w:t>供</w:t>
            </w:r>
          </w:p>
          <w:p w14:paraId="635FB8A9">
            <w:pPr>
              <w:spacing w:line="240" w:lineRule="exact"/>
              <w:jc w:val="center"/>
              <w:rPr>
                <w:rFonts w:hint="eastAsia" w:ascii="宋体" w:hAnsi="宋体" w:eastAsia="宋体" w:cs="宋体"/>
                <w:color w:val="000000"/>
                <w:sz w:val="21"/>
                <w:szCs w:val="21"/>
                <w:lang w:val="zh-CN"/>
              </w:rPr>
            </w:pPr>
            <w:r>
              <w:rPr>
                <w:rFonts w:hint="eastAsia" w:ascii="宋体" w:hAnsi="宋体" w:eastAsia="宋体" w:cs="宋体"/>
                <w:color w:val="000000"/>
                <w:sz w:val="21"/>
                <w:szCs w:val="21"/>
                <w:lang w:val="zh-CN"/>
              </w:rPr>
              <w:t>应</w:t>
            </w:r>
          </w:p>
          <w:p w14:paraId="7DA0F32F">
            <w:pPr>
              <w:spacing w:line="240" w:lineRule="exact"/>
              <w:jc w:val="center"/>
              <w:rPr>
                <w:rFonts w:hint="eastAsia" w:ascii="宋体" w:hAnsi="宋体" w:eastAsia="宋体" w:cs="宋体"/>
                <w:color w:val="000000"/>
                <w:sz w:val="21"/>
                <w:szCs w:val="21"/>
                <w:lang w:val="zh-CN"/>
              </w:rPr>
            </w:pPr>
            <w:r>
              <w:rPr>
                <w:rFonts w:hint="eastAsia" w:ascii="宋体" w:hAnsi="宋体" w:eastAsia="宋体" w:cs="宋体"/>
                <w:color w:val="000000"/>
                <w:sz w:val="21"/>
                <w:szCs w:val="21"/>
                <w:lang w:val="zh-CN"/>
              </w:rPr>
              <w:t>商</w:t>
            </w:r>
          </w:p>
          <w:p w14:paraId="6A11684A">
            <w:pPr>
              <w:spacing w:line="240" w:lineRule="exact"/>
              <w:jc w:val="center"/>
              <w:rPr>
                <w:rFonts w:hint="eastAsia" w:ascii="宋体" w:hAnsi="宋体" w:eastAsia="宋体" w:cs="宋体"/>
                <w:color w:val="000000"/>
                <w:sz w:val="21"/>
                <w:szCs w:val="21"/>
                <w:lang w:val="zh-CN"/>
              </w:rPr>
            </w:pPr>
            <w:r>
              <w:rPr>
                <w:rFonts w:hint="eastAsia" w:ascii="宋体" w:hAnsi="宋体" w:eastAsia="宋体" w:cs="宋体"/>
                <w:color w:val="000000"/>
                <w:sz w:val="21"/>
                <w:szCs w:val="21"/>
                <w:lang w:val="zh-CN"/>
              </w:rPr>
              <w:t>基</w:t>
            </w:r>
          </w:p>
          <w:p w14:paraId="6895BF6E">
            <w:pPr>
              <w:spacing w:line="240" w:lineRule="exact"/>
              <w:jc w:val="center"/>
              <w:rPr>
                <w:rFonts w:hint="eastAsia" w:ascii="宋体" w:hAnsi="宋体" w:eastAsia="宋体" w:cs="宋体"/>
                <w:color w:val="000000"/>
                <w:sz w:val="21"/>
                <w:szCs w:val="21"/>
                <w:lang w:val="zh-CN"/>
              </w:rPr>
            </w:pPr>
            <w:r>
              <w:rPr>
                <w:rFonts w:hint="eastAsia" w:ascii="宋体" w:hAnsi="宋体" w:eastAsia="宋体" w:cs="宋体"/>
                <w:color w:val="000000"/>
                <w:sz w:val="21"/>
                <w:szCs w:val="21"/>
                <w:lang w:val="zh-CN"/>
              </w:rPr>
              <w:t>本</w:t>
            </w:r>
          </w:p>
          <w:p w14:paraId="451A9759">
            <w:pPr>
              <w:spacing w:line="240" w:lineRule="exact"/>
              <w:jc w:val="center"/>
              <w:rPr>
                <w:rFonts w:hint="eastAsia" w:ascii="宋体" w:hAnsi="宋体" w:eastAsia="宋体" w:cs="宋体"/>
                <w:color w:val="000000"/>
                <w:sz w:val="21"/>
                <w:szCs w:val="21"/>
                <w:lang w:val="zh-CN"/>
              </w:rPr>
            </w:pPr>
            <w:r>
              <w:rPr>
                <w:rFonts w:hint="eastAsia" w:ascii="宋体" w:hAnsi="宋体" w:eastAsia="宋体" w:cs="宋体"/>
                <w:color w:val="000000"/>
                <w:sz w:val="21"/>
                <w:szCs w:val="21"/>
                <w:lang w:val="zh-CN"/>
              </w:rPr>
              <w:t>资</w:t>
            </w:r>
          </w:p>
          <w:p w14:paraId="12F316B7">
            <w:pPr>
              <w:spacing w:line="240" w:lineRule="exact"/>
              <w:jc w:val="center"/>
              <w:rPr>
                <w:rFonts w:hint="eastAsia" w:ascii="宋体" w:hAnsi="宋体" w:eastAsia="宋体" w:cs="宋体"/>
                <w:color w:val="000000"/>
                <w:sz w:val="21"/>
                <w:szCs w:val="21"/>
                <w:lang w:val="zh-CN"/>
              </w:rPr>
            </w:pPr>
            <w:r>
              <w:rPr>
                <w:rFonts w:hint="eastAsia" w:ascii="宋体" w:hAnsi="宋体" w:eastAsia="宋体" w:cs="宋体"/>
                <w:color w:val="000000"/>
                <w:sz w:val="21"/>
                <w:szCs w:val="21"/>
                <w:lang w:val="zh-CN"/>
              </w:rPr>
              <w:t>格</w:t>
            </w:r>
          </w:p>
          <w:p w14:paraId="69FE54EA">
            <w:pPr>
              <w:spacing w:line="240" w:lineRule="exact"/>
              <w:jc w:val="center"/>
              <w:rPr>
                <w:rFonts w:hint="eastAsia" w:ascii="宋体" w:hAnsi="宋体" w:eastAsia="宋体" w:cs="宋体"/>
                <w:color w:val="000000"/>
                <w:sz w:val="21"/>
                <w:szCs w:val="21"/>
                <w:lang w:val="zh-CN"/>
              </w:rPr>
            </w:pPr>
            <w:r>
              <w:rPr>
                <w:rFonts w:hint="eastAsia" w:ascii="宋体" w:hAnsi="宋体" w:eastAsia="宋体" w:cs="宋体"/>
                <w:color w:val="000000"/>
                <w:sz w:val="21"/>
                <w:szCs w:val="21"/>
                <w:lang w:val="zh-CN"/>
              </w:rPr>
              <w:t>条</w:t>
            </w:r>
          </w:p>
          <w:p w14:paraId="70AF0B3C">
            <w:pPr>
              <w:spacing w:line="240" w:lineRule="exact"/>
              <w:jc w:val="center"/>
              <w:rPr>
                <w:rFonts w:hint="eastAsia" w:ascii="宋体" w:hAnsi="宋体" w:eastAsia="宋体" w:cs="宋体"/>
                <w:color w:val="000000"/>
                <w:sz w:val="21"/>
                <w:szCs w:val="21"/>
                <w:lang w:val="zh-CN"/>
              </w:rPr>
            </w:pPr>
            <w:r>
              <w:rPr>
                <w:rFonts w:hint="eastAsia" w:ascii="宋体" w:hAnsi="宋体" w:eastAsia="宋体" w:cs="宋体"/>
                <w:color w:val="000000"/>
                <w:sz w:val="21"/>
                <w:szCs w:val="21"/>
                <w:lang w:val="zh-CN"/>
              </w:rPr>
              <w:t>件</w:t>
            </w:r>
          </w:p>
        </w:tc>
        <w:tc>
          <w:tcPr>
            <w:tcW w:w="4536" w:type="dxa"/>
            <w:tcBorders>
              <w:top w:val="single" w:color="auto" w:sz="4" w:space="0"/>
              <w:left w:val="single" w:color="auto" w:sz="4" w:space="0"/>
              <w:bottom w:val="single" w:color="auto" w:sz="4" w:space="0"/>
              <w:right w:val="single" w:color="auto" w:sz="4" w:space="0"/>
            </w:tcBorders>
            <w:noWrap w:val="0"/>
            <w:vAlign w:val="center"/>
          </w:tcPr>
          <w:p w14:paraId="54539EE0">
            <w:pPr>
              <w:spacing w:line="240" w:lineRule="exact"/>
              <w:rPr>
                <w:rFonts w:hint="eastAsia" w:ascii="宋体" w:hAnsi="宋体" w:eastAsia="宋体" w:cs="宋体"/>
                <w:color w:val="000000"/>
                <w:sz w:val="21"/>
                <w:szCs w:val="21"/>
              </w:rPr>
            </w:pPr>
            <w:r>
              <w:rPr>
                <w:rFonts w:hint="eastAsia" w:ascii="宋体" w:hAnsi="宋体" w:eastAsia="宋体" w:cs="宋体"/>
                <w:color w:val="000000"/>
                <w:sz w:val="21"/>
                <w:szCs w:val="21"/>
              </w:rPr>
              <w:t>（1）具有独立承担民事责任的能力</w:t>
            </w:r>
          </w:p>
        </w:tc>
        <w:tc>
          <w:tcPr>
            <w:tcW w:w="3991" w:type="dxa"/>
            <w:tcBorders>
              <w:top w:val="single" w:color="auto" w:sz="4" w:space="0"/>
              <w:left w:val="single" w:color="auto" w:sz="4" w:space="0"/>
              <w:bottom w:val="single" w:color="auto" w:sz="4" w:space="0"/>
              <w:right w:val="single" w:color="auto" w:sz="4" w:space="0"/>
            </w:tcBorders>
            <w:noWrap w:val="0"/>
            <w:vAlign w:val="center"/>
          </w:tcPr>
          <w:p w14:paraId="137E40CD">
            <w:pPr>
              <w:spacing w:line="240" w:lineRule="exact"/>
              <w:rPr>
                <w:rFonts w:hint="eastAsia" w:ascii="宋体" w:hAnsi="宋体" w:eastAsia="宋体" w:cs="宋体"/>
                <w:color w:val="000000"/>
                <w:sz w:val="21"/>
                <w:szCs w:val="21"/>
              </w:rPr>
            </w:pPr>
            <w:r>
              <w:rPr>
                <w:rFonts w:hint="eastAsia" w:ascii="宋体" w:hAnsi="宋体" w:eastAsia="宋体" w:cs="宋体"/>
                <w:color w:val="000000"/>
                <w:sz w:val="21"/>
                <w:szCs w:val="21"/>
              </w:rPr>
              <w:t>供应商法人营业执照（副本）或事业单位法人证书（副本）或个体工商户营业执照或有效的自然人身份证明、组织机构代码证（注</w:t>
            </w:r>
            <w:r>
              <w:rPr>
                <w:rFonts w:hint="eastAsia" w:ascii="宋体" w:hAnsi="宋体" w:eastAsia="宋体" w:cs="宋体"/>
                <w:color w:val="000000"/>
                <w:kern w:val="0"/>
                <w:sz w:val="21"/>
                <w:szCs w:val="21"/>
              </w:rPr>
              <w:fldChar w:fldCharType="begin"/>
            </w:r>
            <w:r>
              <w:rPr>
                <w:rFonts w:hint="eastAsia" w:ascii="宋体" w:hAnsi="宋体" w:eastAsia="宋体" w:cs="宋体"/>
                <w:color w:val="000000"/>
                <w:kern w:val="0"/>
                <w:sz w:val="21"/>
                <w:szCs w:val="21"/>
              </w:rPr>
              <w:instrText xml:space="preserve"> eq \o\ac(○,</w:instrText>
            </w:r>
            <w:r>
              <w:rPr>
                <w:rFonts w:hint="eastAsia" w:ascii="宋体" w:hAnsi="宋体" w:eastAsia="宋体" w:cs="宋体"/>
                <w:color w:val="000000"/>
                <w:kern w:val="0"/>
                <w:position w:val="3"/>
                <w:sz w:val="21"/>
                <w:szCs w:val="21"/>
              </w:rPr>
              <w:instrText xml:space="preserve">1</w:instrText>
            </w:r>
            <w:r>
              <w:rPr>
                <w:rFonts w:hint="eastAsia" w:ascii="宋体" w:hAnsi="宋体" w:eastAsia="宋体" w:cs="宋体"/>
                <w:color w:val="000000"/>
                <w:kern w:val="0"/>
                <w:sz w:val="21"/>
                <w:szCs w:val="21"/>
              </w:rPr>
              <w:instrText xml:space="preserve">)</w:instrText>
            </w:r>
            <w:r>
              <w:rPr>
                <w:rFonts w:hint="eastAsia" w:ascii="宋体" w:hAnsi="宋体" w:eastAsia="宋体" w:cs="宋体"/>
                <w:color w:val="000000"/>
                <w:kern w:val="0"/>
                <w:sz w:val="21"/>
                <w:szCs w:val="21"/>
              </w:rPr>
              <w:fldChar w:fldCharType="end"/>
            </w:r>
            <w:r>
              <w:rPr>
                <w:rFonts w:hint="eastAsia" w:ascii="宋体" w:hAnsi="宋体" w:eastAsia="宋体" w:cs="宋体"/>
                <w:color w:val="000000"/>
                <w:sz w:val="21"/>
                <w:szCs w:val="21"/>
              </w:rPr>
              <w:t xml:space="preserve">）； </w:t>
            </w:r>
          </w:p>
          <w:p w14:paraId="594C3348">
            <w:pPr>
              <w:spacing w:line="240" w:lineRule="exact"/>
              <w:rPr>
                <w:rFonts w:hint="eastAsia" w:ascii="宋体" w:hAnsi="宋体" w:eastAsia="宋体" w:cs="宋体"/>
                <w:color w:val="000000"/>
                <w:sz w:val="21"/>
                <w:szCs w:val="21"/>
              </w:rPr>
            </w:pPr>
            <w:r>
              <w:rPr>
                <w:rFonts w:hint="eastAsia" w:ascii="宋体" w:hAnsi="宋体" w:eastAsia="宋体" w:cs="宋体"/>
                <w:color w:val="000000"/>
                <w:sz w:val="21"/>
                <w:szCs w:val="21"/>
              </w:rPr>
              <w:t>供应商法定代表人身份证明和法定代表人授权代表委托书。</w:t>
            </w:r>
          </w:p>
        </w:tc>
      </w:tr>
      <w:tr w14:paraId="10251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6" w:type="dxa"/>
            <w:vMerge w:val="continue"/>
            <w:tcBorders>
              <w:left w:val="single" w:color="auto" w:sz="4" w:space="0"/>
              <w:right w:val="single" w:color="auto" w:sz="4" w:space="0"/>
            </w:tcBorders>
            <w:noWrap w:val="0"/>
            <w:vAlign w:val="center"/>
          </w:tcPr>
          <w:p w14:paraId="1390BDCE">
            <w:pPr>
              <w:widowControl/>
              <w:jc w:val="left"/>
              <w:rPr>
                <w:rFonts w:hint="eastAsia" w:ascii="宋体" w:hAnsi="宋体" w:eastAsia="宋体" w:cs="宋体"/>
                <w:color w:val="000000"/>
                <w:sz w:val="21"/>
                <w:szCs w:val="21"/>
              </w:rPr>
            </w:pPr>
          </w:p>
        </w:tc>
        <w:tc>
          <w:tcPr>
            <w:tcW w:w="425" w:type="dxa"/>
            <w:vMerge w:val="continue"/>
            <w:tcBorders>
              <w:left w:val="single" w:color="auto" w:sz="4" w:space="0"/>
              <w:right w:val="single" w:color="auto" w:sz="4" w:space="0"/>
            </w:tcBorders>
            <w:noWrap w:val="0"/>
            <w:vAlign w:val="center"/>
          </w:tcPr>
          <w:p w14:paraId="7F08B1AC">
            <w:pPr>
              <w:widowControl/>
              <w:jc w:val="left"/>
              <w:rPr>
                <w:rFonts w:hint="eastAsia" w:ascii="宋体" w:hAnsi="宋体" w:eastAsia="宋体" w:cs="宋体"/>
                <w:color w:val="000000"/>
                <w:sz w:val="21"/>
                <w:szCs w:val="21"/>
                <w:lang w:val="zh-CN"/>
              </w:rPr>
            </w:pPr>
          </w:p>
        </w:tc>
        <w:tc>
          <w:tcPr>
            <w:tcW w:w="4536" w:type="dxa"/>
            <w:tcBorders>
              <w:top w:val="single" w:color="auto" w:sz="4" w:space="0"/>
              <w:left w:val="single" w:color="auto" w:sz="4" w:space="0"/>
              <w:bottom w:val="single" w:color="auto" w:sz="4" w:space="0"/>
              <w:right w:val="single" w:color="auto" w:sz="4" w:space="0"/>
            </w:tcBorders>
            <w:noWrap w:val="0"/>
            <w:vAlign w:val="center"/>
          </w:tcPr>
          <w:p w14:paraId="5B09840A">
            <w:pPr>
              <w:spacing w:line="240" w:lineRule="exact"/>
              <w:rPr>
                <w:rFonts w:hint="eastAsia" w:ascii="宋体" w:hAnsi="宋体" w:eastAsia="宋体" w:cs="宋体"/>
                <w:color w:val="000000"/>
                <w:sz w:val="21"/>
                <w:szCs w:val="21"/>
                <w:lang w:val="zh-CN"/>
              </w:rPr>
            </w:pPr>
            <w:r>
              <w:rPr>
                <w:rFonts w:hint="eastAsia" w:ascii="宋体" w:hAnsi="宋体" w:eastAsia="宋体" w:cs="宋体"/>
                <w:color w:val="000000"/>
                <w:sz w:val="21"/>
                <w:szCs w:val="21"/>
                <w:lang w:val="zh-CN"/>
              </w:rPr>
              <w:t>（</w:t>
            </w: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lang w:val="zh-CN"/>
              </w:rPr>
              <w:t>）</w:t>
            </w:r>
            <w:r>
              <w:rPr>
                <w:rFonts w:hint="eastAsia" w:ascii="宋体" w:hAnsi="宋体" w:eastAsia="宋体" w:cs="宋体"/>
                <w:color w:val="000000"/>
                <w:sz w:val="21"/>
                <w:szCs w:val="21"/>
              </w:rPr>
              <w:t>具有良好的商业信誉和健全的财务会计制度</w:t>
            </w:r>
          </w:p>
        </w:tc>
        <w:tc>
          <w:tcPr>
            <w:tcW w:w="3991" w:type="dxa"/>
            <w:tcBorders>
              <w:top w:val="single" w:color="auto" w:sz="4" w:space="0"/>
              <w:left w:val="single" w:color="auto" w:sz="4" w:space="0"/>
              <w:bottom w:val="single" w:color="auto" w:sz="4" w:space="0"/>
              <w:right w:val="single" w:color="auto" w:sz="4" w:space="0"/>
            </w:tcBorders>
            <w:noWrap w:val="0"/>
            <w:vAlign w:val="center"/>
          </w:tcPr>
          <w:p w14:paraId="3516BCF5">
            <w:pPr>
              <w:spacing w:line="240" w:lineRule="exact"/>
              <w:rPr>
                <w:rFonts w:hint="eastAsia" w:ascii="宋体" w:hAnsi="宋体" w:eastAsia="宋体" w:cs="宋体"/>
                <w:color w:val="000000"/>
                <w:sz w:val="21"/>
                <w:szCs w:val="21"/>
              </w:rPr>
            </w:pPr>
            <w:r>
              <w:rPr>
                <w:rFonts w:hint="eastAsia" w:ascii="宋体" w:hAnsi="宋体" w:eastAsia="宋体" w:cs="宋体"/>
                <w:color w:val="000000"/>
                <w:sz w:val="21"/>
                <w:szCs w:val="21"/>
                <w:lang w:eastAsia="zh-CN"/>
              </w:rPr>
              <w:t>投标人</w:t>
            </w:r>
            <w:r>
              <w:rPr>
                <w:rFonts w:hint="eastAsia" w:ascii="宋体" w:hAnsi="宋体" w:eastAsia="宋体" w:cs="宋体"/>
                <w:color w:val="000000"/>
                <w:sz w:val="21"/>
                <w:szCs w:val="21"/>
              </w:rPr>
              <w:t>提供基本资格条件承诺函（见格式文件）</w:t>
            </w:r>
          </w:p>
        </w:tc>
      </w:tr>
      <w:tr w14:paraId="5744A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676" w:type="dxa"/>
            <w:vMerge w:val="continue"/>
            <w:tcBorders>
              <w:left w:val="single" w:color="auto" w:sz="4" w:space="0"/>
              <w:right w:val="single" w:color="auto" w:sz="4" w:space="0"/>
            </w:tcBorders>
            <w:noWrap w:val="0"/>
            <w:vAlign w:val="center"/>
          </w:tcPr>
          <w:p w14:paraId="3FC36F4C">
            <w:pPr>
              <w:widowControl/>
              <w:jc w:val="left"/>
              <w:rPr>
                <w:rFonts w:hint="eastAsia" w:ascii="宋体" w:hAnsi="宋体" w:eastAsia="宋体" w:cs="宋体"/>
                <w:color w:val="000000"/>
                <w:sz w:val="21"/>
                <w:szCs w:val="21"/>
              </w:rPr>
            </w:pPr>
          </w:p>
        </w:tc>
        <w:tc>
          <w:tcPr>
            <w:tcW w:w="425" w:type="dxa"/>
            <w:vMerge w:val="continue"/>
            <w:tcBorders>
              <w:left w:val="single" w:color="auto" w:sz="4" w:space="0"/>
              <w:right w:val="single" w:color="auto" w:sz="4" w:space="0"/>
            </w:tcBorders>
            <w:noWrap w:val="0"/>
            <w:vAlign w:val="center"/>
          </w:tcPr>
          <w:p w14:paraId="008525BD">
            <w:pPr>
              <w:widowControl/>
              <w:jc w:val="left"/>
              <w:rPr>
                <w:rFonts w:hint="eastAsia" w:ascii="宋体" w:hAnsi="宋体" w:eastAsia="宋体" w:cs="宋体"/>
                <w:color w:val="000000"/>
                <w:sz w:val="21"/>
                <w:szCs w:val="21"/>
                <w:lang w:val="zh-CN"/>
              </w:rPr>
            </w:pPr>
          </w:p>
        </w:tc>
        <w:tc>
          <w:tcPr>
            <w:tcW w:w="4536" w:type="dxa"/>
            <w:tcBorders>
              <w:top w:val="single" w:color="auto" w:sz="4" w:space="0"/>
              <w:left w:val="single" w:color="auto" w:sz="4" w:space="0"/>
              <w:bottom w:val="single" w:color="auto" w:sz="4" w:space="0"/>
              <w:right w:val="single" w:color="auto" w:sz="4" w:space="0"/>
            </w:tcBorders>
            <w:noWrap w:val="0"/>
            <w:vAlign w:val="center"/>
          </w:tcPr>
          <w:p w14:paraId="232BE78E">
            <w:pPr>
              <w:spacing w:line="240" w:lineRule="exact"/>
              <w:rPr>
                <w:rFonts w:hint="eastAsia" w:ascii="宋体" w:hAnsi="宋体" w:eastAsia="宋体" w:cs="宋体"/>
                <w:color w:val="000000"/>
                <w:sz w:val="21"/>
                <w:szCs w:val="21"/>
              </w:rPr>
            </w:pP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rPr>
              <w:t>）具有履行合同所必需的设备和专业技术能力</w:t>
            </w:r>
          </w:p>
        </w:tc>
        <w:tc>
          <w:tcPr>
            <w:tcW w:w="3991" w:type="dxa"/>
            <w:tcBorders>
              <w:top w:val="single" w:color="auto" w:sz="4" w:space="0"/>
              <w:left w:val="single" w:color="auto" w:sz="4" w:space="0"/>
              <w:bottom w:val="single" w:color="auto" w:sz="4" w:space="0"/>
              <w:right w:val="single" w:color="auto" w:sz="4" w:space="0"/>
            </w:tcBorders>
            <w:noWrap w:val="0"/>
            <w:vAlign w:val="center"/>
          </w:tcPr>
          <w:p w14:paraId="4201931B">
            <w:pPr>
              <w:spacing w:line="240" w:lineRule="exact"/>
              <w:rPr>
                <w:rFonts w:hint="eastAsia" w:ascii="宋体" w:hAnsi="宋体" w:eastAsia="宋体" w:cs="宋体"/>
                <w:color w:val="000000"/>
                <w:sz w:val="21"/>
                <w:szCs w:val="21"/>
              </w:rPr>
            </w:pPr>
            <w:r>
              <w:rPr>
                <w:rFonts w:hint="eastAsia" w:ascii="宋体" w:hAnsi="宋体" w:eastAsia="宋体" w:cs="宋体"/>
                <w:color w:val="000000"/>
                <w:sz w:val="21"/>
                <w:szCs w:val="21"/>
              </w:rPr>
              <w:t>投标人提供基本资格条件承诺函（见格式文件）</w:t>
            </w:r>
          </w:p>
        </w:tc>
      </w:tr>
      <w:tr w14:paraId="16FF7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676" w:type="dxa"/>
            <w:vMerge w:val="continue"/>
            <w:tcBorders>
              <w:left w:val="single" w:color="auto" w:sz="4" w:space="0"/>
              <w:right w:val="single" w:color="auto" w:sz="4" w:space="0"/>
            </w:tcBorders>
            <w:noWrap w:val="0"/>
            <w:vAlign w:val="center"/>
          </w:tcPr>
          <w:p w14:paraId="3ADF5BC5">
            <w:pPr>
              <w:widowControl/>
              <w:jc w:val="left"/>
              <w:rPr>
                <w:rFonts w:hint="eastAsia" w:ascii="宋体" w:hAnsi="宋体" w:eastAsia="宋体" w:cs="宋体"/>
                <w:color w:val="000000"/>
                <w:sz w:val="21"/>
                <w:szCs w:val="21"/>
              </w:rPr>
            </w:pPr>
          </w:p>
        </w:tc>
        <w:tc>
          <w:tcPr>
            <w:tcW w:w="425" w:type="dxa"/>
            <w:vMerge w:val="continue"/>
            <w:tcBorders>
              <w:left w:val="single" w:color="auto" w:sz="4" w:space="0"/>
              <w:right w:val="single" w:color="auto" w:sz="4" w:space="0"/>
            </w:tcBorders>
            <w:noWrap w:val="0"/>
            <w:vAlign w:val="center"/>
          </w:tcPr>
          <w:p w14:paraId="20A12E14">
            <w:pPr>
              <w:widowControl/>
              <w:jc w:val="left"/>
              <w:rPr>
                <w:rFonts w:hint="eastAsia" w:ascii="宋体" w:hAnsi="宋体" w:eastAsia="宋体" w:cs="宋体"/>
                <w:color w:val="000000"/>
                <w:sz w:val="21"/>
                <w:szCs w:val="21"/>
                <w:lang w:val="zh-CN"/>
              </w:rPr>
            </w:pPr>
          </w:p>
        </w:tc>
        <w:tc>
          <w:tcPr>
            <w:tcW w:w="4536" w:type="dxa"/>
            <w:tcBorders>
              <w:top w:val="single" w:color="auto" w:sz="4" w:space="0"/>
              <w:left w:val="single" w:color="auto" w:sz="4" w:space="0"/>
              <w:bottom w:val="single" w:color="auto" w:sz="4" w:space="0"/>
              <w:right w:val="single" w:color="auto" w:sz="4" w:space="0"/>
            </w:tcBorders>
            <w:noWrap w:val="0"/>
            <w:vAlign w:val="center"/>
          </w:tcPr>
          <w:p w14:paraId="561A7759">
            <w:pPr>
              <w:spacing w:line="240" w:lineRule="exact"/>
              <w:rPr>
                <w:rFonts w:hint="eastAsia" w:ascii="宋体" w:hAnsi="宋体" w:eastAsia="宋体" w:cs="宋体"/>
                <w:color w:val="000000"/>
                <w:sz w:val="21"/>
                <w:szCs w:val="21"/>
              </w:rPr>
            </w:pP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4</w:t>
            </w:r>
            <w:r>
              <w:rPr>
                <w:rFonts w:hint="eastAsia" w:ascii="宋体" w:hAnsi="宋体" w:eastAsia="宋体" w:cs="宋体"/>
                <w:color w:val="000000"/>
                <w:sz w:val="21"/>
                <w:szCs w:val="21"/>
              </w:rPr>
              <w:t>）参加政府采购活动前三年内，在经营活动中没有重大违法记录（注</w:t>
            </w:r>
            <w:r>
              <w:rPr>
                <w:rFonts w:hint="eastAsia" w:ascii="宋体" w:hAnsi="宋体" w:eastAsia="宋体" w:cs="宋体"/>
                <w:color w:val="000000"/>
                <w:kern w:val="0"/>
                <w:sz w:val="21"/>
                <w:szCs w:val="21"/>
              </w:rPr>
              <w:fldChar w:fldCharType="begin"/>
            </w:r>
            <w:r>
              <w:rPr>
                <w:rFonts w:hint="eastAsia" w:ascii="宋体" w:hAnsi="宋体" w:eastAsia="宋体" w:cs="宋体"/>
                <w:color w:val="000000"/>
                <w:kern w:val="0"/>
                <w:sz w:val="21"/>
                <w:szCs w:val="21"/>
              </w:rPr>
              <w:instrText xml:space="preserve"> eq \o\ac(○,</w:instrText>
            </w:r>
            <w:r>
              <w:rPr>
                <w:rFonts w:hint="eastAsia" w:ascii="宋体" w:hAnsi="宋体" w:eastAsia="宋体" w:cs="宋体"/>
                <w:color w:val="000000"/>
                <w:kern w:val="0"/>
                <w:position w:val="3"/>
                <w:sz w:val="21"/>
                <w:szCs w:val="21"/>
              </w:rPr>
              <w:instrText xml:space="preserve">2</w:instrText>
            </w:r>
            <w:r>
              <w:rPr>
                <w:rFonts w:hint="eastAsia" w:ascii="宋体" w:hAnsi="宋体" w:eastAsia="宋体" w:cs="宋体"/>
                <w:color w:val="000000"/>
                <w:kern w:val="0"/>
                <w:sz w:val="21"/>
                <w:szCs w:val="21"/>
              </w:rPr>
              <w:instrText xml:space="preserve">)</w:instrText>
            </w:r>
            <w:r>
              <w:rPr>
                <w:rFonts w:hint="eastAsia" w:ascii="宋体" w:hAnsi="宋体" w:eastAsia="宋体" w:cs="宋体"/>
                <w:color w:val="000000"/>
                <w:kern w:val="0"/>
                <w:sz w:val="21"/>
                <w:szCs w:val="21"/>
              </w:rPr>
              <w:fldChar w:fldCharType="end"/>
            </w:r>
            <w:r>
              <w:rPr>
                <w:rFonts w:hint="eastAsia" w:ascii="宋体" w:hAnsi="宋体" w:eastAsia="宋体" w:cs="宋体"/>
                <w:color w:val="000000"/>
                <w:sz w:val="21"/>
                <w:szCs w:val="21"/>
              </w:rPr>
              <w:t>）</w:t>
            </w:r>
          </w:p>
        </w:tc>
        <w:tc>
          <w:tcPr>
            <w:tcW w:w="3991" w:type="dxa"/>
            <w:tcBorders>
              <w:top w:val="single" w:color="auto" w:sz="4" w:space="0"/>
              <w:left w:val="single" w:color="auto" w:sz="4" w:space="0"/>
              <w:bottom w:val="single" w:color="auto" w:sz="4" w:space="0"/>
              <w:right w:val="single" w:color="auto" w:sz="4" w:space="0"/>
            </w:tcBorders>
            <w:noWrap w:val="0"/>
            <w:vAlign w:val="center"/>
          </w:tcPr>
          <w:p w14:paraId="11BA1B8C">
            <w:pPr>
              <w:spacing w:line="240" w:lineRule="exact"/>
              <w:rPr>
                <w:rFonts w:hint="eastAsia" w:ascii="宋体" w:hAnsi="宋体" w:eastAsia="宋体" w:cs="宋体"/>
                <w:color w:val="000000"/>
                <w:sz w:val="21"/>
                <w:szCs w:val="21"/>
              </w:rPr>
            </w:pPr>
            <w:r>
              <w:rPr>
                <w:rFonts w:hint="eastAsia" w:ascii="宋体" w:hAnsi="宋体" w:eastAsia="宋体" w:cs="宋体"/>
                <w:color w:val="000000"/>
                <w:sz w:val="21"/>
                <w:szCs w:val="21"/>
              </w:rPr>
              <w:t>投标人提供基本资格条件承诺函（见格式文件）</w:t>
            </w:r>
          </w:p>
        </w:tc>
      </w:tr>
      <w:tr w14:paraId="6991A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676" w:type="dxa"/>
            <w:vMerge w:val="continue"/>
            <w:tcBorders>
              <w:left w:val="single" w:color="auto" w:sz="4" w:space="0"/>
              <w:right w:val="single" w:color="auto" w:sz="4" w:space="0"/>
            </w:tcBorders>
            <w:noWrap w:val="0"/>
            <w:vAlign w:val="center"/>
          </w:tcPr>
          <w:p w14:paraId="5F015657">
            <w:pPr>
              <w:widowControl/>
              <w:jc w:val="left"/>
              <w:rPr>
                <w:rFonts w:hint="eastAsia" w:ascii="宋体" w:hAnsi="宋体" w:eastAsia="宋体" w:cs="宋体"/>
                <w:color w:val="000000"/>
                <w:sz w:val="21"/>
                <w:szCs w:val="21"/>
              </w:rPr>
            </w:pPr>
          </w:p>
        </w:tc>
        <w:tc>
          <w:tcPr>
            <w:tcW w:w="425" w:type="dxa"/>
            <w:vMerge w:val="continue"/>
            <w:tcBorders>
              <w:left w:val="single" w:color="auto" w:sz="4" w:space="0"/>
              <w:right w:val="single" w:color="auto" w:sz="4" w:space="0"/>
            </w:tcBorders>
            <w:noWrap w:val="0"/>
            <w:vAlign w:val="center"/>
          </w:tcPr>
          <w:p w14:paraId="27B4C45C">
            <w:pPr>
              <w:widowControl/>
              <w:jc w:val="left"/>
              <w:rPr>
                <w:rFonts w:hint="eastAsia" w:ascii="宋体" w:hAnsi="宋体" w:eastAsia="宋体" w:cs="宋体"/>
                <w:color w:val="000000"/>
                <w:sz w:val="21"/>
                <w:szCs w:val="21"/>
                <w:lang w:val="zh-CN"/>
              </w:rPr>
            </w:pPr>
          </w:p>
        </w:tc>
        <w:tc>
          <w:tcPr>
            <w:tcW w:w="4536" w:type="dxa"/>
            <w:tcBorders>
              <w:top w:val="single" w:color="auto" w:sz="4" w:space="0"/>
              <w:left w:val="single" w:color="auto" w:sz="4" w:space="0"/>
              <w:bottom w:val="single" w:color="auto" w:sz="4" w:space="0"/>
              <w:right w:val="single" w:color="auto" w:sz="4" w:space="0"/>
            </w:tcBorders>
            <w:noWrap w:val="0"/>
            <w:vAlign w:val="center"/>
          </w:tcPr>
          <w:p w14:paraId="28582D98">
            <w:pPr>
              <w:spacing w:line="240" w:lineRule="exact"/>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lang w:eastAsia="zh-CN"/>
              </w:rPr>
              <w:t>）法律、行政法规规定的其他条件</w:t>
            </w:r>
          </w:p>
        </w:tc>
        <w:tc>
          <w:tcPr>
            <w:tcW w:w="3991" w:type="dxa"/>
            <w:tcBorders>
              <w:top w:val="single" w:color="auto" w:sz="4" w:space="0"/>
              <w:left w:val="single" w:color="auto" w:sz="4" w:space="0"/>
              <w:bottom w:val="single" w:color="auto" w:sz="4" w:space="0"/>
              <w:right w:val="single" w:color="auto" w:sz="4" w:space="0"/>
            </w:tcBorders>
            <w:noWrap w:val="0"/>
            <w:vAlign w:val="center"/>
          </w:tcPr>
          <w:p w14:paraId="1971D14E">
            <w:pPr>
              <w:spacing w:line="240" w:lineRule="exact"/>
              <w:rPr>
                <w:rFonts w:hint="eastAsia" w:ascii="宋体" w:hAnsi="宋体" w:eastAsia="宋体" w:cs="宋体"/>
                <w:color w:val="000000"/>
                <w:sz w:val="21"/>
                <w:szCs w:val="21"/>
              </w:rPr>
            </w:pPr>
          </w:p>
        </w:tc>
      </w:tr>
      <w:tr w14:paraId="7935A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676" w:type="dxa"/>
            <w:vMerge w:val="continue"/>
            <w:tcBorders>
              <w:left w:val="single" w:color="auto" w:sz="4" w:space="0"/>
              <w:bottom w:val="single" w:color="auto" w:sz="4" w:space="0"/>
              <w:right w:val="single" w:color="auto" w:sz="4" w:space="0"/>
            </w:tcBorders>
            <w:noWrap w:val="0"/>
            <w:vAlign w:val="center"/>
          </w:tcPr>
          <w:p w14:paraId="414912C6">
            <w:pPr>
              <w:widowControl/>
              <w:jc w:val="left"/>
              <w:rPr>
                <w:rFonts w:hint="eastAsia" w:ascii="宋体" w:hAnsi="宋体" w:eastAsia="宋体" w:cs="宋体"/>
                <w:color w:val="000000"/>
                <w:sz w:val="21"/>
                <w:szCs w:val="21"/>
              </w:rPr>
            </w:pPr>
          </w:p>
        </w:tc>
        <w:tc>
          <w:tcPr>
            <w:tcW w:w="425" w:type="dxa"/>
            <w:vMerge w:val="continue"/>
            <w:tcBorders>
              <w:left w:val="single" w:color="auto" w:sz="4" w:space="0"/>
              <w:bottom w:val="single" w:color="auto" w:sz="4" w:space="0"/>
              <w:right w:val="single" w:color="auto" w:sz="4" w:space="0"/>
            </w:tcBorders>
            <w:noWrap w:val="0"/>
            <w:vAlign w:val="center"/>
          </w:tcPr>
          <w:p w14:paraId="2052EEA8">
            <w:pPr>
              <w:widowControl/>
              <w:jc w:val="left"/>
              <w:rPr>
                <w:rFonts w:hint="eastAsia" w:ascii="宋体" w:hAnsi="宋体" w:eastAsia="宋体" w:cs="宋体"/>
                <w:color w:val="000000"/>
                <w:sz w:val="21"/>
                <w:szCs w:val="21"/>
                <w:lang w:val="zh-CN"/>
              </w:rPr>
            </w:pPr>
          </w:p>
        </w:tc>
        <w:tc>
          <w:tcPr>
            <w:tcW w:w="4536" w:type="dxa"/>
            <w:tcBorders>
              <w:top w:val="single" w:color="auto" w:sz="4" w:space="0"/>
              <w:left w:val="single" w:color="auto" w:sz="4" w:space="0"/>
              <w:bottom w:val="single" w:color="auto" w:sz="4" w:space="0"/>
              <w:right w:val="single" w:color="auto" w:sz="4" w:space="0"/>
            </w:tcBorders>
            <w:noWrap w:val="0"/>
            <w:vAlign w:val="center"/>
          </w:tcPr>
          <w:p w14:paraId="173CA911">
            <w:pPr>
              <w:spacing w:line="240" w:lineRule="exact"/>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6</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特定资格条件</w:t>
            </w:r>
          </w:p>
        </w:tc>
        <w:tc>
          <w:tcPr>
            <w:tcW w:w="3991" w:type="dxa"/>
            <w:tcBorders>
              <w:top w:val="single" w:color="auto" w:sz="4" w:space="0"/>
              <w:left w:val="single" w:color="auto" w:sz="4" w:space="0"/>
              <w:bottom w:val="single" w:color="auto" w:sz="4" w:space="0"/>
              <w:right w:val="single" w:color="auto" w:sz="4" w:space="0"/>
            </w:tcBorders>
            <w:noWrap w:val="0"/>
            <w:vAlign w:val="center"/>
          </w:tcPr>
          <w:p w14:paraId="6196AB2F">
            <w:pPr>
              <w:spacing w:line="240" w:lineRule="exact"/>
              <w:rPr>
                <w:rFonts w:hint="eastAsia" w:ascii="宋体" w:hAnsi="宋体" w:eastAsia="宋体" w:cs="宋体"/>
                <w:color w:val="000000"/>
                <w:sz w:val="21"/>
                <w:szCs w:val="21"/>
                <w:lang w:eastAsia="zh-CN"/>
              </w:rPr>
            </w:pPr>
            <w:r>
              <w:rPr>
                <w:rFonts w:hint="eastAsia" w:ascii="宋体" w:hAnsi="宋体" w:eastAsia="宋体" w:cs="宋体"/>
                <w:color w:val="000000"/>
                <w:sz w:val="21"/>
                <w:szCs w:val="21"/>
              </w:rPr>
              <w:t>按第一篇“三、供应商资格要求（二）特定资格条件”的要求提交</w:t>
            </w:r>
            <w:r>
              <w:rPr>
                <w:rFonts w:hint="eastAsia" w:ascii="宋体" w:hAnsi="宋体" w:eastAsia="宋体" w:cs="宋体"/>
                <w:color w:val="000000"/>
                <w:sz w:val="21"/>
                <w:szCs w:val="21"/>
                <w:lang w:eastAsia="zh-CN"/>
              </w:rPr>
              <w:t>（如有）</w:t>
            </w:r>
          </w:p>
        </w:tc>
      </w:tr>
      <w:tr w14:paraId="2CBAC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676" w:type="dxa"/>
            <w:tcBorders>
              <w:top w:val="single" w:color="auto" w:sz="4" w:space="0"/>
              <w:left w:val="single" w:color="auto" w:sz="4" w:space="0"/>
              <w:bottom w:val="single" w:color="auto" w:sz="4" w:space="0"/>
              <w:right w:val="single" w:color="auto" w:sz="4" w:space="0"/>
            </w:tcBorders>
            <w:noWrap w:val="0"/>
            <w:vAlign w:val="center"/>
          </w:tcPr>
          <w:p w14:paraId="058672C9">
            <w:pPr>
              <w:spacing w:line="240" w:lineRule="exact"/>
              <w:jc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val="en-US" w:eastAsia="zh-CN"/>
              </w:rPr>
              <w:t>2</w:t>
            </w:r>
          </w:p>
        </w:tc>
        <w:tc>
          <w:tcPr>
            <w:tcW w:w="4961" w:type="dxa"/>
            <w:gridSpan w:val="2"/>
            <w:tcBorders>
              <w:top w:val="single" w:color="auto" w:sz="4" w:space="0"/>
              <w:left w:val="single" w:color="auto" w:sz="4" w:space="0"/>
              <w:bottom w:val="single" w:color="auto" w:sz="4" w:space="0"/>
              <w:right w:val="single" w:color="auto" w:sz="4" w:space="0"/>
            </w:tcBorders>
            <w:noWrap w:val="0"/>
            <w:vAlign w:val="center"/>
          </w:tcPr>
          <w:p w14:paraId="7E0CCF9E">
            <w:pPr>
              <w:spacing w:line="240" w:lineRule="exact"/>
              <w:rPr>
                <w:rFonts w:hint="eastAsia" w:ascii="宋体" w:hAnsi="宋体" w:eastAsia="宋体" w:cs="宋体"/>
                <w:color w:val="000000"/>
                <w:sz w:val="21"/>
                <w:szCs w:val="21"/>
              </w:rPr>
            </w:pPr>
            <w:r>
              <w:rPr>
                <w:rFonts w:hint="eastAsia" w:ascii="宋体" w:hAnsi="宋体" w:eastAsia="宋体" w:cs="宋体"/>
                <w:color w:val="000000"/>
                <w:sz w:val="21"/>
                <w:szCs w:val="21"/>
              </w:rPr>
              <w:t>保证金</w:t>
            </w:r>
          </w:p>
        </w:tc>
        <w:tc>
          <w:tcPr>
            <w:tcW w:w="3991" w:type="dxa"/>
            <w:tcBorders>
              <w:top w:val="single" w:color="auto" w:sz="4" w:space="0"/>
              <w:left w:val="single" w:color="auto" w:sz="4" w:space="0"/>
              <w:bottom w:val="single" w:color="auto" w:sz="4" w:space="0"/>
              <w:right w:val="single" w:color="auto" w:sz="4" w:space="0"/>
            </w:tcBorders>
            <w:noWrap w:val="0"/>
            <w:vAlign w:val="center"/>
          </w:tcPr>
          <w:p w14:paraId="31964EDA">
            <w:pPr>
              <w:spacing w:line="240" w:lineRule="exact"/>
              <w:rPr>
                <w:rFonts w:hint="eastAsia" w:ascii="宋体" w:hAnsi="宋体" w:eastAsia="宋体" w:cs="宋体"/>
                <w:color w:val="000000"/>
                <w:sz w:val="21"/>
                <w:szCs w:val="21"/>
                <w:lang w:eastAsia="zh-CN"/>
              </w:rPr>
            </w:pPr>
            <w:r>
              <w:rPr>
                <w:rFonts w:hint="eastAsia" w:ascii="宋体" w:hAnsi="宋体" w:eastAsia="宋体" w:cs="宋体"/>
                <w:color w:val="000000"/>
                <w:sz w:val="21"/>
                <w:szCs w:val="21"/>
              </w:rPr>
              <w:t>按照询价通知书要求足额缴纳保证金</w:t>
            </w:r>
            <w:r>
              <w:rPr>
                <w:rFonts w:hint="eastAsia" w:ascii="宋体" w:hAnsi="宋体" w:eastAsia="宋体" w:cs="宋体"/>
                <w:color w:val="000000"/>
                <w:sz w:val="21"/>
                <w:szCs w:val="21"/>
                <w:lang w:eastAsia="zh-CN"/>
              </w:rPr>
              <w:t>（如有）</w:t>
            </w:r>
          </w:p>
        </w:tc>
      </w:tr>
    </w:tbl>
    <w:p w14:paraId="78AF0D47">
      <w:pPr>
        <w:snapToGrid w:val="0"/>
        <w:spacing w:line="400" w:lineRule="exact"/>
        <w:ind w:firstLine="480" w:firstLineChars="20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注：</w:t>
      </w:r>
    </w:p>
    <w:p w14:paraId="17F6D8DB">
      <w:pPr>
        <w:snapToGrid w:val="0"/>
        <w:spacing w:line="400" w:lineRule="exact"/>
        <w:ind w:firstLine="480" w:firstLineChars="20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fldChar w:fldCharType="begin"/>
      </w:r>
      <w:r>
        <w:rPr>
          <w:rFonts w:hint="eastAsia" w:ascii="宋体" w:hAnsi="宋体" w:eastAsia="宋体" w:cs="宋体"/>
          <w:color w:val="000000"/>
          <w:kern w:val="0"/>
          <w:sz w:val="24"/>
          <w:szCs w:val="24"/>
        </w:rPr>
        <w:instrText xml:space="preserve"> eq \o\ac(○,</w:instrText>
      </w:r>
      <w:r>
        <w:rPr>
          <w:rFonts w:hint="eastAsia" w:ascii="宋体" w:hAnsi="宋体" w:eastAsia="宋体" w:cs="宋体"/>
          <w:color w:val="000000"/>
          <w:kern w:val="0"/>
          <w:position w:val="3"/>
          <w:sz w:val="24"/>
          <w:szCs w:val="24"/>
        </w:rPr>
        <w:instrText xml:space="preserve">1</w:instrText>
      </w:r>
      <w:r>
        <w:rPr>
          <w:rFonts w:hint="eastAsia" w:ascii="宋体" w:hAnsi="宋体" w:eastAsia="宋体" w:cs="宋体"/>
          <w:color w:val="000000"/>
          <w:kern w:val="0"/>
          <w:sz w:val="24"/>
          <w:szCs w:val="24"/>
        </w:rPr>
        <w:instrText xml:space="preserve">)</w:instrText>
      </w:r>
      <w:r>
        <w:rPr>
          <w:rFonts w:hint="eastAsia" w:ascii="宋体" w:hAnsi="宋体" w:eastAsia="宋体" w:cs="宋体"/>
          <w:color w:val="000000"/>
          <w:kern w:val="0"/>
          <w:sz w:val="24"/>
          <w:szCs w:val="24"/>
        </w:rPr>
        <w:fldChar w:fldCharType="end"/>
      </w:r>
      <w:r>
        <w:rPr>
          <w:rFonts w:hint="eastAsia" w:ascii="宋体" w:hAnsi="宋体" w:eastAsia="宋体" w:cs="宋体"/>
          <w:color w:val="000000"/>
          <w:kern w:val="0"/>
          <w:sz w:val="24"/>
          <w:szCs w:val="24"/>
        </w:rPr>
        <w:t>供应商按“多证合一”登记制度办理营业执照的，组织机构代码证、税务登记证（副本）以供应商所提供的营业执照（副本）复印件为准。</w:t>
      </w:r>
    </w:p>
    <w:p w14:paraId="52C2C28C">
      <w:pPr>
        <w:snapToGrid w:val="0"/>
        <w:spacing w:line="400" w:lineRule="exact"/>
        <w:ind w:firstLine="480" w:firstLineChars="20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fldChar w:fldCharType="begin"/>
      </w:r>
      <w:r>
        <w:rPr>
          <w:rFonts w:hint="eastAsia" w:ascii="宋体" w:hAnsi="宋体" w:eastAsia="宋体" w:cs="宋体"/>
          <w:color w:val="000000"/>
          <w:kern w:val="0"/>
          <w:sz w:val="24"/>
          <w:szCs w:val="24"/>
        </w:rPr>
        <w:instrText xml:space="preserve"> eq \o\ac(○,</w:instrText>
      </w:r>
      <w:r>
        <w:rPr>
          <w:rFonts w:hint="eastAsia" w:ascii="宋体" w:hAnsi="宋体" w:eastAsia="宋体" w:cs="宋体"/>
          <w:color w:val="000000"/>
          <w:kern w:val="0"/>
          <w:position w:val="3"/>
          <w:sz w:val="24"/>
          <w:szCs w:val="24"/>
        </w:rPr>
        <w:instrText xml:space="preserve">2</w:instrText>
      </w:r>
      <w:r>
        <w:rPr>
          <w:rFonts w:hint="eastAsia" w:ascii="宋体" w:hAnsi="宋体" w:eastAsia="宋体" w:cs="宋体"/>
          <w:color w:val="000000"/>
          <w:kern w:val="0"/>
          <w:sz w:val="24"/>
          <w:szCs w:val="24"/>
        </w:rPr>
        <w:instrText xml:space="preserve">)</w:instrText>
      </w:r>
      <w:r>
        <w:rPr>
          <w:rFonts w:hint="eastAsia" w:ascii="宋体" w:hAnsi="宋体" w:eastAsia="宋体" w:cs="宋体"/>
          <w:color w:val="000000"/>
          <w:kern w:val="0"/>
          <w:sz w:val="24"/>
          <w:szCs w:val="24"/>
        </w:rPr>
        <w:fldChar w:fldCharType="end"/>
      </w:r>
      <w:r>
        <w:rPr>
          <w:rFonts w:hint="eastAsia" w:ascii="宋体" w:hAnsi="宋体" w:eastAsia="宋体" w:cs="宋体"/>
          <w:color w:val="000000"/>
          <w:kern w:val="0"/>
          <w:sz w:val="24"/>
          <w:szCs w:val="24"/>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额”的认定标准，由被执行人所在的省、自治区、直辖市人民政府制定，国务院有关部门规定了较大数额标准的，从其规定。</w:t>
      </w:r>
    </w:p>
    <w:p w14:paraId="3335A1AC">
      <w:pPr>
        <w:snapToGrid w:val="0"/>
        <w:spacing w:line="400" w:lineRule="exact"/>
        <w:ind w:firstLine="480" w:firstLineChars="20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2.符合性检查。依据询价通知书的规定，从响应文件的有效性、完整性和对询价通知书的响应程度进行审查，以确定是否对询价通知书的实质性要求作出响应。符合性检查资料表如下：</w:t>
      </w:r>
    </w:p>
    <w:tbl>
      <w:tblPr>
        <w:tblStyle w:val="57"/>
        <w:tblW w:w="98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560"/>
        <w:gridCol w:w="1984"/>
        <w:gridCol w:w="5670"/>
      </w:tblGrid>
      <w:tr w14:paraId="0036C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675" w:type="dxa"/>
            <w:tcBorders>
              <w:top w:val="single" w:color="auto" w:sz="4" w:space="0"/>
              <w:left w:val="single" w:color="auto" w:sz="4" w:space="0"/>
              <w:bottom w:val="single" w:color="auto" w:sz="4" w:space="0"/>
              <w:right w:val="single" w:color="auto" w:sz="4" w:space="0"/>
            </w:tcBorders>
            <w:noWrap w:val="0"/>
            <w:vAlign w:val="center"/>
          </w:tcPr>
          <w:p w14:paraId="09B5B79C">
            <w:pPr>
              <w:spacing w:line="240" w:lineRule="exact"/>
              <w:rPr>
                <w:rFonts w:hint="eastAsia" w:ascii="宋体" w:hAnsi="宋体" w:eastAsia="宋体" w:cs="宋体"/>
                <w:b/>
                <w:color w:val="000000"/>
                <w:sz w:val="21"/>
                <w:szCs w:val="21"/>
              </w:rPr>
            </w:pPr>
            <w:r>
              <w:rPr>
                <w:rFonts w:hint="eastAsia" w:ascii="宋体" w:hAnsi="宋体" w:eastAsia="宋体" w:cs="宋体"/>
                <w:b/>
                <w:color w:val="000000"/>
                <w:sz w:val="21"/>
                <w:szCs w:val="21"/>
              </w:rPr>
              <w:t>序号</w:t>
            </w:r>
          </w:p>
        </w:tc>
        <w:tc>
          <w:tcPr>
            <w:tcW w:w="3544" w:type="dxa"/>
            <w:gridSpan w:val="2"/>
            <w:tcBorders>
              <w:top w:val="single" w:color="auto" w:sz="4" w:space="0"/>
              <w:left w:val="single" w:color="auto" w:sz="4" w:space="0"/>
              <w:bottom w:val="single" w:color="auto" w:sz="4" w:space="0"/>
              <w:right w:val="single" w:color="auto" w:sz="4" w:space="0"/>
            </w:tcBorders>
            <w:noWrap w:val="0"/>
            <w:vAlign w:val="center"/>
          </w:tcPr>
          <w:p w14:paraId="0F7E85F0">
            <w:pPr>
              <w:spacing w:line="240" w:lineRule="exact"/>
              <w:jc w:val="center"/>
              <w:rPr>
                <w:rFonts w:hint="eastAsia" w:ascii="宋体" w:hAnsi="宋体" w:eastAsia="宋体" w:cs="宋体"/>
                <w:b/>
                <w:color w:val="000000"/>
                <w:sz w:val="21"/>
                <w:szCs w:val="21"/>
              </w:rPr>
            </w:pPr>
            <w:r>
              <w:rPr>
                <w:rFonts w:hint="eastAsia" w:ascii="宋体" w:hAnsi="宋体" w:eastAsia="宋体" w:cs="宋体"/>
                <w:b/>
                <w:color w:val="000000"/>
                <w:sz w:val="21"/>
                <w:szCs w:val="21"/>
              </w:rPr>
              <w:t>评审因素</w:t>
            </w:r>
          </w:p>
        </w:tc>
        <w:tc>
          <w:tcPr>
            <w:tcW w:w="5670" w:type="dxa"/>
            <w:tcBorders>
              <w:top w:val="single" w:color="auto" w:sz="4" w:space="0"/>
              <w:left w:val="single" w:color="auto" w:sz="4" w:space="0"/>
              <w:bottom w:val="single" w:color="auto" w:sz="4" w:space="0"/>
              <w:right w:val="single" w:color="auto" w:sz="4" w:space="0"/>
            </w:tcBorders>
            <w:noWrap w:val="0"/>
            <w:vAlign w:val="center"/>
          </w:tcPr>
          <w:p w14:paraId="2F22642A">
            <w:pPr>
              <w:spacing w:line="240" w:lineRule="exact"/>
              <w:jc w:val="center"/>
              <w:rPr>
                <w:rFonts w:hint="eastAsia" w:ascii="宋体" w:hAnsi="宋体" w:eastAsia="宋体" w:cs="宋体"/>
                <w:b/>
                <w:color w:val="000000"/>
                <w:sz w:val="21"/>
                <w:szCs w:val="21"/>
              </w:rPr>
            </w:pPr>
            <w:r>
              <w:rPr>
                <w:rFonts w:hint="eastAsia" w:ascii="宋体" w:hAnsi="宋体" w:eastAsia="宋体" w:cs="宋体"/>
                <w:b/>
                <w:color w:val="000000"/>
                <w:sz w:val="21"/>
                <w:szCs w:val="21"/>
              </w:rPr>
              <w:t>评审标准</w:t>
            </w:r>
          </w:p>
        </w:tc>
      </w:tr>
      <w:tr w14:paraId="11D74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675" w:type="dxa"/>
            <w:vMerge w:val="restart"/>
            <w:tcBorders>
              <w:top w:val="single" w:color="auto" w:sz="4" w:space="0"/>
              <w:left w:val="single" w:color="auto" w:sz="4" w:space="0"/>
              <w:bottom w:val="single" w:color="auto" w:sz="4" w:space="0"/>
              <w:right w:val="single" w:color="auto" w:sz="4" w:space="0"/>
            </w:tcBorders>
            <w:noWrap w:val="0"/>
            <w:vAlign w:val="center"/>
          </w:tcPr>
          <w:p w14:paraId="27361FEC">
            <w:pPr>
              <w:spacing w:line="24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1</w:t>
            </w:r>
          </w:p>
        </w:tc>
        <w:tc>
          <w:tcPr>
            <w:tcW w:w="1560" w:type="dxa"/>
            <w:vMerge w:val="restart"/>
            <w:tcBorders>
              <w:top w:val="single" w:color="auto" w:sz="4" w:space="0"/>
              <w:left w:val="single" w:color="auto" w:sz="4" w:space="0"/>
              <w:bottom w:val="single" w:color="auto" w:sz="4" w:space="0"/>
              <w:right w:val="single" w:color="auto" w:sz="4" w:space="0"/>
            </w:tcBorders>
            <w:noWrap w:val="0"/>
            <w:vAlign w:val="center"/>
          </w:tcPr>
          <w:p w14:paraId="147F467E">
            <w:pPr>
              <w:spacing w:line="240" w:lineRule="exact"/>
              <w:rPr>
                <w:rFonts w:hint="eastAsia" w:ascii="宋体" w:hAnsi="宋体" w:eastAsia="宋体" w:cs="宋体"/>
                <w:color w:val="000000"/>
                <w:sz w:val="21"/>
                <w:szCs w:val="21"/>
              </w:rPr>
            </w:pPr>
            <w:r>
              <w:rPr>
                <w:rFonts w:hint="eastAsia" w:ascii="宋体" w:hAnsi="宋体" w:eastAsia="宋体" w:cs="宋体"/>
                <w:color w:val="000000"/>
                <w:sz w:val="21"/>
                <w:szCs w:val="21"/>
              </w:rPr>
              <w:t>有效性审查</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46BB8EA4">
            <w:pPr>
              <w:spacing w:line="240" w:lineRule="exact"/>
              <w:rPr>
                <w:rFonts w:hint="eastAsia" w:ascii="宋体" w:hAnsi="宋体" w:eastAsia="宋体" w:cs="宋体"/>
                <w:color w:val="000000"/>
                <w:sz w:val="21"/>
                <w:szCs w:val="21"/>
              </w:rPr>
            </w:pPr>
            <w:r>
              <w:rPr>
                <w:rFonts w:hint="eastAsia" w:ascii="宋体" w:hAnsi="宋体" w:eastAsia="宋体" w:cs="宋体"/>
                <w:color w:val="000000"/>
                <w:sz w:val="21"/>
                <w:szCs w:val="21"/>
              </w:rPr>
              <w:t>响应文件签署</w:t>
            </w:r>
          </w:p>
        </w:tc>
        <w:tc>
          <w:tcPr>
            <w:tcW w:w="5670" w:type="dxa"/>
            <w:tcBorders>
              <w:top w:val="single" w:color="auto" w:sz="4" w:space="0"/>
              <w:left w:val="single" w:color="auto" w:sz="4" w:space="0"/>
              <w:bottom w:val="single" w:color="auto" w:sz="4" w:space="0"/>
              <w:right w:val="single" w:color="auto" w:sz="4" w:space="0"/>
            </w:tcBorders>
            <w:noWrap w:val="0"/>
            <w:vAlign w:val="center"/>
          </w:tcPr>
          <w:p w14:paraId="2E7026AF">
            <w:pPr>
              <w:spacing w:line="240" w:lineRule="exact"/>
              <w:rPr>
                <w:rFonts w:hint="eastAsia" w:ascii="宋体" w:hAnsi="宋体" w:eastAsia="宋体" w:cs="宋体"/>
                <w:color w:val="000000"/>
                <w:sz w:val="21"/>
                <w:szCs w:val="21"/>
              </w:rPr>
            </w:pPr>
            <w:r>
              <w:rPr>
                <w:rFonts w:hint="eastAsia" w:ascii="宋体" w:hAnsi="宋体" w:eastAsia="宋体" w:cs="宋体"/>
                <w:color w:val="000000"/>
                <w:sz w:val="21"/>
                <w:szCs w:val="21"/>
              </w:rPr>
              <w:t>响应文件上法定代表人或其授权代表人的签字齐全。</w:t>
            </w:r>
          </w:p>
        </w:tc>
      </w:tr>
      <w:tr w14:paraId="53C57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675" w:type="dxa"/>
            <w:vMerge w:val="continue"/>
            <w:tcBorders>
              <w:top w:val="single" w:color="auto" w:sz="4" w:space="0"/>
              <w:left w:val="single" w:color="auto" w:sz="4" w:space="0"/>
              <w:bottom w:val="single" w:color="auto" w:sz="4" w:space="0"/>
              <w:right w:val="single" w:color="auto" w:sz="4" w:space="0"/>
            </w:tcBorders>
            <w:noWrap w:val="0"/>
            <w:vAlign w:val="center"/>
          </w:tcPr>
          <w:p w14:paraId="08E4F95A">
            <w:pPr>
              <w:spacing w:line="240" w:lineRule="exact"/>
              <w:jc w:val="center"/>
              <w:rPr>
                <w:rFonts w:hint="eastAsia" w:ascii="宋体" w:hAnsi="宋体" w:eastAsia="宋体" w:cs="宋体"/>
                <w:color w:val="000000"/>
                <w:sz w:val="21"/>
                <w:szCs w:val="21"/>
              </w:rPr>
            </w:pPr>
          </w:p>
        </w:tc>
        <w:tc>
          <w:tcPr>
            <w:tcW w:w="1560" w:type="dxa"/>
            <w:vMerge w:val="continue"/>
            <w:tcBorders>
              <w:top w:val="single" w:color="auto" w:sz="4" w:space="0"/>
              <w:left w:val="single" w:color="auto" w:sz="4" w:space="0"/>
              <w:bottom w:val="single" w:color="auto" w:sz="4" w:space="0"/>
              <w:right w:val="single" w:color="auto" w:sz="4" w:space="0"/>
            </w:tcBorders>
            <w:noWrap w:val="0"/>
            <w:vAlign w:val="center"/>
          </w:tcPr>
          <w:p w14:paraId="4955F758">
            <w:pPr>
              <w:spacing w:line="240" w:lineRule="exact"/>
              <w:rPr>
                <w:rFonts w:hint="eastAsia" w:ascii="宋体" w:hAnsi="宋体" w:eastAsia="宋体" w:cs="宋体"/>
                <w:color w:val="000000"/>
                <w:sz w:val="21"/>
                <w:szCs w:val="21"/>
              </w:rPr>
            </w:pPr>
          </w:p>
        </w:tc>
        <w:tc>
          <w:tcPr>
            <w:tcW w:w="1984" w:type="dxa"/>
            <w:tcBorders>
              <w:top w:val="single" w:color="auto" w:sz="4" w:space="0"/>
              <w:left w:val="single" w:color="auto" w:sz="4" w:space="0"/>
              <w:bottom w:val="single" w:color="auto" w:sz="4" w:space="0"/>
              <w:right w:val="single" w:color="auto" w:sz="4" w:space="0"/>
            </w:tcBorders>
            <w:noWrap w:val="0"/>
            <w:vAlign w:val="center"/>
          </w:tcPr>
          <w:p w14:paraId="7162C741">
            <w:pPr>
              <w:spacing w:line="240" w:lineRule="exact"/>
              <w:rPr>
                <w:rFonts w:hint="eastAsia" w:ascii="宋体" w:hAnsi="宋体" w:eastAsia="宋体" w:cs="宋体"/>
                <w:color w:val="000000"/>
                <w:sz w:val="21"/>
                <w:szCs w:val="21"/>
              </w:rPr>
            </w:pPr>
            <w:r>
              <w:rPr>
                <w:rFonts w:hint="eastAsia" w:ascii="宋体" w:hAnsi="宋体" w:eastAsia="宋体" w:cs="宋体"/>
                <w:color w:val="000000"/>
                <w:sz w:val="21"/>
                <w:szCs w:val="21"/>
              </w:rPr>
              <w:t>法定代表人身份证明及授权委托书</w:t>
            </w:r>
          </w:p>
        </w:tc>
        <w:tc>
          <w:tcPr>
            <w:tcW w:w="5670" w:type="dxa"/>
            <w:tcBorders>
              <w:top w:val="single" w:color="auto" w:sz="4" w:space="0"/>
              <w:left w:val="single" w:color="auto" w:sz="4" w:space="0"/>
              <w:bottom w:val="single" w:color="auto" w:sz="4" w:space="0"/>
              <w:right w:val="single" w:color="auto" w:sz="4" w:space="0"/>
            </w:tcBorders>
            <w:noWrap w:val="0"/>
            <w:vAlign w:val="center"/>
          </w:tcPr>
          <w:p w14:paraId="234BA308">
            <w:pPr>
              <w:spacing w:line="240" w:lineRule="exact"/>
              <w:rPr>
                <w:rFonts w:hint="eastAsia" w:ascii="宋体" w:hAnsi="宋体" w:eastAsia="宋体" w:cs="宋体"/>
                <w:color w:val="000000"/>
                <w:sz w:val="21"/>
                <w:szCs w:val="21"/>
              </w:rPr>
            </w:pPr>
            <w:r>
              <w:rPr>
                <w:rFonts w:hint="eastAsia" w:ascii="宋体" w:hAnsi="宋体" w:eastAsia="宋体" w:cs="宋体"/>
                <w:color w:val="000000"/>
                <w:sz w:val="21"/>
                <w:szCs w:val="21"/>
              </w:rPr>
              <w:t>法定代表人身份证明及授权委托书有效，符合询价通知书规定的格式，签字或盖章齐全。</w:t>
            </w:r>
          </w:p>
        </w:tc>
      </w:tr>
      <w:tr w14:paraId="62C55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675" w:type="dxa"/>
            <w:vMerge w:val="continue"/>
            <w:tcBorders>
              <w:top w:val="single" w:color="auto" w:sz="4" w:space="0"/>
              <w:left w:val="single" w:color="auto" w:sz="4" w:space="0"/>
              <w:bottom w:val="single" w:color="auto" w:sz="4" w:space="0"/>
              <w:right w:val="single" w:color="auto" w:sz="4" w:space="0"/>
            </w:tcBorders>
            <w:noWrap w:val="0"/>
            <w:vAlign w:val="center"/>
          </w:tcPr>
          <w:p w14:paraId="6F07925A">
            <w:pPr>
              <w:spacing w:line="240" w:lineRule="exact"/>
              <w:jc w:val="center"/>
              <w:rPr>
                <w:rFonts w:hint="eastAsia" w:ascii="宋体" w:hAnsi="宋体" w:eastAsia="宋体" w:cs="宋体"/>
                <w:color w:val="000000"/>
                <w:sz w:val="21"/>
                <w:szCs w:val="21"/>
              </w:rPr>
            </w:pPr>
          </w:p>
        </w:tc>
        <w:tc>
          <w:tcPr>
            <w:tcW w:w="1560" w:type="dxa"/>
            <w:vMerge w:val="continue"/>
            <w:tcBorders>
              <w:top w:val="single" w:color="auto" w:sz="4" w:space="0"/>
              <w:left w:val="single" w:color="auto" w:sz="4" w:space="0"/>
              <w:bottom w:val="single" w:color="auto" w:sz="4" w:space="0"/>
              <w:right w:val="single" w:color="auto" w:sz="4" w:space="0"/>
            </w:tcBorders>
            <w:noWrap w:val="0"/>
            <w:vAlign w:val="center"/>
          </w:tcPr>
          <w:p w14:paraId="5A7868DE">
            <w:pPr>
              <w:spacing w:line="240" w:lineRule="exact"/>
              <w:rPr>
                <w:rFonts w:hint="eastAsia" w:ascii="宋体" w:hAnsi="宋体" w:eastAsia="宋体" w:cs="宋体"/>
                <w:color w:val="000000"/>
                <w:sz w:val="21"/>
                <w:szCs w:val="21"/>
              </w:rPr>
            </w:pPr>
          </w:p>
        </w:tc>
        <w:tc>
          <w:tcPr>
            <w:tcW w:w="1984" w:type="dxa"/>
            <w:tcBorders>
              <w:top w:val="single" w:color="auto" w:sz="4" w:space="0"/>
              <w:left w:val="single" w:color="auto" w:sz="4" w:space="0"/>
              <w:bottom w:val="single" w:color="auto" w:sz="4" w:space="0"/>
              <w:right w:val="single" w:color="auto" w:sz="4" w:space="0"/>
            </w:tcBorders>
            <w:noWrap w:val="0"/>
            <w:vAlign w:val="center"/>
          </w:tcPr>
          <w:p w14:paraId="674113B8">
            <w:pPr>
              <w:spacing w:line="240" w:lineRule="exact"/>
              <w:rPr>
                <w:rFonts w:hint="eastAsia" w:ascii="宋体" w:hAnsi="宋体" w:eastAsia="宋体" w:cs="宋体"/>
                <w:color w:val="000000"/>
                <w:sz w:val="21"/>
                <w:szCs w:val="21"/>
              </w:rPr>
            </w:pPr>
            <w:r>
              <w:rPr>
                <w:rFonts w:hint="eastAsia" w:ascii="宋体" w:hAnsi="宋体" w:eastAsia="宋体" w:cs="宋体"/>
                <w:color w:val="000000"/>
                <w:sz w:val="21"/>
                <w:szCs w:val="21"/>
              </w:rPr>
              <w:t>响应方案</w:t>
            </w:r>
          </w:p>
        </w:tc>
        <w:tc>
          <w:tcPr>
            <w:tcW w:w="5670" w:type="dxa"/>
            <w:tcBorders>
              <w:top w:val="single" w:color="auto" w:sz="4" w:space="0"/>
              <w:left w:val="single" w:color="auto" w:sz="4" w:space="0"/>
              <w:bottom w:val="single" w:color="auto" w:sz="4" w:space="0"/>
              <w:right w:val="single" w:color="auto" w:sz="4" w:space="0"/>
            </w:tcBorders>
            <w:noWrap w:val="0"/>
            <w:vAlign w:val="center"/>
          </w:tcPr>
          <w:p w14:paraId="6D3D9F2F">
            <w:pPr>
              <w:spacing w:line="240" w:lineRule="exact"/>
              <w:rPr>
                <w:rFonts w:hint="eastAsia" w:ascii="宋体" w:hAnsi="宋体" w:eastAsia="宋体" w:cs="宋体"/>
                <w:color w:val="000000"/>
                <w:sz w:val="21"/>
                <w:szCs w:val="21"/>
              </w:rPr>
            </w:pPr>
            <w:r>
              <w:rPr>
                <w:rFonts w:hint="eastAsia" w:ascii="宋体" w:hAnsi="宋体" w:eastAsia="宋体" w:cs="宋体"/>
                <w:color w:val="000000"/>
                <w:sz w:val="21"/>
                <w:szCs w:val="21"/>
              </w:rPr>
              <w:t>每个分包只能有一个响应方案。</w:t>
            </w:r>
          </w:p>
        </w:tc>
      </w:tr>
      <w:tr w14:paraId="6F586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75" w:type="dxa"/>
            <w:vMerge w:val="continue"/>
            <w:tcBorders>
              <w:top w:val="single" w:color="auto" w:sz="4" w:space="0"/>
              <w:left w:val="single" w:color="auto" w:sz="4" w:space="0"/>
              <w:bottom w:val="single" w:color="auto" w:sz="4" w:space="0"/>
              <w:right w:val="single" w:color="auto" w:sz="4" w:space="0"/>
            </w:tcBorders>
            <w:noWrap w:val="0"/>
            <w:vAlign w:val="center"/>
          </w:tcPr>
          <w:p w14:paraId="3354CE5D">
            <w:pPr>
              <w:spacing w:line="240" w:lineRule="exact"/>
              <w:jc w:val="center"/>
              <w:rPr>
                <w:rFonts w:hint="eastAsia" w:ascii="宋体" w:hAnsi="宋体" w:eastAsia="宋体" w:cs="宋体"/>
                <w:color w:val="000000"/>
                <w:sz w:val="21"/>
                <w:szCs w:val="21"/>
              </w:rPr>
            </w:pPr>
          </w:p>
        </w:tc>
        <w:tc>
          <w:tcPr>
            <w:tcW w:w="1560" w:type="dxa"/>
            <w:vMerge w:val="continue"/>
            <w:tcBorders>
              <w:top w:val="single" w:color="auto" w:sz="4" w:space="0"/>
              <w:left w:val="single" w:color="auto" w:sz="4" w:space="0"/>
              <w:bottom w:val="single" w:color="auto" w:sz="4" w:space="0"/>
              <w:right w:val="single" w:color="auto" w:sz="4" w:space="0"/>
            </w:tcBorders>
            <w:noWrap w:val="0"/>
            <w:vAlign w:val="center"/>
          </w:tcPr>
          <w:p w14:paraId="75654FCE">
            <w:pPr>
              <w:spacing w:line="240" w:lineRule="exact"/>
              <w:rPr>
                <w:rFonts w:hint="eastAsia" w:ascii="宋体" w:hAnsi="宋体" w:eastAsia="宋体" w:cs="宋体"/>
                <w:color w:val="000000"/>
                <w:sz w:val="21"/>
                <w:szCs w:val="21"/>
              </w:rPr>
            </w:pPr>
          </w:p>
        </w:tc>
        <w:tc>
          <w:tcPr>
            <w:tcW w:w="1984" w:type="dxa"/>
            <w:tcBorders>
              <w:top w:val="single" w:color="auto" w:sz="4" w:space="0"/>
              <w:left w:val="single" w:color="auto" w:sz="4" w:space="0"/>
              <w:bottom w:val="single" w:color="auto" w:sz="4" w:space="0"/>
              <w:right w:val="single" w:color="auto" w:sz="4" w:space="0"/>
            </w:tcBorders>
            <w:noWrap w:val="0"/>
            <w:vAlign w:val="center"/>
          </w:tcPr>
          <w:p w14:paraId="6A4724E5">
            <w:pPr>
              <w:spacing w:line="240" w:lineRule="exact"/>
              <w:rPr>
                <w:rFonts w:hint="eastAsia" w:ascii="宋体" w:hAnsi="宋体" w:eastAsia="宋体" w:cs="宋体"/>
                <w:color w:val="000000"/>
                <w:sz w:val="21"/>
                <w:szCs w:val="21"/>
              </w:rPr>
            </w:pPr>
            <w:r>
              <w:rPr>
                <w:rFonts w:hint="eastAsia" w:ascii="宋体" w:hAnsi="宋体" w:eastAsia="宋体" w:cs="宋体"/>
                <w:color w:val="000000"/>
                <w:sz w:val="21"/>
                <w:szCs w:val="21"/>
              </w:rPr>
              <w:t>报价唯一</w:t>
            </w:r>
          </w:p>
        </w:tc>
        <w:tc>
          <w:tcPr>
            <w:tcW w:w="5670" w:type="dxa"/>
            <w:tcBorders>
              <w:top w:val="single" w:color="auto" w:sz="4" w:space="0"/>
              <w:left w:val="single" w:color="auto" w:sz="4" w:space="0"/>
              <w:bottom w:val="single" w:color="auto" w:sz="4" w:space="0"/>
              <w:right w:val="single" w:color="auto" w:sz="4" w:space="0"/>
            </w:tcBorders>
            <w:noWrap w:val="0"/>
            <w:vAlign w:val="center"/>
          </w:tcPr>
          <w:p w14:paraId="5FED329B">
            <w:pPr>
              <w:spacing w:line="240" w:lineRule="exact"/>
              <w:rPr>
                <w:rFonts w:hint="eastAsia" w:ascii="宋体" w:hAnsi="宋体" w:eastAsia="宋体" w:cs="宋体"/>
                <w:color w:val="000000"/>
                <w:sz w:val="21"/>
                <w:szCs w:val="21"/>
              </w:rPr>
            </w:pPr>
            <w:r>
              <w:rPr>
                <w:rFonts w:hint="eastAsia" w:ascii="宋体" w:hAnsi="宋体" w:eastAsia="宋体" w:cs="宋体"/>
                <w:color w:val="000000"/>
                <w:sz w:val="21"/>
                <w:szCs w:val="21"/>
              </w:rPr>
              <w:t>只能在预算金额和最高限价内报价，只能有一个有效报价，不得提交选择性报价。</w:t>
            </w:r>
          </w:p>
        </w:tc>
      </w:tr>
      <w:tr w14:paraId="5FDC8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75" w:type="dxa"/>
            <w:vMerge w:val="restart"/>
            <w:tcBorders>
              <w:top w:val="single" w:color="auto" w:sz="4" w:space="0"/>
              <w:left w:val="single" w:color="auto" w:sz="4" w:space="0"/>
              <w:right w:val="single" w:color="auto" w:sz="4" w:space="0"/>
            </w:tcBorders>
            <w:noWrap w:val="0"/>
            <w:vAlign w:val="center"/>
          </w:tcPr>
          <w:p w14:paraId="27FF1230">
            <w:pPr>
              <w:spacing w:line="24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2</w:t>
            </w:r>
          </w:p>
        </w:tc>
        <w:tc>
          <w:tcPr>
            <w:tcW w:w="1560" w:type="dxa"/>
            <w:vMerge w:val="restart"/>
            <w:tcBorders>
              <w:top w:val="single" w:color="auto" w:sz="4" w:space="0"/>
              <w:left w:val="single" w:color="auto" w:sz="4" w:space="0"/>
              <w:right w:val="single" w:color="auto" w:sz="4" w:space="0"/>
            </w:tcBorders>
            <w:noWrap w:val="0"/>
            <w:vAlign w:val="center"/>
          </w:tcPr>
          <w:p w14:paraId="57D58F25">
            <w:pPr>
              <w:spacing w:line="240" w:lineRule="exact"/>
              <w:rPr>
                <w:rFonts w:hint="eastAsia" w:ascii="宋体" w:hAnsi="宋体" w:eastAsia="宋体" w:cs="宋体"/>
                <w:color w:val="000000"/>
                <w:sz w:val="21"/>
                <w:szCs w:val="21"/>
              </w:rPr>
            </w:pPr>
            <w:r>
              <w:rPr>
                <w:rFonts w:hint="eastAsia" w:ascii="宋体" w:hAnsi="宋体" w:eastAsia="宋体" w:cs="宋体"/>
                <w:color w:val="000000"/>
                <w:sz w:val="21"/>
                <w:szCs w:val="21"/>
              </w:rPr>
              <w:t>完整性审查</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7CE2A3CF">
            <w:pPr>
              <w:spacing w:line="240" w:lineRule="exact"/>
              <w:rPr>
                <w:rFonts w:hint="eastAsia" w:ascii="宋体" w:hAnsi="宋体" w:eastAsia="宋体" w:cs="宋体"/>
                <w:color w:val="000000"/>
                <w:sz w:val="21"/>
                <w:szCs w:val="21"/>
              </w:rPr>
            </w:pPr>
            <w:r>
              <w:rPr>
                <w:rFonts w:hint="eastAsia" w:ascii="宋体" w:hAnsi="宋体" w:eastAsia="宋体" w:cs="宋体"/>
                <w:color w:val="000000"/>
                <w:sz w:val="21"/>
                <w:szCs w:val="21"/>
              </w:rPr>
              <w:t>响应文件份数</w:t>
            </w:r>
          </w:p>
        </w:tc>
        <w:tc>
          <w:tcPr>
            <w:tcW w:w="5670" w:type="dxa"/>
            <w:tcBorders>
              <w:top w:val="single" w:color="auto" w:sz="4" w:space="0"/>
              <w:left w:val="single" w:color="auto" w:sz="4" w:space="0"/>
              <w:right w:val="single" w:color="auto" w:sz="4" w:space="0"/>
            </w:tcBorders>
            <w:noWrap w:val="0"/>
            <w:vAlign w:val="center"/>
          </w:tcPr>
          <w:p w14:paraId="3C52318C">
            <w:pPr>
              <w:spacing w:line="240" w:lineRule="exact"/>
              <w:rPr>
                <w:rFonts w:hint="eastAsia" w:ascii="宋体" w:hAnsi="宋体" w:eastAsia="宋体" w:cs="宋体"/>
                <w:color w:val="000000"/>
                <w:sz w:val="21"/>
                <w:szCs w:val="21"/>
              </w:rPr>
            </w:pPr>
            <w:r>
              <w:rPr>
                <w:rFonts w:hint="eastAsia" w:ascii="宋体" w:hAnsi="宋体" w:eastAsia="宋体" w:cs="宋体"/>
                <w:color w:val="000000"/>
                <w:sz w:val="21"/>
                <w:szCs w:val="21"/>
              </w:rPr>
              <w:t>响应文件正、副本数量符合询价通知书要求。</w:t>
            </w:r>
          </w:p>
        </w:tc>
      </w:tr>
      <w:tr w14:paraId="38F21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675" w:type="dxa"/>
            <w:vMerge w:val="continue"/>
            <w:tcBorders>
              <w:left w:val="single" w:color="auto" w:sz="4" w:space="0"/>
              <w:bottom w:val="single" w:color="auto" w:sz="4" w:space="0"/>
              <w:right w:val="single" w:color="auto" w:sz="4" w:space="0"/>
            </w:tcBorders>
            <w:noWrap w:val="0"/>
            <w:vAlign w:val="center"/>
          </w:tcPr>
          <w:p w14:paraId="2EBC8DEB">
            <w:pPr>
              <w:spacing w:line="240" w:lineRule="exact"/>
              <w:jc w:val="center"/>
              <w:rPr>
                <w:rFonts w:hint="eastAsia" w:ascii="宋体" w:hAnsi="宋体" w:eastAsia="宋体" w:cs="宋体"/>
                <w:color w:val="000000"/>
                <w:sz w:val="21"/>
                <w:szCs w:val="21"/>
              </w:rPr>
            </w:pPr>
          </w:p>
        </w:tc>
        <w:tc>
          <w:tcPr>
            <w:tcW w:w="1560" w:type="dxa"/>
            <w:vMerge w:val="continue"/>
            <w:tcBorders>
              <w:left w:val="single" w:color="auto" w:sz="4" w:space="0"/>
              <w:bottom w:val="single" w:color="auto" w:sz="4" w:space="0"/>
              <w:right w:val="single" w:color="auto" w:sz="4" w:space="0"/>
            </w:tcBorders>
            <w:noWrap w:val="0"/>
            <w:vAlign w:val="center"/>
          </w:tcPr>
          <w:p w14:paraId="32716AD6">
            <w:pPr>
              <w:spacing w:line="240" w:lineRule="exact"/>
              <w:rPr>
                <w:rFonts w:hint="eastAsia" w:ascii="宋体" w:hAnsi="宋体" w:eastAsia="宋体" w:cs="宋体"/>
                <w:color w:val="000000"/>
                <w:sz w:val="21"/>
                <w:szCs w:val="21"/>
              </w:rPr>
            </w:pPr>
          </w:p>
        </w:tc>
        <w:tc>
          <w:tcPr>
            <w:tcW w:w="1984" w:type="dxa"/>
            <w:tcBorders>
              <w:top w:val="single" w:color="auto" w:sz="4" w:space="0"/>
              <w:left w:val="single" w:color="auto" w:sz="4" w:space="0"/>
              <w:bottom w:val="single" w:color="auto" w:sz="4" w:space="0"/>
              <w:right w:val="single" w:color="auto" w:sz="4" w:space="0"/>
            </w:tcBorders>
            <w:noWrap w:val="0"/>
            <w:vAlign w:val="center"/>
          </w:tcPr>
          <w:p w14:paraId="45BD8D04">
            <w:pPr>
              <w:spacing w:line="240" w:lineRule="exact"/>
              <w:rPr>
                <w:rFonts w:hint="eastAsia" w:ascii="宋体" w:hAnsi="宋体" w:eastAsia="宋体" w:cs="宋体"/>
                <w:color w:val="000000"/>
                <w:sz w:val="21"/>
                <w:szCs w:val="21"/>
              </w:rPr>
            </w:pPr>
            <w:r>
              <w:rPr>
                <w:rFonts w:hint="eastAsia" w:ascii="宋体" w:hAnsi="宋体" w:eastAsia="宋体" w:cs="宋体"/>
                <w:color w:val="000000"/>
                <w:sz w:val="21"/>
                <w:szCs w:val="21"/>
              </w:rPr>
              <w:t>响应文件内容</w:t>
            </w:r>
          </w:p>
        </w:tc>
        <w:tc>
          <w:tcPr>
            <w:tcW w:w="5670" w:type="dxa"/>
            <w:tcBorders>
              <w:left w:val="single" w:color="auto" w:sz="4" w:space="0"/>
              <w:bottom w:val="single" w:color="auto" w:sz="4" w:space="0"/>
              <w:right w:val="single" w:color="auto" w:sz="4" w:space="0"/>
            </w:tcBorders>
            <w:noWrap w:val="0"/>
            <w:vAlign w:val="center"/>
          </w:tcPr>
          <w:p w14:paraId="6D6D0DCA">
            <w:pPr>
              <w:spacing w:line="240" w:lineRule="exact"/>
              <w:rPr>
                <w:rFonts w:hint="eastAsia" w:ascii="宋体" w:hAnsi="宋体" w:eastAsia="宋体" w:cs="宋体"/>
                <w:color w:val="000000"/>
                <w:sz w:val="21"/>
                <w:szCs w:val="21"/>
              </w:rPr>
            </w:pPr>
            <w:r>
              <w:rPr>
                <w:rFonts w:hint="eastAsia" w:ascii="宋体" w:hAnsi="宋体" w:eastAsia="宋体" w:cs="宋体"/>
                <w:color w:val="000000"/>
                <w:sz w:val="21"/>
                <w:szCs w:val="21"/>
              </w:rPr>
              <w:t>按询价通知书第六篇响应文件编制要求进行完整响应，无遗漏。</w:t>
            </w:r>
          </w:p>
        </w:tc>
      </w:tr>
      <w:tr w14:paraId="278B1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675" w:type="dxa"/>
            <w:vMerge w:val="restart"/>
            <w:tcBorders>
              <w:top w:val="single" w:color="auto" w:sz="4" w:space="0"/>
              <w:left w:val="single" w:color="auto" w:sz="4" w:space="0"/>
              <w:bottom w:val="single" w:color="auto" w:sz="4" w:space="0"/>
              <w:right w:val="single" w:color="auto" w:sz="4" w:space="0"/>
            </w:tcBorders>
            <w:noWrap w:val="0"/>
            <w:vAlign w:val="center"/>
          </w:tcPr>
          <w:p w14:paraId="503BFFB7">
            <w:pPr>
              <w:spacing w:line="24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3</w:t>
            </w:r>
          </w:p>
        </w:tc>
        <w:tc>
          <w:tcPr>
            <w:tcW w:w="1560" w:type="dxa"/>
            <w:vMerge w:val="restart"/>
            <w:tcBorders>
              <w:top w:val="single" w:color="auto" w:sz="4" w:space="0"/>
              <w:left w:val="single" w:color="auto" w:sz="4" w:space="0"/>
              <w:bottom w:val="single" w:color="auto" w:sz="4" w:space="0"/>
              <w:right w:val="single" w:color="auto" w:sz="4" w:space="0"/>
            </w:tcBorders>
            <w:noWrap w:val="0"/>
            <w:vAlign w:val="center"/>
          </w:tcPr>
          <w:p w14:paraId="357E61C1">
            <w:pPr>
              <w:spacing w:line="240" w:lineRule="exact"/>
              <w:rPr>
                <w:rFonts w:hint="eastAsia" w:ascii="宋体" w:hAnsi="宋体" w:eastAsia="宋体" w:cs="宋体"/>
                <w:color w:val="000000"/>
                <w:sz w:val="21"/>
                <w:szCs w:val="21"/>
              </w:rPr>
            </w:pPr>
            <w:r>
              <w:rPr>
                <w:rFonts w:hint="eastAsia" w:ascii="宋体" w:hAnsi="宋体" w:eastAsia="宋体" w:cs="宋体"/>
                <w:color w:val="000000"/>
                <w:sz w:val="21"/>
                <w:szCs w:val="21"/>
              </w:rPr>
              <w:t>询价通知书的响应程度审查</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36F96E9D">
            <w:pPr>
              <w:spacing w:line="240" w:lineRule="exact"/>
              <w:rPr>
                <w:rFonts w:hint="eastAsia" w:ascii="宋体" w:hAnsi="宋体" w:eastAsia="宋体" w:cs="宋体"/>
                <w:color w:val="000000"/>
                <w:sz w:val="21"/>
                <w:szCs w:val="21"/>
              </w:rPr>
            </w:pPr>
            <w:r>
              <w:rPr>
                <w:rFonts w:hint="eastAsia" w:ascii="宋体" w:hAnsi="宋体" w:eastAsia="宋体" w:cs="宋体"/>
                <w:color w:val="000000"/>
                <w:sz w:val="21"/>
                <w:szCs w:val="21"/>
              </w:rPr>
              <w:t>响应文件内容</w:t>
            </w:r>
          </w:p>
        </w:tc>
        <w:tc>
          <w:tcPr>
            <w:tcW w:w="5670" w:type="dxa"/>
            <w:tcBorders>
              <w:top w:val="single" w:color="auto" w:sz="4" w:space="0"/>
              <w:left w:val="single" w:color="auto" w:sz="4" w:space="0"/>
              <w:bottom w:val="single" w:color="auto" w:sz="4" w:space="0"/>
              <w:right w:val="single" w:color="auto" w:sz="4" w:space="0"/>
            </w:tcBorders>
            <w:noWrap w:val="0"/>
            <w:vAlign w:val="center"/>
          </w:tcPr>
          <w:p w14:paraId="40771284">
            <w:pPr>
              <w:pStyle w:val="32"/>
              <w:spacing w:line="240" w:lineRule="exact"/>
              <w:rPr>
                <w:rFonts w:hint="eastAsia" w:ascii="宋体" w:hAnsi="宋体" w:eastAsia="宋体" w:cs="宋体"/>
                <w:color w:val="000000"/>
                <w:sz w:val="21"/>
                <w:szCs w:val="21"/>
              </w:rPr>
            </w:pPr>
            <w:r>
              <w:rPr>
                <w:rFonts w:hint="eastAsia" w:ascii="宋体" w:hAnsi="宋体" w:eastAsia="宋体" w:cs="宋体"/>
                <w:color w:val="000000"/>
                <w:sz w:val="21"/>
                <w:szCs w:val="21"/>
              </w:rPr>
              <w:t>对询价通知书第三篇、第四篇规定的询价内容作出响应。</w:t>
            </w:r>
          </w:p>
        </w:tc>
      </w:tr>
      <w:tr w14:paraId="2C0ED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75" w:type="dxa"/>
            <w:vMerge w:val="continue"/>
            <w:tcBorders>
              <w:top w:val="single" w:color="auto" w:sz="4" w:space="0"/>
              <w:left w:val="single" w:color="auto" w:sz="4" w:space="0"/>
              <w:bottom w:val="single" w:color="auto" w:sz="4" w:space="0"/>
              <w:right w:val="single" w:color="auto" w:sz="4" w:space="0"/>
            </w:tcBorders>
            <w:noWrap w:val="0"/>
            <w:vAlign w:val="center"/>
          </w:tcPr>
          <w:p w14:paraId="374FBDBD">
            <w:pPr>
              <w:spacing w:line="240" w:lineRule="exact"/>
              <w:rPr>
                <w:rFonts w:hint="eastAsia" w:ascii="宋体" w:hAnsi="宋体" w:eastAsia="宋体" w:cs="宋体"/>
                <w:color w:val="000000"/>
                <w:sz w:val="21"/>
                <w:szCs w:val="21"/>
              </w:rPr>
            </w:pPr>
          </w:p>
        </w:tc>
        <w:tc>
          <w:tcPr>
            <w:tcW w:w="1560" w:type="dxa"/>
            <w:vMerge w:val="continue"/>
            <w:tcBorders>
              <w:top w:val="single" w:color="auto" w:sz="4" w:space="0"/>
              <w:left w:val="single" w:color="auto" w:sz="4" w:space="0"/>
              <w:bottom w:val="single" w:color="auto" w:sz="4" w:space="0"/>
              <w:right w:val="single" w:color="auto" w:sz="4" w:space="0"/>
            </w:tcBorders>
            <w:noWrap w:val="0"/>
            <w:vAlign w:val="center"/>
          </w:tcPr>
          <w:p w14:paraId="199475DA">
            <w:pPr>
              <w:spacing w:line="240" w:lineRule="exact"/>
              <w:rPr>
                <w:rFonts w:hint="eastAsia" w:ascii="宋体" w:hAnsi="宋体" w:eastAsia="宋体" w:cs="宋体"/>
                <w:color w:val="000000"/>
                <w:sz w:val="21"/>
                <w:szCs w:val="21"/>
              </w:rPr>
            </w:pPr>
          </w:p>
        </w:tc>
        <w:tc>
          <w:tcPr>
            <w:tcW w:w="1984" w:type="dxa"/>
            <w:tcBorders>
              <w:top w:val="single" w:color="auto" w:sz="4" w:space="0"/>
              <w:left w:val="single" w:color="auto" w:sz="4" w:space="0"/>
              <w:bottom w:val="single" w:color="auto" w:sz="4" w:space="0"/>
              <w:right w:val="single" w:color="auto" w:sz="4" w:space="0"/>
            </w:tcBorders>
            <w:noWrap w:val="0"/>
            <w:vAlign w:val="center"/>
          </w:tcPr>
          <w:p w14:paraId="1609FA76">
            <w:pPr>
              <w:spacing w:line="240" w:lineRule="exact"/>
              <w:rPr>
                <w:rFonts w:hint="eastAsia" w:ascii="宋体" w:hAnsi="宋体" w:eastAsia="宋体" w:cs="宋体"/>
                <w:color w:val="000000"/>
                <w:sz w:val="21"/>
                <w:szCs w:val="21"/>
              </w:rPr>
            </w:pPr>
            <w:r>
              <w:rPr>
                <w:rFonts w:hint="eastAsia" w:ascii="宋体" w:hAnsi="宋体" w:eastAsia="宋体" w:cs="宋体"/>
                <w:color w:val="000000"/>
                <w:sz w:val="21"/>
                <w:szCs w:val="21"/>
              </w:rPr>
              <w:t>询价有效期</w:t>
            </w:r>
          </w:p>
        </w:tc>
        <w:tc>
          <w:tcPr>
            <w:tcW w:w="5670" w:type="dxa"/>
            <w:tcBorders>
              <w:top w:val="single" w:color="auto" w:sz="4" w:space="0"/>
              <w:left w:val="single" w:color="auto" w:sz="4" w:space="0"/>
              <w:bottom w:val="single" w:color="auto" w:sz="4" w:space="0"/>
              <w:right w:val="single" w:color="auto" w:sz="4" w:space="0"/>
            </w:tcBorders>
            <w:noWrap w:val="0"/>
            <w:vAlign w:val="center"/>
          </w:tcPr>
          <w:p w14:paraId="54186DE2">
            <w:pPr>
              <w:spacing w:line="240" w:lineRule="exact"/>
              <w:rPr>
                <w:rFonts w:hint="eastAsia" w:ascii="宋体" w:hAnsi="宋体" w:eastAsia="宋体" w:cs="宋体"/>
                <w:color w:val="000000"/>
                <w:sz w:val="21"/>
                <w:szCs w:val="21"/>
              </w:rPr>
            </w:pPr>
            <w:r>
              <w:rPr>
                <w:rFonts w:hint="eastAsia" w:ascii="宋体" w:hAnsi="宋体" w:eastAsia="宋体" w:cs="宋体"/>
                <w:color w:val="000000"/>
                <w:sz w:val="21"/>
                <w:szCs w:val="21"/>
              </w:rPr>
              <w:t>满足询价通知书规定。</w:t>
            </w:r>
          </w:p>
        </w:tc>
      </w:tr>
    </w:tbl>
    <w:p w14:paraId="6DE8B680">
      <w:pPr>
        <w:spacing w:line="400" w:lineRule="exact"/>
        <w:ind w:firstLine="360" w:firstLineChars="150"/>
        <w:rPr>
          <w:rFonts w:hint="eastAsia" w:ascii="宋体" w:hAnsi="宋体" w:eastAsia="宋体" w:cs="宋体"/>
          <w:color w:val="000000"/>
          <w:sz w:val="24"/>
          <w:szCs w:val="24"/>
        </w:rPr>
      </w:pPr>
      <w:r>
        <w:rPr>
          <w:rFonts w:hint="eastAsia" w:ascii="宋体" w:hAnsi="宋体" w:eastAsia="宋体" w:cs="宋体"/>
          <w:color w:val="000000"/>
          <w:sz w:val="24"/>
          <w:szCs w:val="24"/>
        </w:rPr>
        <w:t>（1）询价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55CFE97F">
      <w:pPr>
        <w:spacing w:line="400" w:lineRule="exact"/>
        <w:ind w:firstLine="360" w:firstLineChars="150"/>
        <w:rPr>
          <w:rFonts w:hint="eastAsia" w:ascii="宋体" w:hAnsi="宋体" w:eastAsia="宋体" w:cs="宋体"/>
          <w:color w:val="000000"/>
          <w:sz w:val="24"/>
          <w:szCs w:val="24"/>
        </w:rPr>
      </w:pPr>
      <w:r>
        <w:rPr>
          <w:rFonts w:hint="eastAsia" w:ascii="宋体" w:hAnsi="宋体" w:eastAsia="宋体" w:cs="宋体"/>
          <w:color w:val="000000"/>
          <w:sz w:val="24"/>
          <w:szCs w:val="24"/>
        </w:rPr>
        <w:t>（2）询价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676CAEC8">
      <w:pPr>
        <w:spacing w:line="400" w:lineRule="exact"/>
        <w:ind w:firstLine="360" w:firstLineChars="150"/>
        <w:rPr>
          <w:rFonts w:hint="eastAsia" w:ascii="宋体" w:hAnsi="宋体" w:eastAsia="宋体" w:cs="宋体"/>
          <w:color w:val="000000"/>
          <w:sz w:val="24"/>
          <w:szCs w:val="24"/>
        </w:rPr>
      </w:pPr>
      <w:r>
        <w:rPr>
          <w:rFonts w:hint="eastAsia" w:ascii="宋体" w:hAnsi="宋体" w:eastAsia="宋体" w:cs="宋体"/>
          <w:color w:val="000000"/>
          <w:sz w:val="24"/>
          <w:szCs w:val="24"/>
        </w:rPr>
        <w:t>（3）在询价过程中询价的任何一方不得向他人透露与询价有关的技术资料、价格或其他信息。</w:t>
      </w:r>
    </w:p>
    <w:p w14:paraId="4FAB4C1E">
      <w:pPr>
        <w:spacing w:line="400" w:lineRule="exact"/>
        <w:ind w:firstLine="360" w:firstLineChars="150"/>
        <w:rPr>
          <w:rFonts w:hint="eastAsia" w:ascii="宋体" w:hAnsi="宋体" w:eastAsia="宋体" w:cs="宋体"/>
          <w:color w:val="000000"/>
          <w:sz w:val="24"/>
          <w:szCs w:val="24"/>
        </w:rPr>
      </w:pPr>
      <w:r>
        <w:rPr>
          <w:rFonts w:hint="eastAsia" w:ascii="宋体" w:hAnsi="宋体" w:eastAsia="宋体" w:cs="宋体"/>
          <w:color w:val="000000"/>
          <w:sz w:val="24"/>
          <w:szCs w:val="24"/>
        </w:rPr>
        <w:t>（四）对技术和商务部分的评审</w:t>
      </w:r>
    </w:p>
    <w:p w14:paraId="001554DD">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1.“第三篇 询价项目技术需求”有一条及以上不能满足询价通知书要求的供应商为无效响应；</w:t>
      </w:r>
    </w:p>
    <w:p w14:paraId="23E777DB">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2.“第四篇 询价项目商务需求”有一条及以上不能满足询价通知书要求的供应商为无效响应。</w:t>
      </w:r>
    </w:p>
    <w:p w14:paraId="1BABEC48">
      <w:pPr>
        <w:ind w:firstLine="480" w:firstLineChars="200"/>
        <w:rPr>
          <w:rFonts w:hint="eastAsia" w:ascii="宋体" w:hAnsi="宋体" w:eastAsia="宋体" w:cs="宋体"/>
          <w:color w:val="000000"/>
          <w:sz w:val="24"/>
          <w:szCs w:val="24"/>
        </w:rPr>
      </w:pPr>
      <w:bookmarkStart w:id="46" w:name="_Toc102227320"/>
      <w:bookmarkStart w:id="47" w:name="_Toc426965635"/>
      <w:bookmarkStart w:id="48" w:name="_Toc487204784"/>
      <w:bookmarkStart w:id="49" w:name="_Toc342913394"/>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五</w:t>
      </w:r>
      <w:r>
        <w:rPr>
          <w:rFonts w:hint="eastAsia" w:ascii="宋体" w:hAnsi="宋体" w:eastAsia="宋体" w:cs="宋体"/>
          <w:color w:val="000000"/>
          <w:sz w:val="24"/>
          <w:szCs w:val="24"/>
        </w:rPr>
        <w:t>）成交</w:t>
      </w:r>
      <w:bookmarkEnd w:id="46"/>
      <w:r>
        <w:rPr>
          <w:rFonts w:hint="eastAsia" w:ascii="宋体" w:hAnsi="宋体" w:eastAsia="宋体" w:cs="宋体"/>
          <w:color w:val="000000"/>
          <w:sz w:val="24"/>
          <w:szCs w:val="24"/>
        </w:rPr>
        <w:t>标准</w:t>
      </w:r>
      <w:bookmarkEnd w:id="47"/>
      <w:bookmarkEnd w:id="48"/>
      <w:bookmarkEnd w:id="49"/>
    </w:p>
    <w:p w14:paraId="28F01C3B">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1.询价小组将依照本询价通知书相关规定对质量和服务均能满足询价实质性响应要求的供应商所提交的报价进行</w:t>
      </w:r>
      <w:r>
        <w:rPr>
          <w:rFonts w:hint="eastAsia" w:ascii="宋体" w:hAnsi="宋体" w:eastAsia="宋体" w:cs="宋体"/>
          <w:color w:val="000000"/>
          <w:sz w:val="24"/>
          <w:szCs w:val="24"/>
          <w:lang w:val="en-US" w:eastAsia="zh-CN"/>
        </w:rPr>
        <w:t>评审</w:t>
      </w:r>
      <w:r>
        <w:rPr>
          <w:rFonts w:hint="eastAsia" w:ascii="宋体" w:hAnsi="宋体" w:eastAsia="宋体" w:cs="宋体"/>
          <w:color w:val="000000"/>
          <w:sz w:val="24"/>
          <w:szCs w:val="24"/>
        </w:rPr>
        <w:t>，价格按照由低到高的顺序提出3名以上成交候选人，并编写评审报告。</w:t>
      </w:r>
    </w:p>
    <w:p w14:paraId="5F11A955">
      <w:pPr>
        <w:spacing w:line="400" w:lineRule="exact"/>
        <w:ind w:firstLine="480" w:firstLineChars="200"/>
        <w:rPr>
          <w:rFonts w:hint="eastAsia" w:ascii="宋体" w:hAnsi="宋体" w:eastAsia="宋体" w:cs="宋体"/>
          <w:color w:val="000000"/>
          <w:spacing w:val="-18"/>
          <w:sz w:val="24"/>
          <w:szCs w:val="24"/>
        </w:rPr>
      </w:pPr>
      <w:r>
        <w:rPr>
          <w:rFonts w:hint="eastAsia" w:ascii="宋体" w:hAnsi="宋体" w:eastAsia="宋体" w:cs="宋体"/>
          <w:color w:val="000000"/>
          <w:sz w:val="24"/>
          <w:szCs w:val="24"/>
        </w:rPr>
        <w:t>2.</w:t>
      </w:r>
      <w:r>
        <w:rPr>
          <w:rFonts w:hint="eastAsia" w:ascii="宋体" w:hAnsi="宋体" w:eastAsia="宋体" w:cs="宋体"/>
          <w:color w:val="000000"/>
          <w:spacing w:val="-18"/>
          <w:sz w:val="24"/>
          <w:szCs w:val="24"/>
        </w:rPr>
        <w:t>若供应商的报价经扣减后价格相同的，按技术参数（条款）的优劣确定成交人；报价相同，技术参数（条款）也相同的，按商务条款优劣确定成交人；报价相同，且技术和商务相同或不具有可比性则由采购人或者采购人委托询价小组在相同报价竞标人中以抽签形式确定成交人。</w:t>
      </w:r>
    </w:p>
    <w:p w14:paraId="56504766">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3.成交价格=成交供应商的报价</w:t>
      </w:r>
    </w:p>
    <w:p w14:paraId="04FBCEE2">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4.询价小组认为供应商</w:t>
      </w:r>
      <w:r>
        <w:rPr>
          <w:rFonts w:hint="eastAsia" w:ascii="宋体" w:hAnsi="宋体" w:eastAsia="宋体" w:cs="宋体"/>
          <w:color w:val="000000"/>
          <w:kern w:val="0"/>
          <w:sz w:val="24"/>
          <w:szCs w:val="24"/>
        </w:rPr>
        <w:t>的报价明显低于其他通过符合性审查供应商的报价，有可能影响产品质量或者不能诚信履约的，应当要求其在评标现场合理的时间内提供书面说明，必要时提交相关证明材料；供应商不能证明其报价合理性的，询价小组应当将其作为无效响应处理。</w:t>
      </w:r>
    </w:p>
    <w:p w14:paraId="1705ACE3">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采取采购人确定成交供应商的，采购代理机构应当在评审结束后2个工作日内将评审报告送采购人确认。采购人应当在收到评审报告后5个工作日内，从评审报告提出的成交候选人中，根据质量和服务均能满足询价通知书实质性响应要求且报价最低的原则确定成交供应商。采购人逾期未确定成交供应商且不提出异议的，视为确定评审报告提出的最后报价最低的供应商为成交供应商。采购人也可以授权询价小组直接确定成交供应商。</w:t>
      </w:r>
    </w:p>
    <w:p w14:paraId="3E7A5D7E">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6.成交供应商的变更</w:t>
      </w:r>
    </w:p>
    <w:p w14:paraId="21BC1B05">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6.1成交供应商拒绝与采购人签订合同的，采购人可以按照评审报告推荐的成交候选供应商顺序，确定排名下一位的候选人为成交供应商，也可以重新开展政府采购活动。拒绝签订政府采购合同的成交供应商不得参加对该项目重新开展的采购活动。</w:t>
      </w:r>
    </w:p>
    <w:p w14:paraId="5F2CD6F8">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6.2采购人违法改变成交结果，或者成交供应商无正当理由放弃成交项目的，应当依法承担法律责任。</w:t>
      </w:r>
    </w:p>
    <w:p w14:paraId="00E4A682">
      <w:pPr>
        <w:pStyle w:val="5"/>
        <w:spacing w:before="0" w:after="0" w:line="400" w:lineRule="exact"/>
        <w:rPr>
          <w:rFonts w:hint="eastAsia" w:ascii="宋体" w:hAnsi="宋体" w:eastAsia="宋体" w:cs="宋体"/>
          <w:color w:val="000000"/>
          <w:sz w:val="24"/>
          <w:szCs w:val="24"/>
        </w:rPr>
      </w:pPr>
      <w:bookmarkStart w:id="50" w:name="_Toc13926"/>
      <w:r>
        <w:rPr>
          <w:rFonts w:hint="eastAsia" w:ascii="宋体" w:hAnsi="宋体" w:eastAsia="宋体" w:cs="宋体"/>
          <w:color w:val="000000"/>
          <w:sz w:val="24"/>
          <w:szCs w:val="24"/>
        </w:rPr>
        <w:t>五、评审依据</w:t>
      </w:r>
      <w:bookmarkEnd w:id="50"/>
    </w:p>
    <w:p w14:paraId="1D62D413">
      <w:pPr>
        <w:spacing w:line="400" w:lineRule="exact"/>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评审的依据为询价通知书和响应文件（含有效的补充文件）。询价小组判断响应文件对询价通知书的响应，仅基于响应文件本身而不靠外部证据。</w:t>
      </w:r>
    </w:p>
    <w:p w14:paraId="53F040D5">
      <w:pPr>
        <w:pStyle w:val="5"/>
        <w:spacing w:before="0" w:after="0" w:line="400" w:lineRule="exact"/>
        <w:rPr>
          <w:rFonts w:hint="eastAsia" w:ascii="宋体" w:hAnsi="宋体" w:eastAsia="宋体" w:cs="宋体"/>
          <w:color w:val="000000"/>
          <w:sz w:val="24"/>
          <w:szCs w:val="24"/>
        </w:rPr>
      </w:pPr>
      <w:bookmarkStart w:id="51" w:name="_Toc24344"/>
      <w:bookmarkStart w:id="52" w:name="_Toc102227321"/>
      <w:bookmarkStart w:id="53" w:name="_Toc426965636"/>
      <w:bookmarkStart w:id="54" w:name="_Toc487204785"/>
      <w:bookmarkStart w:id="55" w:name="_Toc342913395"/>
      <w:r>
        <w:rPr>
          <w:rFonts w:hint="eastAsia" w:ascii="宋体" w:hAnsi="宋体" w:eastAsia="宋体" w:cs="宋体"/>
          <w:color w:val="000000"/>
          <w:sz w:val="24"/>
          <w:szCs w:val="24"/>
        </w:rPr>
        <w:t>六、成交通知</w:t>
      </w:r>
      <w:bookmarkEnd w:id="51"/>
      <w:bookmarkEnd w:id="52"/>
      <w:bookmarkEnd w:id="53"/>
      <w:bookmarkEnd w:id="54"/>
      <w:bookmarkEnd w:id="55"/>
    </w:p>
    <w:p w14:paraId="195E50BE">
      <w:pPr>
        <w:spacing w:line="400" w:lineRule="exact"/>
        <w:ind w:firstLine="360" w:firstLineChars="150"/>
        <w:rPr>
          <w:rFonts w:hint="eastAsia" w:ascii="宋体" w:hAnsi="宋体" w:eastAsia="宋体" w:cs="宋体"/>
          <w:color w:val="000000"/>
          <w:sz w:val="24"/>
          <w:szCs w:val="24"/>
        </w:rPr>
      </w:pPr>
      <w:r>
        <w:rPr>
          <w:rFonts w:hint="eastAsia" w:ascii="宋体" w:hAnsi="宋体" w:eastAsia="宋体" w:cs="宋体"/>
          <w:color w:val="000000"/>
          <w:sz w:val="24"/>
          <w:szCs w:val="24"/>
        </w:rPr>
        <w:t>（一）成交供应商确定后2个工作日内，采购代理机构发布成交结果公告。</w:t>
      </w:r>
    </w:p>
    <w:p w14:paraId="2BE315FE">
      <w:pPr>
        <w:spacing w:line="400" w:lineRule="exact"/>
        <w:ind w:firstLine="360" w:firstLineChars="150"/>
        <w:rPr>
          <w:rFonts w:hint="eastAsia" w:ascii="宋体" w:hAnsi="宋体" w:eastAsia="宋体" w:cs="宋体"/>
          <w:color w:val="000000"/>
          <w:sz w:val="24"/>
          <w:szCs w:val="24"/>
        </w:rPr>
      </w:pPr>
      <w:r>
        <w:rPr>
          <w:rFonts w:hint="eastAsia" w:ascii="宋体" w:hAnsi="宋体" w:eastAsia="宋体" w:cs="宋体"/>
          <w:color w:val="000000"/>
          <w:sz w:val="24"/>
          <w:szCs w:val="24"/>
        </w:rPr>
        <w:t>（二）结果公告期结束后，采购代理机构将以书面形式发出《成交通知书》。《成交通知书》一经发出即发生法律效力。</w:t>
      </w:r>
    </w:p>
    <w:p w14:paraId="4D1DECE5">
      <w:pPr>
        <w:spacing w:line="400" w:lineRule="exact"/>
        <w:ind w:firstLine="360" w:firstLineChars="150"/>
        <w:rPr>
          <w:rFonts w:hint="eastAsia" w:ascii="宋体" w:hAnsi="宋体" w:eastAsia="宋体" w:cs="宋体"/>
          <w:color w:val="000000"/>
          <w:sz w:val="24"/>
          <w:szCs w:val="24"/>
        </w:rPr>
      </w:pPr>
      <w:r>
        <w:rPr>
          <w:rFonts w:hint="eastAsia" w:ascii="宋体" w:hAnsi="宋体" w:eastAsia="宋体" w:cs="宋体"/>
          <w:color w:val="000000"/>
          <w:sz w:val="24"/>
          <w:szCs w:val="24"/>
        </w:rPr>
        <w:t>（三）《成交通知书》将作为签订合同的依据。</w:t>
      </w:r>
    </w:p>
    <w:p w14:paraId="59A9968E">
      <w:pPr>
        <w:spacing w:line="400" w:lineRule="exact"/>
        <w:ind w:firstLine="360" w:firstLineChars="150"/>
        <w:rPr>
          <w:rFonts w:hint="eastAsia" w:ascii="宋体" w:hAnsi="宋体" w:eastAsia="宋体" w:cs="宋体"/>
          <w:color w:val="000000"/>
          <w:sz w:val="24"/>
          <w:szCs w:val="24"/>
        </w:rPr>
      </w:pPr>
      <w:r>
        <w:rPr>
          <w:rFonts w:hint="eastAsia" w:ascii="宋体" w:hAnsi="宋体" w:eastAsia="宋体" w:cs="宋体"/>
          <w:color w:val="000000"/>
          <w:sz w:val="24"/>
          <w:szCs w:val="24"/>
        </w:rPr>
        <w:t>（四）如有供应商对成交结果提出质疑的，在质疑处理完毕后发出成交通知书。</w:t>
      </w:r>
    </w:p>
    <w:p w14:paraId="42670E83">
      <w:pPr>
        <w:pStyle w:val="5"/>
        <w:spacing w:before="0" w:after="0" w:line="400" w:lineRule="exact"/>
        <w:rPr>
          <w:rFonts w:hint="eastAsia" w:ascii="宋体" w:hAnsi="宋体" w:eastAsia="宋体" w:cs="宋体"/>
          <w:color w:val="000000"/>
          <w:sz w:val="24"/>
          <w:szCs w:val="24"/>
        </w:rPr>
      </w:pPr>
      <w:bookmarkStart w:id="56" w:name="_Toc487204786"/>
      <w:bookmarkStart w:id="57" w:name="_Toc426965637"/>
      <w:bookmarkStart w:id="58" w:name="_Toc29570"/>
      <w:r>
        <w:rPr>
          <w:rFonts w:hint="eastAsia" w:ascii="宋体" w:hAnsi="宋体" w:eastAsia="宋体" w:cs="宋体"/>
          <w:color w:val="000000"/>
          <w:sz w:val="24"/>
          <w:szCs w:val="24"/>
        </w:rPr>
        <w:t>七、关于询问、质疑和投诉</w:t>
      </w:r>
      <w:bookmarkEnd w:id="56"/>
      <w:bookmarkEnd w:id="57"/>
      <w:bookmarkEnd w:id="58"/>
    </w:p>
    <w:p w14:paraId="3C89A949">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（一）询问</w:t>
      </w:r>
    </w:p>
    <w:p w14:paraId="1F6F8D05">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采购人或者采购代理机构应当在3个工作日内对供应商依法提出的询问作出答复。供应商询问可以是口头或书面形式。</w:t>
      </w:r>
    </w:p>
    <w:p w14:paraId="13C96C96">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（二）质疑内容、时限</w:t>
      </w:r>
    </w:p>
    <w:p w14:paraId="687A0951">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1.质疑提出</w:t>
      </w:r>
    </w:p>
    <w:p w14:paraId="3FA64250">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提出质疑的供应商应当是参与所质疑项目采购活动的供应商。潜在供应商提出质疑前，应依法获取其可质疑的采购文件。</w:t>
      </w:r>
    </w:p>
    <w:p w14:paraId="3C403E43">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2.质疑时限、内容</w:t>
      </w:r>
    </w:p>
    <w:p w14:paraId="2FA545F7">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2.1供应商认为采购文件、采购过程和成交结果使自己的权益受到伤害的，可向采购人或采购代理机构以书面形式提出质疑。</w:t>
      </w:r>
    </w:p>
    <w:p w14:paraId="708A80D9">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2.2供应商对询价文件提出质疑的，应在询价文件</w:t>
      </w:r>
      <w:r>
        <w:rPr>
          <w:rFonts w:hint="eastAsia" w:ascii="宋体" w:hAnsi="宋体" w:eastAsia="宋体" w:cs="宋体"/>
          <w:color w:val="000000"/>
          <w:sz w:val="24"/>
          <w:szCs w:val="24"/>
          <w:lang w:val="en-US" w:eastAsia="zh-CN"/>
        </w:rPr>
        <w:t>公布之日</w:t>
      </w:r>
      <w:r>
        <w:rPr>
          <w:rFonts w:hint="eastAsia" w:ascii="宋体" w:hAnsi="宋体" w:eastAsia="宋体" w:cs="宋体"/>
          <w:color w:val="000000"/>
          <w:sz w:val="24"/>
          <w:szCs w:val="24"/>
        </w:rPr>
        <w:t>起</w:t>
      </w:r>
      <w:r>
        <w:rPr>
          <w:rFonts w:hint="eastAsia" w:ascii="宋体" w:hAnsi="宋体" w:eastAsia="宋体" w:cs="宋体"/>
          <w:color w:val="000000"/>
          <w:sz w:val="24"/>
          <w:szCs w:val="24"/>
          <w:lang w:val="en-US" w:eastAsia="zh-CN"/>
        </w:rPr>
        <w:t>三</w:t>
      </w:r>
      <w:r>
        <w:rPr>
          <w:rFonts w:hint="eastAsia" w:ascii="宋体" w:hAnsi="宋体" w:eastAsia="宋体" w:cs="宋体"/>
          <w:color w:val="000000"/>
          <w:sz w:val="24"/>
          <w:szCs w:val="24"/>
        </w:rPr>
        <w:t>个工作日内，一次性提出针对询价文件的所有质疑（注：质疑</w:t>
      </w:r>
      <w:r>
        <w:rPr>
          <w:rFonts w:hint="eastAsia" w:ascii="宋体" w:hAnsi="宋体" w:eastAsia="宋体" w:cs="宋体"/>
          <w:color w:val="000000"/>
          <w:sz w:val="24"/>
        </w:rPr>
        <w:t>特定资格条件、技术质量和商务要求、评审标准有异议的，应主要向采购人提出质疑，其他问题可向采购代理机构提出质疑</w:t>
      </w:r>
      <w:r>
        <w:rPr>
          <w:rFonts w:hint="eastAsia" w:ascii="宋体" w:hAnsi="宋体" w:eastAsia="宋体" w:cs="宋体"/>
          <w:color w:val="000000"/>
          <w:sz w:val="24"/>
          <w:szCs w:val="24"/>
        </w:rPr>
        <w:t>）。</w:t>
      </w:r>
    </w:p>
    <w:p w14:paraId="532FA3C2">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2.3 供应商对采购过程提出质疑的，应在各采购程序环节结束之日起七个工作日内，一次性提出针对同一采购程序环节的所有质疑。</w:t>
      </w:r>
    </w:p>
    <w:p w14:paraId="0088D9AB">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2.4供应商对成交结果提出质疑的，应当在成交结果公告期限届满之日起七个工作日内，一次性提出针对成交结果的所有质疑。</w:t>
      </w:r>
    </w:p>
    <w:p w14:paraId="13F81F4E">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2.5供应商提出质疑应当提交质疑函和必要的证明材料，质疑函应当包括下列内容：</w:t>
      </w:r>
    </w:p>
    <w:p w14:paraId="34AA0C29">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2.5.1供应商的姓名或者名称、地址、邮编、联系人、联系电话及邮箱；</w:t>
      </w:r>
    </w:p>
    <w:p w14:paraId="0F7F3989">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2.5.2质疑项目的名称、项目号以及询价项目编号；</w:t>
      </w:r>
    </w:p>
    <w:p w14:paraId="300EFB04">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2.5.3具体、明确的质疑事项和与质疑事项相关的请求；</w:t>
      </w:r>
    </w:p>
    <w:p w14:paraId="377BC48A">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2.5.4事实依据；</w:t>
      </w:r>
    </w:p>
    <w:p w14:paraId="7C984D10">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2.5.5必要的法律依据和证明材料；</w:t>
      </w:r>
    </w:p>
    <w:p w14:paraId="5D5FD134">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2.5.6提出质疑的日期；</w:t>
      </w:r>
    </w:p>
    <w:p w14:paraId="13887BAC">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2.5.7营业执照（或事业单位法人证书，或有效的自然人身份证明、组织机构代码证）复印件加盖供应商公章；</w:t>
      </w:r>
    </w:p>
    <w:p w14:paraId="0C29208E">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2.5.8法定代表人授权委托书原件、法定代表人身份证复印件和其授权代表的身份证复印件（供应商为自然人的提供自然人身份证复印件），加盖供应商公章；</w:t>
      </w:r>
    </w:p>
    <w:p w14:paraId="04DB08AE">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2.6供应商为自然人的，质疑函应当由本人签字；供应商为法人或者其他组织的，质疑函应当由法定代表人、主要负责人，或者其授权代表签字或者盖章，并加盖供应商公章。</w:t>
      </w:r>
    </w:p>
    <w:p w14:paraId="44AB283E">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3.质疑函格式</w:t>
      </w:r>
    </w:p>
    <w:p w14:paraId="4E8A32DE">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质疑函（投诉书）范本可在财政部门户网站、中国政府采购网、重庆市政府采购网下载。</w:t>
      </w:r>
    </w:p>
    <w:p w14:paraId="5B92627C">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4.质疑函接收方式</w:t>
      </w:r>
    </w:p>
    <w:p w14:paraId="096915D3">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质疑人应将质疑函（原件一式三份）送达或邮递至采购人，不符合要求的质疑函恕不接收。接收质疑的联系电话、联系方式等见第一篇。</w:t>
      </w:r>
    </w:p>
    <w:p w14:paraId="58ECD6EA">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5.质疑答复</w:t>
      </w:r>
    </w:p>
    <w:p w14:paraId="2B755420">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采购人或采购代理机构应当在收到供应商的书面质疑函后七个工作日内作出答复，并以书面形式通知质疑供应商和其他有关供应商。</w:t>
      </w:r>
    </w:p>
    <w:p w14:paraId="26C8FF41">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（三）投诉</w:t>
      </w:r>
    </w:p>
    <w:p w14:paraId="33FD75FC">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1.供应商对采购人、采购代理机构的答复不满意，或者采购人、采购代理机构未在规定时间内作出答复的，可以在答复期满后15个工作日内按照相关法律法规向财政部门提起投诉。</w:t>
      </w:r>
    </w:p>
    <w:p w14:paraId="3AF23597">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2.供应商应按照《政府采购质疑和投诉办法》（财政部令第94号）及相关法律法规要求递交投诉书和必要的证明材料。投诉书范本可在财政部门户网站和中国政府采购网下载。</w:t>
      </w:r>
    </w:p>
    <w:p w14:paraId="79939FFC">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投诉书应当使用中文，相关当事人提供外文书证或者外国语视听资料的，应当附有中文译本，由翻译机构盖章或者翻译人员签名；相关当事人向财政部门提供的在中华人民共和国领域外形成的证据，应当说明来源，经所在国公证机关证明，并经中华人民共和国驻该国使领馆认证，或者履行中华人民共和国与证据所在国订立的有关条约中规定的证明手续；相关当事人提供的在香港特别行政区、澳门特别行政区和台湾地区内形成的证据，应当履行相关的证明手续。</w:t>
      </w:r>
    </w:p>
    <w:p w14:paraId="7D89DE19">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4.在确定受理投诉后，财政部门自受理投诉之日起30个工作日内（需要检验、检测、鉴定、专家评审以及需要投诉人补正材料的，所需时间不计算在投诉处理期限内）对投诉事项做出处理决定。</w:t>
      </w:r>
    </w:p>
    <w:p w14:paraId="423AE23C">
      <w:pPr>
        <w:pStyle w:val="5"/>
        <w:spacing w:before="0" w:after="0" w:line="400" w:lineRule="exact"/>
        <w:rPr>
          <w:rFonts w:hint="eastAsia" w:ascii="宋体" w:hAnsi="宋体" w:eastAsia="宋体" w:cs="宋体"/>
          <w:color w:val="000000"/>
          <w:sz w:val="24"/>
          <w:szCs w:val="24"/>
        </w:rPr>
      </w:pPr>
      <w:bookmarkStart w:id="59" w:name="_Toc487204787"/>
      <w:bookmarkStart w:id="60" w:name="_Toc102227322"/>
      <w:bookmarkStart w:id="61" w:name="_Toc342913396"/>
      <w:bookmarkStart w:id="62" w:name="_Toc426965638"/>
      <w:bookmarkStart w:id="63" w:name="_Toc4729"/>
      <w:r>
        <w:rPr>
          <w:rFonts w:hint="eastAsia" w:ascii="宋体" w:hAnsi="宋体" w:eastAsia="宋体" w:cs="宋体"/>
          <w:color w:val="000000"/>
          <w:sz w:val="24"/>
          <w:szCs w:val="24"/>
        </w:rPr>
        <w:t>八、</w:t>
      </w:r>
      <w:bookmarkEnd w:id="59"/>
      <w:bookmarkEnd w:id="60"/>
      <w:bookmarkEnd w:id="61"/>
      <w:bookmarkEnd w:id="62"/>
      <w:r>
        <w:rPr>
          <w:rFonts w:hint="eastAsia" w:ascii="宋体" w:hAnsi="宋体" w:eastAsia="宋体" w:cs="宋体"/>
          <w:color w:val="000000"/>
          <w:sz w:val="24"/>
          <w:szCs w:val="24"/>
        </w:rPr>
        <w:t>询价供应商虚假应标、不履约等行为的处理</w:t>
      </w:r>
      <w:bookmarkEnd w:id="63"/>
    </w:p>
    <w:p w14:paraId="4298CDA7">
      <w:pPr>
        <w:spacing w:line="400" w:lineRule="exact"/>
        <w:ind w:firstLine="408"/>
        <w:rPr>
          <w:rFonts w:hint="eastAsia" w:ascii="宋体" w:hAnsi="宋体" w:eastAsia="宋体" w:cs="宋体"/>
          <w:color w:val="000000"/>
          <w:spacing w:val="-18"/>
          <w:sz w:val="24"/>
          <w:szCs w:val="24"/>
        </w:rPr>
      </w:pPr>
      <w:r>
        <w:rPr>
          <w:rFonts w:hint="eastAsia" w:ascii="宋体" w:hAnsi="宋体" w:eastAsia="宋体" w:cs="宋体"/>
          <w:color w:val="000000"/>
          <w:spacing w:val="-18"/>
          <w:sz w:val="24"/>
          <w:szCs w:val="24"/>
        </w:rPr>
        <w:t>供应商有提供虚假材料谋取成交，成交后无正当理由不与采购人签订合同，拒绝履行合同义务等行为，将严格按照《政府采购法》等相关法律法规予以处理。</w:t>
      </w:r>
    </w:p>
    <w:p w14:paraId="67765EEF">
      <w:pPr>
        <w:pStyle w:val="5"/>
        <w:spacing w:before="0" w:after="0" w:line="400" w:lineRule="exact"/>
        <w:rPr>
          <w:rFonts w:hint="eastAsia" w:ascii="宋体" w:hAnsi="宋体" w:eastAsia="宋体" w:cs="宋体"/>
          <w:color w:val="000000"/>
          <w:sz w:val="24"/>
          <w:szCs w:val="24"/>
        </w:rPr>
      </w:pPr>
      <w:bookmarkStart w:id="64" w:name="_Toc18916"/>
      <w:r>
        <w:rPr>
          <w:rFonts w:hint="eastAsia" w:ascii="宋体" w:hAnsi="宋体" w:eastAsia="宋体" w:cs="宋体"/>
          <w:color w:val="000000"/>
          <w:sz w:val="24"/>
          <w:szCs w:val="24"/>
        </w:rPr>
        <w:t>九、招标代理服务费</w:t>
      </w:r>
      <w:bookmarkEnd w:id="64"/>
    </w:p>
    <w:p w14:paraId="3D7E93CC">
      <w:pPr>
        <w:spacing w:line="400" w:lineRule="exact"/>
        <w:ind w:firstLine="408"/>
        <w:rPr>
          <w:rFonts w:hint="eastAsia" w:ascii="宋体" w:hAnsi="宋体" w:eastAsia="宋体" w:cs="宋体"/>
          <w:color w:val="000000"/>
          <w:spacing w:val="-18"/>
          <w:sz w:val="24"/>
          <w:szCs w:val="24"/>
        </w:rPr>
      </w:pPr>
      <w:r>
        <w:rPr>
          <w:rFonts w:hint="eastAsia" w:ascii="宋体" w:hAnsi="宋体" w:eastAsia="宋体" w:cs="宋体"/>
          <w:color w:val="000000"/>
          <w:spacing w:val="-18"/>
          <w:sz w:val="24"/>
          <w:szCs w:val="24"/>
        </w:rPr>
        <w:t>招标代理费</w:t>
      </w:r>
      <w:r>
        <w:rPr>
          <w:rFonts w:hint="eastAsia" w:ascii="宋体" w:hAnsi="宋体" w:eastAsia="宋体" w:cs="宋体"/>
          <w:color w:val="000000"/>
          <w:spacing w:val="-18"/>
          <w:sz w:val="24"/>
          <w:szCs w:val="24"/>
          <w:lang w:val="en-US" w:eastAsia="zh-CN"/>
        </w:rPr>
        <w:t>1800元</w:t>
      </w:r>
      <w:r>
        <w:rPr>
          <w:rFonts w:hint="eastAsia" w:ascii="宋体" w:hAnsi="宋体" w:eastAsia="宋体" w:cs="宋体"/>
          <w:color w:val="000000"/>
          <w:spacing w:val="-18"/>
          <w:sz w:val="24"/>
          <w:szCs w:val="24"/>
        </w:rPr>
        <w:t>,由中标单位在领取“中标通知书”前一次性支付给招标代理机构。</w:t>
      </w:r>
    </w:p>
    <w:p w14:paraId="7FCE4679">
      <w:pPr>
        <w:pStyle w:val="5"/>
        <w:spacing w:before="0" w:after="0" w:line="400" w:lineRule="exact"/>
        <w:rPr>
          <w:rFonts w:hint="eastAsia" w:ascii="宋体" w:hAnsi="宋体" w:eastAsia="宋体" w:cs="宋体"/>
          <w:color w:val="000000"/>
          <w:sz w:val="24"/>
          <w:szCs w:val="24"/>
        </w:rPr>
      </w:pPr>
      <w:bookmarkStart w:id="65" w:name="_Toc11236"/>
      <w:r>
        <w:rPr>
          <w:rFonts w:hint="eastAsia" w:ascii="宋体" w:hAnsi="宋体" w:eastAsia="宋体" w:cs="宋体"/>
          <w:color w:val="000000"/>
          <w:sz w:val="24"/>
          <w:szCs w:val="24"/>
          <w:lang w:val="en-US" w:eastAsia="zh-CN"/>
        </w:rPr>
        <w:t>十</w:t>
      </w:r>
      <w:r>
        <w:rPr>
          <w:rFonts w:hint="eastAsia" w:ascii="宋体" w:hAnsi="宋体" w:eastAsia="宋体" w:cs="宋体"/>
          <w:color w:val="000000"/>
          <w:sz w:val="24"/>
          <w:szCs w:val="24"/>
        </w:rPr>
        <w:t>、签订合同</w:t>
      </w:r>
      <w:bookmarkEnd w:id="65"/>
    </w:p>
    <w:p w14:paraId="24161DC9">
      <w:pPr>
        <w:spacing w:line="400" w:lineRule="exact"/>
        <w:ind w:firstLine="360" w:firstLineChars="150"/>
        <w:rPr>
          <w:rFonts w:hint="eastAsia" w:ascii="宋体" w:hAnsi="宋体" w:eastAsia="宋体" w:cs="宋体"/>
          <w:color w:val="000000"/>
          <w:sz w:val="24"/>
          <w:szCs w:val="24"/>
        </w:rPr>
      </w:pPr>
      <w:r>
        <w:rPr>
          <w:rFonts w:hint="eastAsia" w:ascii="宋体" w:hAnsi="宋体" w:eastAsia="宋体" w:cs="宋体"/>
          <w:color w:val="000000"/>
          <w:sz w:val="24"/>
          <w:szCs w:val="24"/>
        </w:rPr>
        <w:t>（一）采购人与成交供应商应当在成交通知书发出之日起30日内（如</w:t>
      </w:r>
      <w:r>
        <w:rPr>
          <w:rFonts w:hint="eastAsia" w:ascii="宋体" w:hAnsi="宋体" w:eastAsia="宋体" w:cs="宋体"/>
          <w:b/>
          <w:color w:val="000000"/>
          <w:sz w:val="24"/>
          <w:szCs w:val="24"/>
        </w:rPr>
        <w:t>询价通知书第四篇第一条</w:t>
      </w:r>
      <w:r>
        <w:rPr>
          <w:rFonts w:hint="eastAsia" w:ascii="宋体" w:hAnsi="宋体" w:eastAsia="宋体" w:cs="宋体"/>
          <w:color w:val="000000"/>
          <w:sz w:val="24"/>
          <w:szCs w:val="24"/>
        </w:rPr>
        <w:t>另有要求且供应商响应了该要求的，则在要求的时间内签订），按照询价通知书确定的合同文本以及采购标的、规格型号、采购金额、采购数量、技术和服务要求等事项签订政府采购合同。</w:t>
      </w:r>
    </w:p>
    <w:p w14:paraId="2902B153">
      <w:pPr>
        <w:spacing w:line="400" w:lineRule="exact"/>
        <w:ind w:firstLine="360" w:firstLineChars="150"/>
        <w:rPr>
          <w:rFonts w:hint="eastAsia" w:ascii="宋体" w:hAnsi="宋体" w:eastAsia="宋体" w:cs="宋体"/>
          <w:color w:val="000000"/>
          <w:sz w:val="24"/>
          <w:szCs w:val="24"/>
        </w:rPr>
      </w:pPr>
      <w:r>
        <w:rPr>
          <w:rFonts w:hint="eastAsia" w:ascii="宋体" w:hAnsi="宋体" w:eastAsia="宋体" w:cs="宋体"/>
          <w:color w:val="000000"/>
          <w:sz w:val="24"/>
          <w:szCs w:val="24"/>
        </w:rPr>
        <w:t>（二）询价通知书、成交供应商的响应文件及有效承诺文件等，均为签订合同的依据。</w:t>
      </w:r>
    </w:p>
    <w:p w14:paraId="2A313ECF">
      <w:pPr>
        <w:spacing w:line="400" w:lineRule="exact"/>
        <w:ind w:firstLine="360" w:firstLineChars="150"/>
        <w:rPr>
          <w:rFonts w:hint="eastAsia" w:ascii="宋体" w:hAnsi="宋体" w:eastAsia="宋体" w:cs="宋体"/>
          <w:color w:val="000000"/>
          <w:sz w:val="24"/>
          <w:szCs w:val="24"/>
        </w:rPr>
      </w:pPr>
      <w:r>
        <w:rPr>
          <w:rFonts w:hint="eastAsia" w:ascii="宋体" w:hAnsi="宋体" w:eastAsia="宋体" w:cs="宋体"/>
          <w:color w:val="000000"/>
          <w:sz w:val="24"/>
          <w:szCs w:val="24"/>
        </w:rPr>
        <w:t>（三）成交供应商未按照询价通知书确定的事项签订合同，或者与采购人另行订立背离合同实质性内容协议的，将承担相关法律责任。</w:t>
      </w:r>
    </w:p>
    <w:p w14:paraId="7A36C964">
      <w:pPr>
        <w:spacing w:line="400" w:lineRule="exact"/>
        <w:ind w:firstLine="360" w:firstLineChars="150"/>
        <w:rPr>
          <w:rFonts w:hint="eastAsia" w:ascii="宋体" w:hAnsi="宋体" w:eastAsia="宋体" w:cs="宋体"/>
          <w:color w:val="000000"/>
          <w:sz w:val="24"/>
          <w:szCs w:val="24"/>
        </w:rPr>
      </w:pPr>
      <w:r>
        <w:rPr>
          <w:rFonts w:hint="eastAsia" w:ascii="宋体" w:hAnsi="宋体" w:eastAsia="宋体" w:cs="宋体"/>
          <w:color w:val="000000"/>
          <w:sz w:val="24"/>
          <w:szCs w:val="24"/>
        </w:rPr>
        <w:t>（四）采购人不得向成交供应商提出超出询价以外的任何要求作为签订合同的条件，不得与成交供应商订立背离询价确定的合同文本以及采购标的、规格型号、采购金额、采购数量、技术和服务要求等实质性内容的协议。</w:t>
      </w:r>
    </w:p>
    <w:p w14:paraId="4FDCE897">
      <w:pPr>
        <w:spacing w:line="400" w:lineRule="exact"/>
        <w:ind w:firstLine="360" w:firstLineChars="150"/>
        <w:rPr>
          <w:rFonts w:hint="eastAsia" w:ascii="宋体" w:hAnsi="宋体" w:eastAsia="宋体" w:cs="宋体"/>
          <w:color w:val="000000"/>
          <w:sz w:val="36"/>
          <w:szCs w:val="36"/>
        </w:rPr>
        <w:sectPr>
          <w:pgSz w:w="11907" w:h="16840"/>
          <w:pgMar w:top="1134" w:right="1191" w:bottom="1134" w:left="1304" w:header="964" w:footer="992" w:gutter="0"/>
          <w:pgNumType w:fmt="numberInDash"/>
          <w:cols w:space="720" w:num="1"/>
          <w:docGrid w:linePitch="381" w:charSpace="0"/>
        </w:sectPr>
      </w:pPr>
      <w:r>
        <w:rPr>
          <w:rFonts w:hint="eastAsia" w:ascii="宋体" w:hAnsi="宋体" w:eastAsia="宋体" w:cs="宋体"/>
          <w:color w:val="000000"/>
          <w:sz w:val="24"/>
          <w:szCs w:val="24"/>
        </w:rPr>
        <w:t>（五）除不可抗力等因素外，成交通知书发出后，采购人改变成交结果，或者成交供应商无正当理由拒绝签订政府采购合同的，应当承担相应的法律责任。</w:t>
      </w:r>
      <w:bookmarkStart w:id="66" w:name="_Toc487204788"/>
    </w:p>
    <w:p w14:paraId="1BB705BA">
      <w:pPr>
        <w:pStyle w:val="4"/>
        <w:spacing w:before="0" w:after="0" w:line="400" w:lineRule="exact"/>
        <w:jc w:val="both"/>
        <w:rPr>
          <w:rFonts w:hint="eastAsia" w:ascii="宋体" w:hAnsi="宋体" w:eastAsia="宋体" w:cs="宋体"/>
          <w:color w:val="000000"/>
          <w:sz w:val="36"/>
          <w:szCs w:val="36"/>
        </w:rPr>
      </w:pPr>
    </w:p>
    <w:p w14:paraId="19041811">
      <w:pPr>
        <w:pStyle w:val="4"/>
        <w:spacing w:before="0" w:after="0" w:line="400" w:lineRule="exact"/>
        <w:jc w:val="center"/>
        <w:rPr>
          <w:rFonts w:hint="eastAsia" w:ascii="宋体" w:hAnsi="宋体" w:eastAsia="宋体" w:cs="宋体"/>
          <w:bCs/>
          <w:color w:val="000000"/>
          <w:sz w:val="36"/>
          <w:szCs w:val="36"/>
        </w:rPr>
      </w:pPr>
      <w:bookmarkStart w:id="67" w:name="_Toc23951"/>
      <w:r>
        <w:rPr>
          <w:rFonts w:hint="eastAsia" w:ascii="宋体" w:hAnsi="宋体" w:eastAsia="宋体" w:cs="宋体"/>
          <w:color w:val="000000"/>
          <w:sz w:val="36"/>
          <w:szCs w:val="36"/>
        </w:rPr>
        <w:t xml:space="preserve">第三篇 </w:t>
      </w:r>
      <w:bookmarkEnd w:id="66"/>
      <w:r>
        <w:rPr>
          <w:rFonts w:hint="eastAsia" w:ascii="宋体" w:hAnsi="宋体" w:eastAsia="宋体" w:cs="宋体"/>
          <w:color w:val="000000"/>
          <w:sz w:val="36"/>
          <w:szCs w:val="36"/>
        </w:rPr>
        <w:t>询价项目技术需求</w:t>
      </w:r>
      <w:bookmarkEnd w:id="67"/>
      <w:bookmarkStart w:id="68" w:name="_Toc12789058"/>
      <w:bookmarkStart w:id="69" w:name="_Toc344475116"/>
      <w:bookmarkStart w:id="70" w:name="_Toc313536013"/>
    </w:p>
    <w:p w14:paraId="4773807D">
      <w:pPr>
        <w:spacing w:line="380" w:lineRule="exact"/>
        <w:ind w:firstLine="426" w:firstLineChars="200"/>
        <w:rPr>
          <w:rFonts w:hint="eastAsia" w:ascii="宋体" w:hAnsi="宋体" w:eastAsia="宋体" w:cs="宋体"/>
          <w:b/>
          <w:color w:val="000000"/>
          <w:spacing w:val="-14"/>
          <w:sz w:val="24"/>
          <w:szCs w:val="24"/>
        </w:rPr>
      </w:pPr>
    </w:p>
    <w:p w14:paraId="67C8BCEB">
      <w:pPr>
        <w:pStyle w:val="5"/>
        <w:spacing w:before="0" w:after="0" w:line="400" w:lineRule="exact"/>
        <w:ind w:firstLine="426" w:firstLineChars="200"/>
        <w:rPr>
          <w:rFonts w:hint="eastAsia" w:ascii="宋体" w:hAnsi="宋体" w:eastAsia="宋体" w:cs="宋体"/>
          <w:b/>
          <w:bCs w:val="0"/>
          <w:color w:val="000000"/>
          <w:spacing w:val="-14"/>
          <w:sz w:val="24"/>
          <w:szCs w:val="24"/>
          <w:lang w:val="en-US" w:eastAsia="zh-CN"/>
        </w:rPr>
      </w:pPr>
      <w:bookmarkStart w:id="71" w:name="_Toc18735"/>
    </w:p>
    <w:p w14:paraId="02268866">
      <w:pPr>
        <w:pStyle w:val="5"/>
        <w:spacing w:before="0" w:after="0" w:line="400" w:lineRule="exact"/>
        <w:ind w:firstLine="426" w:firstLineChars="200"/>
        <w:rPr>
          <w:rFonts w:hint="eastAsia" w:ascii="宋体" w:hAnsi="宋体" w:eastAsia="宋体" w:cs="宋体"/>
          <w:b/>
          <w:bCs w:val="0"/>
          <w:color w:val="000000"/>
          <w:spacing w:val="-14"/>
          <w:sz w:val="24"/>
          <w:szCs w:val="24"/>
        </w:rPr>
      </w:pPr>
      <w:bookmarkStart w:id="72" w:name="_Toc22330"/>
      <w:bookmarkStart w:id="73" w:name="_Toc12346"/>
      <w:r>
        <w:rPr>
          <w:rFonts w:hint="eastAsia" w:ascii="宋体" w:hAnsi="宋体" w:eastAsia="宋体" w:cs="宋体"/>
          <w:b/>
          <w:bCs w:val="0"/>
          <w:color w:val="000000"/>
          <w:spacing w:val="-14"/>
          <w:sz w:val="24"/>
          <w:szCs w:val="24"/>
          <w:lang w:val="en-US" w:eastAsia="zh-CN"/>
        </w:rPr>
        <w:t>一、</w:t>
      </w:r>
      <w:r>
        <w:rPr>
          <w:rFonts w:hint="eastAsia" w:ascii="宋体" w:hAnsi="宋体" w:eastAsia="宋体" w:cs="宋体"/>
          <w:b/>
          <w:bCs w:val="0"/>
          <w:color w:val="000000"/>
          <w:spacing w:val="-14"/>
          <w:sz w:val="24"/>
          <w:szCs w:val="24"/>
        </w:rPr>
        <w:t>采购需求</w:t>
      </w:r>
      <w:bookmarkEnd w:id="72"/>
      <w:bookmarkEnd w:id="73"/>
    </w:p>
    <w:p w14:paraId="180A535A">
      <w:pPr>
        <w:pStyle w:val="5"/>
        <w:spacing w:before="0" w:after="0" w:line="400" w:lineRule="exact"/>
        <w:ind w:firstLine="480" w:firstLineChars="200"/>
        <w:rPr>
          <w:rFonts w:hint="eastAsia" w:ascii="宋体" w:hAnsi="宋体" w:eastAsia="宋体" w:cs="宋体"/>
          <w:b w:val="0"/>
          <w:bCs/>
          <w:color w:val="000000"/>
          <w:sz w:val="24"/>
          <w:szCs w:val="24"/>
          <w:lang w:val="en-US" w:eastAsia="zh-CN"/>
        </w:rPr>
      </w:pPr>
      <w:bookmarkStart w:id="74" w:name="_Toc29989"/>
      <w:bookmarkStart w:id="75" w:name="_Toc11465"/>
      <w:r>
        <w:rPr>
          <w:rFonts w:hint="eastAsia" w:ascii="宋体" w:hAnsi="宋体" w:eastAsia="宋体" w:cs="宋体"/>
          <w:b w:val="0"/>
          <w:bCs/>
          <w:color w:val="000000"/>
          <w:sz w:val="24"/>
          <w:szCs w:val="24"/>
        </w:rPr>
        <w:t>详见</w:t>
      </w:r>
      <w:r>
        <w:rPr>
          <w:rFonts w:hint="eastAsia" w:ascii="宋体" w:hAnsi="宋体" w:eastAsia="宋体" w:cs="宋体"/>
          <w:b w:val="0"/>
          <w:bCs/>
          <w:color w:val="000000"/>
          <w:sz w:val="24"/>
          <w:szCs w:val="24"/>
          <w:u w:val="single"/>
          <w:lang w:val="en-US" w:eastAsia="zh-CN"/>
        </w:rPr>
        <w:t>室外党建文化墙建设项目（第二次）</w:t>
      </w:r>
      <w:r>
        <w:rPr>
          <w:rFonts w:hint="eastAsia" w:ascii="宋体" w:hAnsi="宋体" w:eastAsia="宋体" w:cs="宋体"/>
          <w:b w:val="0"/>
          <w:bCs/>
          <w:color w:val="000000"/>
          <w:sz w:val="24"/>
          <w:szCs w:val="24"/>
        </w:rPr>
        <w:t>清单</w:t>
      </w:r>
      <w:r>
        <w:rPr>
          <w:rFonts w:hint="eastAsia" w:ascii="宋体" w:hAnsi="宋体" w:eastAsia="宋体" w:cs="宋体"/>
          <w:b w:val="0"/>
          <w:bCs/>
          <w:color w:val="000000"/>
          <w:sz w:val="24"/>
          <w:szCs w:val="24"/>
          <w:lang w:eastAsia="zh-CN"/>
        </w:rPr>
        <w:t>、</w:t>
      </w:r>
      <w:r>
        <w:rPr>
          <w:rFonts w:hint="eastAsia" w:ascii="宋体" w:hAnsi="宋体" w:eastAsia="宋体" w:cs="宋体"/>
          <w:b w:val="0"/>
          <w:bCs/>
          <w:color w:val="000000"/>
          <w:sz w:val="24"/>
          <w:szCs w:val="24"/>
          <w:lang w:val="en-US" w:eastAsia="zh-CN"/>
        </w:rPr>
        <w:t>图纸。</w:t>
      </w:r>
      <w:bookmarkEnd w:id="74"/>
      <w:bookmarkEnd w:id="75"/>
    </w:p>
    <w:bookmarkEnd w:id="71"/>
    <w:tbl>
      <w:tblPr>
        <w:tblStyle w:val="57"/>
        <w:tblpPr w:leftFromText="180" w:rightFromText="180" w:vertAnchor="text" w:horzAnchor="page" w:tblpX="1045" w:tblpY="377"/>
        <w:tblOverlap w:val="never"/>
        <w:tblW w:w="9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7"/>
        <w:gridCol w:w="1298"/>
        <w:gridCol w:w="5629"/>
        <w:gridCol w:w="997"/>
        <w:gridCol w:w="1197"/>
      </w:tblGrid>
      <w:tr w14:paraId="61276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9878" w:type="dxa"/>
            <w:gridSpan w:val="5"/>
            <w:shd w:val="clear" w:color="FFFFFF" w:fill="FFFFFF"/>
            <w:noWrap w:val="0"/>
            <w:vAlign w:val="center"/>
          </w:tcPr>
          <w:p w14:paraId="0C7DE7C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b w:val="0"/>
                <w:bCs/>
                <w:color w:val="000000"/>
                <w:sz w:val="24"/>
                <w:szCs w:val="24"/>
                <w:u w:val="none"/>
                <w:lang w:val="en-US" w:eastAsia="zh-CN"/>
              </w:rPr>
              <w:t>室外党建文化墙建设项目（第二次）</w:t>
            </w:r>
            <w:r>
              <w:rPr>
                <w:rFonts w:hint="eastAsia" w:ascii="宋体" w:hAnsi="宋体" w:eastAsia="宋体" w:cs="宋体"/>
                <w:b w:val="0"/>
                <w:bCs/>
                <w:color w:val="000000"/>
                <w:sz w:val="24"/>
                <w:szCs w:val="24"/>
                <w:u w:val="none"/>
              </w:rPr>
              <w:t>清单</w:t>
            </w:r>
          </w:p>
        </w:tc>
      </w:tr>
      <w:tr w14:paraId="5144A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57" w:type="dxa"/>
            <w:vMerge w:val="restart"/>
            <w:shd w:val="clear" w:color="FFFFFF" w:fill="FFFFFF"/>
            <w:noWrap w:val="0"/>
            <w:vAlign w:val="center"/>
          </w:tcPr>
          <w:p w14:paraId="651B18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1298" w:type="dxa"/>
            <w:vMerge w:val="restart"/>
            <w:shd w:val="clear" w:color="FFFFFF" w:fill="FFFFFF"/>
            <w:noWrap w:val="0"/>
            <w:vAlign w:val="center"/>
          </w:tcPr>
          <w:p w14:paraId="274D7C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项目名称</w:t>
            </w:r>
          </w:p>
        </w:tc>
        <w:tc>
          <w:tcPr>
            <w:tcW w:w="5629" w:type="dxa"/>
            <w:vMerge w:val="restart"/>
            <w:shd w:val="clear" w:color="FFFFFF" w:fill="FFFFFF"/>
            <w:noWrap w:val="0"/>
            <w:vAlign w:val="center"/>
          </w:tcPr>
          <w:p w14:paraId="1A595F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项目特征</w:t>
            </w:r>
          </w:p>
        </w:tc>
        <w:tc>
          <w:tcPr>
            <w:tcW w:w="997" w:type="dxa"/>
            <w:vMerge w:val="restart"/>
            <w:shd w:val="clear" w:color="FFFFFF" w:fill="FFFFFF"/>
            <w:noWrap w:val="0"/>
            <w:vAlign w:val="center"/>
          </w:tcPr>
          <w:p w14:paraId="72CE9A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计量单位</w:t>
            </w:r>
          </w:p>
        </w:tc>
        <w:tc>
          <w:tcPr>
            <w:tcW w:w="1197" w:type="dxa"/>
            <w:vMerge w:val="restart"/>
            <w:shd w:val="clear" w:color="FFFFFF" w:fill="FFFFFF"/>
            <w:noWrap w:val="0"/>
            <w:vAlign w:val="center"/>
          </w:tcPr>
          <w:p w14:paraId="29499C9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工程量</w:t>
            </w:r>
          </w:p>
        </w:tc>
      </w:tr>
      <w:tr w14:paraId="2A32E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57" w:type="dxa"/>
            <w:vMerge w:val="continue"/>
            <w:shd w:val="clear" w:color="FFFFFF" w:fill="FFFFFF"/>
            <w:noWrap w:val="0"/>
            <w:vAlign w:val="center"/>
          </w:tcPr>
          <w:p w14:paraId="027E089E">
            <w:pPr>
              <w:jc w:val="center"/>
              <w:rPr>
                <w:rFonts w:hint="eastAsia" w:ascii="宋体" w:hAnsi="宋体" w:eastAsia="宋体" w:cs="宋体"/>
                <w:i w:val="0"/>
                <w:iCs w:val="0"/>
                <w:color w:val="000000"/>
                <w:sz w:val="24"/>
                <w:szCs w:val="24"/>
                <w:u w:val="none"/>
              </w:rPr>
            </w:pPr>
          </w:p>
        </w:tc>
        <w:tc>
          <w:tcPr>
            <w:tcW w:w="1298" w:type="dxa"/>
            <w:vMerge w:val="continue"/>
            <w:shd w:val="clear" w:color="FFFFFF" w:fill="FFFFFF"/>
            <w:noWrap w:val="0"/>
            <w:vAlign w:val="center"/>
          </w:tcPr>
          <w:p w14:paraId="500552E3">
            <w:pPr>
              <w:jc w:val="center"/>
              <w:rPr>
                <w:rFonts w:hint="eastAsia" w:ascii="宋体" w:hAnsi="宋体" w:eastAsia="宋体" w:cs="宋体"/>
                <w:i w:val="0"/>
                <w:iCs w:val="0"/>
                <w:color w:val="000000"/>
                <w:sz w:val="24"/>
                <w:szCs w:val="24"/>
                <w:u w:val="none"/>
              </w:rPr>
            </w:pPr>
          </w:p>
        </w:tc>
        <w:tc>
          <w:tcPr>
            <w:tcW w:w="5629" w:type="dxa"/>
            <w:vMerge w:val="continue"/>
            <w:shd w:val="clear" w:color="FFFFFF" w:fill="FFFFFF"/>
            <w:noWrap w:val="0"/>
            <w:vAlign w:val="center"/>
          </w:tcPr>
          <w:p w14:paraId="4D941E52">
            <w:pPr>
              <w:jc w:val="center"/>
              <w:rPr>
                <w:rFonts w:hint="eastAsia" w:ascii="宋体" w:hAnsi="宋体" w:eastAsia="宋体" w:cs="宋体"/>
                <w:i w:val="0"/>
                <w:iCs w:val="0"/>
                <w:color w:val="000000"/>
                <w:sz w:val="24"/>
                <w:szCs w:val="24"/>
                <w:u w:val="none"/>
              </w:rPr>
            </w:pPr>
          </w:p>
        </w:tc>
        <w:tc>
          <w:tcPr>
            <w:tcW w:w="997" w:type="dxa"/>
            <w:vMerge w:val="continue"/>
            <w:shd w:val="clear" w:color="FFFFFF" w:fill="FFFFFF"/>
            <w:noWrap w:val="0"/>
            <w:vAlign w:val="center"/>
          </w:tcPr>
          <w:p w14:paraId="3064644C">
            <w:pPr>
              <w:jc w:val="center"/>
              <w:rPr>
                <w:rFonts w:hint="eastAsia" w:ascii="宋体" w:hAnsi="宋体" w:eastAsia="宋体" w:cs="宋体"/>
                <w:i w:val="0"/>
                <w:iCs w:val="0"/>
                <w:color w:val="000000"/>
                <w:sz w:val="24"/>
                <w:szCs w:val="24"/>
                <w:u w:val="none"/>
              </w:rPr>
            </w:pPr>
          </w:p>
        </w:tc>
        <w:tc>
          <w:tcPr>
            <w:tcW w:w="1197" w:type="dxa"/>
            <w:vMerge w:val="continue"/>
            <w:shd w:val="clear" w:color="FFFFFF" w:fill="FFFFFF"/>
            <w:noWrap w:val="0"/>
            <w:vAlign w:val="center"/>
          </w:tcPr>
          <w:p w14:paraId="1929E27E">
            <w:pPr>
              <w:jc w:val="center"/>
              <w:rPr>
                <w:rFonts w:hint="eastAsia" w:ascii="宋体" w:hAnsi="宋体" w:eastAsia="宋体" w:cs="宋体"/>
                <w:i w:val="0"/>
                <w:iCs w:val="0"/>
                <w:color w:val="000000"/>
                <w:sz w:val="24"/>
                <w:szCs w:val="24"/>
                <w:u w:val="none"/>
              </w:rPr>
            </w:pPr>
          </w:p>
        </w:tc>
      </w:tr>
      <w:tr w14:paraId="7E44E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7" w:type="dxa"/>
            <w:shd w:val="clear" w:color="FFFFFF" w:fill="FFFFFF"/>
            <w:noWrap w:val="0"/>
            <w:vAlign w:val="center"/>
          </w:tcPr>
          <w:p w14:paraId="75F25E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298" w:type="dxa"/>
            <w:shd w:val="clear" w:color="FFFFFF" w:fill="FFFFFF"/>
            <w:noWrap w:val="0"/>
            <w:vAlign w:val="center"/>
          </w:tcPr>
          <w:p w14:paraId="196697B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基础人工挖方</w:t>
            </w:r>
          </w:p>
        </w:tc>
        <w:tc>
          <w:tcPr>
            <w:tcW w:w="5629" w:type="dxa"/>
            <w:shd w:val="clear" w:color="FFFFFF" w:fill="FFFFFF"/>
            <w:noWrap w:val="0"/>
            <w:vAlign w:val="center"/>
          </w:tcPr>
          <w:p w14:paraId="510B622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[项目特征]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1.土壤类别：回填土</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2.挖土深度：详设计图纸，最终土石方量按实际收方为准。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3.弃土位置及运距：甲方指定位置，弃土位置距离施工位置不超过3KM。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4.基础类型：详设计图纸和规范要求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5.基层垫层：详设计图纸和规范要求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[工作内容]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1.土方清表、碾压，边坡及平整</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2.沟槽、基坑、边坡开挖</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3.土石方转运（3公里内）、渣场需按甲方要求平整</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4.平整场地及边坡</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5.回填碾压找坡精平至设计标高</w:t>
            </w:r>
          </w:p>
        </w:tc>
        <w:tc>
          <w:tcPr>
            <w:tcW w:w="997" w:type="dxa"/>
            <w:shd w:val="clear" w:color="FFFFFF" w:fill="FFFFFF"/>
            <w:noWrap w:val="0"/>
            <w:vAlign w:val="center"/>
          </w:tcPr>
          <w:p w14:paraId="0CE9D6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m3</w:t>
            </w:r>
          </w:p>
        </w:tc>
        <w:tc>
          <w:tcPr>
            <w:tcW w:w="1197" w:type="dxa"/>
            <w:shd w:val="clear" w:color="FFFFFF" w:fill="FFFFFF"/>
            <w:noWrap w:val="0"/>
            <w:vAlign w:val="center"/>
          </w:tcPr>
          <w:p w14:paraId="59277E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16.11</w:t>
            </w:r>
          </w:p>
        </w:tc>
      </w:tr>
      <w:tr w14:paraId="5F44E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7" w:type="dxa"/>
            <w:shd w:val="clear" w:color="FFFFFF" w:fill="FFFFFF"/>
            <w:noWrap w:val="0"/>
            <w:vAlign w:val="center"/>
          </w:tcPr>
          <w:p w14:paraId="64B1B0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298" w:type="dxa"/>
            <w:shd w:val="clear" w:color="FFFFFF" w:fill="FFFFFF"/>
            <w:noWrap w:val="0"/>
            <w:vAlign w:val="center"/>
          </w:tcPr>
          <w:p w14:paraId="68D8783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基座钢筋混凝土</w:t>
            </w:r>
          </w:p>
        </w:tc>
        <w:tc>
          <w:tcPr>
            <w:tcW w:w="5629" w:type="dxa"/>
            <w:shd w:val="clear" w:color="FFFFFF" w:fill="FFFFFF"/>
            <w:noWrap w:val="0"/>
            <w:vAlign w:val="center"/>
          </w:tcPr>
          <w:p w14:paraId="0739A22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[项目特征]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1.钢筋类型、规格：详设计图纸和规范要求。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2.钢筋布置：详设计图纸和规范要求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3.混凝土强度：C20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4.含钢筋、模版、混凝土</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[工作内容]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1.钢筋制作加工、安装</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2.模版制作加工及安装</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3.材料运输及转运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4.混凝土浇筑</w:t>
            </w:r>
          </w:p>
        </w:tc>
        <w:tc>
          <w:tcPr>
            <w:tcW w:w="997" w:type="dxa"/>
            <w:shd w:val="clear" w:color="FFFFFF" w:fill="FFFFFF"/>
            <w:noWrap w:val="0"/>
            <w:vAlign w:val="center"/>
          </w:tcPr>
          <w:p w14:paraId="248CE6D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m3</w:t>
            </w:r>
          </w:p>
        </w:tc>
        <w:tc>
          <w:tcPr>
            <w:tcW w:w="1197" w:type="dxa"/>
            <w:shd w:val="clear" w:color="FFFFFF" w:fill="FFFFFF"/>
            <w:noWrap w:val="0"/>
            <w:vAlign w:val="center"/>
          </w:tcPr>
          <w:p w14:paraId="60CF36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16.11</w:t>
            </w:r>
          </w:p>
        </w:tc>
      </w:tr>
      <w:tr w14:paraId="366A8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7" w:type="dxa"/>
            <w:shd w:val="clear" w:color="FFFFFF" w:fill="FFFFFF"/>
            <w:noWrap w:val="0"/>
            <w:vAlign w:val="center"/>
          </w:tcPr>
          <w:p w14:paraId="4CB0625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298" w:type="dxa"/>
            <w:shd w:val="clear" w:color="FFFFFF" w:fill="FFFFFF"/>
            <w:noWrap w:val="0"/>
            <w:vAlign w:val="center"/>
          </w:tcPr>
          <w:p w14:paraId="26862DB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地梁加主立柱加顶板钢筋混凝土</w:t>
            </w:r>
          </w:p>
        </w:tc>
        <w:tc>
          <w:tcPr>
            <w:tcW w:w="5629" w:type="dxa"/>
            <w:shd w:val="clear" w:color="FFFFFF" w:fill="FFFFFF"/>
            <w:noWrap w:val="0"/>
            <w:vAlign w:val="center"/>
          </w:tcPr>
          <w:p w14:paraId="0763FDB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[项目特征]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1.钢筋类型、规格：详设计图纸和规范要求。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2.钢筋布置：详设计图纸和规范要求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3.混凝土强度：C20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4.含钢筋、模版、混凝土</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[工作内容]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1.钢筋制作加工、安装</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2.模版制作加工及安装</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3.材料运输及转运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4.混凝土浇筑</w:t>
            </w:r>
          </w:p>
        </w:tc>
        <w:tc>
          <w:tcPr>
            <w:tcW w:w="997" w:type="dxa"/>
            <w:shd w:val="clear" w:color="FFFFFF" w:fill="FFFFFF"/>
            <w:noWrap w:val="0"/>
            <w:vAlign w:val="center"/>
          </w:tcPr>
          <w:p w14:paraId="634347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m3</w:t>
            </w:r>
          </w:p>
        </w:tc>
        <w:tc>
          <w:tcPr>
            <w:tcW w:w="1197" w:type="dxa"/>
            <w:shd w:val="clear" w:color="FFFFFF" w:fill="FFFFFF"/>
            <w:noWrap w:val="0"/>
            <w:vAlign w:val="center"/>
          </w:tcPr>
          <w:p w14:paraId="5FD6348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11.69</w:t>
            </w:r>
          </w:p>
        </w:tc>
      </w:tr>
      <w:tr w14:paraId="202ED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7" w:type="dxa"/>
            <w:shd w:val="clear" w:color="FFFFFF" w:fill="FFFFFF"/>
            <w:noWrap w:val="0"/>
            <w:vAlign w:val="center"/>
          </w:tcPr>
          <w:p w14:paraId="345FE8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298" w:type="dxa"/>
            <w:shd w:val="clear" w:color="FFFFFF" w:fill="FFFFFF"/>
            <w:noWrap w:val="0"/>
            <w:vAlign w:val="center"/>
          </w:tcPr>
          <w:p w14:paraId="287A761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装饰构架钢筋混凝土</w:t>
            </w:r>
          </w:p>
        </w:tc>
        <w:tc>
          <w:tcPr>
            <w:tcW w:w="5629" w:type="dxa"/>
            <w:shd w:val="clear" w:color="FFFFFF" w:fill="FFFFFF"/>
            <w:noWrap w:val="0"/>
            <w:vAlign w:val="center"/>
          </w:tcPr>
          <w:p w14:paraId="5FA3CB0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[项目特征]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1.钢筋类型、规格：详设计图纸和规范要求。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2.钢筋布置：详设计图纸和规范要求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3.混凝土强度：C20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4.含钢筋、模版、混凝土</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[工作内容]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1.钢筋制作加工、安装</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2.模版制作加工及安装</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3.材料运输及转运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4.混凝土浇筑</w:t>
            </w:r>
          </w:p>
        </w:tc>
        <w:tc>
          <w:tcPr>
            <w:tcW w:w="997" w:type="dxa"/>
            <w:shd w:val="clear" w:color="FFFFFF" w:fill="FFFFFF"/>
            <w:noWrap w:val="0"/>
            <w:vAlign w:val="center"/>
          </w:tcPr>
          <w:p w14:paraId="2E3155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m3</w:t>
            </w:r>
          </w:p>
        </w:tc>
        <w:tc>
          <w:tcPr>
            <w:tcW w:w="1197" w:type="dxa"/>
            <w:shd w:val="clear" w:color="FFFFFF" w:fill="FFFFFF"/>
            <w:noWrap w:val="0"/>
            <w:vAlign w:val="center"/>
          </w:tcPr>
          <w:p w14:paraId="35DE85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2.93</w:t>
            </w:r>
          </w:p>
        </w:tc>
      </w:tr>
      <w:tr w14:paraId="4367E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7" w:type="dxa"/>
            <w:shd w:val="clear" w:color="FFFFFF" w:fill="FFFFFF"/>
            <w:noWrap w:val="0"/>
            <w:vAlign w:val="center"/>
          </w:tcPr>
          <w:p w14:paraId="2BE3AE7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298" w:type="dxa"/>
            <w:shd w:val="clear" w:color="FFFFFF" w:fill="FFFFFF"/>
            <w:noWrap w:val="0"/>
            <w:vAlign w:val="center"/>
          </w:tcPr>
          <w:p w14:paraId="4E81DB1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墙体砌筑</w:t>
            </w:r>
          </w:p>
        </w:tc>
        <w:tc>
          <w:tcPr>
            <w:tcW w:w="5629" w:type="dxa"/>
            <w:shd w:val="clear" w:color="FFFFFF" w:fill="FFFFFF"/>
            <w:noWrap w:val="0"/>
            <w:vAlign w:val="center"/>
          </w:tcPr>
          <w:p w14:paraId="0CF7E05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[项目特征]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1.砖品种、规格、强度等级:页岩砖，标准实心砖墙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2.墙体类型:详设计图纸</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3.砂浆强度等级、配合比:M5混合砂浆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4.满足设计及规范要求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[工作内容]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1.砂浆制作、运输</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2.砌砖</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3.刮缝</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4.砖压顶砌筑</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5.材料运输</w:t>
            </w:r>
          </w:p>
        </w:tc>
        <w:tc>
          <w:tcPr>
            <w:tcW w:w="997" w:type="dxa"/>
            <w:shd w:val="clear" w:color="FFFFFF" w:fill="FFFFFF"/>
            <w:noWrap w:val="0"/>
            <w:vAlign w:val="center"/>
          </w:tcPr>
          <w:p w14:paraId="2A65048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m3</w:t>
            </w:r>
          </w:p>
        </w:tc>
        <w:tc>
          <w:tcPr>
            <w:tcW w:w="1197" w:type="dxa"/>
            <w:shd w:val="clear" w:color="FFFFFF" w:fill="FFFFFF"/>
            <w:noWrap w:val="0"/>
            <w:vAlign w:val="center"/>
          </w:tcPr>
          <w:p w14:paraId="7C298B8D">
            <w:pPr>
              <w:keepNext w:val="0"/>
              <w:keepLines w:val="0"/>
              <w:widowControl/>
              <w:suppressLineNumbers w:val="0"/>
              <w:jc w:val="center"/>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12</w:t>
            </w:r>
          </w:p>
        </w:tc>
      </w:tr>
      <w:tr w14:paraId="7B5B7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7" w:type="dxa"/>
            <w:shd w:val="clear" w:color="FFFFFF" w:fill="FFFFFF"/>
            <w:noWrap w:val="0"/>
            <w:vAlign w:val="center"/>
          </w:tcPr>
          <w:p w14:paraId="346D7A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1298" w:type="dxa"/>
            <w:shd w:val="clear" w:color="FFFFFF" w:fill="FFFFFF"/>
            <w:noWrap w:val="0"/>
            <w:vAlign w:val="center"/>
          </w:tcPr>
          <w:p w14:paraId="78D9834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零星抹灰</w:t>
            </w:r>
          </w:p>
        </w:tc>
        <w:tc>
          <w:tcPr>
            <w:tcW w:w="5629" w:type="dxa"/>
            <w:shd w:val="clear" w:color="FFFFFF" w:fill="FFFFFF"/>
            <w:noWrap w:val="0"/>
            <w:vAlign w:val="center"/>
          </w:tcPr>
          <w:p w14:paraId="2052CE3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[项目特征]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1.墙体类型:砼墙、砖墙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2.面层厚度、砂浆配合比:20mm，满足设计及规范要求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[工作内容]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1.基层清理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2.砂浆制作、运输</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3.底层抹灰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4.抹面层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5.抹装饰面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6.勾分格缝</w:t>
            </w:r>
          </w:p>
        </w:tc>
        <w:tc>
          <w:tcPr>
            <w:tcW w:w="997" w:type="dxa"/>
            <w:shd w:val="clear" w:color="auto" w:fill="auto"/>
            <w:noWrap/>
            <w:vAlign w:val="center"/>
          </w:tcPr>
          <w:p w14:paraId="799E2B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197" w:type="dxa"/>
            <w:shd w:val="clear" w:color="FFFFFF" w:fill="FFFFFF"/>
            <w:noWrap w:val="0"/>
            <w:vAlign w:val="center"/>
          </w:tcPr>
          <w:p w14:paraId="143BBC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70</w:t>
            </w:r>
          </w:p>
        </w:tc>
      </w:tr>
      <w:tr w14:paraId="544C6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7" w:type="dxa"/>
            <w:shd w:val="clear" w:color="FFFFFF" w:fill="FFFFFF"/>
            <w:noWrap w:val="0"/>
            <w:vAlign w:val="center"/>
          </w:tcPr>
          <w:p w14:paraId="44EE13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1298" w:type="dxa"/>
            <w:shd w:val="clear" w:color="FFFFFF" w:fill="FFFFFF"/>
            <w:noWrap w:val="0"/>
            <w:vAlign w:val="center"/>
          </w:tcPr>
          <w:p w14:paraId="5DC39A5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墙面及顶板瓷砖装饰挂贴</w:t>
            </w:r>
          </w:p>
        </w:tc>
        <w:tc>
          <w:tcPr>
            <w:tcW w:w="5629" w:type="dxa"/>
            <w:shd w:val="clear" w:color="FFFFFF" w:fill="FFFFFF"/>
            <w:noWrap w:val="0"/>
            <w:vAlign w:val="center"/>
          </w:tcPr>
          <w:p w14:paraId="75E35FC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[项目特征]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1.根据施工图及效果图完成所有工序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2.满足设计及规范要求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[工作内容]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1.根据施工图及效果图完成所有工序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2.成品保护</w:t>
            </w:r>
          </w:p>
        </w:tc>
        <w:tc>
          <w:tcPr>
            <w:tcW w:w="997" w:type="dxa"/>
            <w:shd w:val="clear" w:color="auto" w:fill="auto"/>
            <w:noWrap/>
            <w:vAlign w:val="center"/>
          </w:tcPr>
          <w:p w14:paraId="3DEE73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197" w:type="dxa"/>
            <w:shd w:val="clear" w:color="FFFFFF" w:fill="FFFFFF"/>
            <w:noWrap w:val="0"/>
            <w:vAlign w:val="center"/>
          </w:tcPr>
          <w:p w14:paraId="653ADE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51.58</w:t>
            </w:r>
          </w:p>
        </w:tc>
      </w:tr>
      <w:tr w14:paraId="1730C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7" w:type="dxa"/>
            <w:shd w:val="clear" w:color="FFFFFF" w:fill="FFFFFF"/>
            <w:noWrap w:val="0"/>
            <w:vAlign w:val="center"/>
          </w:tcPr>
          <w:p w14:paraId="10A542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1298" w:type="dxa"/>
            <w:shd w:val="clear" w:color="FFFFFF" w:fill="FFFFFF"/>
            <w:noWrap w:val="0"/>
            <w:vAlign w:val="center"/>
          </w:tcPr>
          <w:p w14:paraId="02F26B0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装饰构架瓷砖工艺</w:t>
            </w:r>
          </w:p>
        </w:tc>
        <w:tc>
          <w:tcPr>
            <w:tcW w:w="5629" w:type="dxa"/>
            <w:shd w:val="clear" w:color="FFFFFF" w:fill="FFFFFF"/>
            <w:noWrap w:val="0"/>
            <w:vAlign w:val="center"/>
          </w:tcPr>
          <w:p w14:paraId="7B02C7D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[项目特征]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1.根据施工图及效果图完成所有工序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2.满足设计及规范要求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[工作内容]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1.根据施工图及效果图完成所有工序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2.成品保护</w:t>
            </w:r>
          </w:p>
        </w:tc>
        <w:tc>
          <w:tcPr>
            <w:tcW w:w="997" w:type="dxa"/>
            <w:shd w:val="clear" w:color="auto" w:fill="auto"/>
            <w:noWrap/>
            <w:vAlign w:val="center"/>
          </w:tcPr>
          <w:p w14:paraId="3AD23C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197" w:type="dxa"/>
            <w:shd w:val="clear" w:color="FFFFFF" w:fill="FFFFFF"/>
            <w:noWrap w:val="0"/>
            <w:vAlign w:val="center"/>
          </w:tcPr>
          <w:p w14:paraId="3B5A1F1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36.4</w:t>
            </w:r>
          </w:p>
        </w:tc>
      </w:tr>
      <w:tr w14:paraId="3C899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7" w:type="dxa"/>
            <w:shd w:val="clear" w:color="FFFFFF" w:fill="FFFFFF"/>
            <w:noWrap w:val="0"/>
            <w:vAlign w:val="center"/>
          </w:tcPr>
          <w:p w14:paraId="100B89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1298" w:type="dxa"/>
            <w:shd w:val="clear" w:color="FFFFFF" w:fill="FFFFFF"/>
            <w:noWrap w:val="0"/>
            <w:vAlign w:val="center"/>
          </w:tcPr>
          <w:p w14:paraId="63EB9C2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文化石饰面</w:t>
            </w:r>
          </w:p>
        </w:tc>
        <w:tc>
          <w:tcPr>
            <w:tcW w:w="5629" w:type="dxa"/>
            <w:shd w:val="clear" w:color="FFFFFF" w:fill="FFFFFF"/>
            <w:noWrap w:val="0"/>
            <w:vAlign w:val="center"/>
          </w:tcPr>
          <w:p w14:paraId="7A5281E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[项目特征]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1.根据施工图及效果图完成所有工序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2.满足设计及规范要求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[工作内容]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1.根据施工图及效果图完成所有工序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2.成品保护</w:t>
            </w:r>
          </w:p>
        </w:tc>
        <w:tc>
          <w:tcPr>
            <w:tcW w:w="997" w:type="dxa"/>
            <w:shd w:val="clear" w:color="auto" w:fill="auto"/>
            <w:noWrap/>
            <w:vAlign w:val="center"/>
          </w:tcPr>
          <w:p w14:paraId="4DE2C5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197" w:type="dxa"/>
            <w:shd w:val="clear" w:color="FFFFFF" w:fill="FFFFFF"/>
            <w:noWrap w:val="0"/>
            <w:vAlign w:val="center"/>
          </w:tcPr>
          <w:p w14:paraId="315FDCC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39.5</w:t>
            </w:r>
          </w:p>
        </w:tc>
      </w:tr>
      <w:tr w14:paraId="643B3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7" w:type="dxa"/>
            <w:shd w:val="clear" w:color="FFFFFF" w:fill="FFFFFF"/>
            <w:noWrap w:val="0"/>
            <w:vAlign w:val="center"/>
          </w:tcPr>
          <w:p w14:paraId="481752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298" w:type="dxa"/>
            <w:shd w:val="clear" w:color="FFFFFF" w:fill="FFFFFF"/>
            <w:noWrap w:val="0"/>
            <w:vAlign w:val="center"/>
          </w:tcPr>
          <w:p w14:paraId="560C5C2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仿石山（展开面积）</w:t>
            </w:r>
          </w:p>
        </w:tc>
        <w:tc>
          <w:tcPr>
            <w:tcW w:w="5629" w:type="dxa"/>
            <w:shd w:val="clear" w:color="FFFFFF" w:fill="FFFFFF"/>
            <w:noWrap w:val="0"/>
            <w:vAlign w:val="center"/>
          </w:tcPr>
          <w:p w14:paraId="43E7E19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[项目特征]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1.根据施工图及效果图完成所有工序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2.满足设计及规范要求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[工作内容]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1.根据施工图及效果图完成所有工序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2.成品保护</w:t>
            </w:r>
          </w:p>
        </w:tc>
        <w:tc>
          <w:tcPr>
            <w:tcW w:w="997" w:type="dxa"/>
            <w:shd w:val="clear" w:color="auto" w:fill="auto"/>
            <w:noWrap/>
            <w:vAlign w:val="center"/>
          </w:tcPr>
          <w:p w14:paraId="01B6D2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197" w:type="dxa"/>
            <w:shd w:val="clear" w:color="FFFFFF" w:fill="FFFFFF"/>
            <w:noWrap w:val="0"/>
            <w:vAlign w:val="center"/>
          </w:tcPr>
          <w:p w14:paraId="6C0C2B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w:t>
            </w:r>
          </w:p>
        </w:tc>
      </w:tr>
      <w:tr w14:paraId="3DB8A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7" w:type="dxa"/>
            <w:shd w:val="clear" w:color="FFFFFF" w:fill="FFFFFF"/>
            <w:noWrap w:val="0"/>
            <w:vAlign w:val="center"/>
          </w:tcPr>
          <w:p w14:paraId="7F901C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1298" w:type="dxa"/>
            <w:shd w:val="clear" w:color="FFFFFF" w:fill="FFFFFF"/>
            <w:noWrap w:val="0"/>
            <w:vAlign w:val="center"/>
          </w:tcPr>
          <w:p w14:paraId="6D706E7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青石文化墙（含雕刻工艺）</w:t>
            </w:r>
          </w:p>
        </w:tc>
        <w:tc>
          <w:tcPr>
            <w:tcW w:w="5629" w:type="dxa"/>
            <w:shd w:val="clear" w:color="FFFFFF" w:fill="FFFFFF"/>
            <w:noWrap w:val="0"/>
            <w:vAlign w:val="center"/>
          </w:tcPr>
          <w:p w14:paraId="233B0CC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[项目特征]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1.根据施工图及效果图完成所有工序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2.满足设计及规范要求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[工作内容]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1.根据施工图及效果图完成所有工序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2.成品保护</w:t>
            </w:r>
          </w:p>
        </w:tc>
        <w:tc>
          <w:tcPr>
            <w:tcW w:w="997" w:type="dxa"/>
            <w:shd w:val="clear" w:color="auto" w:fill="auto"/>
            <w:noWrap/>
            <w:vAlign w:val="center"/>
          </w:tcPr>
          <w:p w14:paraId="469720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197" w:type="dxa"/>
            <w:shd w:val="clear" w:color="FFFFFF" w:fill="FFFFFF"/>
            <w:noWrap w:val="0"/>
            <w:vAlign w:val="center"/>
          </w:tcPr>
          <w:p w14:paraId="3BF6F26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2.56</w:t>
            </w:r>
          </w:p>
        </w:tc>
      </w:tr>
      <w:tr w14:paraId="5E0D7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7" w:type="dxa"/>
            <w:shd w:val="clear" w:color="FFFFFF" w:fill="FFFFFF"/>
            <w:noWrap w:val="0"/>
            <w:vAlign w:val="center"/>
          </w:tcPr>
          <w:p w14:paraId="65F659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1298" w:type="dxa"/>
            <w:shd w:val="clear" w:color="FFFFFF" w:fill="FFFFFF"/>
            <w:noWrap w:val="0"/>
            <w:vAlign w:val="center"/>
          </w:tcPr>
          <w:p w14:paraId="34D7B16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入党誓言牌(含刻字工艺)</w:t>
            </w:r>
          </w:p>
        </w:tc>
        <w:tc>
          <w:tcPr>
            <w:tcW w:w="5629" w:type="dxa"/>
            <w:shd w:val="clear" w:color="FFFFFF" w:fill="FFFFFF"/>
            <w:noWrap w:val="0"/>
            <w:vAlign w:val="center"/>
          </w:tcPr>
          <w:p w14:paraId="11DCB0C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[项目特征]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1.根据施工图及效果图完成所有工序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2.满足设计及规范要求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[工作内容]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1.根据施工图及效果图完成所有工序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2.成品保护</w:t>
            </w:r>
          </w:p>
        </w:tc>
        <w:tc>
          <w:tcPr>
            <w:tcW w:w="997" w:type="dxa"/>
            <w:shd w:val="clear" w:color="auto" w:fill="auto"/>
            <w:noWrap/>
            <w:vAlign w:val="center"/>
          </w:tcPr>
          <w:p w14:paraId="40D280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197" w:type="dxa"/>
            <w:shd w:val="clear" w:color="FFFFFF" w:fill="FFFFFF"/>
            <w:noWrap w:val="0"/>
            <w:vAlign w:val="center"/>
          </w:tcPr>
          <w:p w14:paraId="3BAF92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2.162</w:t>
            </w:r>
          </w:p>
        </w:tc>
      </w:tr>
      <w:tr w14:paraId="49854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7" w:type="dxa"/>
            <w:shd w:val="clear" w:color="FFFFFF" w:fill="FFFFFF"/>
            <w:noWrap w:val="0"/>
            <w:vAlign w:val="center"/>
          </w:tcPr>
          <w:p w14:paraId="4AEDA3B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1298" w:type="dxa"/>
            <w:shd w:val="clear" w:color="FFFFFF" w:fill="FFFFFF"/>
            <w:noWrap w:val="0"/>
            <w:vAlign w:val="center"/>
          </w:tcPr>
          <w:p w14:paraId="5D4C0EB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花岗石影雕山水画</w:t>
            </w:r>
          </w:p>
        </w:tc>
        <w:tc>
          <w:tcPr>
            <w:tcW w:w="5629" w:type="dxa"/>
            <w:shd w:val="clear" w:color="FFFFFF" w:fill="FFFFFF"/>
            <w:noWrap w:val="0"/>
            <w:vAlign w:val="center"/>
          </w:tcPr>
          <w:p w14:paraId="377C2C6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[项目特征]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1.根据施工图及效果图完成所有工序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2.满足设计及规范要求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[工作内容]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1.根据施工图及效果图完成所有工序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2.成品保护</w:t>
            </w:r>
          </w:p>
        </w:tc>
        <w:tc>
          <w:tcPr>
            <w:tcW w:w="997" w:type="dxa"/>
            <w:shd w:val="clear" w:color="auto" w:fill="auto"/>
            <w:noWrap/>
            <w:vAlign w:val="center"/>
          </w:tcPr>
          <w:p w14:paraId="0643BA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197" w:type="dxa"/>
            <w:shd w:val="clear" w:color="FFFFFF" w:fill="FFFFFF"/>
            <w:noWrap w:val="0"/>
            <w:vAlign w:val="center"/>
          </w:tcPr>
          <w:p w14:paraId="1CD511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r>
      <w:tr w14:paraId="2C84B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7" w:type="dxa"/>
            <w:shd w:val="clear" w:color="FFFFFF" w:fill="FFFFFF"/>
            <w:noWrap w:val="0"/>
            <w:vAlign w:val="center"/>
          </w:tcPr>
          <w:p w14:paraId="6F34A0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1298" w:type="dxa"/>
            <w:shd w:val="clear" w:color="FFFFFF" w:fill="FFFFFF"/>
            <w:noWrap w:val="0"/>
            <w:vAlign w:val="center"/>
          </w:tcPr>
          <w:p w14:paraId="12817B7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玉白瓷砖切字工艺（含安装）</w:t>
            </w:r>
          </w:p>
        </w:tc>
        <w:tc>
          <w:tcPr>
            <w:tcW w:w="5629" w:type="dxa"/>
            <w:shd w:val="clear" w:color="FFFFFF" w:fill="FFFFFF"/>
            <w:noWrap w:val="0"/>
            <w:vAlign w:val="center"/>
          </w:tcPr>
          <w:p w14:paraId="7C8F1EC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[项目特征]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1.根据施工图及效果图完成所有工序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2.满足设计及规范要求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[工作内容]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1.根据施工图及效果图完成所有工序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2.成品保护</w:t>
            </w:r>
          </w:p>
        </w:tc>
        <w:tc>
          <w:tcPr>
            <w:tcW w:w="997" w:type="dxa"/>
            <w:shd w:val="clear" w:color="auto" w:fill="auto"/>
            <w:noWrap/>
            <w:vAlign w:val="center"/>
          </w:tcPr>
          <w:p w14:paraId="219BC1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cm</w:t>
            </w:r>
          </w:p>
        </w:tc>
        <w:tc>
          <w:tcPr>
            <w:tcW w:w="1197" w:type="dxa"/>
            <w:shd w:val="clear" w:color="FFFFFF" w:fill="FFFFFF"/>
            <w:noWrap w:val="0"/>
            <w:vAlign w:val="center"/>
          </w:tcPr>
          <w:p w14:paraId="49B7CD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360</w:t>
            </w:r>
          </w:p>
        </w:tc>
      </w:tr>
      <w:tr w14:paraId="13390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7" w:type="dxa"/>
            <w:shd w:val="clear" w:color="FFFFFF" w:fill="FFFFFF"/>
            <w:noWrap w:val="0"/>
            <w:vAlign w:val="center"/>
          </w:tcPr>
          <w:p w14:paraId="4EE1A9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1298" w:type="dxa"/>
            <w:shd w:val="clear" w:color="FFFFFF" w:fill="FFFFFF"/>
            <w:noWrap w:val="0"/>
            <w:vAlign w:val="center"/>
          </w:tcPr>
          <w:p w14:paraId="6A09A40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红旗及党徽造型制作（展开面积）</w:t>
            </w:r>
          </w:p>
        </w:tc>
        <w:tc>
          <w:tcPr>
            <w:tcW w:w="5629" w:type="dxa"/>
            <w:shd w:val="clear" w:color="FFFFFF" w:fill="FFFFFF"/>
            <w:noWrap w:val="0"/>
            <w:vAlign w:val="center"/>
          </w:tcPr>
          <w:p w14:paraId="2B3498B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[项目特征]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1.根据施工图及效果图完成所有工序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2.满足设计及规范要求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[工作内容]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1.根据施工图及效果图完成所有工序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2.成品保护</w:t>
            </w:r>
          </w:p>
        </w:tc>
        <w:tc>
          <w:tcPr>
            <w:tcW w:w="997" w:type="dxa"/>
            <w:shd w:val="clear" w:color="auto" w:fill="auto"/>
            <w:noWrap/>
            <w:vAlign w:val="center"/>
          </w:tcPr>
          <w:p w14:paraId="2170CB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197" w:type="dxa"/>
            <w:shd w:val="clear" w:color="FFFFFF" w:fill="FFFFFF"/>
            <w:noWrap w:val="0"/>
            <w:vAlign w:val="center"/>
          </w:tcPr>
          <w:p w14:paraId="6282585D">
            <w:pPr>
              <w:keepNext w:val="0"/>
              <w:keepLines w:val="0"/>
              <w:widowControl/>
              <w:suppressLineNumbers w:val="0"/>
              <w:jc w:val="center"/>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110</w:t>
            </w:r>
          </w:p>
        </w:tc>
      </w:tr>
      <w:tr w14:paraId="5F0C0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7" w:type="dxa"/>
            <w:shd w:val="clear" w:color="FFFFFF" w:fill="FFFFFF"/>
            <w:noWrap w:val="0"/>
            <w:vAlign w:val="center"/>
          </w:tcPr>
          <w:p w14:paraId="695B26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1298" w:type="dxa"/>
            <w:shd w:val="clear" w:color="FFFFFF" w:fill="FFFFFF"/>
            <w:noWrap w:val="0"/>
            <w:vAlign w:val="center"/>
          </w:tcPr>
          <w:p w14:paraId="3309D3D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室外梯步</w:t>
            </w:r>
          </w:p>
        </w:tc>
        <w:tc>
          <w:tcPr>
            <w:tcW w:w="5629" w:type="dxa"/>
            <w:shd w:val="clear" w:color="FFFFFF" w:fill="FFFFFF"/>
            <w:noWrap w:val="0"/>
            <w:vAlign w:val="center"/>
          </w:tcPr>
          <w:p w14:paraId="28D6B20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[项目特征]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1.根据现场勘查确定位置安装梯步、宽度3米，踏面400mm，立面160mm。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2.页岩实心砖基层、石材面层（石材送样由甲方确定）</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[工作内容]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1.根据施工现场放线梯步部位、高度、坡度、步数等。</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2.人工挖填平整土石方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3.梯步基层土方平整硬化，页岩实心砖基层砌筑。</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4.石材贴面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5.成品保护</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6.清洁及除渣</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7.材料转运</w:t>
            </w:r>
          </w:p>
        </w:tc>
        <w:tc>
          <w:tcPr>
            <w:tcW w:w="997" w:type="dxa"/>
            <w:shd w:val="clear" w:color="FFFFFF" w:fill="FFFFFF"/>
            <w:noWrap w:val="0"/>
            <w:vAlign w:val="center"/>
          </w:tcPr>
          <w:p w14:paraId="1C5DD4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197" w:type="dxa"/>
            <w:shd w:val="clear" w:color="FFFFFF" w:fill="FFFFFF"/>
            <w:noWrap w:val="0"/>
            <w:vAlign w:val="center"/>
          </w:tcPr>
          <w:p w14:paraId="379B57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75</w:t>
            </w:r>
          </w:p>
        </w:tc>
      </w:tr>
      <w:tr w14:paraId="64914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7" w:type="dxa"/>
            <w:shd w:val="clear" w:color="FFFFFF" w:fill="FFFFFF"/>
            <w:noWrap w:val="0"/>
            <w:vAlign w:val="center"/>
          </w:tcPr>
          <w:p w14:paraId="7E5B519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1298" w:type="dxa"/>
            <w:shd w:val="clear" w:color="FFFFFF" w:fill="FFFFFF"/>
            <w:noWrap w:val="0"/>
            <w:vAlign w:val="center"/>
          </w:tcPr>
          <w:p w14:paraId="10A0038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灯具</w:t>
            </w:r>
          </w:p>
        </w:tc>
        <w:tc>
          <w:tcPr>
            <w:tcW w:w="5629" w:type="dxa"/>
            <w:shd w:val="clear" w:color="FFFFFF" w:fill="FFFFFF"/>
            <w:noWrap w:val="0"/>
            <w:vAlign w:val="center"/>
          </w:tcPr>
          <w:p w14:paraId="03A4DF4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[项目特征]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1.名称：LED射灯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2.光源形式：LED</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3.型号规格：LED，暖白，20W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4.安装方式:室外明装，支架角度可调</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5.其他：符合设计及相应规范要求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[工作内容]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1.灯具安装及接线</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2.包含灯具安装所需螺丝等配件</w:t>
            </w:r>
          </w:p>
        </w:tc>
        <w:tc>
          <w:tcPr>
            <w:tcW w:w="997" w:type="dxa"/>
            <w:noWrap/>
            <w:vAlign w:val="center"/>
          </w:tcPr>
          <w:p w14:paraId="7542D81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197" w:type="dxa"/>
            <w:noWrap/>
            <w:vAlign w:val="center"/>
          </w:tcPr>
          <w:p w14:paraId="30F2C686">
            <w:pPr>
              <w:keepNext w:val="0"/>
              <w:keepLines w:val="0"/>
              <w:widowControl/>
              <w:suppressLineNumbers w:val="0"/>
              <w:jc w:val="center"/>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12</w:t>
            </w:r>
          </w:p>
        </w:tc>
      </w:tr>
      <w:tr w14:paraId="093D6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7" w:type="dxa"/>
            <w:shd w:val="clear" w:color="FFFFFF" w:fill="FFFFFF"/>
            <w:noWrap w:val="0"/>
            <w:vAlign w:val="center"/>
          </w:tcPr>
          <w:p w14:paraId="7592B26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1298" w:type="dxa"/>
            <w:shd w:val="clear" w:color="FFFFFF" w:fill="FFFFFF"/>
            <w:noWrap w:val="0"/>
            <w:vAlign w:val="center"/>
          </w:tcPr>
          <w:p w14:paraId="293FA46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灯具</w:t>
            </w:r>
          </w:p>
        </w:tc>
        <w:tc>
          <w:tcPr>
            <w:tcW w:w="5629" w:type="dxa"/>
            <w:shd w:val="clear" w:color="FFFFFF" w:fill="FFFFFF"/>
            <w:noWrap w:val="0"/>
            <w:vAlign w:val="center"/>
          </w:tcPr>
          <w:p w14:paraId="66C0AD2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[项目特征]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1.名称：LED嵌入式射灯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2.光源形式：LED</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3.型号规格：LED，暖白，20W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4.安装方式:室外埋地，光源角度可调</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5.其他：符合设计及相应规范要求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[工作内容]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1.灯具安装及接线</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2.包含灯具安装所需螺丝等配件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3.灯具开孔</w:t>
            </w:r>
          </w:p>
        </w:tc>
        <w:tc>
          <w:tcPr>
            <w:tcW w:w="997" w:type="dxa"/>
            <w:noWrap/>
            <w:vAlign w:val="center"/>
          </w:tcPr>
          <w:p w14:paraId="162AF49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197" w:type="dxa"/>
            <w:noWrap/>
            <w:vAlign w:val="center"/>
          </w:tcPr>
          <w:p w14:paraId="35687A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r>
      <w:tr w14:paraId="6C410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7" w:type="dxa"/>
            <w:shd w:val="clear" w:color="FFFFFF" w:fill="FFFFFF"/>
            <w:noWrap w:val="0"/>
            <w:vAlign w:val="center"/>
          </w:tcPr>
          <w:p w14:paraId="6DB68C4F">
            <w:pPr>
              <w:keepNext w:val="0"/>
              <w:keepLines w:val="0"/>
              <w:widowControl/>
              <w:suppressLineNumbers w:val="0"/>
              <w:jc w:val="center"/>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19</w:t>
            </w:r>
          </w:p>
        </w:tc>
        <w:tc>
          <w:tcPr>
            <w:tcW w:w="1298" w:type="dxa"/>
            <w:shd w:val="clear" w:color="auto" w:fill="auto"/>
            <w:noWrap/>
            <w:vAlign w:val="center"/>
          </w:tcPr>
          <w:p w14:paraId="6209D73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电缆</w:t>
            </w:r>
          </w:p>
        </w:tc>
        <w:tc>
          <w:tcPr>
            <w:tcW w:w="5629" w:type="dxa"/>
            <w:shd w:val="clear" w:color="auto" w:fill="FFFFFF"/>
            <w:noWrap w:val="0"/>
            <w:vAlign w:val="center"/>
          </w:tcPr>
          <w:p w14:paraId="2130F8C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[项目特征]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1.名称：电缆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2.敷设方式：沿原路灯路由敷设</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3.型号规格：WDZC-YJV-3*4</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4.材质:铜芯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5.配线线制：多芯电缆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6.其他：符合设计及相应规范要求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[工作内容]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1.电缆敷设</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2.与各用电器具的连接</w:t>
            </w:r>
          </w:p>
        </w:tc>
        <w:tc>
          <w:tcPr>
            <w:tcW w:w="997" w:type="dxa"/>
            <w:noWrap/>
            <w:vAlign w:val="center"/>
          </w:tcPr>
          <w:p w14:paraId="53F4DD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w:t>
            </w:r>
          </w:p>
        </w:tc>
        <w:tc>
          <w:tcPr>
            <w:tcW w:w="1197" w:type="dxa"/>
            <w:noWrap/>
            <w:vAlign w:val="center"/>
          </w:tcPr>
          <w:p w14:paraId="6207EC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w:t>
            </w:r>
          </w:p>
        </w:tc>
      </w:tr>
      <w:tr w14:paraId="2F94D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7" w:type="dxa"/>
            <w:shd w:val="clear" w:color="FFFFFF" w:fill="FFFFFF"/>
            <w:noWrap w:val="0"/>
            <w:vAlign w:val="center"/>
          </w:tcPr>
          <w:p w14:paraId="5C0377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1298" w:type="dxa"/>
            <w:shd w:val="clear" w:color="auto" w:fill="auto"/>
            <w:noWrap/>
            <w:vAlign w:val="center"/>
          </w:tcPr>
          <w:p w14:paraId="1CE0A56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配管</w:t>
            </w:r>
          </w:p>
        </w:tc>
        <w:tc>
          <w:tcPr>
            <w:tcW w:w="5629" w:type="dxa"/>
            <w:shd w:val="clear" w:color="auto" w:fill="FFFFFF"/>
            <w:noWrap w:val="0"/>
            <w:vAlign w:val="center"/>
          </w:tcPr>
          <w:p w14:paraId="7D9397D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[项目特征]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1.名称：配管</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2.材质：PVC塑料管</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3.规格：P20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4.敷设方式:暗敷</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5.其他：符合设计及相应规范要求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[工作内容]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1.电线管路敷设</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2.包含配管所需线盒、管卡等配件</w:t>
            </w:r>
          </w:p>
        </w:tc>
        <w:tc>
          <w:tcPr>
            <w:tcW w:w="997" w:type="dxa"/>
            <w:noWrap/>
            <w:vAlign w:val="center"/>
          </w:tcPr>
          <w:p w14:paraId="02CAA32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w:t>
            </w:r>
          </w:p>
        </w:tc>
        <w:tc>
          <w:tcPr>
            <w:tcW w:w="1197" w:type="dxa"/>
            <w:noWrap/>
            <w:vAlign w:val="center"/>
          </w:tcPr>
          <w:p w14:paraId="723E58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w:t>
            </w:r>
          </w:p>
        </w:tc>
      </w:tr>
      <w:tr w14:paraId="0D2BF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7" w:type="dxa"/>
            <w:shd w:val="clear" w:color="FFFFFF" w:fill="FFFFFF"/>
            <w:noWrap w:val="0"/>
            <w:vAlign w:val="center"/>
          </w:tcPr>
          <w:p w14:paraId="57A31D8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1298" w:type="dxa"/>
            <w:shd w:val="clear" w:color="auto" w:fill="auto"/>
            <w:noWrap/>
            <w:vAlign w:val="center"/>
          </w:tcPr>
          <w:p w14:paraId="15255E9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配线</w:t>
            </w:r>
          </w:p>
        </w:tc>
        <w:tc>
          <w:tcPr>
            <w:tcW w:w="5629" w:type="dxa"/>
            <w:shd w:val="clear" w:color="auto" w:fill="FFFFFF"/>
            <w:noWrap w:val="0"/>
            <w:vAlign w:val="center"/>
          </w:tcPr>
          <w:p w14:paraId="01BFA5C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[项目特征]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1.名称：配线</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2.配线形式：穿管</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3.型号规格：WDZC-BYJ-2.5</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4.材质:铜芯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5.配线线制：单芯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6.其他：符合设计及相应规范要求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[工作内容]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1.配线</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2.与各用电器具的连接</w:t>
            </w:r>
          </w:p>
        </w:tc>
        <w:tc>
          <w:tcPr>
            <w:tcW w:w="997" w:type="dxa"/>
            <w:noWrap/>
            <w:vAlign w:val="center"/>
          </w:tcPr>
          <w:p w14:paraId="5E84DA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w:t>
            </w:r>
          </w:p>
        </w:tc>
        <w:tc>
          <w:tcPr>
            <w:tcW w:w="1197" w:type="dxa"/>
            <w:noWrap/>
            <w:vAlign w:val="center"/>
          </w:tcPr>
          <w:p w14:paraId="626563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144</w:t>
            </w:r>
          </w:p>
        </w:tc>
      </w:tr>
      <w:tr w14:paraId="0057D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7" w:type="dxa"/>
            <w:shd w:val="clear" w:color="FFFFFF" w:fill="FFFFFF"/>
            <w:noWrap w:val="0"/>
            <w:vAlign w:val="center"/>
          </w:tcPr>
          <w:p w14:paraId="0D30710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1298" w:type="dxa"/>
            <w:shd w:val="clear" w:color="auto" w:fill="auto"/>
            <w:noWrap/>
            <w:vAlign w:val="center"/>
          </w:tcPr>
          <w:p w14:paraId="17FBD01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时控器</w:t>
            </w:r>
          </w:p>
        </w:tc>
        <w:tc>
          <w:tcPr>
            <w:tcW w:w="5629" w:type="dxa"/>
            <w:shd w:val="clear" w:color="FFFFFF" w:fill="FFFFFF"/>
            <w:noWrap w:val="0"/>
            <w:vAlign w:val="center"/>
          </w:tcPr>
          <w:p w14:paraId="7E07228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[项目特征]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1.名称：时控器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2.型号规格：AC220V</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3.安装方式:配电箱内导轨安装</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4.其他：符合设计及相应规范要求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[工作内容]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1.时控器安装及接线</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2.包含安装所需螺丝等配件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3.箱内配线</w:t>
            </w:r>
          </w:p>
        </w:tc>
        <w:tc>
          <w:tcPr>
            <w:tcW w:w="997" w:type="dxa"/>
            <w:noWrap/>
            <w:vAlign w:val="center"/>
          </w:tcPr>
          <w:p w14:paraId="1C9D61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197" w:type="dxa"/>
            <w:noWrap/>
            <w:vAlign w:val="center"/>
          </w:tcPr>
          <w:p w14:paraId="697A71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bl>
    <w:p w14:paraId="2B9C66FD">
      <w:pPr>
        <w:pStyle w:val="37"/>
        <w:rPr>
          <w:rFonts w:hint="eastAsia" w:ascii="宋体" w:hAnsi="宋体" w:eastAsia="宋体" w:cs="宋体"/>
          <w:color w:val="000000"/>
          <w:kern w:val="0"/>
          <w:sz w:val="24"/>
          <w:szCs w:val="24"/>
          <w:lang w:val="en-US" w:eastAsia="zh-CN"/>
        </w:rPr>
      </w:pPr>
    </w:p>
    <w:p w14:paraId="641D136F">
      <w:pPr>
        <w:rPr>
          <w:rFonts w:hint="eastAsia" w:ascii="宋体" w:hAnsi="宋体" w:eastAsia="宋体" w:cs="宋体"/>
          <w:color w:val="000000"/>
          <w:kern w:val="0"/>
          <w:sz w:val="24"/>
          <w:szCs w:val="24"/>
          <w:lang w:val="en-US" w:eastAsia="zh-CN"/>
        </w:rPr>
      </w:pPr>
    </w:p>
    <w:p w14:paraId="5260C9B7">
      <w:pPr>
        <w:rPr>
          <w:rFonts w:hint="default" w:ascii="宋体" w:hAnsi="宋体" w:eastAsia="宋体" w:cs="宋体"/>
          <w:color w:val="000000"/>
          <w:kern w:val="0"/>
          <w:sz w:val="24"/>
          <w:szCs w:val="24"/>
          <w:lang w:val="en-US" w:eastAsia="zh-CN"/>
        </w:rPr>
        <w:sectPr>
          <w:pgSz w:w="11907" w:h="16840"/>
          <w:pgMar w:top="1134" w:right="1191" w:bottom="1134" w:left="1304" w:header="964" w:footer="992" w:gutter="0"/>
          <w:pgNumType w:fmt="numberInDash"/>
          <w:cols w:space="720" w:num="1"/>
          <w:docGrid w:linePitch="381" w:charSpace="0"/>
        </w:sectPr>
      </w:pPr>
      <w:r>
        <w:rPr>
          <w:rFonts w:hint="eastAsia" w:ascii="宋体" w:hAnsi="宋体" w:eastAsia="宋体" w:cs="宋体"/>
          <w:color w:val="000000"/>
          <w:kern w:val="0"/>
          <w:sz w:val="24"/>
          <w:szCs w:val="24"/>
          <w:lang w:val="en-US" w:eastAsia="zh-CN"/>
        </w:rPr>
        <w:t>图纸详见附件。</w:t>
      </w:r>
    </w:p>
    <w:bookmarkEnd w:id="68"/>
    <w:bookmarkEnd w:id="69"/>
    <w:bookmarkEnd w:id="70"/>
    <w:p w14:paraId="18674BD0">
      <w:pPr>
        <w:pStyle w:val="4"/>
        <w:numPr>
          <w:ilvl w:val="0"/>
          <w:numId w:val="2"/>
        </w:numPr>
        <w:spacing w:before="0" w:after="0" w:line="400" w:lineRule="exact"/>
        <w:jc w:val="center"/>
        <w:rPr>
          <w:rFonts w:hint="eastAsia" w:ascii="宋体" w:hAnsi="宋体" w:eastAsia="宋体" w:cs="宋体"/>
          <w:color w:val="000000"/>
          <w:sz w:val="36"/>
          <w:szCs w:val="36"/>
        </w:rPr>
      </w:pPr>
      <w:bookmarkStart w:id="76" w:name="_Toc21458"/>
      <w:r>
        <w:rPr>
          <w:rFonts w:hint="eastAsia" w:ascii="宋体" w:hAnsi="宋体" w:eastAsia="宋体" w:cs="宋体"/>
          <w:color w:val="000000"/>
          <w:sz w:val="36"/>
          <w:szCs w:val="36"/>
        </w:rPr>
        <w:t>询价项目商务需求</w:t>
      </w:r>
      <w:bookmarkEnd w:id="76"/>
    </w:p>
    <w:p w14:paraId="6890E4E3">
      <w:pPr>
        <w:pStyle w:val="5"/>
        <w:spacing w:before="0" w:after="0" w:line="400" w:lineRule="exact"/>
        <w:rPr>
          <w:rFonts w:hint="eastAsia" w:ascii="宋体" w:hAnsi="宋体" w:eastAsia="宋体" w:cs="宋体"/>
          <w:color w:val="000000"/>
          <w:sz w:val="24"/>
          <w:szCs w:val="24"/>
          <w:lang w:eastAsia="zh-CN"/>
        </w:rPr>
      </w:pPr>
      <w:bookmarkStart w:id="77" w:name="_Toc67062429"/>
      <w:bookmarkStart w:id="78" w:name="_Toc344475120"/>
      <w:bookmarkStart w:id="79" w:name="_Toc533863176"/>
      <w:bookmarkStart w:id="80" w:name="_Toc17510"/>
      <w:bookmarkStart w:id="81" w:name="_Toc11641055"/>
      <w:bookmarkStart w:id="82" w:name="_Toc12789059"/>
    </w:p>
    <w:p w14:paraId="4B8751FE">
      <w:pPr>
        <w:pStyle w:val="5"/>
        <w:spacing w:before="0" w:after="0" w:line="400" w:lineRule="exact"/>
        <w:rPr>
          <w:rFonts w:hint="eastAsia" w:ascii="宋体" w:hAnsi="宋体" w:eastAsia="宋体" w:cs="宋体"/>
          <w:color w:val="000000"/>
          <w:sz w:val="24"/>
          <w:szCs w:val="24"/>
        </w:rPr>
      </w:pPr>
      <w:bookmarkStart w:id="83" w:name="_Toc17136"/>
      <w:r>
        <w:rPr>
          <w:rFonts w:hint="eastAsia" w:ascii="宋体" w:hAnsi="宋体" w:eastAsia="宋体" w:cs="宋体"/>
          <w:color w:val="000000"/>
          <w:sz w:val="24"/>
          <w:szCs w:val="24"/>
          <w:lang w:eastAsia="zh-CN"/>
        </w:rPr>
        <w:t>一</w:t>
      </w:r>
      <w:r>
        <w:rPr>
          <w:rFonts w:hint="eastAsia" w:ascii="宋体" w:hAnsi="宋体" w:eastAsia="宋体" w:cs="宋体"/>
          <w:color w:val="000000"/>
          <w:sz w:val="24"/>
          <w:szCs w:val="24"/>
        </w:rPr>
        <w:t>、交货时间、交货地点、验收方式</w:t>
      </w:r>
      <w:bookmarkEnd w:id="77"/>
      <w:bookmarkEnd w:id="78"/>
      <w:bookmarkEnd w:id="79"/>
      <w:r>
        <w:rPr>
          <w:rFonts w:hint="eastAsia" w:ascii="宋体" w:hAnsi="宋体" w:eastAsia="宋体" w:cs="宋体"/>
          <w:color w:val="000000"/>
          <w:sz w:val="24"/>
          <w:szCs w:val="24"/>
        </w:rPr>
        <w:t>及交付方式</w:t>
      </w:r>
      <w:bookmarkEnd w:id="80"/>
      <w:bookmarkEnd w:id="83"/>
    </w:p>
    <w:p w14:paraId="0617DF95">
      <w:pPr>
        <w:snapToGrid w:val="0"/>
        <w:spacing w:line="40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（一）交货时间：采购合同签订后</w:t>
      </w:r>
      <w:r>
        <w:rPr>
          <w:rFonts w:hint="eastAsia" w:ascii="宋体" w:hAnsi="宋体" w:eastAsia="宋体" w:cs="宋体"/>
          <w:color w:val="000000"/>
          <w:sz w:val="24"/>
          <w:szCs w:val="24"/>
          <w:highlight w:val="none"/>
          <w:lang w:val="en-US" w:eastAsia="zh-CN"/>
        </w:rPr>
        <w:t>40</w:t>
      </w:r>
      <w:r>
        <w:rPr>
          <w:rFonts w:hint="eastAsia" w:ascii="宋体" w:hAnsi="宋体" w:eastAsia="宋体" w:cs="宋体"/>
          <w:color w:val="000000"/>
          <w:sz w:val="24"/>
          <w:szCs w:val="24"/>
          <w:highlight w:val="none"/>
        </w:rPr>
        <w:t>个日历日内完成</w:t>
      </w:r>
      <w:r>
        <w:rPr>
          <w:rFonts w:hint="eastAsia" w:ascii="宋体" w:hAnsi="宋体" w:eastAsia="宋体" w:cs="宋体"/>
          <w:color w:val="000000"/>
          <w:sz w:val="24"/>
          <w:szCs w:val="24"/>
          <w:highlight w:val="none"/>
          <w:lang w:val="en-US" w:eastAsia="zh-CN"/>
        </w:rPr>
        <w:t>施工、</w:t>
      </w:r>
      <w:r>
        <w:rPr>
          <w:rFonts w:hint="eastAsia" w:ascii="宋体" w:hAnsi="宋体" w:eastAsia="宋体" w:cs="宋体"/>
          <w:color w:val="000000"/>
          <w:sz w:val="24"/>
          <w:szCs w:val="24"/>
          <w:highlight w:val="none"/>
        </w:rPr>
        <w:t>安装调试并经验收合格后交付采购人正常使用。</w:t>
      </w:r>
    </w:p>
    <w:p w14:paraId="518FB054">
      <w:pPr>
        <w:snapToGrid w:val="0"/>
        <w:spacing w:line="400" w:lineRule="exact"/>
        <w:ind w:firstLine="480" w:firstLineChars="200"/>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rPr>
        <w:t>（二）交货地点：</w:t>
      </w:r>
      <w:r>
        <w:rPr>
          <w:rFonts w:hint="eastAsia" w:ascii="宋体" w:hAnsi="宋体" w:eastAsia="宋体" w:cs="宋体"/>
          <w:color w:val="000000"/>
          <w:sz w:val="24"/>
          <w:szCs w:val="24"/>
          <w:lang w:val="en-US" w:eastAsia="zh-CN"/>
        </w:rPr>
        <w:t>采购人指定地点。</w:t>
      </w:r>
    </w:p>
    <w:p w14:paraId="0B626F40">
      <w:pPr>
        <w:snapToGrid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000000"/>
          <w:sz w:val="24"/>
          <w:szCs w:val="24"/>
        </w:rPr>
        <w:t>（三）</w:t>
      </w:r>
      <w:r>
        <w:rPr>
          <w:rFonts w:hint="eastAsia" w:ascii="宋体" w:hAnsi="宋体" w:eastAsia="宋体" w:cs="宋体"/>
          <w:color w:val="auto"/>
          <w:sz w:val="24"/>
          <w:szCs w:val="24"/>
          <w:highlight w:val="none"/>
        </w:rPr>
        <w:t>验收方式：由采购人自行组织验收。</w:t>
      </w:r>
    </w:p>
    <w:p w14:paraId="48F58B40">
      <w:pPr>
        <w:pStyle w:val="5"/>
        <w:spacing w:before="0" w:after="0" w:line="400" w:lineRule="exact"/>
        <w:rPr>
          <w:rFonts w:hint="eastAsia" w:ascii="宋体" w:hAnsi="宋体" w:eastAsia="宋体" w:cs="宋体"/>
          <w:color w:val="000000"/>
          <w:kern w:val="0"/>
          <w:sz w:val="24"/>
          <w:szCs w:val="24"/>
        </w:rPr>
      </w:pPr>
      <w:bookmarkStart w:id="84" w:name="_Toc22998"/>
      <w:r>
        <w:rPr>
          <w:rFonts w:hint="eastAsia" w:ascii="宋体" w:hAnsi="宋体" w:eastAsia="宋体" w:cs="宋体"/>
          <w:color w:val="000000"/>
          <w:kern w:val="0"/>
          <w:sz w:val="24"/>
          <w:szCs w:val="24"/>
          <w:lang w:val="en-US" w:eastAsia="zh-CN"/>
        </w:rPr>
        <w:t>二</w:t>
      </w:r>
      <w:r>
        <w:rPr>
          <w:rFonts w:hint="eastAsia" w:ascii="宋体" w:hAnsi="宋体" w:eastAsia="宋体" w:cs="宋体"/>
          <w:color w:val="000000"/>
          <w:kern w:val="0"/>
          <w:sz w:val="24"/>
          <w:szCs w:val="24"/>
        </w:rPr>
        <w:t>、报价要求及项目结算</w:t>
      </w:r>
      <w:bookmarkEnd w:id="84"/>
    </w:p>
    <w:p w14:paraId="04C1AB7B">
      <w:pPr>
        <w:pageBreakBefore w:val="0"/>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b w:val="0"/>
          <w:color w:val="000000"/>
          <w:kern w:val="0"/>
          <w:sz w:val="24"/>
          <w:szCs w:val="24"/>
          <w:lang w:val="zh-CN" w:eastAsia="zh-CN" w:bidi="ar-SA"/>
        </w:rPr>
      </w:pPr>
      <w:bookmarkStart w:id="85" w:name="_Toc533863179"/>
      <w:bookmarkStart w:id="86" w:name="_Toc21714"/>
      <w:bookmarkStart w:id="87" w:name="_Toc344475122"/>
      <w:bookmarkStart w:id="88" w:name="_Toc67062432"/>
      <w:r>
        <w:rPr>
          <w:rFonts w:hint="eastAsia" w:ascii="宋体" w:hAnsi="宋体" w:eastAsia="宋体" w:cs="宋体"/>
          <w:b w:val="0"/>
          <w:color w:val="000000"/>
          <w:kern w:val="0"/>
          <w:sz w:val="24"/>
          <w:szCs w:val="24"/>
          <w:lang w:val="zh-CN" w:eastAsia="zh-CN" w:bidi="ar-SA"/>
        </w:rPr>
        <w:t>（一）</w:t>
      </w:r>
      <w:r>
        <w:rPr>
          <w:rFonts w:hint="eastAsia" w:ascii="宋体" w:hAnsi="宋体" w:eastAsia="宋体" w:cs="宋体"/>
          <w:sz w:val="24"/>
          <w:szCs w:val="24"/>
        </w:rPr>
        <w:t>本工程价款采用固定综合单价（含税）和工程量据实结算方式确定</w:t>
      </w:r>
      <w:r>
        <w:rPr>
          <w:rFonts w:hint="eastAsia" w:ascii="宋体" w:hAnsi="宋体" w:eastAsia="宋体" w:cs="宋体"/>
          <w:b w:val="0"/>
          <w:color w:val="000000"/>
          <w:kern w:val="0"/>
          <w:sz w:val="24"/>
          <w:szCs w:val="24"/>
          <w:lang w:val="zh-CN" w:eastAsia="zh-CN" w:bidi="ar-SA"/>
        </w:rPr>
        <w:t>，</w:t>
      </w:r>
      <w:r>
        <w:rPr>
          <w:rFonts w:hint="eastAsia" w:ascii="宋体" w:hAnsi="宋体" w:eastAsia="宋体" w:cs="宋体"/>
          <w:sz w:val="24"/>
          <w:szCs w:val="24"/>
        </w:rPr>
        <w:t>工程量计价清单中，清单项目实行综合单价包干，清单综合包干单价包括但不限于人工费、机械费、材料费、措施费、管理费、利润、协调费、赶工费、安全文明施工费、洞口修补费、管线切缝开槽修补费（含其他专业分包）、配合费、资料档案费（如有）、</w:t>
      </w:r>
      <w:r>
        <w:rPr>
          <w:rFonts w:hint="eastAsia" w:ascii="宋体" w:hAnsi="宋体" w:eastAsia="宋体" w:cs="宋体"/>
          <w:sz w:val="24"/>
          <w:szCs w:val="24"/>
          <w:lang w:eastAsia="zh-Hans"/>
        </w:rPr>
        <w:t>除渣费（含单面3km运距）、</w:t>
      </w:r>
      <w:r>
        <w:rPr>
          <w:rFonts w:hint="eastAsia" w:ascii="宋体" w:hAnsi="宋体" w:eastAsia="宋体" w:cs="宋体"/>
          <w:sz w:val="24"/>
          <w:szCs w:val="24"/>
        </w:rPr>
        <w:t>停窝工损失费、各类市场风险及其他应由乙方承担的所有费用。清单综合包干单价不因工资、物价、税率或汇率变动、保险政策变动或任何调价文件之要求而调整。工程量计价清单中的技术规格描述与施工设计图纸中要求不一致的，则视为清单综合包干单价为已综合考虑施工设计图纸要求的单价。</w:t>
      </w:r>
      <w:r>
        <w:rPr>
          <w:rFonts w:hint="eastAsia" w:ascii="宋体" w:hAnsi="宋体" w:eastAsia="宋体" w:cs="宋体"/>
          <w:b w:val="0"/>
          <w:color w:val="000000"/>
          <w:kern w:val="0"/>
          <w:sz w:val="24"/>
          <w:szCs w:val="24"/>
          <w:lang w:val="zh-CN" w:eastAsia="zh-CN" w:bidi="ar-SA"/>
        </w:rPr>
        <w:t>因成交供应商自身原因造成漏报、少报皆由其自行承担责任，采购人不再补偿。采购人提供的面积等工程量均为预估量，供应商须结合项目要求及现场踏勘等情况进行报价。</w:t>
      </w:r>
    </w:p>
    <w:p w14:paraId="0F484FF5">
      <w:pPr>
        <w:spacing w:line="390" w:lineRule="exact"/>
        <w:ind w:firstLine="480" w:firstLineChars="200"/>
        <w:rPr>
          <w:rFonts w:hint="eastAsia" w:ascii="宋体" w:hAnsi="宋体" w:eastAsia="宋体" w:cs="宋体"/>
          <w:b w:val="0"/>
          <w:color w:val="000000"/>
          <w:kern w:val="0"/>
          <w:sz w:val="24"/>
          <w:szCs w:val="24"/>
          <w:lang w:val="zh-CN" w:eastAsia="zh-CN" w:bidi="ar-SA"/>
        </w:rPr>
      </w:pPr>
      <w:r>
        <w:rPr>
          <w:rFonts w:hint="eastAsia" w:ascii="宋体" w:hAnsi="宋体" w:eastAsia="宋体" w:cs="宋体"/>
          <w:b w:val="0"/>
          <w:color w:val="000000"/>
          <w:kern w:val="0"/>
          <w:sz w:val="24"/>
          <w:szCs w:val="24"/>
          <w:lang w:val="zh-CN" w:eastAsia="zh-CN" w:bidi="ar-SA"/>
        </w:rPr>
        <w:t>（二）供应商应通过踏勘现场、了解项目实际情况，并充分考虑所有因素，在履约供货期限内，采购人不再另外追加任何费用。</w:t>
      </w:r>
    </w:p>
    <w:p w14:paraId="4BBB8129">
      <w:pPr>
        <w:pStyle w:val="5"/>
        <w:spacing w:before="0" w:after="0" w:line="400" w:lineRule="exact"/>
        <w:rPr>
          <w:rFonts w:hint="eastAsia" w:ascii="宋体" w:hAnsi="宋体" w:eastAsia="宋体" w:cs="宋体"/>
          <w:color w:val="000000"/>
        </w:rPr>
      </w:pPr>
      <w:bookmarkStart w:id="89" w:name="_Toc5975"/>
      <w:r>
        <w:rPr>
          <w:rFonts w:hint="eastAsia" w:ascii="宋体" w:hAnsi="宋体" w:eastAsia="宋体" w:cs="宋体"/>
          <w:color w:val="000000"/>
          <w:sz w:val="24"/>
          <w:szCs w:val="24"/>
          <w:lang w:val="en-US" w:eastAsia="zh-CN"/>
        </w:rPr>
        <w:t>三</w:t>
      </w:r>
      <w:r>
        <w:rPr>
          <w:rFonts w:hint="eastAsia" w:ascii="宋体" w:hAnsi="宋体" w:eastAsia="宋体" w:cs="宋体"/>
          <w:color w:val="000000"/>
          <w:sz w:val="24"/>
          <w:szCs w:val="24"/>
        </w:rPr>
        <w:t>、付款方式</w:t>
      </w:r>
      <w:bookmarkEnd w:id="85"/>
      <w:bookmarkEnd w:id="86"/>
      <w:bookmarkEnd w:id="87"/>
      <w:bookmarkEnd w:id="88"/>
      <w:bookmarkEnd w:id="89"/>
    </w:p>
    <w:p w14:paraId="2EC5A91A">
      <w:pPr>
        <w:pageBreakBefore w:val="0"/>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sz w:val="24"/>
          <w:szCs w:val="24"/>
          <w:u w:val="single"/>
        </w:rPr>
      </w:pPr>
      <w:bookmarkStart w:id="90" w:name="_Toc67062433"/>
      <w:bookmarkStart w:id="91" w:name="_Toc344475123"/>
      <w:bookmarkStart w:id="92" w:name="_Toc6392"/>
      <w:bookmarkStart w:id="93" w:name="_Toc533863180"/>
      <w:r>
        <w:rPr>
          <w:rFonts w:hint="eastAsia" w:ascii="宋体" w:hAnsi="宋体" w:eastAsia="宋体" w:cs="宋体"/>
          <w:sz w:val="24"/>
          <w:szCs w:val="24"/>
          <w:lang w:val="en-US" w:eastAsia="zh-CN"/>
        </w:rPr>
        <w:t>（一）采购项目</w:t>
      </w:r>
      <w:r>
        <w:rPr>
          <w:rFonts w:hint="eastAsia" w:ascii="宋体" w:hAnsi="宋体" w:eastAsia="宋体" w:cs="宋体"/>
          <w:sz w:val="24"/>
          <w:szCs w:val="24"/>
        </w:rPr>
        <w:t>履约保证金为</w:t>
      </w:r>
      <w:r>
        <w:rPr>
          <w:rFonts w:hint="eastAsia" w:ascii="宋体" w:hAnsi="宋体" w:eastAsia="宋体" w:cs="宋体"/>
          <w:color w:val="000000"/>
          <w:sz w:val="24"/>
          <w:szCs w:val="24"/>
        </w:rPr>
        <w:t>10000</w:t>
      </w:r>
      <w:r>
        <w:rPr>
          <w:rFonts w:hint="eastAsia" w:ascii="宋体" w:hAnsi="宋体" w:eastAsia="宋体" w:cs="宋体"/>
          <w:sz w:val="24"/>
          <w:szCs w:val="24"/>
        </w:rPr>
        <w:t>元，签定合同时支付，此履约保证金在竣工验收合格后10日内甲方无息返还。</w:t>
      </w:r>
    </w:p>
    <w:p w14:paraId="4C777B7C">
      <w:pPr>
        <w:pageBreakBefore w:val="0"/>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二</w:t>
      </w:r>
      <w:r>
        <w:rPr>
          <w:rFonts w:hint="eastAsia" w:ascii="宋体" w:hAnsi="宋体" w:eastAsia="宋体" w:cs="宋体"/>
          <w:sz w:val="24"/>
          <w:szCs w:val="24"/>
          <w:lang w:eastAsia="zh-CN"/>
        </w:rPr>
        <w:t>）</w:t>
      </w:r>
      <w:r>
        <w:rPr>
          <w:rFonts w:hint="eastAsia" w:ascii="宋体" w:hAnsi="宋体" w:eastAsia="宋体" w:cs="宋体"/>
          <w:sz w:val="24"/>
          <w:szCs w:val="24"/>
        </w:rPr>
        <w:t>工程款支付：</w:t>
      </w:r>
      <w:r>
        <w:rPr>
          <w:rFonts w:hint="eastAsia" w:ascii="宋体" w:hAnsi="宋体" w:eastAsia="宋体" w:cs="宋体"/>
          <w:color w:val="000000"/>
          <w:sz w:val="24"/>
          <w:szCs w:val="24"/>
        </w:rPr>
        <w:t>本工程无预付款，共分三次支付。</w:t>
      </w:r>
    </w:p>
    <w:p w14:paraId="16329D76">
      <w:pPr>
        <w:pageBreakBefore w:val="0"/>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sz w:val="24"/>
          <w:szCs w:val="24"/>
        </w:rPr>
        <w:t>第一次支付</w:t>
      </w:r>
      <w:r>
        <w:rPr>
          <w:rFonts w:hint="eastAsia" w:ascii="宋体" w:hAnsi="宋体" w:eastAsia="宋体" w:cs="宋体"/>
          <w:sz w:val="24"/>
          <w:szCs w:val="24"/>
          <w:lang w:eastAsia="zh-CN"/>
        </w:rPr>
        <w:t>：</w:t>
      </w:r>
      <w:r>
        <w:rPr>
          <w:rFonts w:hint="eastAsia" w:ascii="宋体" w:hAnsi="宋体" w:eastAsia="宋体" w:cs="宋体"/>
          <w:sz w:val="24"/>
          <w:szCs w:val="24"/>
        </w:rPr>
        <w:t>工程产值达到暂定工程总价的80%时支付暂定工程总价的50%。</w:t>
      </w:r>
    </w:p>
    <w:p w14:paraId="5455182D">
      <w:pPr>
        <w:pageBreakBefore w:val="0"/>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eastAsia="zh-CN"/>
        </w:rPr>
        <w:t>.</w:t>
      </w:r>
      <w:r>
        <w:rPr>
          <w:rFonts w:hint="eastAsia" w:ascii="宋体" w:hAnsi="宋体" w:eastAsia="宋体" w:cs="宋体"/>
          <w:sz w:val="24"/>
          <w:szCs w:val="24"/>
        </w:rPr>
        <w:t>第二次支付:工程竣工验收合格办理完结算后30日内支付审定结算总金额的97%，保留审定结算总价款的3%作为质量保证金。</w:t>
      </w:r>
    </w:p>
    <w:p w14:paraId="5740B17B">
      <w:pPr>
        <w:pageBreakBefore w:val="0"/>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sz w:val="24"/>
          <w:szCs w:val="24"/>
        </w:rPr>
        <w:t>第三次支付：2年质量缺陷期满后10日内无息支付质保金。质量缺陷期间乙方积极完成质量缺陷整改，退质保金时不得有质量缺陷。</w:t>
      </w:r>
    </w:p>
    <w:p w14:paraId="7D014FB9">
      <w:pPr>
        <w:pageBreakBefore w:val="0"/>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sz w:val="24"/>
          <w:szCs w:val="24"/>
        </w:rPr>
        <w:t>甲方支付每笔款项前，乙方需开具增值税普通发票。</w:t>
      </w:r>
    </w:p>
    <w:p w14:paraId="3BE20FE1">
      <w:pPr>
        <w:pStyle w:val="5"/>
        <w:spacing w:before="0" w:after="0" w:line="400" w:lineRule="exact"/>
        <w:rPr>
          <w:rFonts w:hint="eastAsia" w:ascii="宋体" w:hAnsi="宋体" w:eastAsia="宋体" w:cs="宋体"/>
          <w:color w:val="000000"/>
          <w:sz w:val="24"/>
          <w:szCs w:val="24"/>
        </w:rPr>
      </w:pPr>
      <w:bookmarkStart w:id="94" w:name="_Toc2922"/>
      <w:r>
        <w:rPr>
          <w:rFonts w:hint="eastAsia" w:ascii="宋体" w:hAnsi="宋体" w:eastAsia="宋体" w:cs="宋体"/>
          <w:color w:val="000000"/>
          <w:sz w:val="24"/>
          <w:szCs w:val="24"/>
          <w:lang w:val="en-US" w:eastAsia="zh-CN"/>
        </w:rPr>
        <w:t>四</w:t>
      </w:r>
      <w:r>
        <w:rPr>
          <w:rFonts w:hint="eastAsia" w:ascii="宋体" w:hAnsi="宋体" w:eastAsia="宋体" w:cs="宋体"/>
          <w:color w:val="000000"/>
          <w:sz w:val="24"/>
          <w:szCs w:val="24"/>
        </w:rPr>
        <w:t>、知识产权</w:t>
      </w:r>
      <w:bookmarkEnd w:id="90"/>
      <w:bookmarkEnd w:id="91"/>
      <w:bookmarkEnd w:id="92"/>
      <w:bookmarkEnd w:id="93"/>
      <w:bookmarkEnd w:id="94"/>
    </w:p>
    <w:p w14:paraId="28A3C17D">
      <w:pPr>
        <w:spacing w:line="400" w:lineRule="exact"/>
        <w:ind w:firstLine="480" w:firstLineChars="200"/>
        <w:rPr>
          <w:rFonts w:hint="eastAsia" w:ascii="宋体" w:hAnsi="宋体" w:eastAsia="宋体" w:cs="宋体"/>
          <w:color w:val="000000"/>
          <w:sz w:val="24"/>
          <w:szCs w:val="24"/>
        </w:rPr>
      </w:pPr>
      <w:bookmarkStart w:id="95" w:name="_Toc344475124"/>
      <w:r>
        <w:rPr>
          <w:rFonts w:hint="eastAsia" w:ascii="宋体" w:hAnsi="宋体" w:eastAsia="宋体" w:cs="宋体"/>
          <w:color w:val="000000"/>
          <w:sz w:val="24"/>
          <w:szCs w:val="24"/>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0494B954">
      <w:pPr>
        <w:pStyle w:val="5"/>
        <w:spacing w:before="0" w:after="0" w:line="400" w:lineRule="exact"/>
        <w:rPr>
          <w:rFonts w:hint="eastAsia" w:ascii="宋体" w:hAnsi="宋体" w:eastAsia="宋体" w:cs="宋体"/>
          <w:color w:val="000000"/>
          <w:sz w:val="24"/>
          <w:szCs w:val="24"/>
        </w:rPr>
      </w:pPr>
      <w:bookmarkStart w:id="96" w:name="_Toc533863181"/>
      <w:bookmarkStart w:id="97" w:name="_Toc67062434"/>
      <w:bookmarkStart w:id="98" w:name="_Toc20443"/>
      <w:bookmarkStart w:id="99" w:name="_Toc14411"/>
      <w:r>
        <w:rPr>
          <w:rFonts w:hint="eastAsia" w:ascii="宋体" w:hAnsi="宋体" w:eastAsia="宋体" w:cs="宋体"/>
          <w:color w:val="000000"/>
          <w:sz w:val="24"/>
          <w:szCs w:val="24"/>
          <w:lang w:val="en-US" w:eastAsia="zh-CN"/>
        </w:rPr>
        <w:t>五</w:t>
      </w:r>
      <w:r>
        <w:rPr>
          <w:rFonts w:hint="eastAsia" w:ascii="宋体" w:hAnsi="宋体" w:eastAsia="宋体" w:cs="宋体"/>
          <w:color w:val="000000"/>
          <w:sz w:val="24"/>
          <w:szCs w:val="24"/>
        </w:rPr>
        <w:t>、</w:t>
      </w:r>
      <w:bookmarkEnd w:id="95"/>
      <w:bookmarkStart w:id="100" w:name="_Toc344475125"/>
      <w:r>
        <w:rPr>
          <w:rFonts w:hint="eastAsia" w:ascii="宋体" w:hAnsi="宋体" w:eastAsia="宋体" w:cs="宋体"/>
          <w:color w:val="000000"/>
          <w:sz w:val="24"/>
          <w:szCs w:val="24"/>
        </w:rPr>
        <w:t>其他</w:t>
      </w:r>
      <w:bookmarkEnd w:id="96"/>
      <w:bookmarkEnd w:id="97"/>
      <w:bookmarkEnd w:id="98"/>
      <w:bookmarkEnd w:id="99"/>
    </w:p>
    <w:bookmarkEnd w:id="100"/>
    <w:p w14:paraId="6B08A7FE">
      <w:pPr>
        <w:snapToGrid w:val="0"/>
        <w:spacing w:line="400" w:lineRule="exact"/>
        <w:ind w:firstLine="540"/>
        <w:rPr>
          <w:rFonts w:hint="eastAsia" w:ascii="宋体" w:hAnsi="宋体" w:eastAsia="宋体" w:cs="宋体"/>
          <w:color w:val="000000"/>
          <w:sz w:val="24"/>
          <w:szCs w:val="24"/>
        </w:rPr>
      </w:pPr>
      <w:r>
        <w:rPr>
          <w:rFonts w:hint="eastAsia" w:ascii="宋体" w:hAnsi="宋体" w:eastAsia="宋体" w:cs="宋体"/>
          <w:color w:val="000000"/>
          <w:sz w:val="24"/>
          <w:szCs w:val="24"/>
        </w:rPr>
        <w:t>（一）供应商必须在响应文件中对以上条款和服务承诺明确列出，承诺内容必须达到本篇及询价采购文件其他条款的要求。</w:t>
      </w:r>
    </w:p>
    <w:p w14:paraId="4A210325">
      <w:pPr>
        <w:snapToGrid w:val="0"/>
        <w:spacing w:line="400" w:lineRule="exact"/>
        <w:ind w:firstLine="540"/>
        <w:rPr>
          <w:rFonts w:hint="eastAsia" w:ascii="宋体" w:hAnsi="宋体" w:eastAsia="宋体" w:cs="宋体"/>
          <w:color w:val="000000"/>
          <w:sz w:val="24"/>
          <w:szCs w:val="24"/>
        </w:rPr>
      </w:pPr>
      <w:r>
        <w:rPr>
          <w:rFonts w:hint="eastAsia" w:ascii="宋体" w:hAnsi="宋体" w:eastAsia="宋体" w:cs="宋体"/>
          <w:color w:val="000000"/>
          <w:sz w:val="24"/>
          <w:szCs w:val="24"/>
        </w:rPr>
        <w:t>（二）其他未尽事宜由供需双方在采购合同中详细约定。</w:t>
      </w:r>
    </w:p>
    <w:p w14:paraId="38D97D15">
      <w:pPr>
        <w:pStyle w:val="4"/>
        <w:spacing w:before="0" w:after="0" w:line="380" w:lineRule="exact"/>
        <w:jc w:val="center"/>
        <w:rPr>
          <w:rFonts w:hint="eastAsia" w:ascii="宋体" w:hAnsi="宋体" w:eastAsia="宋体" w:cs="宋体"/>
          <w:color w:val="000000"/>
          <w:spacing w:val="-14"/>
          <w:sz w:val="36"/>
          <w:szCs w:val="36"/>
        </w:rPr>
      </w:pPr>
      <w:r>
        <w:rPr>
          <w:rFonts w:hint="eastAsia" w:ascii="宋体" w:hAnsi="宋体" w:eastAsia="宋体" w:cs="宋体"/>
          <w:color w:val="000000"/>
          <w:sz w:val="24"/>
          <w:szCs w:val="24"/>
        </w:rPr>
        <w:br w:type="page"/>
      </w:r>
      <w:bookmarkStart w:id="101" w:name="_Toc27958"/>
      <w:bookmarkStart w:id="102" w:name="_Toc470709501"/>
      <w:r>
        <w:rPr>
          <w:rFonts w:hint="eastAsia" w:ascii="宋体" w:hAnsi="宋体" w:eastAsia="宋体" w:cs="宋体"/>
          <w:color w:val="000000"/>
          <w:sz w:val="36"/>
          <w:szCs w:val="36"/>
        </w:rPr>
        <w:t>第五篇 合同主要条款和格式合同（样本）</w:t>
      </w:r>
      <w:bookmarkEnd w:id="101"/>
      <w:bookmarkEnd w:id="102"/>
      <w:bookmarkStart w:id="103" w:name="_Toc441065691"/>
      <w:bookmarkStart w:id="104" w:name="_Toc277084870"/>
      <w:bookmarkStart w:id="105" w:name="_Toc285722712"/>
    </w:p>
    <w:p w14:paraId="78AA593D">
      <w:pPr>
        <w:snapToGrid w:val="0"/>
        <w:spacing w:line="380" w:lineRule="exact"/>
        <w:ind w:firstLine="424" w:firstLineChars="200"/>
        <w:rPr>
          <w:rFonts w:hint="eastAsia" w:ascii="宋体" w:hAnsi="宋体" w:eastAsia="宋体" w:cs="宋体"/>
          <w:bCs/>
          <w:color w:val="000000"/>
          <w:spacing w:val="-14"/>
          <w:sz w:val="24"/>
          <w:szCs w:val="24"/>
        </w:rPr>
      </w:pPr>
      <w:r>
        <w:rPr>
          <w:rFonts w:hint="eastAsia" w:ascii="宋体" w:hAnsi="宋体" w:eastAsia="宋体" w:cs="宋体"/>
          <w:bCs/>
          <w:color w:val="000000"/>
          <w:spacing w:val="-14"/>
          <w:sz w:val="24"/>
          <w:szCs w:val="24"/>
        </w:rPr>
        <w:t>一、合同主要条款</w:t>
      </w:r>
      <w:bookmarkEnd w:id="103"/>
      <w:bookmarkEnd w:id="104"/>
      <w:bookmarkEnd w:id="105"/>
    </w:p>
    <w:p w14:paraId="383B9B26">
      <w:pPr>
        <w:snapToGrid w:val="0"/>
        <w:spacing w:line="380" w:lineRule="exact"/>
        <w:ind w:firstLine="424" w:firstLineChars="200"/>
        <w:rPr>
          <w:rFonts w:hint="eastAsia" w:ascii="宋体" w:hAnsi="宋体" w:eastAsia="宋体" w:cs="宋体"/>
          <w:bCs/>
          <w:color w:val="000000"/>
          <w:spacing w:val="-14"/>
          <w:sz w:val="24"/>
          <w:szCs w:val="24"/>
        </w:rPr>
      </w:pPr>
      <w:r>
        <w:rPr>
          <w:rFonts w:hint="eastAsia" w:ascii="宋体" w:hAnsi="宋体" w:eastAsia="宋体" w:cs="宋体"/>
          <w:bCs/>
          <w:color w:val="000000"/>
          <w:spacing w:val="-14"/>
          <w:sz w:val="24"/>
          <w:szCs w:val="24"/>
        </w:rPr>
        <w:t>1.定义</w:t>
      </w:r>
    </w:p>
    <w:p w14:paraId="216A444C">
      <w:pPr>
        <w:snapToGrid w:val="0"/>
        <w:spacing w:line="380" w:lineRule="exact"/>
        <w:ind w:firstLine="424" w:firstLineChars="200"/>
        <w:rPr>
          <w:rFonts w:hint="eastAsia" w:ascii="宋体" w:hAnsi="宋体" w:eastAsia="宋体" w:cs="宋体"/>
          <w:bCs/>
          <w:color w:val="000000"/>
          <w:spacing w:val="-14"/>
          <w:sz w:val="24"/>
          <w:szCs w:val="24"/>
        </w:rPr>
      </w:pPr>
      <w:r>
        <w:rPr>
          <w:rFonts w:hint="eastAsia" w:ascii="宋体" w:hAnsi="宋体" w:eastAsia="宋体" w:cs="宋体"/>
          <w:bCs/>
          <w:color w:val="000000"/>
          <w:spacing w:val="-14"/>
          <w:sz w:val="24"/>
          <w:szCs w:val="24"/>
        </w:rPr>
        <w:t>（1）甲方（需方）即采购人，是指通过询价采购，接受合同货物及服务的各级国家机关、事业单位和团体组织。</w:t>
      </w:r>
    </w:p>
    <w:p w14:paraId="52EC11A4">
      <w:pPr>
        <w:snapToGrid w:val="0"/>
        <w:spacing w:line="380" w:lineRule="exact"/>
        <w:ind w:firstLine="424" w:firstLineChars="200"/>
        <w:rPr>
          <w:rFonts w:hint="eastAsia" w:ascii="宋体" w:hAnsi="宋体" w:eastAsia="宋体" w:cs="宋体"/>
          <w:bCs/>
          <w:color w:val="000000"/>
          <w:spacing w:val="-14"/>
          <w:sz w:val="24"/>
          <w:szCs w:val="24"/>
        </w:rPr>
      </w:pPr>
      <w:r>
        <w:rPr>
          <w:rFonts w:hint="eastAsia" w:ascii="宋体" w:hAnsi="宋体" w:eastAsia="宋体" w:cs="宋体"/>
          <w:bCs/>
          <w:color w:val="000000"/>
          <w:spacing w:val="-14"/>
          <w:sz w:val="24"/>
          <w:szCs w:val="24"/>
        </w:rPr>
        <w:t>（2）乙方（供方）即成交供应商，是指成交后提供合同货物和服务的自然人、法人及其他组织。</w:t>
      </w:r>
    </w:p>
    <w:p w14:paraId="23DCDE01">
      <w:pPr>
        <w:snapToGrid w:val="0"/>
        <w:spacing w:line="380" w:lineRule="exact"/>
        <w:ind w:firstLine="424" w:firstLineChars="200"/>
        <w:rPr>
          <w:rFonts w:hint="eastAsia" w:ascii="宋体" w:hAnsi="宋体" w:eastAsia="宋体" w:cs="宋体"/>
          <w:bCs/>
          <w:color w:val="000000"/>
          <w:spacing w:val="-14"/>
          <w:sz w:val="24"/>
          <w:szCs w:val="24"/>
        </w:rPr>
      </w:pPr>
      <w:r>
        <w:rPr>
          <w:rFonts w:hint="eastAsia" w:ascii="宋体" w:hAnsi="宋体" w:eastAsia="宋体" w:cs="宋体"/>
          <w:bCs/>
          <w:color w:val="000000"/>
          <w:spacing w:val="-14"/>
          <w:sz w:val="24"/>
          <w:szCs w:val="24"/>
        </w:rPr>
        <w:t>（3）合同是指由甲乙双方按照询价通知书和响应文件的实质性内容，通过协商一致达成的书面协议。</w:t>
      </w:r>
    </w:p>
    <w:p w14:paraId="035DDE41">
      <w:pPr>
        <w:snapToGrid w:val="0"/>
        <w:spacing w:line="380" w:lineRule="exact"/>
        <w:ind w:firstLine="424" w:firstLineChars="200"/>
        <w:rPr>
          <w:rFonts w:hint="eastAsia" w:ascii="宋体" w:hAnsi="宋体" w:eastAsia="宋体" w:cs="宋体"/>
          <w:bCs/>
          <w:color w:val="000000"/>
          <w:spacing w:val="-14"/>
          <w:sz w:val="24"/>
          <w:szCs w:val="24"/>
        </w:rPr>
      </w:pPr>
      <w:r>
        <w:rPr>
          <w:rFonts w:hint="eastAsia" w:ascii="宋体" w:hAnsi="宋体" w:eastAsia="宋体" w:cs="宋体"/>
          <w:bCs/>
          <w:color w:val="000000"/>
          <w:spacing w:val="-14"/>
          <w:sz w:val="24"/>
          <w:szCs w:val="24"/>
        </w:rPr>
        <w:t>（4）合同价格指以成交价格为依据，在供方全面履行合同义务后，需方（或财政部门）应支付给供方的金额。</w:t>
      </w:r>
    </w:p>
    <w:p w14:paraId="2C69A99D">
      <w:pPr>
        <w:snapToGrid w:val="0"/>
        <w:spacing w:line="380" w:lineRule="exact"/>
        <w:ind w:firstLine="424" w:firstLineChars="200"/>
        <w:rPr>
          <w:rFonts w:hint="eastAsia" w:ascii="宋体" w:hAnsi="宋体" w:eastAsia="宋体" w:cs="宋体"/>
          <w:bCs/>
          <w:color w:val="000000"/>
          <w:spacing w:val="-14"/>
          <w:sz w:val="24"/>
          <w:szCs w:val="24"/>
        </w:rPr>
      </w:pPr>
      <w:r>
        <w:rPr>
          <w:rFonts w:hint="eastAsia" w:ascii="宋体" w:hAnsi="宋体" w:eastAsia="宋体" w:cs="宋体"/>
          <w:bCs/>
          <w:color w:val="000000"/>
          <w:spacing w:val="-14"/>
          <w:sz w:val="24"/>
          <w:szCs w:val="24"/>
        </w:rPr>
        <w:t>（5）技术资料是指合同货物及其相关的设计、制造、监造、检验、验收等文件（包括图纸、各种文字说明、标准）。</w:t>
      </w:r>
    </w:p>
    <w:p w14:paraId="6A0AA339">
      <w:pPr>
        <w:snapToGrid w:val="0"/>
        <w:spacing w:line="380" w:lineRule="exact"/>
        <w:ind w:firstLine="424" w:firstLineChars="200"/>
        <w:rPr>
          <w:rFonts w:hint="eastAsia" w:ascii="宋体" w:hAnsi="宋体" w:eastAsia="宋体" w:cs="宋体"/>
          <w:bCs/>
          <w:color w:val="000000"/>
          <w:spacing w:val="-14"/>
          <w:sz w:val="24"/>
          <w:szCs w:val="24"/>
        </w:rPr>
      </w:pPr>
      <w:r>
        <w:rPr>
          <w:rFonts w:hint="eastAsia" w:ascii="宋体" w:hAnsi="宋体" w:eastAsia="宋体" w:cs="宋体"/>
          <w:bCs/>
          <w:color w:val="000000"/>
          <w:spacing w:val="-14"/>
          <w:sz w:val="24"/>
          <w:szCs w:val="24"/>
        </w:rPr>
        <w:t>2.货物内容</w:t>
      </w:r>
    </w:p>
    <w:p w14:paraId="54865079">
      <w:pPr>
        <w:snapToGrid w:val="0"/>
        <w:spacing w:line="380" w:lineRule="exact"/>
        <w:ind w:firstLine="424" w:firstLineChars="200"/>
        <w:rPr>
          <w:rFonts w:hint="eastAsia" w:ascii="宋体" w:hAnsi="宋体" w:eastAsia="宋体" w:cs="宋体"/>
          <w:bCs/>
          <w:color w:val="000000"/>
          <w:spacing w:val="-14"/>
          <w:sz w:val="24"/>
          <w:szCs w:val="24"/>
        </w:rPr>
      </w:pPr>
      <w:r>
        <w:rPr>
          <w:rFonts w:hint="eastAsia" w:ascii="宋体" w:hAnsi="宋体" w:eastAsia="宋体" w:cs="宋体"/>
          <w:bCs/>
          <w:color w:val="000000"/>
          <w:spacing w:val="-14"/>
          <w:sz w:val="24"/>
          <w:szCs w:val="24"/>
        </w:rPr>
        <w:t>合同包括以下内容：货物名称、型号规格、技术参数、数量（单位）等内容。</w:t>
      </w:r>
    </w:p>
    <w:p w14:paraId="48786266">
      <w:pPr>
        <w:snapToGrid w:val="0"/>
        <w:spacing w:line="380" w:lineRule="exact"/>
        <w:ind w:firstLine="424" w:firstLineChars="200"/>
        <w:rPr>
          <w:rFonts w:hint="eastAsia" w:ascii="宋体" w:hAnsi="宋体" w:eastAsia="宋体" w:cs="宋体"/>
          <w:bCs/>
          <w:color w:val="000000"/>
          <w:spacing w:val="-14"/>
          <w:sz w:val="24"/>
          <w:szCs w:val="24"/>
        </w:rPr>
      </w:pPr>
      <w:r>
        <w:rPr>
          <w:rFonts w:hint="eastAsia" w:ascii="宋体" w:hAnsi="宋体" w:eastAsia="宋体" w:cs="宋体"/>
          <w:bCs/>
          <w:color w:val="000000"/>
          <w:spacing w:val="-14"/>
          <w:sz w:val="24"/>
          <w:szCs w:val="24"/>
        </w:rPr>
        <w:t>3.合同价格</w:t>
      </w:r>
    </w:p>
    <w:p w14:paraId="012DE8A6">
      <w:pPr>
        <w:snapToGrid w:val="0"/>
        <w:spacing w:line="380" w:lineRule="exact"/>
        <w:ind w:firstLine="424" w:firstLineChars="200"/>
        <w:rPr>
          <w:rFonts w:hint="eastAsia" w:ascii="宋体" w:hAnsi="宋体" w:eastAsia="宋体" w:cs="宋体"/>
          <w:bCs/>
          <w:color w:val="000000"/>
          <w:spacing w:val="-14"/>
          <w:sz w:val="24"/>
          <w:szCs w:val="24"/>
        </w:rPr>
      </w:pPr>
      <w:r>
        <w:rPr>
          <w:rFonts w:hint="eastAsia" w:ascii="宋体" w:hAnsi="宋体" w:eastAsia="宋体" w:cs="宋体"/>
          <w:bCs/>
          <w:color w:val="000000"/>
          <w:spacing w:val="-14"/>
          <w:sz w:val="24"/>
          <w:szCs w:val="24"/>
        </w:rPr>
        <w:t>（1）合同价格即合同金额。</w:t>
      </w:r>
    </w:p>
    <w:p w14:paraId="01912EA2">
      <w:pPr>
        <w:snapToGrid w:val="0"/>
        <w:spacing w:line="380" w:lineRule="exact"/>
        <w:ind w:firstLine="424" w:firstLineChars="200"/>
        <w:rPr>
          <w:rFonts w:hint="eastAsia" w:ascii="宋体" w:hAnsi="宋体" w:eastAsia="宋体" w:cs="宋体"/>
          <w:bCs/>
          <w:color w:val="000000"/>
          <w:spacing w:val="-14"/>
          <w:sz w:val="24"/>
          <w:szCs w:val="24"/>
        </w:rPr>
      </w:pPr>
      <w:r>
        <w:rPr>
          <w:rFonts w:hint="eastAsia" w:ascii="宋体" w:hAnsi="宋体" w:eastAsia="宋体" w:cs="宋体"/>
          <w:bCs/>
          <w:color w:val="000000"/>
          <w:spacing w:val="-14"/>
          <w:sz w:val="24"/>
          <w:szCs w:val="24"/>
        </w:rPr>
        <w:t>（2）合同价格包括合同货物、技术资料、合同货物的税费、运杂费、保险费、包装费、装卸费及与货物有关的供方应纳的税费，所有税费由乙方负担。</w:t>
      </w:r>
    </w:p>
    <w:p w14:paraId="3162312A">
      <w:pPr>
        <w:snapToGrid w:val="0"/>
        <w:spacing w:line="380" w:lineRule="exact"/>
        <w:ind w:firstLine="424" w:firstLineChars="200"/>
        <w:rPr>
          <w:rFonts w:hint="eastAsia" w:ascii="宋体" w:hAnsi="宋体" w:eastAsia="宋体" w:cs="宋体"/>
          <w:bCs/>
          <w:color w:val="000000"/>
          <w:spacing w:val="-14"/>
          <w:sz w:val="24"/>
          <w:szCs w:val="24"/>
        </w:rPr>
      </w:pPr>
      <w:r>
        <w:rPr>
          <w:rFonts w:hint="eastAsia" w:ascii="宋体" w:hAnsi="宋体" w:eastAsia="宋体" w:cs="宋体"/>
          <w:bCs/>
          <w:color w:val="000000"/>
          <w:spacing w:val="-14"/>
          <w:sz w:val="24"/>
          <w:szCs w:val="24"/>
        </w:rPr>
        <w:t>（3）合同货物单价为不变价。</w:t>
      </w:r>
    </w:p>
    <w:p w14:paraId="5C17F265">
      <w:pPr>
        <w:snapToGrid w:val="0"/>
        <w:spacing w:line="380" w:lineRule="exact"/>
        <w:ind w:firstLine="424" w:firstLineChars="200"/>
        <w:rPr>
          <w:rFonts w:hint="eastAsia" w:ascii="宋体" w:hAnsi="宋体" w:eastAsia="宋体" w:cs="宋体"/>
          <w:bCs/>
          <w:color w:val="000000"/>
          <w:spacing w:val="-14"/>
          <w:sz w:val="24"/>
          <w:szCs w:val="24"/>
        </w:rPr>
      </w:pPr>
      <w:r>
        <w:rPr>
          <w:rFonts w:hint="eastAsia" w:ascii="宋体" w:hAnsi="宋体" w:eastAsia="宋体" w:cs="宋体"/>
          <w:bCs/>
          <w:color w:val="000000"/>
          <w:spacing w:val="-14"/>
          <w:sz w:val="24"/>
          <w:szCs w:val="24"/>
        </w:rPr>
        <w:t>4.转包或分包</w:t>
      </w:r>
    </w:p>
    <w:p w14:paraId="0413C4CC">
      <w:pPr>
        <w:snapToGrid w:val="0"/>
        <w:spacing w:line="380" w:lineRule="exact"/>
        <w:ind w:firstLine="424" w:firstLineChars="200"/>
        <w:rPr>
          <w:rFonts w:hint="eastAsia" w:ascii="宋体" w:hAnsi="宋体" w:eastAsia="宋体" w:cs="宋体"/>
          <w:bCs/>
          <w:color w:val="000000"/>
          <w:spacing w:val="-14"/>
          <w:sz w:val="24"/>
          <w:szCs w:val="24"/>
        </w:rPr>
      </w:pPr>
      <w:r>
        <w:rPr>
          <w:rFonts w:hint="eastAsia" w:ascii="宋体" w:hAnsi="宋体" w:eastAsia="宋体" w:cs="宋体"/>
          <w:bCs/>
          <w:color w:val="000000"/>
          <w:spacing w:val="-14"/>
          <w:sz w:val="24"/>
          <w:szCs w:val="24"/>
        </w:rPr>
        <w:t>（1）本合同范围的货物，应由乙方直接供应，不得转让他人供应；</w:t>
      </w:r>
    </w:p>
    <w:p w14:paraId="15E4463D">
      <w:pPr>
        <w:snapToGrid w:val="0"/>
        <w:spacing w:line="380" w:lineRule="exact"/>
        <w:ind w:firstLine="424" w:firstLineChars="200"/>
        <w:rPr>
          <w:rFonts w:hint="eastAsia" w:ascii="宋体" w:hAnsi="宋体" w:eastAsia="宋体" w:cs="宋体"/>
          <w:bCs/>
          <w:color w:val="000000"/>
          <w:spacing w:val="-14"/>
          <w:sz w:val="24"/>
          <w:szCs w:val="24"/>
        </w:rPr>
      </w:pPr>
      <w:r>
        <w:rPr>
          <w:rFonts w:hint="eastAsia" w:ascii="宋体" w:hAnsi="宋体" w:eastAsia="宋体" w:cs="宋体"/>
          <w:bCs/>
          <w:color w:val="000000"/>
          <w:spacing w:val="-14"/>
          <w:sz w:val="24"/>
          <w:szCs w:val="24"/>
        </w:rPr>
        <w:t>（2）非经甲方书面同意，乙方不得将本合同范围的货物全部或部分分包给他人供应；</w:t>
      </w:r>
    </w:p>
    <w:p w14:paraId="6869CD03">
      <w:pPr>
        <w:snapToGrid w:val="0"/>
        <w:spacing w:line="380" w:lineRule="exact"/>
        <w:ind w:firstLine="424" w:firstLineChars="200"/>
        <w:rPr>
          <w:rFonts w:hint="eastAsia" w:ascii="宋体" w:hAnsi="宋体" w:eastAsia="宋体" w:cs="宋体"/>
          <w:bCs/>
          <w:color w:val="000000"/>
          <w:spacing w:val="-14"/>
          <w:sz w:val="24"/>
          <w:szCs w:val="24"/>
        </w:rPr>
      </w:pPr>
      <w:r>
        <w:rPr>
          <w:rFonts w:hint="eastAsia" w:ascii="宋体" w:hAnsi="宋体" w:eastAsia="宋体" w:cs="宋体"/>
          <w:bCs/>
          <w:color w:val="000000"/>
          <w:spacing w:val="-14"/>
          <w:sz w:val="24"/>
          <w:szCs w:val="24"/>
        </w:rPr>
        <w:t>（3）如有转让和未经甲方同意的分包行为，甲方有权解除合同，没收履约保证金并追究乙方的违约责任。</w:t>
      </w:r>
    </w:p>
    <w:p w14:paraId="2FF1DCDE">
      <w:pPr>
        <w:snapToGrid w:val="0"/>
        <w:spacing w:line="380" w:lineRule="exact"/>
        <w:ind w:firstLine="424" w:firstLineChars="200"/>
        <w:rPr>
          <w:rFonts w:hint="eastAsia" w:ascii="宋体" w:hAnsi="宋体" w:eastAsia="宋体" w:cs="宋体"/>
          <w:bCs/>
          <w:color w:val="000000"/>
          <w:spacing w:val="-14"/>
          <w:sz w:val="24"/>
          <w:szCs w:val="24"/>
        </w:rPr>
      </w:pPr>
      <w:r>
        <w:rPr>
          <w:rFonts w:hint="eastAsia" w:ascii="宋体" w:hAnsi="宋体" w:eastAsia="宋体" w:cs="宋体"/>
          <w:bCs/>
          <w:color w:val="000000"/>
          <w:spacing w:val="-14"/>
          <w:sz w:val="24"/>
          <w:szCs w:val="24"/>
        </w:rPr>
        <w:t>5.质量保证及售后服务</w:t>
      </w:r>
    </w:p>
    <w:p w14:paraId="6E34D8B4">
      <w:pPr>
        <w:snapToGrid w:val="0"/>
        <w:spacing w:line="380" w:lineRule="exact"/>
        <w:ind w:firstLine="424" w:firstLineChars="200"/>
        <w:rPr>
          <w:rFonts w:hint="eastAsia" w:ascii="宋体" w:hAnsi="宋体" w:eastAsia="宋体" w:cs="宋体"/>
          <w:bCs/>
          <w:color w:val="000000"/>
          <w:spacing w:val="-14"/>
          <w:sz w:val="24"/>
          <w:szCs w:val="24"/>
        </w:rPr>
      </w:pPr>
      <w:r>
        <w:rPr>
          <w:rFonts w:hint="eastAsia" w:ascii="宋体" w:hAnsi="宋体" w:eastAsia="宋体" w:cs="宋体"/>
          <w:bCs/>
          <w:color w:val="000000"/>
          <w:spacing w:val="-14"/>
          <w:sz w:val="24"/>
          <w:szCs w:val="24"/>
        </w:rPr>
        <w:t>5.1乙方应按询价通知书规定的货物性能、技术要求、质量标准向甲方提供未经使用的全新产品。</w:t>
      </w:r>
    </w:p>
    <w:p w14:paraId="7DF12E08">
      <w:pPr>
        <w:snapToGrid w:val="0"/>
        <w:spacing w:line="380" w:lineRule="exact"/>
        <w:ind w:firstLine="424" w:firstLineChars="200"/>
        <w:rPr>
          <w:rFonts w:hint="eastAsia" w:ascii="宋体" w:hAnsi="宋体" w:eastAsia="宋体" w:cs="宋体"/>
          <w:bCs/>
          <w:color w:val="000000"/>
          <w:spacing w:val="-14"/>
          <w:sz w:val="24"/>
          <w:szCs w:val="24"/>
        </w:rPr>
      </w:pPr>
      <w:r>
        <w:rPr>
          <w:rFonts w:hint="eastAsia" w:ascii="宋体" w:hAnsi="宋体" w:eastAsia="宋体" w:cs="宋体"/>
          <w:bCs/>
          <w:color w:val="000000"/>
          <w:spacing w:val="-14"/>
          <w:sz w:val="24"/>
          <w:szCs w:val="24"/>
        </w:rPr>
        <w:t>5.2乙方提供的货物在质保期内因货物本身的质量问题发生故障，乙方应负责免费更换。对达不到技术要求者，根据实际情况，经双方协商，可按以下办法执行：</w:t>
      </w:r>
    </w:p>
    <w:p w14:paraId="646E2125">
      <w:pPr>
        <w:snapToGrid w:val="0"/>
        <w:spacing w:line="380" w:lineRule="exact"/>
        <w:ind w:firstLine="424" w:firstLineChars="200"/>
        <w:rPr>
          <w:rFonts w:hint="eastAsia" w:ascii="宋体" w:hAnsi="宋体" w:eastAsia="宋体" w:cs="宋体"/>
          <w:bCs/>
          <w:color w:val="000000"/>
          <w:spacing w:val="-14"/>
          <w:sz w:val="24"/>
          <w:szCs w:val="24"/>
        </w:rPr>
      </w:pPr>
      <w:r>
        <w:rPr>
          <w:rFonts w:hint="eastAsia" w:ascii="宋体" w:hAnsi="宋体" w:eastAsia="宋体" w:cs="宋体"/>
          <w:bCs/>
          <w:color w:val="000000"/>
          <w:spacing w:val="-14"/>
          <w:sz w:val="24"/>
          <w:szCs w:val="24"/>
        </w:rPr>
        <w:t>5.2.1更换：由乙方承担所发生的全部费用。</w:t>
      </w:r>
    </w:p>
    <w:p w14:paraId="0C975F94">
      <w:pPr>
        <w:snapToGrid w:val="0"/>
        <w:spacing w:line="380" w:lineRule="exact"/>
        <w:ind w:firstLine="424" w:firstLineChars="200"/>
        <w:rPr>
          <w:rFonts w:hint="eastAsia" w:ascii="宋体" w:hAnsi="宋体" w:eastAsia="宋体" w:cs="宋体"/>
          <w:bCs/>
          <w:color w:val="000000"/>
          <w:spacing w:val="-14"/>
          <w:sz w:val="24"/>
          <w:szCs w:val="24"/>
        </w:rPr>
      </w:pPr>
      <w:r>
        <w:rPr>
          <w:rFonts w:hint="eastAsia" w:ascii="宋体" w:hAnsi="宋体" w:eastAsia="宋体" w:cs="宋体"/>
          <w:bCs/>
          <w:color w:val="000000"/>
          <w:spacing w:val="-14"/>
          <w:sz w:val="24"/>
          <w:szCs w:val="24"/>
        </w:rPr>
        <w:t>5.1.2贬值处理：由甲乙双方合议定价。</w:t>
      </w:r>
    </w:p>
    <w:p w14:paraId="26AC6F7B">
      <w:pPr>
        <w:snapToGrid w:val="0"/>
        <w:spacing w:line="380" w:lineRule="exact"/>
        <w:ind w:firstLine="424" w:firstLineChars="200"/>
        <w:rPr>
          <w:rFonts w:hint="eastAsia" w:ascii="宋体" w:hAnsi="宋体" w:eastAsia="宋体" w:cs="宋体"/>
          <w:bCs/>
          <w:color w:val="000000"/>
          <w:spacing w:val="-14"/>
          <w:sz w:val="24"/>
          <w:szCs w:val="24"/>
        </w:rPr>
      </w:pPr>
      <w:r>
        <w:rPr>
          <w:rFonts w:hint="eastAsia" w:ascii="宋体" w:hAnsi="宋体" w:eastAsia="宋体" w:cs="宋体"/>
          <w:bCs/>
          <w:color w:val="000000"/>
          <w:spacing w:val="-14"/>
          <w:sz w:val="24"/>
          <w:szCs w:val="24"/>
        </w:rPr>
        <w:t>5.2.3退货处理：乙方应退还甲方支付的合同款，同时应承担该货物的直接费用（运输、保险、检验、货款利息及银行手续费等）。</w:t>
      </w:r>
    </w:p>
    <w:p w14:paraId="31F2EA5D">
      <w:pPr>
        <w:snapToGrid w:val="0"/>
        <w:spacing w:line="380" w:lineRule="exact"/>
        <w:ind w:firstLine="424" w:firstLineChars="200"/>
        <w:rPr>
          <w:rFonts w:hint="eastAsia" w:ascii="宋体" w:hAnsi="宋体" w:eastAsia="宋体" w:cs="宋体"/>
          <w:bCs/>
          <w:color w:val="000000"/>
          <w:spacing w:val="-14"/>
          <w:sz w:val="24"/>
          <w:szCs w:val="24"/>
        </w:rPr>
      </w:pPr>
      <w:r>
        <w:rPr>
          <w:rFonts w:hint="eastAsia" w:ascii="宋体" w:hAnsi="宋体" w:eastAsia="宋体" w:cs="宋体"/>
          <w:bCs/>
          <w:color w:val="000000"/>
          <w:spacing w:val="-14"/>
          <w:sz w:val="24"/>
          <w:szCs w:val="24"/>
        </w:rPr>
        <w:t>5.3如在使用过程中发生质量问题，乙方应按本项目“第四篇项目商务需求”中关于售后服务的要求执行。</w:t>
      </w:r>
    </w:p>
    <w:p w14:paraId="7BDEAD3A">
      <w:pPr>
        <w:snapToGrid w:val="0"/>
        <w:spacing w:line="380" w:lineRule="exact"/>
        <w:ind w:firstLine="424" w:firstLineChars="200"/>
        <w:rPr>
          <w:rFonts w:hint="eastAsia" w:ascii="宋体" w:hAnsi="宋体" w:eastAsia="宋体" w:cs="宋体"/>
          <w:bCs/>
          <w:color w:val="000000"/>
          <w:spacing w:val="-14"/>
          <w:sz w:val="24"/>
          <w:szCs w:val="24"/>
        </w:rPr>
      </w:pPr>
      <w:r>
        <w:rPr>
          <w:rFonts w:hint="eastAsia" w:ascii="宋体" w:hAnsi="宋体" w:eastAsia="宋体" w:cs="宋体"/>
          <w:bCs/>
          <w:color w:val="000000"/>
          <w:spacing w:val="-14"/>
          <w:sz w:val="24"/>
          <w:szCs w:val="24"/>
        </w:rPr>
        <w:t>5.4在质保期内，乙方应对货物出现的质量及安全问题负责处理解决并承担一切费用。</w:t>
      </w:r>
    </w:p>
    <w:p w14:paraId="634D14BB">
      <w:pPr>
        <w:snapToGrid w:val="0"/>
        <w:spacing w:line="380" w:lineRule="exact"/>
        <w:ind w:firstLine="424" w:firstLineChars="200"/>
        <w:rPr>
          <w:rFonts w:hint="eastAsia" w:ascii="宋体" w:hAnsi="宋体" w:eastAsia="宋体" w:cs="宋体"/>
          <w:bCs/>
          <w:color w:val="000000"/>
          <w:spacing w:val="-14"/>
          <w:sz w:val="24"/>
          <w:szCs w:val="24"/>
        </w:rPr>
      </w:pPr>
      <w:r>
        <w:rPr>
          <w:rFonts w:hint="eastAsia" w:ascii="宋体" w:hAnsi="宋体" w:eastAsia="宋体" w:cs="宋体"/>
          <w:bCs/>
          <w:color w:val="000000"/>
          <w:spacing w:val="-14"/>
          <w:sz w:val="24"/>
          <w:szCs w:val="24"/>
        </w:rPr>
        <w:t>6.付款</w:t>
      </w:r>
    </w:p>
    <w:p w14:paraId="2C8F4DFE">
      <w:pPr>
        <w:snapToGrid w:val="0"/>
        <w:spacing w:line="380" w:lineRule="exact"/>
        <w:ind w:firstLine="424" w:firstLineChars="200"/>
        <w:rPr>
          <w:rFonts w:hint="eastAsia" w:ascii="宋体" w:hAnsi="宋体" w:eastAsia="宋体" w:cs="宋体"/>
          <w:bCs/>
          <w:color w:val="000000"/>
          <w:spacing w:val="-14"/>
          <w:sz w:val="24"/>
          <w:szCs w:val="24"/>
        </w:rPr>
      </w:pPr>
      <w:r>
        <w:rPr>
          <w:rFonts w:hint="eastAsia" w:ascii="宋体" w:hAnsi="宋体" w:eastAsia="宋体" w:cs="宋体"/>
          <w:bCs/>
          <w:color w:val="000000"/>
          <w:spacing w:val="-14"/>
          <w:sz w:val="24"/>
          <w:szCs w:val="24"/>
        </w:rPr>
        <w:t>6.1本合同使用货币币制如未作特别说明均为人民币。</w:t>
      </w:r>
    </w:p>
    <w:p w14:paraId="1B4A0114">
      <w:pPr>
        <w:snapToGrid w:val="0"/>
        <w:spacing w:line="380" w:lineRule="exact"/>
        <w:ind w:firstLine="424" w:firstLineChars="200"/>
        <w:rPr>
          <w:rFonts w:hint="eastAsia" w:ascii="宋体" w:hAnsi="宋体" w:eastAsia="宋体" w:cs="宋体"/>
          <w:bCs/>
          <w:color w:val="000000"/>
          <w:spacing w:val="-14"/>
          <w:sz w:val="24"/>
          <w:szCs w:val="24"/>
        </w:rPr>
      </w:pPr>
      <w:r>
        <w:rPr>
          <w:rFonts w:hint="eastAsia" w:ascii="宋体" w:hAnsi="宋体" w:eastAsia="宋体" w:cs="宋体"/>
          <w:bCs/>
          <w:color w:val="000000"/>
          <w:spacing w:val="-14"/>
          <w:sz w:val="24"/>
          <w:szCs w:val="24"/>
        </w:rPr>
        <w:t>6.2付款方式：银行转账、现金支票。</w:t>
      </w:r>
    </w:p>
    <w:p w14:paraId="5F5FA507">
      <w:pPr>
        <w:snapToGrid w:val="0"/>
        <w:spacing w:line="380" w:lineRule="exact"/>
        <w:ind w:firstLine="424" w:firstLineChars="200"/>
        <w:rPr>
          <w:rFonts w:hint="eastAsia" w:ascii="宋体" w:hAnsi="宋体" w:eastAsia="宋体" w:cs="宋体"/>
          <w:bCs/>
          <w:color w:val="000000"/>
          <w:spacing w:val="-14"/>
          <w:sz w:val="24"/>
          <w:szCs w:val="24"/>
        </w:rPr>
      </w:pPr>
      <w:r>
        <w:rPr>
          <w:rFonts w:hint="eastAsia" w:ascii="宋体" w:hAnsi="宋体" w:eastAsia="宋体" w:cs="宋体"/>
          <w:bCs/>
          <w:color w:val="000000"/>
          <w:spacing w:val="-14"/>
          <w:sz w:val="24"/>
          <w:szCs w:val="24"/>
        </w:rPr>
        <w:t>6.3付款方法：同本项目“第四篇项目商务要求”中关于付款方式的约定。</w:t>
      </w:r>
    </w:p>
    <w:p w14:paraId="741CFAB0">
      <w:pPr>
        <w:snapToGrid w:val="0"/>
        <w:spacing w:line="380" w:lineRule="exact"/>
        <w:ind w:firstLine="424" w:firstLineChars="200"/>
        <w:rPr>
          <w:rFonts w:hint="eastAsia" w:ascii="宋体" w:hAnsi="宋体" w:eastAsia="宋体" w:cs="宋体"/>
          <w:bCs/>
          <w:color w:val="000000"/>
          <w:spacing w:val="-14"/>
          <w:sz w:val="24"/>
          <w:szCs w:val="24"/>
        </w:rPr>
      </w:pPr>
      <w:r>
        <w:rPr>
          <w:rFonts w:hint="eastAsia" w:ascii="宋体" w:hAnsi="宋体" w:eastAsia="宋体" w:cs="宋体"/>
          <w:bCs/>
          <w:color w:val="000000"/>
          <w:spacing w:val="-14"/>
          <w:sz w:val="24"/>
          <w:szCs w:val="24"/>
        </w:rPr>
        <w:t>7.检查验收</w:t>
      </w:r>
    </w:p>
    <w:p w14:paraId="49A79BC7">
      <w:pPr>
        <w:snapToGrid w:val="0"/>
        <w:spacing w:line="380" w:lineRule="exact"/>
        <w:ind w:firstLine="424" w:firstLineChars="200"/>
        <w:rPr>
          <w:rFonts w:hint="eastAsia" w:ascii="宋体" w:hAnsi="宋体" w:eastAsia="宋体" w:cs="宋体"/>
          <w:bCs/>
          <w:color w:val="000000"/>
          <w:spacing w:val="-14"/>
          <w:sz w:val="24"/>
          <w:szCs w:val="24"/>
        </w:rPr>
      </w:pPr>
      <w:r>
        <w:rPr>
          <w:rFonts w:hint="eastAsia" w:ascii="宋体" w:hAnsi="宋体" w:eastAsia="宋体" w:cs="宋体"/>
          <w:bCs/>
          <w:color w:val="000000"/>
          <w:spacing w:val="-14"/>
          <w:sz w:val="24"/>
          <w:szCs w:val="24"/>
        </w:rPr>
        <w:t>（1）供方应随货物提供合格证和质量证明文件，如是国外进口的货物还须提供入关证明。</w:t>
      </w:r>
    </w:p>
    <w:p w14:paraId="6F33FD5D">
      <w:pPr>
        <w:snapToGrid w:val="0"/>
        <w:spacing w:line="380" w:lineRule="exact"/>
        <w:ind w:firstLine="424" w:firstLineChars="200"/>
        <w:rPr>
          <w:rFonts w:hint="eastAsia" w:ascii="宋体" w:hAnsi="宋体" w:eastAsia="宋体" w:cs="宋体"/>
          <w:bCs/>
          <w:color w:val="000000"/>
          <w:spacing w:val="-14"/>
          <w:sz w:val="24"/>
          <w:szCs w:val="24"/>
        </w:rPr>
      </w:pPr>
      <w:r>
        <w:rPr>
          <w:rFonts w:hint="eastAsia" w:ascii="宋体" w:hAnsi="宋体" w:eastAsia="宋体" w:cs="宋体"/>
          <w:bCs/>
          <w:color w:val="000000"/>
          <w:spacing w:val="-14"/>
          <w:sz w:val="24"/>
          <w:szCs w:val="24"/>
        </w:rPr>
        <w:t>（2）货物验收</w:t>
      </w:r>
    </w:p>
    <w:p w14:paraId="6BDDF649">
      <w:pPr>
        <w:snapToGrid w:val="0"/>
        <w:spacing w:line="380" w:lineRule="exact"/>
        <w:ind w:firstLine="424" w:firstLineChars="200"/>
        <w:rPr>
          <w:rFonts w:hint="eastAsia" w:ascii="宋体" w:hAnsi="宋体" w:eastAsia="宋体" w:cs="宋体"/>
          <w:bCs/>
          <w:color w:val="000000"/>
          <w:spacing w:val="-14"/>
          <w:sz w:val="24"/>
          <w:szCs w:val="24"/>
        </w:rPr>
      </w:pPr>
      <w:r>
        <w:rPr>
          <w:rFonts w:hint="eastAsia" w:ascii="宋体" w:hAnsi="宋体" w:eastAsia="宋体" w:cs="宋体"/>
          <w:bCs/>
          <w:color w:val="000000"/>
          <w:spacing w:val="-14"/>
          <w:sz w:val="24"/>
          <w:szCs w:val="24"/>
        </w:rPr>
        <w:t>按本项目“第四篇项目商务需求”中关于验收方式的要求执行。</w:t>
      </w:r>
    </w:p>
    <w:p w14:paraId="177C45F7">
      <w:pPr>
        <w:snapToGrid w:val="0"/>
        <w:spacing w:line="380" w:lineRule="exact"/>
        <w:ind w:firstLine="424" w:firstLineChars="200"/>
        <w:rPr>
          <w:rFonts w:hint="eastAsia" w:ascii="宋体" w:hAnsi="宋体" w:eastAsia="宋体" w:cs="宋体"/>
          <w:bCs/>
          <w:color w:val="000000"/>
          <w:spacing w:val="-14"/>
          <w:sz w:val="24"/>
          <w:szCs w:val="24"/>
        </w:rPr>
      </w:pPr>
      <w:r>
        <w:rPr>
          <w:rFonts w:hint="eastAsia" w:ascii="宋体" w:hAnsi="宋体" w:eastAsia="宋体" w:cs="宋体"/>
          <w:bCs/>
          <w:color w:val="000000"/>
          <w:spacing w:val="-14"/>
          <w:sz w:val="24"/>
          <w:szCs w:val="24"/>
        </w:rPr>
        <w:t>（3）货物验收报告应由需方、供方经办人签字，写明验收意见并加盖双方公章，以此作为支付凭据。</w:t>
      </w:r>
    </w:p>
    <w:p w14:paraId="724B784E">
      <w:pPr>
        <w:snapToGrid w:val="0"/>
        <w:spacing w:line="380" w:lineRule="exact"/>
        <w:ind w:firstLine="424" w:firstLineChars="200"/>
        <w:rPr>
          <w:rFonts w:hint="eastAsia" w:ascii="宋体" w:hAnsi="宋体" w:eastAsia="宋体" w:cs="宋体"/>
          <w:bCs/>
          <w:color w:val="000000"/>
          <w:spacing w:val="-14"/>
          <w:sz w:val="24"/>
          <w:szCs w:val="24"/>
        </w:rPr>
      </w:pPr>
      <w:r>
        <w:rPr>
          <w:rFonts w:hint="eastAsia" w:ascii="宋体" w:hAnsi="宋体" w:eastAsia="宋体" w:cs="宋体"/>
          <w:bCs/>
          <w:color w:val="000000"/>
          <w:spacing w:val="-14"/>
          <w:sz w:val="24"/>
          <w:szCs w:val="24"/>
        </w:rPr>
        <w:t>8.履约保证金</w:t>
      </w:r>
    </w:p>
    <w:p w14:paraId="6094A2B0">
      <w:pPr>
        <w:snapToGrid w:val="0"/>
        <w:spacing w:line="380" w:lineRule="exact"/>
        <w:ind w:firstLine="424" w:firstLineChars="200"/>
        <w:rPr>
          <w:rFonts w:hint="eastAsia" w:ascii="宋体" w:hAnsi="宋体" w:eastAsia="宋体" w:cs="宋体"/>
          <w:bCs/>
          <w:color w:val="000000"/>
          <w:spacing w:val="-14"/>
          <w:sz w:val="24"/>
          <w:szCs w:val="24"/>
        </w:rPr>
      </w:pPr>
      <w:r>
        <w:rPr>
          <w:rFonts w:hint="eastAsia" w:ascii="宋体" w:hAnsi="宋体" w:eastAsia="宋体" w:cs="宋体"/>
          <w:bCs/>
          <w:color w:val="000000"/>
          <w:spacing w:val="-14"/>
          <w:sz w:val="24"/>
          <w:szCs w:val="24"/>
        </w:rPr>
        <w:t>按按本项目“第四篇项目商务需求”中关于履约保证金的要求执行。</w:t>
      </w:r>
    </w:p>
    <w:p w14:paraId="00F7D922">
      <w:pPr>
        <w:snapToGrid w:val="0"/>
        <w:spacing w:line="380" w:lineRule="exact"/>
        <w:ind w:firstLine="424" w:firstLineChars="200"/>
        <w:rPr>
          <w:rFonts w:hint="eastAsia" w:ascii="宋体" w:hAnsi="宋体" w:eastAsia="宋体" w:cs="宋体"/>
          <w:bCs/>
          <w:color w:val="000000"/>
          <w:spacing w:val="-14"/>
          <w:sz w:val="24"/>
          <w:szCs w:val="24"/>
        </w:rPr>
      </w:pPr>
      <w:r>
        <w:rPr>
          <w:rFonts w:hint="eastAsia" w:ascii="宋体" w:hAnsi="宋体" w:eastAsia="宋体" w:cs="宋体"/>
          <w:bCs/>
          <w:color w:val="000000"/>
          <w:spacing w:val="-14"/>
          <w:sz w:val="24"/>
          <w:szCs w:val="24"/>
        </w:rPr>
        <w:t>9.索赔</w:t>
      </w:r>
    </w:p>
    <w:p w14:paraId="2DD5C390">
      <w:pPr>
        <w:snapToGrid w:val="0"/>
        <w:spacing w:line="380" w:lineRule="exact"/>
        <w:ind w:firstLine="424" w:firstLineChars="200"/>
        <w:rPr>
          <w:rFonts w:hint="eastAsia" w:ascii="宋体" w:hAnsi="宋体" w:eastAsia="宋体" w:cs="宋体"/>
          <w:bCs/>
          <w:color w:val="000000"/>
          <w:spacing w:val="-14"/>
          <w:sz w:val="24"/>
          <w:szCs w:val="24"/>
        </w:rPr>
      </w:pPr>
      <w:r>
        <w:rPr>
          <w:rFonts w:hint="eastAsia" w:ascii="宋体" w:hAnsi="宋体" w:eastAsia="宋体" w:cs="宋体"/>
          <w:bCs/>
          <w:color w:val="000000"/>
          <w:spacing w:val="-14"/>
          <w:sz w:val="24"/>
          <w:szCs w:val="24"/>
        </w:rPr>
        <w:t>供方对货物与合同要求不符负有责任，并且需方已于规定交货内和质量保证期内提出索赔，供方应按需方同意的下述一种或多种方法解决索赔事宜。</w:t>
      </w:r>
    </w:p>
    <w:p w14:paraId="324B1316">
      <w:pPr>
        <w:snapToGrid w:val="0"/>
        <w:spacing w:line="380" w:lineRule="exact"/>
        <w:ind w:firstLine="424" w:firstLineChars="200"/>
        <w:rPr>
          <w:rFonts w:hint="eastAsia" w:ascii="宋体" w:hAnsi="宋体" w:eastAsia="宋体" w:cs="宋体"/>
          <w:bCs/>
          <w:color w:val="000000"/>
          <w:spacing w:val="-14"/>
          <w:sz w:val="24"/>
          <w:szCs w:val="24"/>
        </w:rPr>
      </w:pPr>
      <w:r>
        <w:rPr>
          <w:rFonts w:hint="eastAsia" w:ascii="宋体" w:hAnsi="宋体" w:eastAsia="宋体" w:cs="宋体"/>
          <w:bCs/>
          <w:color w:val="000000"/>
          <w:spacing w:val="-14"/>
          <w:sz w:val="24"/>
          <w:szCs w:val="24"/>
        </w:rPr>
        <w:t>（1）供方同意需方拒收货物并把拒收货物的金额以合同规定的同类货币付给需方，供方负担发生的一切损失和费用，包括利息、运输和保险费、检验费、仓储和装卸费以及为保管和保护被拒绝货物所需要的其它必要费用。</w:t>
      </w:r>
    </w:p>
    <w:p w14:paraId="6B49D787">
      <w:pPr>
        <w:snapToGrid w:val="0"/>
        <w:spacing w:line="380" w:lineRule="exact"/>
        <w:ind w:firstLine="424" w:firstLineChars="200"/>
        <w:rPr>
          <w:rFonts w:hint="eastAsia" w:ascii="宋体" w:hAnsi="宋体" w:eastAsia="宋体" w:cs="宋体"/>
          <w:bCs/>
          <w:color w:val="000000"/>
          <w:spacing w:val="-14"/>
          <w:sz w:val="24"/>
          <w:szCs w:val="24"/>
        </w:rPr>
      </w:pPr>
      <w:r>
        <w:rPr>
          <w:rFonts w:hint="eastAsia" w:ascii="宋体" w:hAnsi="宋体" w:eastAsia="宋体" w:cs="宋体"/>
          <w:bCs/>
          <w:color w:val="000000"/>
          <w:spacing w:val="-14"/>
          <w:sz w:val="24"/>
          <w:szCs w:val="24"/>
        </w:rPr>
        <w:t>（2）根据货物的疵劣和受损程度以及需方遭受损失的金额，经双方同意降低货物价格。</w:t>
      </w:r>
    </w:p>
    <w:p w14:paraId="0D3C5B26">
      <w:pPr>
        <w:snapToGrid w:val="0"/>
        <w:spacing w:line="380" w:lineRule="exact"/>
        <w:ind w:firstLine="424" w:firstLineChars="200"/>
        <w:rPr>
          <w:rFonts w:hint="eastAsia" w:ascii="宋体" w:hAnsi="宋体" w:eastAsia="宋体" w:cs="宋体"/>
          <w:bCs/>
          <w:color w:val="000000"/>
          <w:spacing w:val="-14"/>
          <w:sz w:val="24"/>
          <w:szCs w:val="24"/>
        </w:rPr>
      </w:pPr>
      <w:r>
        <w:rPr>
          <w:rFonts w:hint="eastAsia" w:ascii="宋体" w:hAnsi="宋体" w:eastAsia="宋体" w:cs="宋体"/>
          <w:bCs/>
          <w:color w:val="000000"/>
          <w:spacing w:val="-14"/>
          <w:sz w:val="24"/>
          <w:szCs w:val="24"/>
        </w:rPr>
        <w:t>10.知识产权</w:t>
      </w:r>
    </w:p>
    <w:p w14:paraId="11BD1799">
      <w:pPr>
        <w:snapToGrid w:val="0"/>
        <w:spacing w:line="380" w:lineRule="exact"/>
        <w:ind w:firstLine="424" w:firstLineChars="200"/>
        <w:rPr>
          <w:rFonts w:hint="eastAsia" w:ascii="宋体" w:hAnsi="宋体" w:eastAsia="宋体" w:cs="宋体"/>
          <w:bCs/>
          <w:color w:val="000000"/>
          <w:spacing w:val="-14"/>
          <w:sz w:val="24"/>
          <w:szCs w:val="24"/>
        </w:rPr>
      </w:pPr>
      <w:r>
        <w:rPr>
          <w:rFonts w:hint="eastAsia" w:ascii="宋体" w:hAnsi="宋体" w:eastAsia="宋体" w:cs="宋体"/>
          <w:bCs/>
          <w:color w:val="000000"/>
          <w:spacing w:val="-14"/>
          <w:sz w:val="24"/>
          <w:szCs w:val="24"/>
        </w:rPr>
        <w:t>需方在中华人民共和国境内使用供方提供的货物及服务时免受第三方提出的侵犯其专利权或其它知识产权的起诉。如果第三方提出侵权指控，供方应承担由此而引起的一切法律责任和费用。</w:t>
      </w:r>
    </w:p>
    <w:p w14:paraId="51E80282">
      <w:pPr>
        <w:snapToGrid w:val="0"/>
        <w:spacing w:line="380" w:lineRule="exact"/>
        <w:ind w:firstLine="424" w:firstLineChars="200"/>
        <w:rPr>
          <w:rFonts w:hint="eastAsia" w:ascii="宋体" w:hAnsi="宋体" w:eastAsia="宋体" w:cs="宋体"/>
          <w:bCs/>
          <w:color w:val="000000"/>
          <w:spacing w:val="-14"/>
          <w:sz w:val="24"/>
          <w:szCs w:val="24"/>
        </w:rPr>
      </w:pPr>
      <w:r>
        <w:rPr>
          <w:rFonts w:hint="eastAsia" w:ascii="宋体" w:hAnsi="宋体" w:eastAsia="宋体" w:cs="宋体"/>
          <w:bCs/>
          <w:color w:val="000000"/>
          <w:spacing w:val="-14"/>
          <w:sz w:val="24"/>
          <w:szCs w:val="24"/>
        </w:rPr>
        <w:t>11.合同争议的解决</w:t>
      </w:r>
    </w:p>
    <w:p w14:paraId="2A495731">
      <w:pPr>
        <w:snapToGrid w:val="0"/>
        <w:spacing w:line="380" w:lineRule="exact"/>
        <w:ind w:firstLine="424" w:firstLineChars="200"/>
        <w:rPr>
          <w:rFonts w:hint="eastAsia" w:ascii="宋体" w:hAnsi="宋体" w:eastAsia="宋体" w:cs="宋体"/>
          <w:bCs/>
          <w:color w:val="000000"/>
          <w:spacing w:val="-14"/>
          <w:sz w:val="24"/>
          <w:szCs w:val="24"/>
        </w:rPr>
      </w:pPr>
      <w:r>
        <w:rPr>
          <w:rFonts w:hint="eastAsia" w:ascii="宋体" w:hAnsi="宋体" w:eastAsia="宋体" w:cs="宋体"/>
          <w:bCs/>
          <w:color w:val="000000"/>
          <w:spacing w:val="-14"/>
          <w:sz w:val="24"/>
          <w:szCs w:val="24"/>
        </w:rPr>
        <w:t>（1）当事人友好协商达成一致</w:t>
      </w:r>
    </w:p>
    <w:p w14:paraId="6D32D395">
      <w:pPr>
        <w:snapToGrid w:val="0"/>
        <w:spacing w:line="380" w:lineRule="exact"/>
        <w:ind w:firstLine="424" w:firstLineChars="200"/>
        <w:rPr>
          <w:rFonts w:hint="eastAsia" w:ascii="宋体" w:hAnsi="宋体" w:eastAsia="宋体" w:cs="宋体"/>
          <w:bCs/>
          <w:color w:val="000000"/>
          <w:spacing w:val="-14"/>
          <w:sz w:val="24"/>
          <w:szCs w:val="24"/>
        </w:rPr>
      </w:pPr>
      <w:r>
        <w:rPr>
          <w:rFonts w:hint="eastAsia" w:ascii="宋体" w:hAnsi="宋体" w:eastAsia="宋体" w:cs="宋体"/>
          <w:bCs/>
          <w:color w:val="000000"/>
          <w:spacing w:val="-14"/>
          <w:sz w:val="24"/>
          <w:szCs w:val="24"/>
        </w:rPr>
        <w:t>（2）供需双方由于本合同引起的任何争议应友好协商解决，协商不成的，任何一方均可提交重庆仲裁委员会，按照该会仲裁规则进行仲裁。仲裁裁决是终局的，对双方均有约束力。</w:t>
      </w:r>
    </w:p>
    <w:p w14:paraId="2E5C206F">
      <w:pPr>
        <w:snapToGrid w:val="0"/>
        <w:spacing w:line="380" w:lineRule="exact"/>
        <w:ind w:firstLine="424" w:firstLineChars="200"/>
        <w:rPr>
          <w:rFonts w:hint="eastAsia" w:ascii="宋体" w:hAnsi="宋体" w:eastAsia="宋体" w:cs="宋体"/>
          <w:bCs/>
          <w:color w:val="000000"/>
          <w:spacing w:val="-14"/>
          <w:sz w:val="24"/>
          <w:szCs w:val="24"/>
        </w:rPr>
      </w:pPr>
      <w:r>
        <w:rPr>
          <w:rFonts w:hint="eastAsia" w:ascii="宋体" w:hAnsi="宋体" w:eastAsia="宋体" w:cs="宋体"/>
          <w:bCs/>
          <w:color w:val="000000"/>
          <w:spacing w:val="-14"/>
          <w:sz w:val="24"/>
          <w:szCs w:val="24"/>
        </w:rPr>
        <w:t>12.违约责任</w:t>
      </w:r>
    </w:p>
    <w:p w14:paraId="070CB57F">
      <w:pPr>
        <w:snapToGrid w:val="0"/>
        <w:spacing w:line="380" w:lineRule="exact"/>
        <w:ind w:firstLine="424" w:firstLineChars="200"/>
        <w:rPr>
          <w:rFonts w:hint="eastAsia" w:ascii="宋体" w:hAnsi="宋体" w:eastAsia="宋体" w:cs="宋体"/>
          <w:bCs/>
          <w:color w:val="000000"/>
          <w:spacing w:val="-14"/>
          <w:sz w:val="24"/>
          <w:szCs w:val="24"/>
        </w:rPr>
      </w:pPr>
      <w:r>
        <w:rPr>
          <w:rFonts w:hint="eastAsia" w:ascii="宋体" w:hAnsi="宋体" w:eastAsia="宋体" w:cs="宋体"/>
          <w:bCs/>
          <w:color w:val="000000"/>
          <w:spacing w:val="-14"/>
          <w:sz w:val="24"/>
          <w:szCs w:val="24"/>
        </w:rPr>
        <w:t>按《中华人民共和国合同法》、《中华人民共和国政府采购法》有关条款，或由供需双方约定。</w:t>
      </w:r>
    </w:p>
    <w:p w14:paraId="404AFC7C">
      <w:pPr>
        <w:snapToGrid w:val="0"/>
        <w:spacing w:line="380" w:lineRule="exact"/>
        <w:ind w:firstLine="424" w:firstLineChars="200"/>
        <w:rPr>
          <w:rFonts w:hint="eastAsia" w:ascii="宋体" w:hAnsi="宋体" w:eastAsia="宋体" w:cs="宋体"/>
          <w:bCs/>
          <w:color w:val="000000"/>
          <w:spacing w:val="-14"/>
          <w:sz w:val="24"/>
          <w:szCs w:val="24"/>
        </w:rPr>
      </w:pPr>
      <w:r>
        <w:rPr>
          <w:rFonts w:hint="eastAsia" w:ascii="宋体" w:hAnsi="宋体" w:eastAsia="宋体" w:cs="宋体"/>
          <w:bCs/>
          <w:color w:val="000000"/>
          <w:spacing w:val="-14"/>
          <w:sz w:val="24"/>
          <w:szCs w:val="24"/>
        </w:rPr>
        <w:t>13.合同生效及其它</w:t>
      </w:r>
    </w:p>
    <w:p w14:paraId="16BFDEA4">
      <w:pPr>
        <w:snapToGrid w:val="0"/>
        <w:spacing w:line="380" w:lineRule="exact"/>
        <w:ind w:firstLine="424" w:firstLineChars="200"/>
        <w:rPr>
          <w:rFonts w:hint="eastAsia" w:ascii="宋体" w:hAnsi="宋体" w:eastAsia="宋体" w:cs="宋体"/>
          <w:bCs/>
          <w:color w:val="000000"/>
          <w:spacing w:val="-14"/>
          <w:sz w:val="24"/>
          <w:szCs w:val="24"/>
        </w:rPr>
      </w:pPr>
      <w:r>
        <w:rPr>
          <w:rFonts w:hint="eastAsia" w:ascii="宋体" w:hAnsi="宋体" w:eastAsia="宋体" w:cs="宋体"/>
          <w:bCs/>
          <w:color w:val="000000"/>
          <w:spacing w:val="-14"/>
          <w:sz w:val="24"/>
          <w:szCs w:val="24"/>
        </w:rPr>
        <w:t>（1）合同生效及其效力应符合《中华人民共和国合同法》有关规定。</w:t>
      </w:r>
    </w:p>
    <w:p w14:paraId="0DD579FC">
      <w:pPr>
        <w:snapToGrid w:val="0"/>
        <w:spacing w:line="380" w:lineRule="exact"/>
        <w:ind w:firstLine="424" w:firstLineChars="200"/>
        <w:rPr>
          <w:rFonts w:hint="eastAsia" w:ascii="宋体" w:hAnsi="宋体" w:eastAsia="宋体" w:cs="宋体"/>
          <w:bCs/>
          <w:color w:val="000000"/>
          <w:spacing w:val="-14"/>
          <w:sz w:val="24"/>
          <w:szCs w:val="24"/>
        </w:rPr>
      </w:pPr>
      <w:r>
        <w:rPr>
          <w:rFonts w:hint="eastAsia" w:ascii="宋体" w:hAnsi="宋体" w:eastAsia="宋体" w:cs="宋体"/>
          <w:bCs/>
          <w:color w:val="000000"/>
          <w:spacing w:val="-14"/>
          <w:sz w:val="24"/>
          <w:szCs w:val="24"/>
        </w:rPr>
        <w:t>（2）合同应经当事人法定代表人或委托代理人签字，加盖双方合同专用章或公章。</w:t>
      </w:r>
    </w:p>
    <w:p w14:paraId="59335E6A">
      <w:pPr>
        <w:snapToGrid w:val="0"/>
        <w:spacing w:line="380" w:lineRule="exact"/>
        <w:ind w:firstLine="424" w:firstLineChars="200"/>
        <w:rPr>
          <w:rFonts w:hint="eastAsia" w:ascii="宋体" w:hAnsi="宋体" w:eastAsia="宋体" w:cs="宋体"/>
          <w:bCs/>
          <w:color w:val="000000"/>
          <w:spacing w:val="-14"/>
          <w:sz w:val="24"/>
          <w:szCs w:val="24"/>
        </w:rPr>
      </w:pPr>
      <w:r>
        <w:rPr>
          <w:rFonts w:hint="eastAsia" w:ascii="宋体" w:hAnsi="宋体" w:eastAsia="宋体" w:cs="宋体"/>
          <w:bCs/>
          <w:color w:val="000000"/>
          <w:spacing w:val="-14"/>
          <w:sz w:val="24"/>
          <w:szCs w:val="24"/>
        </w:rPr>
        <w:t>（3）合同所包括附件，是合同不可分割的一部分，具有同等法法律效力。</w:t>
      </w:r>
    </w:p>
    <w:p w14:paraId="3819D393">
      <w:pPr>
        <w:snapToGrid w:val="0"/>
        <w:spacing w:line="380" w:lineRule="exact"/>
        <w:ind w:firstLine="424" w:firstLineChars="200"/>
        <w:rPr>
          <w:rFonts w:hint="eastAsia" w:ascii="宋体" w:hAnsi="宋体" w:eastAsia="宋体" w:cs="宋体"/>
          <w:bCs/>
          <w:color w:val="000000"/>
          <w:spacing w:val="-14"/>
          <w:sz w:val="24"/>
          <w:szCs w:val="24"/>
        </w:rPr>
      </w:pPr>
      <w:r>
        <w:rPr>
          <w:rFonts w:hint="eastAsia" w:ascii="宋体" w:hAnsi="宋体" w:eastAsia="宋体" w:cs="宋体"/>
          <w:bCs/>
          <w:color w:val="000000"/>
          <w:spacing w:val="-14"/>
          <w:sz w:val="24"/>
          <w:szCs w:val="24"/>
        </w:rPr>
        <w:t>（4）合同需提供担保的，按《中华人民共和国担保法》规定执行。</w:t>
      </w:r>
    </w:p>
    <w:p w14:paraId="710B7EB8">
      <w:pPr>
        <w:snapToGrid w:val="0"/>
        <w:spacing w:line="380" w:lineRule="exact"/>
        <w:ind w:firstLine="424" w:firstLineChars="200"/>
        <w:rPr>
          <w:rFonts w:hint="eastAsia" w:ascii="宋体" w:hAnsi="宋体" w:eastAsia="宋体" w:cs="宋体"/>
          <w:bCs/>
          <w:color w:val="000000"/>
          <w:spacing w:val="-14"/>
          <w:sz w:val="24"/>
          <w:szCs w:val="24"/>
        </w:rPr>
      </w:pPr>
      <w:r>
        <w:rPr>
          <w:rFonts w:hint="eastAsia" w:ascii="宋体" w:hAnsi="宋体" w:eastAsia="宋体" w:cs="宋体"/>
          <w:bCs/>
          <w:color w:val="000000"/>
          <w:spacing w:val="-14"/>
          <w:sz w:val="24"/>
          <w:szCs w:val="24"/>
        </w:rPr>
        <w:t>（5）本合同条件未尽事宜依照《中华人民共和国合同法》，由供需双方共同协商确定。</w:t>
      </w:r>
    </w:p>
    <w:p w14:paraId="76CD30EC">
      <w:pPr>
        <w:snapToGrid w:val="0"/>
        <w:spacing w:line="380" w:lineRule="exact"/>
        <w:ind w:firstLine="424" w:firstLineChars="200"/>
        <w:rPr>
          <w:rFonts w:hint="eastAsia" w:ascii="宋体" w:hAnsi="宋体" w:eastAsia="宋体" w:cs="宋体"/>
          <w:bCs/>
          <w:color w:val="000000"/>
          <w:spacing w:val="-14"/>
          <w:sz w:val="24"/>
          <w:szCs w:val="24"/>
        </w:rPr>
        <w:sectPr>
          <w:pgSz w:w="11907" w:h="16840"/>
          <w:pgMar w:top="1134" w:right="1191" w:bottom="1134" w:left="1304" w:header="964" w:footer="992" w:gutter="0"/>
          <w:pgNumType w:fmt="numberInDash"/>
          <w:cols w:space="720" w:num="1"/>
          <w:docGrid w:linePitch="381" w:charSpace="0"/>
        </w:sectPr>
      </w:pPr>
    </w:p>
    <w:p w14:paraId="62451025">
      <w:pPr>
        <w:snapToGrid w:val="0"/>
        <w:spacing w:line="380" w:lineRule="exact"/>
        <w:ind w:firstLine="424" w:firstLineChars="200"/>
        <w:rPr>
          <w:rFonts w:hint="eastAsia" w:ascii="宋体" w:hAnsi="宋体" w:eastAsia="宋体" w:cs="宋体"/>
          <w:bCs/>
          <w:color w:val="000000"/>
          <w:spacing w:val="-14"/>
          <w:sz w:val="24"/>
          <w:szCs w:val="24"/>
        </w:rPr>
      </w:pPr>
      <w:bookmarkStart w:id="106" w:name="_Toc285722713"/>
      <w:bookmarkStart w:id="107" w:name="_Toc277084871"/>
      <w:bookmarkStart w:id="108" w:name="_Toc441065692"/>
      <w:r>
        <w:rPr>
          <w:rFonts w:hint="eastAsia" w:ascii="宋体" w:hAnsi="宋体" w:eastAsia="宋体" w:cs="宋体"/>
          <w:bCs/>
          <w:color w:val="000000"/>
          <w:spacing w:val="-14"/>
          <w:sz w:val="24"/>
          <w:szCs w:val="24"/>
        </w:rPr>
        <w:t>二、采购合同（样本）</w:t>
      </w:r>
      <w:bookmarkEnd w:id="106"/>
      <w:bookmarkEnd w:id="107"/>
      <w:bookmarkEnd w:id="108"/>
    </w:p>
    <w:p w14:paraId="7960431A">
      <w:pPr>
        <w:spacing w:line="380" w:lineRule="exact"/>
        <w:ind w:firstLine="426" w:firstLineChars="200"/>
        <w:rPr>
          <w:rFonts w:hint="eastAsia" w:ascii="宋体" w:hAnsi="宋体" w:eastAsia="宋体" w:cs="宋体"/>
          <w:b/>
          <w:color w:val="000000"/>
          <w:spacing w:val="-14"/>
          <w:sz w:val="24"/>
          <w:szCs w:val="24"/>
        </w:rPr>
      </w:pPr>
      <w:r>
        <w:rPr>
          <w:rFonts w:hint="eastAsia" w:ascii="宋体" w:hAnsi="宋体" w:eastAsia="宋体" w:cs="宋体"/>
          <w:b/>
          <w:bCs/>
          <w:color w:val="000000"/>
          <w:spacing w:val="-14"/>
          <w:sz w:val="24"/>
          <w:szCs w:val="24"/>
        </w:rPr>
        <w:t>(注：成交后采购人和成交供应商应按本项目询价通知书、成交供应商的响应文件及本篇合同主要条款及格式，在规定时间内签订供货合同，</w:t>
      </w:r>
      <w:r>
        <w:rPr>
          <w:rFonts w:hint="eastAsia" w:ascii="宋体" w:hAnsi="宋体" w:eastAsia="宋体" w:cs="宋体"/>
          <w:b/>
          <w:color w:val="000000"/>
          <w:spacing w:val="-14"/>
          <w:sz w:val="24"/>
          <w:szCs w:val="24"/>
        </w:rPr>
        <w:t>所签订的合同不得对</w:t>
      </w:r>
      <w:r>
        <w:rPr>
          <w:rFonts w:hint="eastAsia" w:ascii="宋体" w:hAnsi="宋体" w:eastAsia="宋体" w:cs="宋体"/>
          <w:b/>
          <w:bCs/>
          <w:color w:val="000000"/>
          <w:spacing w:val="-14"/>
          <w:sz w:val="24"/>
          <w:szCs w:val="24"/>
        </w:rPr>
        <w:t>成交供应商的</w:t>
      </w:r>
      <w:r>
        <w:rPr>
          <w:rFonts w:hint="eastAsia" w:ascii="宋体" w:hAnsi="宋体" w:eastAsia="宋体" w:cs="宋体"/>
          <w:b/>
          <w:color w:val="000000"/>
          <w:spacing w:val="-14"/>
          <w:sz w:val="24"/>
          <w:szCs w:val="24"/>
        </w:rPr>
        <w:t>响应文件作实质性修改。</w:t>
      </w:r>
      <w:r>
        <w:rPr>
          <w:rFonts w:hint="eastAsia" w:ascii="宋体" w:hAnsi="宋体" w:eastAsia="宋体" w:cs="宋体"/>
          <w:b/>
          <w:bCs/>
          <w:color w:val="000000"/>
          <w:spacing w:val="-14"/>
          <w:sz w:val="24"/>
          <w:szCs w:val="24"/>
        </w:rPr>
        <w:t>)</w:t>
      </w:r>
    </w:p>
    <w:p w14:paraId="006BF1C4">
      <w:pPr>
        <w:snapToGrid w:val="0"/>
        <w:spacing w:line="380" w:lineRule="exact"/>
        <w:ind w:firstLine="1278" w:firstLineChars="600"/>
        <w:rPr>
          <w:rFonts w:hint="eastAsia" w:ascii="宋体" w:hAnsi="宋体" w:eastAsia="宋体" w:cs="宋体"/>
          <w:bCs/>
          <w:color w:val="000000"/>
          <w:spacing w:val="-14"/>
          <w:sz w:val="24"/>
          <w:szCs w:val="24"/>
        </w:rPr>
      </w:pPr>
      <w:r>
        <w:rPr>
          <w:rFonts w:hint="eastAsia" w:ascii="宋体" w:hAnsi="宋体" w:eastAsia="宋体" w:cs="宋体"/>
          <w:b/>
          <w:bCs/>
          <w:color w:val="000000"/>
          <w:spacing w:val="-14"/>
          <w:sz w:val="24"/>
          <w:szCs w:val="24"/>
        </w:rPr>
        <w:t xml:space="preserve"> </w:t>
      </w:r>
    </w:p>
    <w:bookmarkEnd w:id="81"/>
    <w:bookmarkEnd w:id="82"/>
    <w:p w14:paraId="39DDC39D">
      <w:pPr>
        <w:spacing w:line="500" w:lineRule="exact"/>
        <w:jc w:val="center"/>
        <w:rPr>
          <w:rFonts w:hint="eastAsia" w:ascii="Times New Roman" w:hAnsi="Times New Roman" w:eastAsia="方正小标宋_GBK"/>
          <w:b/>
          <w:color w:val="1C1F23"/>
          <w:sz w:val="40"/>
          <w:szCs w:val="40"/>
          <w:shd w:val="clear" w:color="auto" w:fill="FFFFFF"/>
        </w:rPr>
      </w:pPr>
      <w:bookmarkStart w:id="109" w:name="_Toc12789072"/>
      <w:bookmarkStart w:id="110" w:name="_Toc487204796"/>
      <w:r>
        <w:rPr>
          <w:rFonts w:ascii="Times New Roman" w:hAnsi="Times New Roman" w:eastAsia="方正小标宋_GBK"/>
          <w:b/>
          <w:color w:val="1C1F23"/>
          <w:sz w:val="40"/>
          <w:szCs w:val="40"/>
          <w:shd w:val="clear" w:color="auto" w:fill="FFFFFF"/>
        </w:rPr>
        <w:t>重庆理工职业学院</w:t>
      </w:r>
      <w:r>
        <w:rPr>
          <w:rFonts w:hint="eastAsia" w:ascii="方正小标宋_GBK" w:hAnsi="Times New Roman" w:eastAsia="方正小标宋_GBK"/>
          <w:b/>
          <w:color w:val="1C1F23"/>
          <w:sz w:val="40"/>
          <w:szCs w:val="40"/>
          <w:shd w:val="clear" w:color="auto" w:fill="FFFFFF"/>
        </w:rPr>
        <w:t>党建文化墙工程</w:t>
      </w:r>
    </w:p>
    <w:p w14:paraId="05085F55">
      <w:pPr>
        <w:rPr>
          <w:rFonts w:hint="eastAsia"/>
          <w:lang w:val="sq-AL"/>
        </w:rPr>
      </w:pPr>
    </w:p>
    <w:p w14:paraId="2648AC9F">
      <w:pPr>
        <w:pStyle w:val="2"/>
        <w:rPr>
          <w:lang w:val="sq-AL"/>
        </w:rPr>
      </w:pPr>
    </w:p>
    <w:p w14:paraId="176E357F">
      <w:pPr>
        <w:ind w:firstLine="3614" w:firstLineChars="500"/>
        <w:rPr>
          <w:rFonts w:hint="eastAsia" w:ascii="方正小标宋_GBK" w:hAnsi="微软雅黑" w:eastAsia="方正小标宋_GBK" w:cs="微软雅黑"/>
          <w:b/>
          <w:sz w:val="72"/>
          <w:szCs w:val="72"/>
        </w:rPr>
      </w:pPr>
      <w:r>
        <w:rPr>
          <w:rFonts w:hint="eastAsia" w:ascii="方正小标宋_GBK" w:hAnsi="微软雅黑" w:eastAsia="方正小标宋_GBK" w:cs="微软雅黑"/>
          <w:b/>
          <w:sz w:val="72"/>
          <w:szCs w:val="72"/>
        </w:rPr>
        <w:t>建</w:t>
      </w:r>
    </w:p>
    <w:p w14:paraId="6D49E64D">
      <w:pPr>
        <w:ind w:firstLine="3614" w:firstLineChars="500"/>
        <w:rPr>
          <w:rFonts w:hint="eastAsia" w:ascii="方正小标宋_GBK" w:hAnsi="微软雅黑" w:eastAsia="方正小标宋_GBK" w:cs="微软雅黑"/>
          <w:b/>
          <w:sz w:val="72"/>
          <w:szCs w:val="72"/>
        </w:rPr>
      </w:pPr>
      <w:r>
        <w:rPr>
          <w:rFonts w:hint="eastAsia" w:ascii="方正小标宋_GBK" w:hAnsi="微软雅黑" w:eastAsia="方正小标宋_GBK" w:cs="微软雅黑"/>
          <w:b/>
          <w:sz w:val="72"/>
          <w:szCs w:val="72"/>
        </w:rPr>
        <w:t>设</w:t>
      </w:r>
    </w:p>
    <w:p w14:paraId="2C6A6455">
      <w:pPr>
        <w:ind w:firstLine="3614" w:firstLineChars="500"/>
        <w:rPr>
          <w:rFonts w:hint="eastAsia" w:ascii="方正小标宋_GBK" w:hAnsi="微软雅黑" w:eastAsia="方正小标宋_GBK" w:cs="微软雅黑"/>
          <w:b/>
          <w:color w:val="FF0000"/>
          <w:sz w:val="72"/>
          <w:szCs w:val="72"/>
        </w:rPr>
      </w:pPr>
      <w:r>
        <w:rPr>
          <w:rFonts w:hint="eastAsia" w:ascii="方正小标宋_GBK" w:hAnsi="微软雅黑" w:eastAsia="方正小标宋_GBK" w:cs="微软雅黑"/>
          <w:b/>
          <w:sz w:val="72"/>
          <w:szCs w:val="72"/>
        </w:rPr>
        <w:t>合</w:t>
      </w:r>
    </w:p>
    <w:p w14:paraId="5C9FFF54">
      <w:pPr>
        <w:ind w:firstLine="3614" w:firstLineChars="500"/>
        <w:rPr>
          <w:rFonts w:hint="eastAsia" w:ascii="方正小标宋_GBK" w:hAnsi="微软雅黑" w:eastAsia="方正小标宋_GBK" w:cs="微软雅黑"/>
          <w:b/>
          <w:sz w:val="72"/>
          <w:szCs w:val="72"/>
        </w:rPr>
      </w:pPr>
      <w:r>
        <w:rPr>
          <w:rFonts w:hint="eastAsia" w:ascii="方正小标宋_GBK" w:hAnsi="微软雅黑" w:eastAsia="方正小标宋_GBK" w:cs="微软雅黑"/>
          <w:b/>
          <w:sz w:val="72"/>
          <w:szCs w:val="72"/>
        </w:rPr>
        <w:t>同</w:t>
      </w:r>
    </w:p>
    <w:p w14:paraId="53A88F67">
      <w:pPr>
        <w:jc w:val="center"/>
        <w:rPr>
          <w:rFonts w:hint="eastAsia" w:ascii="宋体" w:hAnsi="宋体"/>
          <w:b/>
          <w:sz w:val="24"/>
        </w:rPr>
      </w:pPr>
    </w:p>
    <w:p w14:paraId="5D2C20FE">
      <w:pPr>
        <w:jc w:val="center"/>
        <w:rPr>
          <w:rFonts w:hint="eastAsia" w:ascii="宋体" w:hAnsi="宋体"/>
          <w:b/>
          <w:sz w:val="24"/>
        </w:rPr>
      </w:pPr>
    </w:p>
    <w:p w14:paraId="4020E443">
      <w:pPr>
        <w:pStyle w:val="5"/>
        <w:rPr>
          <w:rFonts w:hint="eastAsia"/>
        </w:rPr>
      </w:pPr>
    </w:p>
    <w:p w14:paraId="04030550">
      <w:pPr>
        <w:rPr>
          <w:rFonts w:hint="eastAsia"/>
          <w:lang w:val="sq-AL"/>
        </w:rPr>
      </w:pPr>
    </w:p>
    <w:p w14:paraId="597F6A77">
      <w:pPr>
        <w:spacing w:line="500" w:lineRule="exact"/>
        <w:jc w:val="center"/>
        <w:rPr>
          <w:rFonts w:hint="eastAsia" w:ascii="宋体" w:hAnsi="宋体"/>
          <w:b/>
          <w:sz w:val="24"/>
        </w:rPr>
      </w:pPr>
    </w:p>
    <w:p w14:paraId="063D4E13">
      <w:pPr>
        <w:spacing w:line="500" w:lineRule="exact"/>
        <w:ind w:firstLine="1285" w:firstLineChars="400"/>
        <w:jc w:val="left"/>
        <w:rPr>
          <w:rFonts w:hint="eastAsia" w:ascii="方正小标宋_GBK" w:hAnsi="宋体-18030" w:eastAsia="方正小标宋_GBK" w:cs="宋体-18030"/>
          <w:b/>
          <w:sz w:val="28"/>
          <w:u w:val="single"/>
        </w:rPr>
      </w:pPr>
      <w:r>
        <w:rPr>
          <w:rFonts w:hint="eastAsia" w:ascii="方正小标宋_GBK" w:hAnsi="宋体" w:eastAsia="方正小标宋_GBK"/>
          <w:b/>
          <w:sz w:val="32"/>
          <w:szCs w:val="32"/>
        </w:rPr>
        <w:t>发包人（甲方）：重庆理工职业学院</w:t>
      </w:r>
    </w:p>
    <w:p w14:paraId="0DB81F72">
      <w:pPr>
        <w:spacing w:line="500" w:lineRule="exact"/>
        <w:ind w:firstLine="1285" w:firstLineChars="400"/>
        <w:rPr>
          <w:rFonts w:hint="eastAsia" w:ascii="方正小标宋_GBK" w:hAnsi="宋体" w:eastAsia="方正小标宋_GBK"/>
          <w:b/>
          <w:sz w:val="32"/>
          <w:szCs w:val="32"/>
        </w:rPr>
      </w:pPr>
      <w:r>
        <w:rPr>
          <w:rFonts w:hint="eastAsia" w:ascii="方正小标宋_GBK" w:hAnsi="宋体" w:eastAsia="方正小标宋_GBK"/>
          <w:b/>
          <w:sz w:val="32"/>
          <w:szCs w:val="32"/>
        </w:rPr>
        <w:t xml:space="preserve">承包人（乙方）： </w:t>
      </w:r>
    </w:p>
    <w:p w14:paraId="5B197551">
      <w:pPr>
        <w:spacing w:line="500" w:lineRule="exact"/>
        <w:rPr>
          <w:rFonts w:hint="eastAsia" w:ascii="宋体" w:hAnsi="宋体"/>
          <w:b/>
          <w:sz w:val="32"/>
          <w:szCs w:val="32"/>
        </w:rPr>
      </w:pPr>
    </w:p>
    <w:p w14:paraId="1FB4C27B">
      <w:pPr>
        <w:pStyle w:val="2"/>
        <w:rPr>
          <w:rFonts w:hint="eastAsia" w:ascii="宋体" w:hAnsi="宋体"/>
          <w:b/>
          <w:sz w:val="32"/>
          <w:szCs w:val="32"/>
        </w:rPr>
      </w:pPr>
    </w:p>
    <w:p w14:paraId="6B561BF7">
      <w:pPr>
        <w:pStyle w:val="2"/>
        <w:rPr>
          <w:rFonts w:hint="eastAsia"/>
        </w:rPr>
      </w:pPr>
    </w:p>
    <w:p w14:paraId="314CB908">
      <w:pPr>
        <w:pStyle w:val="2"/>
        <w:rPr>
          <w:rFonts w:hint="eastAsia"/>
        </w:rPr>
      </w:pPr>
    </w:p>
    <w:p w14:paraId="439F5930">
      <w:pPr>
        <w:spacing w:line="500" w:lineRule="exact"/>
        <w:jc w:val="center"/>
        <w:rPr>
          <w:rFonts w:hint="eastAsia" w:ascii="方正小标宋_GBK" w:hAnsi="宋体" w:eastAsia="方正小标宋_GBK"/>
          <w:b/>
          <w:sz w:val="32"/>
          <w:szCs w:val="32"/>
        </w:rPr>
      </w:pPr>
      <w:r>
        <w:rPr>
          <w:rFonts w:hint="eastAsia" w:ascii="方正小标宋_GBK" w:hAnsi="宋体" w:eastAsia="方正小标宋_GBK"/>
          <w:b/>
          <w:sz w:val="32"/>
          <w:szCs w:val="32"/>
        </w:rPr>
        <w:t>202</w:t>
      </w:r>
      <w:r>
        <w:rPr>
          <w:rFonts w:hint="eastAsia" w:ascii="方正小标宋_GBK" w:hAnsi="宋体" w:eastAsia="方正小标宋_GBK"/>
          <w:b/>
          <w:sz w:val="32"/>
          <w:szCs w:val="32"/>
          <w:lang w:val="en-US" w:eastAsia="zh-CN"/>
        </w:rPr>
        <w:t>5</w:t>
      </w:r>
      <w:r>
        <w:rPr>
          <w:rFonts w:hint="eastAsia" w:ascii="方正小标宋_GBK" w:hAnsi="宋体" w:eastAsia="方正小标宋_GBK"/>
          <w:b/>
          <w:sz w:val="32"/>
          <w:szCs w:val="32"/>
        </w:rPr>
        <w:t>年   月   日</w:t>
      </w:r>
    </w:p>
    <w:p w14:paraId="3591330D">
      <w:pPr>
        <w:jc w:val="center"/>
        <w:rPr>
          <w:rFonts w:ascii="Times New Roman" w:hAnsi="Times New Roman" w:eastAsia="方正小标宋_GBK"/>
          <w:bCs/>
          <w:spacing w:val="20"/>
          <w:sz w:val="40"/>
          <w:szCs w:val="40"/>
        </w:rPr>
      </w:pPr>
    </w:p>
    <w:p w14:paraId="351B08B8">
      <w:pPr>
        <w:spacing w:line="500" w:lineRule="exact"/>
        <w:jc w:val="center"/>
        <w:rPr>
          <w:rFonts w:hint="eastAsia" w:ascii="Times New Roman" w:hAnsi="Times New Roman" w:eastAsia="方正小标宋_GBK"/>
          <w:b/>
          <w:color w:val="1C1F23"/>
          <w:sz w:val="36"/>
          <w:szCs w:val="36"/>
          <w:shd w:val="clear" w:color="auto" w:fill="FFFFFF"/>
        </w:rPr>
      </w:pPr>
      <w:r>
        <w:br w:type="page"/>
      </w:r>
      <w:r>
        <w:rPr>
          <w:rFonts w:ascii="Times New Roman" w:hAnsi="Times New Roman" w:eastAsia="方正小标宋_GBK"/>
          <w:b/>
          <w:color w:val="1C1F23"/>
          <w:sz w:val="36"/>
          <w:szCs w:val="36"/>
          <w:shd w:val="clear" w:color="auto" w:fill="FFFFFF"/>
        </w:rPr>
        <w:t>重庆理工职业学院</w:t>
      </w:r>
    </w:p>
    <w:p w14:paraId="3F1DB345">
      <w:pPr>
        <w:pStyle w:val="5"/>
        <w:jc w:val="center"/>
        <w:rPr>
          <w:rFonts w:hint="eastAsia" w:ascii="方正小标宋_GBK" w:hAnsi="Times New Roman" w:eastAsia="方正小标宋_GBK"/>
          <w:b/>
          <w:color w:val="1C1F23"/>
          <w:sz w:val="36"/>
          <w:szCs w:val="36"/>
          <w:shd w:val="clear" w:color="auto" w:fill="FFFFFF"/>
        </w:rPr>
      </w:pPr>
      <w:bookmarkStart w:id="111" w:name="_Toc12044"/>
      <w:r>
        <w:rPr>
          <w:rFonts w:hint="eastAsia" w:ascii="方正小标宋_GBK" w:hAnsi="Times New Roman" w:eastAsia="方正小标宋_GBK"/>
          <w:b/>
          <w:color w:val="1C1F23"/>
          <w:sz w:val="36"/>
          <w:szCs w:val="36"/>
          <w:shd w:val="clear" w:color="auto" w:fill="FFFFFF"/>
        </w:rPr>
        <w:t>党建文化墙工程建设合同</w:t>
      </w:r>
      <w:bookmarkEnd w:id="111"/>
    </w:p>
    <w:p w14:paraId="2077E973">
      <w:pPr>
        <w:pStyle w:val="2"/>
        <w:rPr>
          <w:lang w:val="sq-AL"/>
        </w:rPr>
      </w:pPr>
    </w:p>
    <w:p w14:paraId="0C64DA69">
      <w:pPr>
        <w:wordWrap w:val="0"/>
        <w:spacing w:line="500" w:lineRule="exact"/>
        <w:jc w:val="right"/>
        <w:rPr>
          <w:rFonts w:hint="default" w:ascii="Times New Roman" w:hAnsi="Times New Roman"/>
          <w:iCs/>
          <w:szCs w:val="21"/>
          <w:u w:val="single"/>
          <w:lang w:val="en-US"/>
        </w:rPr>
      </w:pPr>
      <w:r>
        <w:rPr>
          <w:rFonts w:ascii="Times New Roman" w:hAnsi="Times New Roman"/>
          <w:iCs/>
          <w:szCs w:val="21"/>
        </w:rPr>
        <w:t>合同编号：</w:t>
      </w:r>
      <w:r>
        <w:rPr>
          <w:rFonts w:hint="eastAsia" w:ascii="Times New Roman" w:hAnsi="Times New Roman"/>
          <w:iCs/>
          <w:szCs w:val="21"/>
          <w:u w:val="single"/>
        </w:rPr>
        <w:t>CQIP-</w:t>
      </w:r>
      <w:r>
        <w:rPr>
          <w:rFonts w:ascii="Times New Roman" w:hAnsi="Times New Roman"/>
          <w:iCs/>
          <w:szCs w:val="21"/>
          <w:u w:val="single"/>
        </w:rPr>
        <w:t>202</w:t>
      </w:r>
      <w:r>
        <w:rPr>
          <w:rFonts w:hint="eastAsia"/>
          <w:iCs/>
          <w:szCs w:val="21"/>
          <w:u w:val="single"/>
          <w:lang w:val="en-US" w:eastAsia="zh-CN"/>
        </w:rPr>
        <w:t>5</w:t>
      </w:r>
      <w:r>
        <w:rPr>
          <w:rFonts w:ascii="Times New Roman" w:hAnsi="Times New Roman"/>
          <w:iCs/>
          <w:szCs w:val="21"/>
          <w:u w:val="single"/>
        </w:rPr>
        <w:t>0</w:t>
      </w:r>
      <w:r>
        <w:rPr>
          <w:rFonts w:hint="eastAsia"/>
          <w:iCs/>
          <w:szCs w:val="21"/>
          <w:u w:val="single"/>
          <w:lang w:val="en-US" w:eastAsia="zh-CN"/>
        </w:rPr>
        <w:t xml:space="preserve">6    </w:t>
      </w:r>
    </w:p>
    <w:p w14:paraId="3D738343">
      <w:pPr>
        <w:pStyle w:val="50"/>
        <w:widowControl/>
        <w:shd w:val="clear" w:color="auto" w:fill="FFFFFF"/>
        <w:spacing w:before="0" w:beforeAutospacing="0" w:after="0" w:afterAutospacing="0" w:line="450" w:lineRule="atLeast"/>
        <w:ind w:right="300"/>
        <w:jc w:val="both"/>
        <w:rPr>
          <w:rFonts w:ascii="Times New Roman" w:hAnsi="Times New Roman"/>
          <w:shd w:val="clear" w:color="auto" w:fill="FFFFFF"/>
        </w:rPr>
      </w:pPr>
      <w:r>
        <w:rPr>
          <w:rFonts w:ascii="Times New Roman" w:hAnsi="Times New Roman"/>
          <w:shd w:val="clear" w:color="auto" w:fill="FFFFFF"/>
        </w:rPr>
        <w:t xml:space="preserve">                                                   </w:t>
      </w:r>
    </w:p>
    <w:p w14:paraId="1851E263">
      <w:pPr>
        <w:pStyle w:val="5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jc w:val="both"/>
        <w:textAlignment w:val="auto"/>
        <w:rPr>
          <w:rFonts w:hint="eastAsia" w:ascii="宋体" w:hAnsi="宋体" w:eastAsia="宋体" w:cs="宋体"/>
          <w:b/>
          <w:bCs/>
          <w:sz w:val="24"/>
          <w:szCs w:val="24"/>
          <w:shd w:val="clear" w:color="auto" w:fill="FFFFFF"/>
        </w:rPr>
      </w:pPr>
      <w:r>
        <w:rPr>
          <w:rFonts w:hint="eastAsia" w:ascii="宋体" w:hAnsi="宋体" w:eastAsia="宋体" w:cs="宋体"/>
          <w:b/>
          <w:bCs/>
          <w:sz w:val="24"/>
          <w:szCs w:val="24"/>
          <w:shd w:val="clear" w:color="auto" w:fill="FFFFFF"/>
        </w:rPr>
        <w:t xml:space="preserve">发包方（甲方）：重庆理工职业学院 </w:t>
      </w:r>
    </w:p>
    <w:p w14:paraId="44A38858">
      <w:pPr>
        <w:pStyle w:val="5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jc w:val="both"/>
        <w:textAlignment w:val="auto"/>
        <w:rPr>
          <w:rFonts w:hint="eastAsia" w:ascii="宋体" w:hAnsi="宋体" w:eastAsia="宋体" w:cs="宋体"/>
          <w:b/>
          <w:bCs/>
          <w:sz w:val="24"/>
          <w:szCs w:val="24"/>
          <w:shd w:val="clear" w:color="auto" w:fill="FFFFFF"/>
        </w:rPr>
      </w:pPr>
      <w:r>
        <w:rPr>
          <w:rFonts w:hint="eastAsia" w:ascii="宋体" w:hAnsi="宋体" w:eastAsia="宋体" w:cs="宋体"/>
          <w:b/>
          <w:bCs/>
          <w:sz w:val="24"/>
          <w:szCs w:val="24"/>
          <w:shd w:val="clear" w:color="auto" w:fill="FFFFFF"/>
        </w:rPr>
        <w:t>统一社会信用代码：52500000MJP5965746</w:t>
      </w:r>
    </w:p>
    <w:p w14:paraId="41B6E679">
      <w:pPr>
        <w:pStyle w:val="5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jc w:val="both"/>
        <w:textAlignment w:val="auto"/>
        <w:rPr>
          <w:rFonts w:hint="eastAsia" w:ascii="宋体" w:hAnsi="宋体" w:eastAsia="宋体" w:cs="宋体"/>
          <w:b/>
          <w:bCs/>
          <w:sz w:val="24"/>
          <w:szCs w:val="24"/>
          <w:shd w:val="clear" w:color="auto" w:fill="FFFFFF"/>
        </w:rPr>
      </w:pPr>
      <w:r>
        <w:rPr>
          <w:rFonts w:hint="eastAsia" w:ascii="宋体" w:hAnsi="宋体" w:eastAsia="宋体" w:cs="宋体"/>
          <w:b/>
          <w:bCs/>
          <w:sz w:val="24"/>
          <w:szCs w:val="24"/>
          <w:shd w:val="clear" w:color="auto" w:fill="FFFFFF"/>
        </w:rPr>
        <w:t>注册地址：重庆市巴南区界石镇东城大道588号</w:t>
      </w:r>
    </w:p>
    <w:p w14:paraId="5B1899E7">
      <w:pPr>
        <w:pStyle w:val="5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jc w:val="both"/>
        <w:textAlignment w:val="auto"/>
        <w:rPr>
          <w:rFonts w:hint="eastAsia" w:ascii="宋体" w:hAnsi="宋体" w:eastAsia="宋体" w:cs="宋体"/>
          <w:b/>
          <w:bCs/>
          <w:sz w:val="24"/>
          <w:szCs w:val="24"/>
          <w:shd w:val="clear" w:color="auto" w:fill="FFFFFF"/>
        </w:rPr>
      </w:pPr>
      <w:r>
        <w:rPr>
          <w:rFonts w:hint="eastAsia" w:ascii="宋体" w:hAnsi="宋体" w:eastAsia="宋体" w:cs="宋体"/>
          <w:b/>
          <w:bCs/>
          <w:sz w:val="24"/>
          <w:szCs w:val="24"/>
          <w:shd w:val="clear" w:color="auto" w:fill="FFFFFF"/>
        </w:rPr>
        <w:t>开户行：中国银行重庆巴南支行</w:t>
      </w:r>
    </w:p>
    <w:p w14:paraId="36BDFD43">
      <w:pPr>
        <w:pStyle w:val="5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jc w:val="both"/>
        <w:textAlignment w:val="auto"/>
        <w:rPr>
          <w:rFonts w:hint="eastAsia" w:ascii="宋体" w:hAnsi="宋体" w:eastAsia="宋体" w:cs="宋体"/>
          <w:b/>
          <w:bCs/>
          <w:sz w:val="24"/>
          <w:szCs w:val="24"/>
          <w:shd w:val="clear" w:color="auto" w:fill="FFFFFF"/>
        </w:rPr>
      </w:pPr>
      <w:r>
        <w:rPr>
          <w:rFonts w:hint="eastAsia" w:ascii="宋体" w:hAnsi="宋体" w:eastAsia="宋体" w:cs="宋体"/>
          <w:b/>
          <w:bCs/>
          <w:sz w:val="24"/>
          <w:szCs w:val="24"/>
          <w:shd w:val="clear" w:color="auto" w:fill="FFFFFF"/>
        </w:rPr>
        <w:t>账号：113070691433</w:t>
      </w:r>
    </w:p>
    <w:p w14:paraId="49203FD1">
      <w:pPr>
        <w:pStyle w:val="5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jc w:val="both"/>
        <w:textAlignment w:val="auto"/>
        <w:rPr>
          <w:rFonts w:hint="eastAsia" w:ascii="宋体" w:hAnsi="宋体" w:eastAsia="宋体" w:cs="宋体"/>
          <w:sz w:val="24"/>
          <w:szCs w:val="24"/>
          <w:shd w:val="clear" w:color="auto" w:fill="FFFFFF"/>
        </w:rPr>
      </w:pPr>
    </w:p>
    <w:p w14:paraId="16715EFE">
      <w:pPr>
        <w:pStyle w:val="5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jc w:val="both"/>
        <w:textAlignment w:val="auto"/>
        <w:rPr>
          <w:rFonts w:hint="eastAsia" w:ascii="宋体" w:hAnsi="宋体" w:eastAsia="宋体" w:cs="宋体"/>
          <w:b/>
          <w:bCs/>
          <w:sz w:val="24"/>
          <w:szCs w:val="24"/>
          <w:shd w:val="clear" w:color="auto" w:fill="FFFFFF"/>
        </w:rPr>
      </w:pPr>
      <w:r>
        <w:rPr>
          <w:rFonts w:hint="eastAsia" w:ascii="宋体" w:hAnsi="宋体" w:eastAsia="宋体" w:cs="宋体"/>
          <w:b/>
          <w:bCs/>
          <w:sz w:val="24"/>
          <w:szCs w:val="24"/>
          <w:shd w:val="clear" w:color="auto" w:fill="FFFFFF"/>
        </w:rPr>
        <w:t xml:space="preserve">承包方（乙方）： </w:t>
      </w:r>
    </w:p>
    <w:p w14:paraId="54B39A36">
      <w:pPr>
        <w:pStyle w:val="5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jc w:val="both"/>
        <w:textAlignment w:val="auto"/>
        <w:rPr>
          <w:rFonts w:hint="eastAsia" w:ascii="宋体" w:hAnsi="宋体" w:eastAsia="宋体" w:cs="宋体"/>
          <w:b/>
          <w:bCs/>
          <w:sz w:val="24"/>
          <w:szCs w:val="24"/>
          <w:shd w:val="clear" w:color="auto" w:fill="FFFFFF"/>
        </w:rPr>
      </w:pPr>
      <w:r>
        <w:rPr>
          <w:rFonts w:hint="eastAsia" w:ascii="宋体" w:hAnsi="宋体" w:eastAsia="宋体" w:cs="宋体"/>
          <w:b/>
          <w:bCs/>
          <w:sz w:val="24"/>
          <w:szCs w:val="24"/>
          <w:shd w:val="clear" w:color="auto" w:fill="FFFFFF"/>
        </w:rPr>
        <w:t>统一社会信用代码：</w:t>
      </w:r>
    </w:p>
    <w:p w14:paraId="236A2ECD">
      <w:pPr>
        <w:pStyle w:val="5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jc w:val="both"/>
        <w:textAlignment w:val="auto"/>
        <w:rPr>
          <w:rFonts w:hint="eastAsia" w:ascii="宋体" w:hAnsi="宋体" w:eastAsia="宋体" w:cs="宋体"/>
          <w:b/>
          <w:bCs/>
          <w:sz w:val="24"/>
          <w:szCs w:val="24"/>
          <w:shd w:val="clear" w:color="auto" w:fill="FFFFFF"/>
        </w:rPr>
      </w:pPr>
      <w:r>
        <w:rPr>
          <w:rFonts w:hint="eastAsia" w:ascii="宋体" w:hAnsi="宋体" w:eastAsia="宋体" w:cs="宋体"/>
          <w:b/>
          <w:bCs/>
          <w:sz w:val="24"/>
          <w:szCs w:val="24"/>
          <w:shd w:val="clear" w:color="auto" w:fill="FFFFFF"/>
        </w:rPr>
        <w:t xml:space="preserve">企业地址： </w:t>
      </w:r>
    </w:p>
    <w:p w14:paraId="32F550CF">
      <w:pPr>
        <w:pStyle w:val="5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jc w:val="both"/>
        <w:textAlignment w:val="auto"/>
        <w:rPr>
          <w:rFonts w:hint="eastAsia" w:ascii="宋体" w:hAnsi="宋体" w:eastAsia="宋体" w:cs="宋体"/>
          <w:b/>
          <w:bCs/>
          <w:sz w:val="24"/>
          <w:szCs w:val="24"/>
          <w:shd w:val="clear" w:color="auto" w:fill="FFFFFF"/>
          <w:lang w:eastAsia="zh-Hans"/>
        </w:rPr>
      </w:pPr>
      <w:r>
        <w:rPr>
          <w:rFonts w:hint="eastAsia" w:ascii="宋体" w:hAnsi="宋体" w:eastAsia="宋体" w:cs="宋体"/>
          <w:b/>
          <w:bCs/>
          <w:sz w:val="24"/>
          <w:szCs w:val="24"/>
          <w:shd w:val="clear" w:color="auto" w:fill="FFFFFF"/>
        </w:rPr>
        <w:t>开户行：</w:t>
      </w:r>
      <w:r>
        <w:rPr>
          <w:rFonts w:hint="eastAsia" w:ascii="宋体" w:hAnsi="宋体" w:eastAsia="宋体" w:cs="宋体"/>
          <w:b/>
          <w:bCs/>
          <w:sz w:val="24"/>
          <w:szCs w:val="24"/>
          <w:shd w:val="clear" w:color="auto" w:fill="FFFFFF"/>
          <w:lang w:eastAsia="zh-Hans"/>
        </w:rPr>
        <w:t xml:space="preserve"> </w:t>
      </w:r>
    </w:p>
    <w:p w14:paraId="12D1EB93">
      <w:pPr>
        <w:pageBreakBefore w:val="0"/>
        <w:kinsoku/>
        <w:wordWrap/>
        <w:overflowPunct/>
        <w:topLinePunct w:val="0"/>
        <w:autoSpaceDE/>
        <w:autoSpaceDN/>
        <w:bidi w:val="0"/>
        <w:adjustRightInd/>
        <w:snapToGrid/>
        <w:spacing w:line="300" w:lineRule="exact"/>
        <w:textAlignment w:val="auto"/>
        <w:rPr>
          <w:rFonts w:hint="eastAsia" w:ascii="宋体" w:hAnsi="宋体" w:eastAsia="宋体" w:cs="宋体"/>
          <w:b/>
          <w:bCs/>
          <w:sz w:val="24"/>
          <w:szCs w:val="24"/>
          <w:shd w:val="clear" w:color="auto" w:fill="FFFFFF"/>
        </w:rPr>
      </w:pPr>
      <w:r>
        <w:rPr>
          <w:rFonts w:hint="eastAsia" w:ascii="宋体" w:hAnsi="宋体" w:eastAsia="宋体" w:cs="宋体"/>
          <w:b/>
          <w:bCs/>
          <w:sz w:val="24"/>
          <w:szCs w:val="24"/>
          <w:shd w:val="clear" w:color="auto" w:fill="FFFFFF"/>
        </w:rPr>
        <w:t>账  号：</w:t>
      </w:r>
    </w:p>
    <w:p w14:paraId="6310EE8F">
      <w:pPr>
        <w:pStyle w:val="2"/>
        <w:pageBreakBefore w:val="0"/>
        <w:kinsoku/>
        <w:wordWrap/>
        <w:overflowPunct/>
        <w:topLinePunct w:val="0"/>
        <w:autoSpaceDE/>
        <w:autoSpaceDN/>
        <w:bidi w:val="0"/>
        <w:adjustRightInd/>
        <w:snapToGrid/>
        <w:spacing w:line="300" w:lineRule="exact"/>
        <w:textAlignment w:val="auto"/>
        <w:rPr>
          <w:rFonts w:hint="eastAsia" w:ascii="宋体" w:hAnsi="宋体" w:eastAsia="宋体" w:cs="宋体"/>
          <w:sz w:val="24"/>
          <w:szCs w:val="24"/>
        </w:rPr>
      </w:pPr>
    </w:p>
    <w:p w14:paraId="4F328073">
      <w:pPr>
        <w:pageBreakBefore w:val="0"/>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在乙方充分考察及熟悉本合同所述甲方指定项目的工程内容及其相关特点背景的前提下，甲乙双方依照《中华人民共和国民法典》及其他相关法律、行政法规的规定，遵循平等、自愿、公平、公正和诚实信用的原则，双方就重庆理工职业学院党建文化墙建设工程承包事宜协商一致，订立本合同，供双方共同遵照执行。</w:t>
      </w:r>
    </w:p>
    <w:p w14:paraId="26307321">
      <w:pPr>
        <w:pageBreakBefore w:val="0"/>
        <w:kinsoku/>
        <w:wordWrap/>
        <w:overflowPunct/>
        <w:topLinePunct w:val="0"/>
        <w:autoSpaceDE/>
        <w:autoSpaceDN/>
        <w:bidi w:val="0"/>
        <w:adjustRightInd/>
        <w:snapToGrid/>
        <w:spacing w:line="30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第一条  工程概况</w:t>
      </w:r>
    </w:p>
    <w:p w14:paraId="160B1261">
      <w:pPr>
        <w:pageBreakBefore w:val="0"/>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1.1  工程名称：重庆理工职业学院党建文化墙建设工程</w:t>
      </w:r>
    </w:p>
    <w:p w14:paraId="603960CB">
      <w:pPr>
        <w:pageBreakBefore w:val="0"/>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1.2  工程地点：重庆市巴南区东城大道588号。</w:t>
      </w:r>
    </w:p>
    <w:p w14:paraId="35B69EDE">
      <w:pPr>
        <w:pageBreakBefore w:val="0"/>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1.3  工程施工承包范围：</w:t>
      </w:r>
    </w:p>
    <w:p w14:paraId="2EDA4797">
      <w:pPr>
        <w:pageBreakBefore w:val="0"/>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1.3.1 </w:t>
      </w:r>
      <w:r>
        <w:rPr>
          <w:rFonts w:hint="eastAsia" w:ascii="宋体" w:hAnsi="宋体" w:eastAsia="宋体" w:cs="宋体"/>
          <w:color w:val="000000"/>
          <w:sz w:val="24"/>
          <w:szCs w:val="24"/>
        </w:rPr>
        <w:t>按设计图纸、效果图、工程量清单和甲方指令，完成</w:t>
      </w:r>
      <w:r>
        <w:rPr>
          <w:rFonts w:hint="eastAsia" w:ascii="宋体" w:hAnsi="宋体" w:eastAsia="宋体" w:cs="宋体"/>
          <w:sz w:val="24"/>
          <w:szCs w:val="24"/>
        </w:rPr>
        <w:t>重庆理工职业学院党建文化墙工程</w:t>
      </w:r>
      <w:r>
        <w:rPr>
          <w:rFonts w:hint="eastAsia" w:ascii="宋体" w:hAnsi="宋体" w:eastAsia="宋体" w:cs="宋体"/>
          <w:color w:val="000000"/>
          <w:sz w:val="24"/>
          <w:szCs w:val="24"/>
        </w:rPr>
        <w:t>的建设，合同范围内的工程必须满足甲方使用需求并</w:t>
      </w:r>
      <w:r>
        <w:rPr>
          <w:rFonts w:hint="eastAsia" w:ascii="宋体" w:hAnsi="宋体" w:eastAsia="宋体" w:cs="宋体"/>
          <w:color w:val="000000"/>
          <w:sz w:val="24"/>
          <w:szCs w:val="24"/>
          <w:lang w:eastAsia="zh-Hans"/>
        </w:rPr>
        <w:t>满足行业相关验收标准</w:t>
      </w:r>
      <w:r>
        <w:rPr>
          <w:rFonts w:hint="eastAsia" w:ascii="宋体" w:hAnsi="宋体" w:eastAsia="宋体" w:cs="宋体"/>
          <w:color w:val="000000"/>
          <w:sz w:val="24"/>
          <w:szCs w:val="24"/>
        </w:rPr>
        <w:t>。乙方必须按图和按规范施工，本工程的设计图纸和方案可能存在变更的情况，若发生变更，以变更的图纸或甲方的指令和方案为准。</w:t>
      </w:r>
    </w:p>
    <w:p w14:paraId="6FDB5611">
      <w:pPr>
        <w:pageBreakBefore w:val="0"/>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1.3.2 本工程的设计方案乙方必须确保获得甲方的明确认可，并且施工使用的材料质量必须满足设计方案和甲方的具体要求。本工程所有的材料进场前乙方须向甲方送样确认，到场后按规定报验，甲方签字同意后方能进场使用，对于乙供材料甲方均有权改为甲供，结算时扣除清单中相应的材料费用，乙方应无条件接受。</w:t>
      </w:r>
    </w:p>
    <w:p w14:paraId="7CE662E1">
      <w:pPr>
        <w:pageBreakBefore w:val="0"/>
        <w:kinsoku/>
        <w:wordWrap/>
        <w:overflowPunct/>
        <w:topLinePunct w:val="0"/>
        <w:autoSpaceDE/>
        <w:autoSpaceDN/>
        <w:bidi w:val="0"/>
        <w:adjustRightInd/>
        <w:snapToGrid/>
        <w:spacing w:line="30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第二条  工程承包方式及合同价款</w:t>
      </w:r>
    </w:p>
    <w:p w14:paraId="55E77AA1">
      <w:pPr>
        <w:pageBreakBefore w:val="0"/>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2.1 工程承包方式：</w:t>
      </w:r>
    </w:p>
    <w:p w14:paraId="04093B32">
      <w:pPr>
        <w:pageBreakBefore w:val="0"/>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sz w:val="24"/>
          <w:szCs w:val="24"/>
          <w:lang w:eastAsia="zh-Hans"/>
        </w:rPr>
      </w:pPr>
      <w:r>
        <w:rPr>
          <w:rFonts w:hint="eastAsia" w:ascii="宋体" w:hAnsi="宋体" w:eastAsia="宋体" w:cs="宋体"/>
          <w:sz w:val="24"/>
          <w:szCs w:val="24"/>
        </w:rPr>
        <w:t>本工程以包工包料、包质量、包工期、包风险、包设计和施工（</w:t>
      </w:r>
      <w:r>
        <w:rPr>
          <w:rFonts w:hint="eastAsia" w:ascii="宋体" w:hAnsi="宋体" w:eastAsia="宋体" w:cs="宋体"/>
          <w:sz w:val="24"/>
          <w:szCs w:val="24"/>
          <w:lang w:eastAsia="zh-Hans"/>
        </w:rPr>
        <w:t>优化</w:t>
      </w:r>
      <w:r>
        <w:rPr>
          <w:rFonts w:hint="eastAsia" w:ascii="宋体" w:hAnsi="宋体" w:eastAsia="宋体" w:cs="宋体"/>
          <w:sz w:val="24"/>
          <w:szCs w:val="24"/>
        </w:rPr>
        <w:t>设计方案以甲方认可为准）</w:t>
      </w:r>
      <w:r>
        <w:rPr>
          <w:rFonts w:hint="eastAsia" w:ascii="宋体" w:hAnsi="宋体" w:eastAsia="宋体" w:cs="宋体"/>
          <w:sz w:val="24"/>
          <w:szCs w:val="24"/>
          <w:lang w:eastAsia="zh-Hans"/>
        </w:rPr>
        <w:t>、</w:t>
      </w:r>
      <w:r>
        <w:rPr>
          <w:rFonts w:hint="eastAsia" w:ascii="宋体" w:hAnsi="宋体" w:eastAsia="宋体" w:cs="宋体"/>
          <w:sz w:val="24"/>
          <w:szCs w:val="24"/>
        </w:rPr>
        <w:t>包安全文明施工、包竣工资料的交钥匙工程</w:t>
      </w:r>
      <w:r>
        <w:rPr>
          <w:rFonts w:hint="eastAsia" w:ascii="宋体" w:hAnsi="宋体" w:eastAsia="宋体" w:cs="宋体"/>
          <w:sz w:val="24"/>
          <w:szCs w:val="24"/>
          <w:lang w:eastAsia="zh-Hans"/>
        </w:rPr>
        <w:t>的</w:t>
      </w:r>
      <w:r>
        <w:rPr>
          <w:rFonts w:hint="eastAsia" w:ascii="宋体" w:hAnsi="宋体" w:eastAsia="宋体" w:cs="宋体"/>
          <w:sz w:val="24"/>
          <w:szCs w:val="24"/>
        </w:rPr>
        <w:t>形式由乙方承包</w:t>
      </w:r>
      <w:r>
        <w:rPr>
          <w:rFonts w:hint="eastAsia" w:ascii="宋体" w:hAnsi="宋体" w:eastAsia="宋体" w:cs="宋体"/>
          <w:sz w:val="24"/>
          <w:szCs w:val="24"/>
          <w:lang w:eastAsia="zh-Hans"/>
        </w:rPr>
        <w:t>。</w:t>
      </w:r>
    </w:p>
    <w:p w14:paraId="063E0703">
      <w:pPr>
        <w:pageBreakBefore w:val="0"/>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sz w:val="24"/>
          <w:szCs w:val="24"/>
        </w:rPr>
        <w:t>2.2 本工程价款采用固定综合单价（含税）和工程量据实结算方式确定，本工程暂定合同总价为</w:t>
      </w:r>
      <w:r>
        <w:rPr>
          <w:rFonts w:hint="eastAsia" w:ascii="宋体" w:hAnsi="宋体" w:eastAsia="宋体" w:cs="宋体"/>
          <w:kern w:val="0"/>
          <w:sz w:val="24"/>
          <w:szCs w:val="24"/>
          <w:u w:val="single"/>
        </w:rPr>
        <w:t xml:space="preserve">            （大写：        ）</w:t>
      </w:r>
      <w:r>
        <w:rPr>
          <w:rFonts w:hint="eastAsia" w:ascii="宋体" w:hAnsi="宋体" w:eastAsia="宋体" w:cs="宋体"/>
          <w:sz w:val="24"/>
          <w:szCs w:val="24"/>
        </w:rPr>
        <w:t>。[详见本合同附件《重庆理工职业学院党建文化墙工程量计价清单》（以下简称“工程量计价清单”）]</w:t>
      </w:r>
      <w:r>
        <w:rPr>
          <w:rFonts w:hint="eastAsia" w:ascii="宋体" w:hAnsi="宋体" w:eastAsia="宋体" w:cs="宋体"/>
          <w:sz w:val="24"/>
          <w:szCs w:val="24"/>
          <w:lang w:eastAsia="zh-Hans"/>
        </w:rPr>
        <w:t>。</w:t>
      </w:r>
    </w:p>
    <w:p w14:paraId="77A67539">
      <w:pPr>
        <w:pageBreakBefore w:val="0"/>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2.3 工程量计价清单中，清单项目实行综合单价包干，清单综合包干单价包括但不限于人工费、机械费、材料费、措施费、管理费、利润、协调费、赶工费、安全文明施工费、洞口修补费、管线切缝开槽修补费（含其他专业分包）、配合费、资料档案费（如有）、</w:t>
      </w:r>
      <w:r>
        <w:rPr>
          <w:rFonts w:hint="eastAsia" w:ascii="宋体" w:hAnsi="宋体" w:eastAsia="宋体" w:cs="宋体"/>
          <w:sz w:val="24"/>
          <w:szCs w:val="24"/>
          <w:lang w:eastAsia="zh-Hans"/>
        </w:rPr>
        <w:t>除渣费（含单面3km运距）、</w:t>
      </w:r>
      <w:r>
        <w:rPr>
          <w:rFonts w:hint="eastAsia" w:ascii="宋体" w:hAnsi="宋体" w:eastAsia="宋体" w:cs="宋体"/>
          <w:sz w:val="24"/>
          <w:szCs w:val="24"/>
        </w:rPr>
        <w:t>停窝工损失费、各类市场风险及其他应由乙方承担的所有费用。清单综合包干单价不因工资、物价、税率或汇率变动、保险政策变动或任何调价文件之要求而调整。工程量计价清单中的技术规格描述与施工设计图纸中要求不一致的，则视为清单综合包干单价为已综合考虑施工设计图纸要求的单价。</w:t>
      </w:r>
    </w:p>
    <w:p w14:paraId="49112C80">
      <w:pPr>
        <w:pageBreakBefore w:val="0"/>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2.4 本工程的工程量清单计价规则执行GB50500-2013《建设工程工程量清单计价规范》。</w:t>
      </w:r>
    </w:p>
    <w:p w14:paraId="091DE30E">
      <w:pPr>
        <w:pageBreakBefore w:val="0"/>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2.5 本项目原则上不产生计时工，不可避免时签证记工、零星借工，普工按180元/工日、技工按350元/工日计价。</w:t>
      </w:r>
    </w:p>
    <w:p w14:paraId="1CBF74A4">
      <w:pPr>
        <w:pageBreakBefore w:val="0"/>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2.6 工程量计价清单中未包含的施工项目，由承包方报价，发包方根据本合同的计量和计价原则进行认质核价。承包方对发包方的认质核价不认可时，发包方可另行向第三方发包。未经甲方核价和认可的项目乙方不得实施，若自行实施或采购的，甲方不予认可，由此造成的相关损失由乙方自行负责，合同清单以外的项目以甲方核定的价格计入结算。</w:t>
      </w:r>
    </w:p>
    <w:p w14:paraId="330733AA">
      <w:pPr>
        <w:pageBreakBefore w:val="0"/>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2.7 本工程的临时用水和用电由乙方负责，甲方将按工程造价的0.5%在工程结算款中扣除；住宿由甲方有偿提供，住宿内的水电费由乙方自理。</w:t>
      </w:r>
    </w:p>
    <w:p w14:paraId="75C32EEC">
      <w:pPr>
        <w:pageBreakBefore w:val="0"/>
        <w:kinsoku/>
        <w:wordWrap/>
        <w:overflowPunct/>
        <w:topLinePunct w:val="0"/>
        <w:autoSpaceDE/>
        <w:autoSpaceDN/>
        <w:bidi w:val="0"/>
        <w:adjustRightInd/>
        <w:snapToGrid/>
        <w:spacing w:line="30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第三条  工程款支付</w:t>
      </w:r>
    </w:p>
    <w:p w14:paraId="7BB3ADB4">
      <w:pPr>
        <w:pageBreakBefore w:val="0"/>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sz w:val="24"/>
          <w:szCs w:val="24"/>
          <w:u w:val="single"/>
        </w:rPr>
      </w:pPr>
      <w:r>
        <w:rPr>
          <w:rFonts w:hint="eastAsia" w:ascii="宋体" w:hAnsi="宋体" w:eastAsia="宋体" w:cs="宋体"/>
          <w:sz w:val="24"/>
          <w:szCs w:val="24"/>
        </w:rPr>
        <w:t>3.1 工程合同履约保证金为</w:t>
      </w:r>
      <w:r>
        <w:rPr>
          <w:rFonts w:hint="eastAsia" w:ascii="宋体" w:hAnsi="宋体" w:eastAsia="宋体" w:cs="宋体"/>
          <w:color w:val="000000"/>
          <w:sz w:val="24"/>
          <w:szCs w:val="24"/>
        </w:rPr>
        <w:t>10000</w:t>
      </w:r>
      <w:r>
        <w:rPr>
          <w:rFonts w:hint="eastAsia" w:ascii="宋体" w:hAnsi="宋体" w:eastAsia="宋体" w:cs="宋体"/>
          <w:sz w:val="24"/>
          <w:szCs w:val="24"/>
        </w:rPr>
        <w:t>元，签定合同时支付（如通过投标竞选成为中标单位，可由投标保证金转成合同履约保证金，</w:t>
      </w:r>
      <w:r>
        <w:rPr>
          <w:rFonts w:hint="eastAsia" w:ascii="宋体" w:hAnsi="宋体" w:eastAsia="宋体" w:cs="宋体"/>
          <w:color w:val="000000"/>
          <w:sz w:val="24"/>
          <w:szCs w:val="24"/>
        </w:rPr>
        <w:t>不足部分本合同签订后３日内</w:t>
      </w:r>
      <w:r>
        <w:rPr>
          <w:rFonts w:hint="eastAsia" w:ascii="宋体" w:hAnsi="宋体" w:eastAsia="宋体" w:cs="宋体"/>
          <w:color w:val="000000"/>
          <w:sz w:val="24"/>
          <w:szCs w:val="24"/>
          <w:lang w:val="en-US" w:eastAsia="zh-CN"/>
        </w:rPr>
        <w:t>补</w:t>
      </w:r>
      <w:r>
        <w:rPr>
          <w:rFonts w:hint="eastAsia" w:ascii="宋体" w:hAnsi="宋体" w:eastAsia="宋体" w:cs="宋体"/>
          <w:color w:val="000000"/>
          <w:sz w:val="24"/>
          <w:szCs w:val="24"/>
        </w:rPr>
        <w:t>足，若未补足，视为放弃履约本合同，投标保证金不予退还</w:t>
      </w:r>
      <w:r>
        <w:rPr>
          <w:rFonts w:hint="eastAsia" w:ascii="宋体" w:hAnsi="宋体" w:eastAsia="宋体" w:cs="宋体"/>
          <w:sz w:val="24"/>
          <w:szCs w:val="24"/>
        </w:rPr>
        <w:t>），此履约保证金在竣工验收合格后10日内甲方无息返还。</w:t>
      </w:r>
    </w:p>
    <w:p w14:paraId="77C49BED">
      <w:pPr>
        <w:pageBreakBefore w:val="0"/>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sz w:val="24"/>
          <w:szCs w:val="24"/>
        </w:rPr>
        <w:t>3.2 工程款支付：</w:t>
      </w:r>
      <w:r>
        <w:rPr>
          <w:rFonts w:hint="eastAsia" w:ascii="宋体" w:hAnsi="宋体" w:eastAsia="宋体" w:cs="宋体"/>
          <w:color w:val="000000"/>
          <w:sz w:val="24"/>
          <w:szCs w:val="24"/>
        </w:rPr>
        <w:t>本工程无预付款，共分三次支付。</w:t>
      </w:r>
    </w:p>
    <w:p w14:paraId="47208229">
      <w:pPr>
        <w:pageBreakBefore w:val="0"/>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sz w:val="24"/>
          <w:szCs w:val="24"/>
        </w:rPr>
      </w:pPr>
      <w:r>
        <w:rPr>
          <w:rFonts w:hint="eastAsia" w:ascii="宋体" w:hAnsi="宋体" w:eastAsia="宋体" w:cs="宋体"/>
          <w:color w:val="000000"/>
          <w:sz w:val="24"/>
          <w:szCs w:val="24"/>
        </w:rPr>
        <w:t>3.2.1</w:t>
      </w:r>
      <w:r>
        <w:rPr>
          <w:rFonts w:hint="eastAsia" w:ascii="宋体" w:hAnsi="宋体" w:eastAsia="宋体" w:cs="宋体"/>
          <w:sz w:val="24"/>
          <w:szCs w:val="24"/>
        </w:rPr>
        <w:t>第一次支付：工程产值达到暂定工程总价的80%时支付暂定工程总价的50%。</w:t>
      </w:r>
    </w:p>
    <w:p w14:paraId="38E1392A">
      <w:pPr>
        <w:pageBreakBefore w:val="0"/>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sz w:val="24"/>
          <w:szCs w:val="24"/>
        </w:rPr>
      </w:pPr>
      <w:r>
        <w:rPr>
          <w:rFonts w:hint="eastAsia" w:ascii="宋体" w:hAnsi="宋体" w:eastAsia="宋体" w:cs="宋体"/>
          <w:color w:val="000000"/>
          <w:sz w:val="24"/>
          <w:szCs w:val="24"/>
        </w:rPr>
        <w:t xml:space="preserve">3.2.2 </w:t>
      </w:r>
      <w:r>
        <w:rPr>
          <w:rFonts w:hint="eastAsia" w:ascii="宋体" w:hAnsi="宋体" w:eastAsia="宋体" w:cs="宋体"/>
          <w:sz w:val="24"/>
          <w:szCs w:val="24"/>
        </w:rPr>
        <w:t>第二次支付:工程竣工验收合格办理完结算后30日内支付审定结算总金额的97%，保留审定结算总价款的3%作为质量保证金。</w:t>
      </w:r>
    </w:p>
    <w:p w14:paraId="65FA126C">
      <w:pPr>
        <w:pageBreakBefore w:val="0"/>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sz w:val="24"/>
          <w:szCs w:val="24"/>
        </w:rPr>
      </w:pPr>
      <w:r>
        <w:rPr>
          <w:rFonts w:hint="eastAsia" w:ascii="宋体" w:hAnsi="宋体" w:eastAsia="宋体" w:cs="宋体"/>
          <w:color w:val="000000"/>
          <w:sz w:val="24"/>
          <w:szCs w:val="24"/>
        </w:rPr>
        <w:t xml:space="preserve">3.2.3 </w:t>
      </w:r>
      <w:r>
        <w:rPr>
          <w:rFonts w:hint="eastAsia" w:ascii="宋体" w:hAnsi="宋体" w:eastAsia="宋体" w:cs="宋体"/>
          <w:sz w:val="24"/>
          <w:szCs w:val="24"/>
        </w:rPr>
        <w:t>第三次支付：2年质量缺陷期满后10日内无息支付质保金。质量缺陷期间乙方积极完成质量缺陷整改，退质保金时不得有质量缺陷。</w:t>
      </w:r>
    </w:p>
    <w:p w14:paraId="45A280A1">
      <w:pPr>
        <w:pageBreakBefore w:val="0"/>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sz w:val="24"/>
          <w:szCs w:val="24"/>
        </w:rPr>
      </w:pPr>
      <w:r>
        <w:rPr>
          <w:rFonts w:hint="eastAsia" w:ascii="宋体" w:hAnsi="宋体" w:eastAsia="宋体" w:cs="宋体"/>
          <w:color w:val="000000"/>
          <w:sz w:val="24"/>
          <w:szCs w:val="24"/>
        </w:rPr>
        <w:t xml:space="preserve">3.2.4 </w:t>
      </w:r>
      <w:r>
        <w:rPr>
          <w:rFonts w:hint="eastAsia" w:ascii="宋体" w:hAnsi="宋体" w:eastAsia="宋体" w:cs="宋体"/>
          <w:sz w:val="24"/>
          <w:szCs w:val="24"/>
        </w:rPr>
        <w:t>甲方支付每笔款项前，乙方需开具增值税普通发票。</w:t>
      </w:r>
    </w:p>
    <w:p w14:paraId="0DE997C6">
      <w:pPr>
        <w:pageBreakBefore w:val="0"/>
        <w:kinsoku/>
        <w:wordWrap/>
        <w:overflowPunct/>
        <w:topLinePunct w:val="0"/>
        <w:autoSpaceDE/>
        <w:autoSpaceDN/>
        <w:bidi w:val="0"/>
        <w:adjustRightInd/>
        <w:snapToGrid/>
        <w:spacing w:line="30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w:t>
      </w:r>
      <w:r>
        <w:rPr>
          <w:rFonts w:hint="eastAsia" w:ascii="宋体" w:hAnsi="宋体" w:eastAsia="宋体" w:cs="宋体"/>
          <w:b/>
          <w:bCs/>
          <w:sz w:val="24"/>
          <w:szCs w:val="24"/>
          <w:lang w:eastAsia="zh-Hans"/>
        </w:rPr>
        <w:t>四</w:t>
      </w:r>
      <w:r>
        <w:rPr>
          <w:rFonts w:hint="eastAsia" w:ascii="宋体" w:hAnsi="宋体" w:eastAsia="宋体" w:cs="宋体"/>
          <w:b/>
          <w:bCs/>
          <w:sz w:val="24"/>
          <w:szCs w:val="24"/>
        </w:rPr>
        <w:t>条  工期</w:t>
      </w:r>
    </w:p>
    <w:p w14:paraId="1CDF806D">
      <w:pPr>
        <w:pageBreakBefore w:val="0"/>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本工程工期以甲方指令为准，但</w:t>
      </w:r>
      <w:r>
        <w:rPr>
          <w:rFonts w:hint="eastAsia" w:ascii="宋体" w:hAnsi="宋体" w:eastAsia="宋体" w:cs="宋体"/>
          <w:color w:val="000000"/>
          <w:sz w:val="24"/>
          <w:szCs w:val="24"/>
        </w:rPr>
        <w:t>整个工程工期从开工至完工工期为40日历天（从合同签定之次日起开始计算）</w:t>
      </w:r>
      <w:r>
        <w:rPr>
          <w:rFonts w:hint="eastAsia" w:ascii="宋体" w:hAnsi="宋体" w:eastAsia="宋体" w:cs="宋体"/>
          <w:sz w:val="24"/>
          <w:szCs w:val="24"/>
        </w:rPr>
        <w:t>。乙方的施工进度不得影响其他单位工序的进度，由此造成的工期延误和工序滞后的损失由乙方负责。</w:t>
      </w:r>
    </w:p>
    <w:p w14:paraId="25874652">
      <w:pPr>
        <w:pageBreakBefore w:val="0"/>
        <w:kinsoku/>
        <w:wordWrap/>
        <w:overflowPunct/>
        <w:topLinePunct w:val="0"/>
        <w:autoSpaceDE/>
        <w:autoSpaceDN/>
        <w:bidi w:val="0"/>
        <w:adjustRightInd/>
        <w:snapToGrid/>
        <w:spacing w:line="30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w:t>
      </w:r>
      <w:r>
        <w:rPr>
          <w:rFonts w:hint="eastAsia" w:ascii="宋体" w:hAnsi="宋体" w:eastAsia="宋体" w:cs="宋体"/>
          <w:b/>
          <w:bCs/>
          <w:sz w:val="24"/>
          <w:szCs w:val="24"/>
          <w:lang w:eastAsia="zh-Hans"/>
        </w:rPr>
        <w:t>五</w:t>
      </w:r>
      <w:r>
        <w:rPr>
          <w:rFonts w:hint="eastAsia" w:ascii="宋体" w:hAnsi="宋体" w:eastAsia="宋体" w:cs="宋体"/>
          <w:b/>
          <w:bCs/>
          <w:sz w:val="24"/>
          <w:szCs w:val="24"/>
        </w:rPr>
        <w:t>条  甲乙双方驻施工现场代表</w:t>
      </w:r>
    </w:p>
    <w:p w14:paraId="048154B4">
      <w:pPr>
        <w:pageBreakBefore w:val="0"/>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甲方代表：高承权， 电话：18983292559</w:t>
      </w:r>
    </w:p>
    <w:p w14:paraId="379E3BA1">
      <w:pPr>
        <w:pageBreakBefore w:val="0"/>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乙方代表：      ， 电话：</w:t>
      </w:r>
    </w:p>
    <w:p w14:paraId="4F323073">
      <w:pPr>
        <w:pageBreakBefore w:val="0"/>
        <w:kinsoku/>
        <w:wordWrap/>
        <w:overflowPunct/>
        <w:topLinePunct w:val="0"/>
        <w:autoSpaceDE/>
        <w:autoSpaceDN/>
        <w:bidi w:val="0"/>
        <w:adjustRightInd/>
        <w:snapToGrid/>
        <w:spacing w:line="30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w:t>
      </w:r>
      <w:r>
        <w:rPr>
          <w:rFonts w:hint="eastAsia" w:ascii="宋体" w:hAnsi="宋体" w:eastAsia="宋体" w:cs="宋体"/>
          <w:b/>
          <w:bCs/>
          <w:sz w:val="24"/>
          <w:szCs w:val="24"/>
          <w:lang w:eastAsia="zh-Hans"/>
        </w:rPr>
        <w:t>六</w:t>
      </w:r>
      <w:r>
        <w:rPr>
          <w:rFonts w:hint="eastAsia" w:ascii="宋体" w:hAnsi="宋体" w:eastAsia="宋体" w:cs="宋体"/>
          <w:b/>
          <w:bCs/>
          <w:sz w:val="24"/>
          <w:szCs w:val="24"/>
        </w:rPr>
        <w:t>条  甲方的权利和义务</w:t>
      </w:r>
    </w:p>
    <w:p w14:paraId="53C38C2A">
      <w:pPr>
        <w:pageBreakBefore w:val="0"/>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6.1 施工场地具备开工条件，为乙方办理施工所涉及的各种申请、批件等手续。开通施工场地通道，指定施工水、电接口（驳接费用由乙方承担）。</w:t>
      </w:r>
    </w:p>
    <w:p w14:paraId="576803AC">
      <w:pPr>
        <w:pageBreakBefore w:val="0"/>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6.2 安排专人监督检查工程质量、进度，负责施工期间机械、设备、材料到场的验收及中间质量验收，并协调解决施工中的其他问题。</w:t>
      </w:r>
    </w:p>
    <w:p w14:paraId="499719A9">
      <w:pPr>
        <w:pageBreakBefore w:val="0"/>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6.3 开工前2天，清除障碍物，为承包人进场做好准备工作。</w:t>
      </w:r>
    </w:p>
    <w:p w14:paraId="5969DF10">
      <w:pPr>
        <w:pageBreakBefore w:val="0"/>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6.4 根据合同约定，按时足额支付工程款。</w:t>
      </w:r>
    </w:p>
    <w:p w14:paraId="3F1AF0C0">
      <w:pPr>
        <w:pageBreakBefore w:val="0"/>
        <w:kinsoku/>
        <w:wordWrap/>
        <w:overflowPunct/>
        <w:topLinePunct w:val="0"/>
        <w:autoSpaceDE/>
        <w:autoSpaceDN/>
        <w:bidi w:val="0"/>
        <w:adjustRightInd/>
        <w:snapToGrid/>
        <w:spacing w:line="30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w:t>
      </w:r>
      <w:r>
        <w:rPr>
          <w:rFonts w:hint="eastAsia" w:ascii="宋体" w:hAnsi="宋体" w:eastAsia="宋体" w:cs="宋体"/>
          <w:b/>
          <w:bCs/>
          <w:sz w:val="24"/>
          <w:szCs w:val="24"/>
          <w:lang w:eastAsia="zh-Hans"/>
        </w:rPr>
        <w:t>七</w:t>
      </w:r>
      <w:r>
        <w:rPr>
          <w:rFonts w:hint="eastAsia" w:ascii="宋体" w:hAnsi="宋体" w:eastAsia="宋体" w:cs="宋体"/>
          <w:b/>
          <w:bCs/>
          <w:sz w:val="24"/>
          <w:szCs w:val="24"/>
        </w:rPr>
        <w:t>条  乙方的权利和义务</w:t>
      </w:r>
    </w:p>
    <w:p w14:paraId="2309AA06">
      <w:pPr>
        <w:pageBreakBefore w:val="0"/>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7.1 按照甲方认可的设计方案及合同条款组织施工，不得将其承包的工程转包给他人，否则甲方有权解除合同，并按预付款（首次付款额）的双倍赔偿甲方损失。</w:t>
      </w:r>
    </w:p>
    <w:p w14:paraId="398877CA">
      <w:pPr>
        <w:pageBreakBefore w:val="0"/>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7.2 制定施工组织方案，保证对所承建的工程严格按照施工图及说明、施工规范和质量验收标准，精心组织施工，并按要求做好各项规定资料，本工程的基础资料收集需符合建设工程档案管理的规定。</w:t>
      </w:r>
    </w:p>
    <w:p w14:paraId="21E5FEAE">
      <w:pPr>
        <w:pageBreakBefore w:val="0"/>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7.3 接受甲方和工程监理指定的现场代表的工作安排及质量监督，保证工程质量。及时向甲方上报经济技术指标、工程进度，按时提供技术资料及需要上报的各种报表。</w:t>
      </w:r>
    </w:p>
    <w:p w14:paraId="3B15455A">
      <w:pPr>
        <w:pageBreakBefore w:val="0"/>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7.4 乙方施工现场主要人员必须得到甲方的认可，且必须持有法人委托书、专业技术资格证书，能够胜任所负责的工程技术和管理工作。甲方有权要求乙方更换甲方认为不称职的人员。主要负责人不得擅自离开工地，若要离开必须向甲方对口部门主管请假，否则甲方将按缺席人数以每人每天1000元对乙方进行处罚。</w:t>
      </w:r>
    </w:p>
    <w:p w14:paraId="484233A5">
      <w:pPr>
        <w:pageBreakBefore w:val="0"/>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7.5 必须执行国家和重庆市关于房屋建筑和市政基础工程安全文明施工管理的有关规定，购买使用合格的安全防护用品及设备用具，认真采取安全防范措施，严格防范事故发生，必须投保建筑安装工程一切险和第三者责任险，并确保保险条款在合同项目建设期至交工期内（在工程开工日至交工日之间）保持有效，施工过程中因乙方原因发生的安全事故，由乙方负责处理，一切经济责任和法律责任全部由乙方承担。</w:t>
      </w:r>
    </w:p>
    <w:p w14:paraId="0465528D">
      <w:pPr>
        <w:pageBreakBefore w:val="0"/>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7.6 合同签订后，设计图纸乙方不能擅自变更；否则，乙方应对给甲方造成的损失承担相应的赔偿责任。变更需经甲方书面同意。变更后的工作内容，乙方重新上报综合包干单价，经甲方审定后实施。</w:t>
      </w:r>
    </w:p>
    <w:p w14:paraId="5428D5F2">
      <w:pPr>
        <w:pageBreakBefore w:val="0"/>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7.7 乙方负责按照合同规定完工日期、质量、安全文明施工等有关要求编制工程总进度计划，并上报甲方审核批准。一经批准，乙方必须完全按照施工组织设计施工，不得擅自修改施工组织设计和总进度计划，乙方未上报施工组织设计则承担10000元的违约金。</w:t>
      </w:r>
    </w:p>
    <w:p w14:paraId="03D2E121">
      <w:pPr>
        <w:pageBreakBefore w:val="0"/>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7.8 清单中核定的材料品牌和规格型号，乙方不得私自变更，若发生，所用不合格材料全部清理出场，并承担每次1万元的违约金。如甲方现场材料满足本工程使用需求，乙方应优先付费使用，价格按甲方采买价或者双方协商确定，在工程款中抵扣。</w:t>
      </w:r>
    </w:p>
    <w:p w14:paraId="0A6F5777">
      <w:pPr>
        <w:pageBreakBefore w:val="0"/>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7.9 乙方应对施工现场进行保护（含其他单位的成品保护），起始时间从乙方进场后至工程竣工验收合格后撤场，施工现场的成品、半成品、材料及设备损坏或灭失的风险均由乙方承担。</w:t>
      </w:r>
    </w:p>
    <w:p w14:paraId="6932D70A">
      <w:pPr>
        <w:pageBreakBefore w:val="0"/>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7.10 在工程实施过程中产生的工程变更、索赔、现场签证、工程计量、进度款支付、施工组织方案、专项方案等，需报甲方审批后方可实施。</w:t>
      </w:r>
    </w:p>
    <w:p w14:paraId="11671C6B">
      <w:pPr>
        <w:pageBreakBefore w:val="0"/>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7.11 配合甲方其他专业分包工作。</w:t>
      </w:r>
    </w:p>
    <w:p w14:paraId="0A7FA46A">
      <w:pPr>
        <w:pageBreakBefore w:val="0"/>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7.12 在合同约定时间内，按照施工方案和施工图完成项目施工。</w:t>
      </w:r>
    </w:p>
    <w:p w14:paraId="06396158">
      <w:pPr>
        <w:pageBreakBefore w:val="0"/>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7.13 项目完工后，按相关规定提供（若需要））竣工报告、竣工图、质保承诺、维保手册和相关资料并获得甲方的接收，配合甲方完成项目竣工验收。</w:t>
      </w:r>
    </w:p>
    <w:p w14:paraId="3C9B8FEB">
      <w:pPr>
        <w:pageBreakBefore w:val="0"/>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7.14 乙方应严格执行国家及项目所在地地方政府关于民工工资管理及支付的规定，及时、足额支付民工工资，保证民工队伍的和谐稳定，若发生乙方所雇佣民工或债主到甲方索要欠款闹事，甲方有权代付相关款项，代付款项从履约保证金或已完成工程款中扣除，并按代付款项的5%加收管理费，若乙方履约保证金和已完成工程款不足支付欠款并由甲方垫付的，乙方承担甲方垫付金额的20%作为违约金，并从垫付之日起按0.08%/天计息，甲方追偿所发生的一切费用均由乙方承担。</w:t>
      </w:r>
    </w:p>
    <w:p w14:paraId="77C828E9">
      <w:pPr>
        <w:pageBreakBefore w:val="0"/>
        <w:kinsoku/>
        <w:wordWrap/>
        <w:overflowPunct/>
        <w:topLinePunct w:val="0"/>
        <w:autoSpaceDE/>
        <w:autoSpaceDN/>
        <w:bidi w:val="0"/>
        <w:adjustRightInd/>
        <w:snapToGrid/>
        <w:spacing w:line="30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w:t>
      </w:r>
      <w:r>
        <w:rPr>
          <w:rFonts w:hint="eastAsia" w:ascii="宋体" w:hAnsi="宋体" w:eastAsia="宋体" w:cs="宋体"/>
          <w:b/>
          <w:bCs/>
          <w:sz w:val="24"/>
          <w:szCs w:val="24"/>
          <w:lang w:eastAsia="zh-Hans"/>
        </w:rPr>
        <w:t>八</w:t>
      </w:r>
      <w:r>
        <w:rPr>
          <w:rFonts w:hint="eastAsia" w:ascii="宋体" w:hAnsi="宋体" w:eastAsia="宋体" w:cs="宋体"/>
          <w:b/>
          <w:bCs/>
          <w:sz w:val="24"/>
          <w:szCs w:val="24"/>
        </w:rPr>
        <w:t>条  工程管理</w:t>
      </w:r>
    </w:p>
    <w:p w14:paraId="2A214C95">
      <w:pPr>
        <w:pageBreakBefore w:val="0"/>
        <w:kinsoku/>
        <w:wordWrap/>
        <w:overflowPunct/>
        <w:topLinePunct w:val="0"/>
        <w:autoSpaceDE/>
        <w:autoSpaceDN/>
        <w:bidi w:val="0"/>
        <w:adjustRightInd/>
        <w:snapToGrid/>
        <w:spacing w:line="30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8.1  质量管理</w:t>
      </w:r>
    </w:p>
    <w:p w14:paraId="2068F385">
      <w:pPr>
        <w:pageBreakBefore w:val="0"/>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8.1.1 本工程施工质量标准及验收标准需满足国家现行的《建筑工程施工质量验收统一标准》（GB50300-2013）、《建筑安装工程施工及验收规范》和《建筑安装工程质量检验评定标准》、重庆市颁发的有关条例、规定、标准。</w:t>
      </w:r>
    </w:p>
    <w:p w14:paraId="799FE4D0">
      <w:pPr>
        <w:pageBreakBefore w:val="0"/>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8.1.2 本工程竣工工程质量应当达到合同约定的质量标准，质量的评定以国家或行业的质量检验评定标准为依据。因乙方原因质量达不到约定工程质量等级标准者，乙方承担违约责任。</w:t>
      </w:r>
    </w:p>
    <w:p w14:paraId="4DD8ECF2">
      <w:pPr>
        <w:pageBreakBefore w:val="0"/>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8.1.3 工程具备隐蔽条件或达到专用条款约定的中间验收部位，承包人进行自检，并在隐蔽或中间验收前48小时以书面书式通知发包方现场负责人验收。通知包括隐蔽和中间验收的内容、验收时间和地点。承包人准备验收记录，验收合格，发包方现场负责人在验收记录上签字后，承包人可进行隐蔽和继续施工。</w:t>
      </w:r>
      <w:r>
        <w:rPr>
          <w:rFonts w:hint="eastAsia" w:ascii="宋体" w:hAnsi="宋体" w:eastAsia="宋体" w:cs="宋体"/>
          <w:color w:val="000000"/>
          <w:sz w:val="24"/>
          <w:szCs w:val="24"/>
          <w:shd w:val="clear" w:color="auto" w:fill="FFFFFF"/>
        </w:rPr>
        <w:t>验收不合格，承包人在发包人限定的时间内修改后重新验收，</w:t>
      </w:r>
      <w:r>
        <w:rPr>
          <w:rFonts w:hint="eastAsia" w:ascii="宋体" w:hAnsi="宋体" w:eastAsia="宋体" w:cs="宋体"/>
          <w:sz w:val="24"/>
          <w:szCs w:val="24"/>
        </w:rPr>
        <w:t>乙方承担因质量原因造成的一切费用及违约责任。</w:t>
      </w:r>
    </w:p>
    <w:p w14:paraId="47E2291F">
      <w:pPr>
        <w:pageBreakBefore w:val="0"/>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8.1.4 乙方承包范围内安装工程均需按国家和地方有关规定试车，如因乙方原因造成工程质量不合格，乙方应承担全部责任并赔偿损失。</w:t>
      </w:r>
    </w:p>
    <w:p w14:paraId="6ECD7339">
      <w:pPr>
        <w:pageBreakBefore w:val="0"/>
        <w:kinsoku/>
        <w:wordWrap/>
        <w:overflowPunct/>
        <w:topLinePunct w:val="0"/>
        <w:autoSpaceDE/>
        <w:autoSpaceDN/>
        <w:bidi w:val="0"/>
        <w:adjustRightInd/>
        <w:snapToGrid/>
        <w:spacing w:line="30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8.2  进度管理</w:t>
      </w:r>
    </w:p>
    <w:p w14:paraId="5FA47BFB">
      <w:pPr>
        <w:pageBreakBefore w:val="0"/>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sz w:val="24"/>
          <w:szCs w:val="24"/>
        </w:rPr>
        <w:t>8.2.1</w:t>
      </w:r>
      <w:r>
        <w:rPr>
          <w:rFonts w:hint="eastAsia" w:ascii="宋体" w:hAnsi="宋体" w:eastAsia="宋体" w:cs="宋体"/>
          <w:color w:val="000000"/>
          <w:sz w:val="24"/>
          <w:szCs w:val="24"/>
        </w:rPr>
        <w:t>工期要求：整个工程从开工至投入使用工期为40日历天。若不能按规定时间开工或延误工期，每拖延一天，扣违约金5000元/天（除甲方另有要求的和确有证据证明其他工序影响的除外），因乙方原因工期延误超过10天，甲方有权单方面解除合同。未完工程，甲方有权另行委托其它施工单位承包，乙方应无条件撤离施工现场，结算价款=已完合格工程结算值90%-不合格工程返修费用120%，并一次性赔偿甲方2万元人民币（大写：贰万元）违约金。因甲方原因造成的工期延误工期顺延。</w:t>
      </w:r>
    </w:p>
    <w:p w14:paraId="1C2427AB">
      <w:pPr>
        <w:pageBreakBefore w:val="0"/>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8.2.2 进度计划：乙方根据审批后的进度计划编制月、周、日施工进度计划和作业指导书。如因乙方责任使计划仅完成在50%以下，甲方将缓发乙方当月进度款的80%；如当月计划完成70%，甲方将缓发乙方当月进度款的45%，如当月计划完成90%，甲方将缓发乙方当月进度款的20%；若乙方通过努力，在完成本月进度计划的基础上将上月未完成计划部分追赶完成的，甲方对缓发进度款部分予以补发。</w:t>
      </w:r>
    </w:p>
    <w:p w14:paraId="1E3EF072">
      <w:pPr>
        <w:pageBreakBefore w:val="0"/>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8.2.3 乙方不能满足甲方进度时，甲方有权要求乙方增加人力、物力以满足工期要求，如乙方无力按甲方要求实施，则甲方有权派其他人员增援乙方工作，其增援的费用甲方按照实际支付费用的120%在拟支付乙方的工程款中扣除。</w:t>
      </w:r>
    </w:p>
    <w:p w14:paraId="4F07FCAE">
      <w:pPr>
        <w:pageBreakBefore w:val="0"/>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8.2.4 乙方不能满足甲方对工期、质量、现场安全及文明施工的要求，甲方有权要求辞退相关的乙方管理人员、工人及班组，如仍不能改善，甲方有权勒令乙方停工整顿或终止合同，乙方须无条件退场，由此造成的损失由乙方承担。</w:t>
      </w:r>
    </w:p>
    <w:p w14:paraId="211940BD">
      <w:pPr>
        <w:pageBreakBefore w:val="0"/>
        <w:kinsoku/>
        <w:wordWrap/>
        <w:overflowPunct/>
        <w:topLinePunct w:val="0"/>
        <w:autoSpaceDE/>
        <w:autoSpaceDN/>
        <w:bidi w:val="0"/>
        <w:adjustRightInd/>
        <w:snapToGrid/>
        <w:spacing w:line="30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8.3  安全管理</w:t>
      </w:r>
    </w:p>
    <w:p w14:paraId="17921EB1">
      <w:pPr>
        <w:pageBreakBefore w:val="0"/>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8.3.1 工程开工前，乙方必须做好安全交底，必须认真贯彻有关安全施工的规章制度。严格遵守安全操作规程。</w:t>
      </w:r>
    </w:p>
    <w:p w14:paraId="6E953CE6">
      <w:pPr>
        <w:pageBreakBefore w:val="0"/>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8.3.2 在施工过程中，严格遵守安全操作规程，如因乙方因违反消防条例、防雷规范或国家相关法律法规造成的事故以及施工中的一切安全责任事故其损均由乙方全部负责。因安全责任事故所致乙方对甲方/第三人/乙方工人的赔偿责任，乙方应当积极妥善解决并承担全部责任，否则，甲方有权从本合同结算工程款中抵扣相应款项以赔偿被侵权人。</w:t>
      </w:r>
    </w:p>
    <w:p w14:paraId="56523EA3">
      <w:pPr>
        <w:pageBreakBefore w:val="0"/>
        <w:kinsoku/>
        <w:wordWrap/>
        <w:overflowPunct/>
        <w:topLinePunct w:val="0"/>
        <w:autoSpaceDE/>
        <w:autoSpaceDN/>
        <w:bidi w:val="0"/>
        <w:adjustRightInd/>
        <w:snapToGrid/>
        <w:spacing w:line="300" w:lineRule="exact"/>
        <w:ind w:firstLine="482" w:firstLineChars="200"/>
        <w:textAlignment w:val="auto"/>
        <w:rPr>
          <w:rFonts w:hint="eastAsia" w:ascii="宋体" w:hAnsi="宋体" w:eastAsia="宋体" w:cs="宋体"/>
          <w:sz w:val="24"/>
          <w:szCs w:val="24"/>
        </w:rPr>
      </w:pPr>
      <w:r>
        <w:rPr>
          <w:rFonts w:hint="eastAsia" w:ascii="宋体" w:hAnsi="宋体" w:eastAsia="宋体" w:cs="宋体"/>
          <w:b/>
          <w:bCs/>
          <w:sz w:val="24"/>
          <w:szCs w:val="24"/>
        </w:rPr>
        <w:t>8.4  乙方在项目实施中，必须完成的项目文档</w:t>
      </w:r>
      <w:r>
        <w:rPr>
          <w:rFonts w:hint="eastAsia" w:ascii="宋体" w:hAnsi="宋体" w:eastAsia="宋体" w:cs="宋体"/>
          <w:sz w:val="24"/>
          <w:szCs w:val="24"/>
        </w:rPr>
        <w:t>：</w:t>
      </w:r>
    </w:p>
    <w:p w14:paraId="73A5E7E6">
      <w:pPr>
        <w:pageBreakBefore w:val="0"/>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8.4.1 进场的材料和设备必须提供完整的证明资料、报验手续。</w:t>
      </w:r>
    </w:p>
    <w:p w14:paraId="4E1929E3">
      <w:pPr>
        <w:pageBreakBefore w:val="0"/>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8.4.2 项目的各分项任务（含隐蔽工程等）自检合格后，完成报验手续。</w:t>
      </w:r>
    </w:p>
    <w:p w14:paraId="32DDB669">
      <w:pPr>
        <w:pageBreakBefore w:val="0"/>
        <w:kinsoku/>
        <w:wordWrap/>
        <w:overflowPunct/>
        <w:topLinePunct w:val="0"/>
        <w:autoSpaceDE/>
        <w:autoSpaceDN/>
        <w:bidi w:val="0"/>
        <w:adjustRightInd/>
        <w:snapToGrid/>
        <w:spacing w:line="300" w:lineRule="exact"/>
        <w:ind w:firstLine="482" w:firstLineChars="200"/>
        <w:textAlignment w:val="auto"/>
        <w:rPr>
          <w:rFonts w:hint="eastAsia" w:ascii="宋体" w:hAnsi="宋体" w:eastAsia="宋体" w:cs="宋体"/>
          <w:sz w:val="24"/>
          <w:szCs w:val="24"/>
        </w:rPr>
      </w:pPr>
      <w:r>
        <w:rPr>
          <w:rFonts w:hint="eastAsia" w:ascii="宋体" w:hAnsi="宋体" w:eastAsia="宋体" w:cs="宋体"/>
          <w:b/>
          <w:bCs/>
          <w:sz w:val="24"/>
          <w:szCs w:val="24"/>
        </w:rPr>
        <w:t xml:space="preserve">8.5 </w:t>
      </w:r>
      <w:r>
        <w:rPr>
          <w:rFonts w:hint="eastAsia" w:ascii="宋体" w:hAnsi="宋体" w:eastAsia="宋体" w:cs="宋体"/>
          <w:sz w:val="24"/>
          <w:szCs w:val="24"/>
        </w:rPr>
        <w:t>项目验收前，乙方必须将项目的过程及竣工相关资料一并移交给甲方，并配合甲方进行项目验收工作。</w:t>
      </w:r>
    </w:p>
    <w:p w14:paraId="6DDADF36">
      <w:pPr>
        <w:pageBreakBefore w:val="0"/>
        <w:kinsoku/>
        <w:wordWrap/>
        <w:overflowPunct/>
        <w:topLinePunct w:val="0"/>
        <w:autoSpaceDE/>
        <w:autoSpaceDN/>
        <w:bidi w:val="0"/>
        <w:adjustRightInd/>
        <w:snapToGrid/>
        <w:spacing w:line="30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w:t>
      </w:r>
      <w:r>
        <w:rPr>
          <w:rFonts w:hint="eastAsia" w:ascii="宋体" w:hAnsi="宋体" w:eastAsia="宋体" w:cs="宋体"/>
          <w:b/>
          <w:bCs/>
          <w:sz w:val="24"/>
          <w:szCs w:val="24"/>
          <w:lang w:eastAsia="zh-Hans"/>
        </w:rPr>
        <w:t>九</w:t>
      </w:r>
      <w:r>
        <w:rPr>
          <w:rFonts w:hint="eastAsia" w:ascii="宋体" w:hAnsi="宋体" w:eastAsia="宋体" w:cs="宋体"/>
          <w:b/>
          <w:bCs/>
          <w:sz w:val="24"/>
          <w:szCs w:val="24"/>
        </w:rPr>
        <w:t>条  材料设备的验收</w:t>
      </w:r>
    </w:p>
    <w:p w14:paraId="5DC4D157">
      <w:pPr>
        <w:pageBreakBefore w:val="0"/>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9.1 所有进场的设备、材料，乙方都必须提供其出厂合格证、质检报告及设备使用说明书等。</w:t>
      </w:r>
    </w:p>
    <w:p w14:paraId="02A43745">
      <w:pPr>
        <w:pageBreakBefore w:val="0"/>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9.2 乙方应在设备、材料进场24小时前通知甲方代表及其他相关人员验收，按甲方规定程序报验。</w:t>
      </w:r>
    </w:p>
    <w:p w14:paraId="3084730D">
      <w:pPr>
        <w:pageBreakBefore w:val="0"/>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9.3 材料和设备进场后，统一由乙方负责保管和使用，如因乙方在保管过程中有重大失误而造成的材料损失，应由乙方负责。</w:t>
      </w:r>
    </w:p>
    <w:p w14:paraId="339A37B4">
      <w:pPr>
        <w:pageBreakBefore w:val="0"/>
        <w:kinsoku/>
        <w:wordWrap/>
        <w:overflowPunct/>
        <w:topLinePunct w:val="0"/>
        <w:autoSpaceDE/>
        <w:autoSpaceDN/>
        <w:bidi w:val="0"/>
        <w:adjustRightInd/>
        <w:snapToGrid/>
        <w:spacing w:line="30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第十条  竣工验收及结算</w:t>
      </w:r>
    </w:p>
    <w:p w14:paraId="4035BF4E">
      <w:pPr>
        <w:pageBreakBefore w:val="0"/>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10.1 整个工程全部完成竣工验收合格后，乙方28日内递交三套完整的竣工结算书及相关结算资料（含竣工图、电子资料)至甲方，甲方在收到完整的结算书及相关结算资料后30日内完成核对并确认金额。最终结算金额以甲方审计结果或其委托的社会审计机构的审计结果为准。</w:t>
      </w:r>
    </w:p>
    <w:p w14:paraId="50F6BF69">
      <w:pPr>
        <w:pageBreakBefore w:val="0"/>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10.2 乙方合理、据实编制项目结算书，甲方委托社会审计机构审计的（如果需要），送审结算金额高于最终审结金额8%（含）以上的，乙方承担本项目的审计费；送审结算金额高于最终审结金额5%（含）以上8%以下的，乙方承担本项目审计费的60%；对纳入甲方审计机构审计的项目，按实际审计结果进行项目结算，并按审减金额2.5%的标准由乙方承担审计费。乙方承担的审计费从工程项目结算款中扣除。</w:t>
      </w:r>
    </w:p>
    <w:p w14:paraId="74F6B12E">
      <w:pPr>
        <w:pageBreakBefore w:val="0"/>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10.3 在核对结算期间，乙方应积极配合甲方委托的审计单位进行结算核对工作，因乙方原因导致增加结算核对时间则顺延相应的审核结算时间，若乙方在竣工验收合格后60日内，未向甲方递交完整的竣工结算书及相关结算资料，时间顺延，由此带来竣工结算审核的延后和不利后果由乙方负责。</w:t>
      </w:r>
    </w:p>
    <w:p w14:paraId="1ED41820">
      <w:pPr>
        <w:pageBreakBefore w:val="0"/>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10.4 竣工结算经审计完成后5日内完成财务审核，完成财务审核后30日内支付至工程结算款的97%（未竣工验收未结算的除外）；剩余3%作为质保金，质保金在质量缺陷期满后无息退还。</w:t>
      </w:r>
    </w:p>
    <w:p w14:paraId="17C31EFD">
      <w:pPr>
        <w:pageBreakBefore w:val="0"/>
        <w:kinsoku/>
        <w:wordWrap/>
        <w:overflowPunct/>
        <w:topLinePunct w:val="0"/>
        <w:autoSpaceDE/>
        <w:autoSpaceDN/>
        <w:bidi w:val="0"/>
        <w:adjustRightInd/>
        <w:snapToGrid/>
        <w:spacing w:line="30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第十</w:t>
      </w:r>
      <w:r>
        <w:rPr>
          <w:rFonts w:hint="eastAsia" w:ascii="宋体" w:hAnsi="宋体" w:eastAsia="宋体" w:cs="宋体"/>
          <w:b/>
          <w:bCs/>
          <w:sz w:val="24"/>
          <w:szCs w:val="24"/>
          <w:lang w:eastAsia="zh-Hans"/>
        </w:rPr>
        <w:t>一</w:t>
      </w:r>
      <w:r>
        <w:rPr>
          <w:rFonts w:hint="eastAsia" w:ascii="宋体" w:hAnsi="宋体" w:eastAsia="宋体" w:cs="宋体"/>
          <w:b/>
          <w:bCs/>
          <w:sz w:val="24"/>
          <w:szCs w:val="24"/>
        </w:rPr>
        <w:t>条  保修</w:t>
      </w:r>
    </w:p>
    <w:p w14:paraId="166F2059">
      <w:pPr>
        <w:pageBreakBefore w:val="0"/>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11.1 保修内容和范围：乙方完成的全部工程。不包括不可抗力及人为因素引起的质量问题。合同条款中标的物的质量保证期均自标的物通过最终验收备案之日起计算，工程保修按中华人民共和国建设部（2000）第80号文《房屋建筑工程质量保修办法》的有关规定执行。质保期届满后乙方长期优惠提供质保期外的服务。</w:t>
      </w:r>
    </w:p>
    <w:p w14:paraId="0E47C351">
      <w:pPr>
        <w:pageBreakBefore w:val="0"/>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11.2 本工程质量缺陷责任期为</w:t>
      </w:r>
      <w:r>
        <w:rPr>
          <w:rFonts w:hint="eastAsia" w:ascii="宋体" w:hAnsi="宋体" w:eastAsia="宋体" w:cs="宋体"/>
          <w:sz w:val="24"/>
          <w:szCs w:val="24"/>
          <w:lang w:eastAsia="zh-Hans"/>
        </w:rPr>
        <w:t>防水</w:t>
      </w:r>
      <w:r>
        <w:rPr>
          <w:rFonts w:hint="eastAsia" w:ascii="宋体" w:hAnsi="宋体" w:eastAsia="宋体" w:cs="宋体"/>
          <w:sz w:val="24"/>
          <w:szCs w:val="24"/>
        </w:rPr>
        <w:t>工程</w:t>
      </w:r>
      <w:r>
        <w:rPr>
          <w:rFonts w:hint="eastAsia" w:ascii="宋体" w:hAnsi="宋体" w:eastAsia="宋体" w:cs="宋体"/>
          <w:sz w:val="24"/>
          <w:szCs w:val="24"/>
          <w:lang w:eastAsia="zh-Hans"/>
        </w:rPr>
        <w:t>5年，其他</w:t>
      </w:r>
      <w:r>
        <w:rPr>
          <w:rFonts w:hint="eastAsia" w:ascii="宋体" w:hAnsi="宋体" w:eastAsia="宋体" w:cs="宋体"/>
          <w:sz w:val="24"/>
          <w:szCs w:val="24"/>
        </w:rPr>
        <w:t>工程2年，完工投产后的人为损坏不算质量缺陷，质量缺陷责任期满后10日内甲方无息退还3%的质保金，支付时应扣除质量缺陷责任期发生的应由乙方承担的相关费用。</w:t>
      </w:r>
    </w:p>
    <w:p w14:paraId="7BF479EA">
      <w:pPr>
        <w:pageBreakBefore w:val="0"/>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11.3 在保修期内任何时候, 乙方应在接到甲方维修通知后2个工作日内进行维修，认真负责完成保修任务，维修费用由乙方承担。否则甲方有权另行安排人员进行修理，所发生的一切费用（取费按当时的市场价上浮 30%）由乙方承担，且本工程的整体保修责任继续由乙方承担，直至保修期结束。维修费及管理费从保修金中抵扣，不足部分向乙方追偿。</w:t>
      </w:r>
    </w:p>
    <w:p w14:paraId="1679BD15">
      <w:pPr>
        <w:pageBreakBefore w:val="0"/>
        <w:kinsoku/>
        <w:wordWrap/>
        <w:overflowPunct/>
        <w:topLinePunct w:val="0"/>
        <w:autoSpaceDE/>
        <w:autoSpaceDN/>
        <w:bidi w:val="0"/>
        <w:adjustRightInd/>
        <w:snapToGrid/>
        <w:spacing w:line="30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第十</w:t>
      </w:r>
      <w:r>
        <w:rPr>
          <w:rFonts w:hint="eastAsia" w:ascii="宋体" w:hAnsi="宋体" w:eastAsia="宋体" w:cs="宋体"/>
          <w:b/>
          <w:bCs/>
          <w:sz w:val="24"/>
          <w:szCs w:val="24"/>
          <w:lang w:eastAsia="zh-Hans"/>
        </w:rPr>
        <w:t>二</w:t>
      </w:r>
      <w:r>
        <w:rPr>
          <w:rFonts w:hint="eastAsia" w:ascii="宋体" w:hAnsi="宋体" w:eastAsia="宋体" w:cs="宋体"/>
          <w:b/>
          <w:bCs/>
          <w:sz w:val="24"/>
          <w:szCs w:val="24"/>
        </w:rPr>
        <w:t>条  争议解决</w:t>
      </w:r>
    </w:p>
    <w:p w14:paraId="2CEC795A">
      <w:pPr>
        <w:pageBreakBefore w:val="0"/>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12.1 争议解决方式：（1）协商解决；（2）司法程序。</w:t>
      </w:r>
    </w:p>
    <w:p w14:paraId="40A3E8EF">
      <w:pPr>
        <w:pageBreakBefore w:val="0"/>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12.2 如协商解决无果时，可向工程所在地人民法院提起诉讼。</w:t>
      </w:r>
    </w:p>
    <w:p w14:paraId="392E808B">
      <w:pPr>
        <w:pageBreakBefore w:val="0"/>
        <w:kinsoku/>
        <w:wordWrap/>
        <w:overflowPunct/>
        <w:topLinePunct w:val="0"/>
        <w:autoSpaceDE/>
        <w:autoSpaceDN/>
        <w:bidi w:val="0"/>
        <w:adjustRightInd/>
        <w:snapToGrid/>
        <w:spacing w:line="30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第十</w:t>
      </w:r>
      <w:r>
        <w:rPr>
          <w:rFonts w:hint="eastAsia" w:ascii="宋体" w:hAnsi="宋体" w:eastAsia="宋体" w:cs="宋体"/>
          <w:b/>
          <w:bCs/>
          <w:sz w:val="24"/>
          <w:szCs w:val="24"/>
          <w:lang w:eastAsia="zh-Hans"/>
        </w:rPr>
        <w:t>三</w:t>
      </w:r>
      <w:r>
        <w:rPr>
          <w:rFonts w:hint="eastAsia" w:ascii="宋体" w:hAnsi="宋体" w:eastAsia="宋体" w:cs="宋体"/>
          <w:b/>
          <w:bCs/>
          <w:sz w:val="24"/>
          <w:szCs w:val="24"/>
        </w:rPr>
        <w:t>条  违约责任</w:t>
      </w:r>
    </w:p>
    <w:p w14:paraId="06B16930">
      <w:pPr>
        <w:pageBreakBefore w:val="0"/>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13.1 任何一方违反本合同约定，使本合同条款、相关协议丧失履行条件，视为完全违约，违约方需赔偿另一方因此而造成的全部直接损失，且无过错方有权终止合同。</w:t>
      </w:r>
    </w:p>
    <w:p w14:paraId="7FDBD4A7">
      <w:pPr>
        <w:pageBreakBefore w:val="0"/>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13.2 如乙方因自身原因不能按期完成竣工验收，除承担前述工期违约的违约金外乙方还应每天按合同总金额的万分之五向甲方支付违约金。</w:t>
      </w:r>
    </w:p>
    <w:p w14:paraId="336B10F0">
      <w:pPr>
        <w:pageBreakBefore w:val="0"/>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sz w:val="24"/>
          <w:szCs w:val="24"/>
        </w:rPr>
      </w:pPr>
      <w:bookmarkStart w:id="112" w:name="bookmark150"/>
      <w:bookmarkEnd w:id="112"/>
      <w:r>
        <w:rPr>
          <w:rFonts w:hint="eastAsia" w:ascii="宋体" w:hAnsi="宋体" w:eastAsia="宋体" w:cs="宋体"/>
          <w:sz w:val="24"/>
          <w:szCs w:val="24"/>
        </w:rPr>
        <w:t>13.3 质量：若乙方的质量问题导致工程的分部分项验收达不到合格标准者，甲方有权对乙方按500-2000元/项处以罚款，具体数额由甲方根据实际情况确定，罚款在当次进度款中予以扣除。如果本工程质量达不到国家验收合格标准的，乙方除无条件返工至合格外，还须按照工程总造价的5%向甲方支付违约金，该款项从乙方工程结算款中扣除。同时，造成的损失、费用由乙方承担，工期不予顺延。</w:t>
      </w:r>
    </w:p>
    <w:p w14:paraId="496524C6">
      <w:pPr>
        <w:pageBreakBefore w:val="0"/>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13.4安全文明施工：乙方在施工过程中若出现违反国家相关法律法规及本合同中的安文明施工要求的，甲方有权视情况对乙方进行500-2000元的处罚，若因安全问题甲方被主管部门进行了处罚，罚金按1.2倍由乙方承担，在工程款中扣除。</w:t>
      </w:r>
    </w:p>
    <w:p w14:paraId="1BA05B96">
      <w:pPr>
        <w:pageBreakBefore w:val="0"/>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13.5乙方应当按照深化设计和甲方要求进行施工，不得拒绝任何单项工程施工中途甩项，否则甲方有权按相应条款中的3倍价格另行发包处理，相关费用在乙方工程款中扣除。</w:t>
      </w:r>
    </w:p>
    <w:p w14:paraId="0F88682E">
      <w:pPr>
        <w:pageBreakBefore w:val="0"/>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13.6属于乙方工作范围内的有关收尾工作，经甲方现场施工人员口头或书面通知进行整改或完善有关工作后，乙方应在2个工作日内组织整改，否则甲方有权委派其他班组进行施工，其费用按实际发生的费用另加50%罚款在支付乙方工程款时扣除。</w:t>
      </w:r>
    </w:p>
    <w:p w14:paraId="6AA20C55">
      <w:pPr>
        <w:pageBreakBefore w:val="0"/>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13.7无论任何原因，若有乙方人员影响甲方工作和生产的正常秩序、造成不良社会影响的，甲方有权解除合同，乙方应在接到甲方解除合同通知后2 天内无条件退场。并赔偿甲方因此受到的损失。</w:t>
      </w:r>
    </w:p>
    <w:p w14:paraId="2AE22176">
      <w:pPr>
        <w:pageBreakBefore w:val="0"/>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13.8现场全体员工必须遵章守纪，无违章指挥、违章作业行为。各级管理人员佩带证明其身份的证卡。甲方或监理检查，若承包人未按要求佩戴安全帽、安全帽则按100元/人/次承担违约金；</w:t>
      </w:r>
    </w:p>
    <w:p w14:paraId="7DE310D4">
      <w:pPr>
        <w:pageBreakBefore w:val="0"/>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13.9对未报审先使用的材料，将处以10000元/次，如遇特殊不能及时完善手续的情况，可以通过电话、短信、微信等通讯方式告知经同意后实施，但应及时完善报审手续。</w:t>
      </w:r>
    </w:p>
    <w:p w14:paraId="48FB55A8">
      <w:pPr>
        <w:pageBreakBefore w:val="0"/>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13.10甲指乙供或甲供的设备及材料订货进场前，乙方需向甲方提出书面申请，经甲方工程师检查符合甲方和设计文件及有关规范所规定的规格、型号、技术标准和质量标准后方可定货，否则，造成的损失由乙方负责。各种材料进场应及时报验，并由检测单位及时出具检测结果。需要报送样品的材料或工程设备，样品的种类、名称、规格、数量要求应符合甲方和设计要求。甲供材料乙方务必控制用量损耗，损耗超出定额用量部分由乙方承担责任和费用。</w:t>
      </w:r>
    </w:p>
    <w:p w14:paraId="793C86FE">
      <w:pPr>
        <w:pageBreakBefore w:val="0"/>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13.10本合同签订后，乙方未按甲方规定的时间进场组织施工，视为乙方违约，缴纳的履约保证金甲方不予退还，给甲方造成损失，履约保证金不足以弥补甲方损失的，甲方有权向乙方追偿，因追偿产生的一切费用由乙方承担。</w:t>
      </w:r>
    </w:p>
    <w:p w14:paraId="4E247A27">
      <w:pPr>
        <w:pageBreakBefore w:val="0"/>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13.11若出现质量问题，乙方在24小时内务必响应，48小时内务必整改，若48小时都未响应安排整改，视为乙方违约，甲方可另行安排整改，产生的费用在乙方工程款中1.5倍直接扣除，若工程款不能覆盖整改费用的，甲方向乙方追偿所产生的一切费用均由乙方承担。</w:t>
      </w:r>
    </w:p>
    <w:p w14:paraId="21F20AF6">
      <w:pPr>
        <w:pageBreakBefore w:val="0"/>
        <w:kinsoku/>
        <w:wordWrap/>
        <w:overflowPunct/>
        <w:topLinePunct w:val="0"/>
        <w:autoSpaceDE/>
        <w:autoSpaceDN/>
        <w:bidi w:val="0"/>
        <w:adjustRightInd/>
        <w:snapToGrid/>
        <w:spacing w:line="30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第十</w:t>
      </w:r>
      <w:r>
        <w:rPr>
          <w:rFonts w:hint="eastAsia" w:ascii="宋体" w:hAnsi="宋体" w:eastAsia="宋体" w:cs="宋体"/>
          <w:b/>
          <w:bCs/>
          <w:sz w:val="24"/>
          <w:szCs w:val="24"/>
          <w:lang w:eastAsia="zh-Hans"/>
        </w:rPr>
        <w:t>四</w:t>
      </w:r>
      <w:r>
        <w:rPr>
          <w:rFonts w:hint="eastAsia" w:ascii="宋体" w:hAnsi="宋体" w:eastAsia="宋体" w:cs="宋体"/>
          <w:b/>
          <w:bCs/>
          <w:sz w:val="24"/>
          <w:szCs w:val="24"/>
        </w:rPr>
        <w:t>条  合同的生效与终止</w:t>
      </w:r>
    </w:p>
    <w:p w14:paraId="547E3C39">
      <w:pPr>
        <w:pageBreakBefore w:val="0"/>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14.1  本合同甲乙双方签字盖章后生效，质量缺陷期届满结清质保金后，合同失效。</w:t>
      </w:r>
    </w:p>
    <w:p w14:paraId="793BB12A">
      <w:pPr>
        <w:pageBreakBefore w:val="0"/>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14.2  本合同如有未尽事宜，双方可根据具体情况议定补充条款，作为本合同补充协议，与本合同具有同等效力。</w:t>
      </w:r>
    </w:p>
    <w:p w14:paraId="7F689480">
      <w:pPr>
        <w:pageBreakBefore w:val="0"/>
        <w:kinsoku/>
        <w:wordWrap/>
        <w:overflowPunct/>
        <w:topLinePunct w:val="0"/>
        <w:autoSpaceDE/>
        <w:autoSpaceDN/>
        <w:bidi w:val="0"/>
        <w:adjustRightInd/>
        <w:snapToGrid/>
        <w:spacing w:line="30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第十</w:t>
      </w:r>
      <w:r>
        <w:rPr>
          <w:rFonts w:hint="eastAsia" w:ascii="宋体" w:hAnsi="宋体" w:eastAsia="宋体" w:cs="宋体"/>
          <w:b/>
          <w:bCs/>
          <w:sz w:val="24"/>
          <w:szCs w:val="24"/>
          <w:lang w:eastAsia="zh-Hans"/>
        </w:rPr>
        <w:t>五</w:t>
      </w:r>
      <w:r>
        <w:rPr>
          <w:rFonts w:hint="eastAsia" w:ascii="宋体" w:hAnsi="宋体" w:eastAsia="宋体" w:cs="宋体"/>
          <w:b/>
          <w:bCs/>
          <w:sz w:val="24"/>
          <w:szCs w:val="24"/>
        </w:rPr>
        <w:t>条  其他</w:t>
      </w:r>
    </w:p>
    <w:p w14:paraId="268033E4">
      <w:pPr>
        <w:pageBreakBefore w:val="0"/>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15.1  施工现场不得出现聚众闹事、斗殴现象，每出现一次罚款2,000.00元，并承担所有责任范围内的民事责任和经济责任。</w:t>
      </w:r>
    </w:p>
    <w:p w14:paraId="362F9B1C">
      <w:pPr>
        <w:pageBreakBefore w:val="0"/>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15.2  凡施工现场出现盗窃事件，其损失均由乙方负责。</w:t>
      </w:r>
    </w:p>
    <w:p w14:paraId="1F025BBA">
      <w:pPr>
        <w:pageBreakBefore w:val="0"/>
        <w:kinsoku/>
        <w:wordWrap/>
        <w:overflowPunct/>
        <w:topLinePunct w:val="0"/>
        <w:autoSpaceDE/>
        <w:autoSpaceDN/>
        <w:bidi w:val="0"/>
        <w:adjustRightInd/>
        <w:snapToGrid/>
        <w:spacing w:line="300" w:lineRule="exact"/>
        <w:ind w:firstLine="482" w:firstLineChars="200"/>
        <w:textAlignment w:val="auto"/>
        <w:rPr>
          <w:rFonts w:hint="eastAsia" w:ascii="宋体" w:hAnsi="宋体" w:eastAsia="宋体" w:cs="宋体"/>
          <w:sz w:val="24"/>
          <w:szCs w:val="24"/>
        </w:rPr>
      </w:pPr>
      <w:r>
        <w:rPr>
          <w:rFonts w:hint="eastAsia" w:ascii="宋体" w:hAnsi="宋体" w:eastAsia="宋体" w:cs="宋体"/>
          <w:b/>
          <w:bCs/>
          <w:sz w:val="24"/>
          <w:szCs w:val="24"/>
        </w:rPr>
        <w:t>第十</w:t>
      </w:r>
      <w:r>
        <w:rPr>
          <w:rFonts w:hint="eastAsia" w:ascii="宋体" w:hAnsi="宋体" w:eastAsia="宋体" w:cs="宋体"/>
          <w:b/>
          <w:bCs/>
          <w:sz w:val="24"/>
          <w:szCs w:val="24"/>
          <w:lang w:eastAsia="zh-Hans"/>
        </w:rPr>
        <w:t>六</w:t>
      </w:r>
      <w:r>
        <w:rPr>
          <w:rFonts w:hint="eastAsia" w:ascii="宋体" w:hAnsi="宋体" w:eastAsia="宋体" w:cs="宋体"/>
          <w:b/>
          <w:bCs/>
          <w:sz w:val="24"/>
          <w:szCs w:val="24"/>
        </w:rPr>
        <w:t>条</w:t>
      </w:r>
      <w:r>
        <w:rPr>
          <w:rFonts w:hint="eastAsia" w:ascii="宋体" w:hAnsi="宋体" w:eastAsia="宋体" w:cs="宋体"/>
          <w:sz w:val="24"/>
          <w:szCs w:val="24"/>
        </w:rPr>
        <w:t xml:space="preserve">  本合同一式肆份，甲乙双方各执贰份；合同附件与合同具有同等效力，附件内容与本合同冲突的，以本合同约定内容为准。</w:t>
      </w:r>
    </w:p>
    <w:p w14:paraId="5D089104">
      <w:pPr>
        <w:pageBreakBefore w:val="0"/>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合同附件1：重庆理工职业学院党建文化墙工程工程量计价清单。</w:t>
      </w:r>
    </w:p>
    <w:p w14:paraId="46C54C44">
      <w:pPr>
        <w:pageBreakBefore w:val="0"/>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合同附件2：工程质量保修书。 </w:t>
      </w:r>
    </w:p>
    <w:p w14:paraId="52012EC3">
      <w:pPr>
        <w:pageBreakBefore w:val="0"/>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合同附件3：安全管理协议。 </w:t>
      </w:r>
    </w:p>
    <w:p w14:paraId="40FD9019">
      <w:pPr>
        <w:pageBreakBefore w:val="0"/>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合同附件4：保障农民工工资支付协议。 </w:t>
      </w:r>
    </w:p>
    <w:p w14:paraId="138D2C12">
      <w:pPr>
        <w:pageBreakBefore w:val="0"/>
        <w:kinsoku/>
        <w:wordWrap/>
        <w:overflowPunct/>
        <w:topLinePunct w:val="0"/>
        <w:autoSpaceDE/>
        <w:autoSpaceDN/>
        <w:bidi w:val="0"/>
        <w:adjustRightInd/>
        <w:snapToGrid/>
        <w:spacing w:line="300" w:lineRule="exact"/>
        <w:ind w:firstLine="482" w:firstLineChars="200"/>
        <w:textAlignment w:val="auto"/>
        <w:rPr>
          <w:rFonts w:hint="eastAsia" w:ascii="宋体" w:hAnsi="宋体" w:eastAsia="宋体" w:cs="宋体"/>
          <w:b/>
          <w:bCs/>
          <w:sz w:val="24"/>
          <w:szCs w:val="24"/>
        </w:rPr>
      </w:pPr>
    </w:p>
    <w:p w14:paraId="6635909E">
      <w:pPr>
        <w:pageBreakBefore w:val="0"/>
        <w:kinsoku/>
        <w:wordWrap/>
        <w:overflowPunct/>
        <w:topLinePunct w:val="0"/>
        <w:autoSpaceDE/>
        <w:autoSpaceDN/>
        <w:bidi w:val="0"/>
        <w:adjustRightInd/>
        <w:snapToGrid/>
        <w:spacing w:line="300" w:lineRule="exact"/>
        <w:textAlignment w:val="auto"/>
        <w:rPr>
          <w:rFonts w:hint="eastAsia" w:ascii="宋体" w:hAnsi="宋体" w:eastAsia="宋体" w:cs="宋体"/>
          <w:b/>
          <w:bCs/>
          <w:sz w:val="24"/>
          <w:szCs w:val="24"/>
        </w:rPr>
      </w:pPr>
    </w:p>
    <w:p w14:paraId="623418A8">
      <w:pPr>
        <w:pageBreakBefore w:val="0"/>
        <w:kinsoku/>
        <w:wordWrap/>
        <w:overflowPunct/>
        <w:topLinePunct w:val="0"/>
        <w:autoSpaceDE/>
        <w:autoSpaceDN/>
        <w:bidi w:val="0"/>
        <w:adjustRightInd/>
        <w:snapToGrid/>
        <w:spacing w:line="300" w:lineRule="exact"/>
        <w:ind w:firstLine="482" w:firstLineChars="200"/>
        <w:textAlignment w:val="auto"/>
        <w:rPr>
          <w:rFonts w:hint="eastAsia" w:ascii="宋体" w:hAnsi="宋体" w:eastAsia="宋体" w:cs="宋体"/>
          <w:sz w:val="24"/>
          <w:szCs w:val="24"/>
        </w:rPr>
      </w:pPr>
      <w:r>
        <w:rPr>
          <w:rFonts w:hint="eastAsia" w:ascii="宋体" w:hAnsi="宋体" w:eastAsia="宋体" w:cs="宋体"/>
          <w:b/>
          <w:bCs/>
          <w:sz w:val="24"/>
          <w:szCs w:val="24"/>
        </w:rPr>
        <w:t>发包人（甲方）：重庆理工职业学院（盖章）</w:t>
      </w:r>
    </w:p>
    <w:p w14:paraId="5C0D2200">
      <w:pPr>
        <w:pageBreakBefore w:val="0"/>
        <w:kinsoku/>
        <w:wordWrap/>
        <w:overflowPunct/>
        <w:topLinePunct w:val="0"/>
        <w:autoSpaceDE/>
        <w:autoSpaceDN/>
        <w:bidi w:val="0"/>
        <w:adjustRightInd/>
        <w:snapToGrid/>
        <w:spacing w:line="30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法定代表人/委托代理人（签字）：</w:t>
      </w:r>
    </w:p>
    <w:p w14:paraId="4D4DDE1C">
      <w:pPr>
        <w:pStyle w:val="5"/>
        <w:pageBreakBefore w:val="0"/>
        <w:kinsoku/>
        <w:wordWrap/>
        <w:overflowPunct/>
        <w:topLinePunct w:val="0"/>
        <w:autoSpaceDE/>
        <w:autoSpaceDN/>
        <w:bidi w:val="0"/>
        <w:adjustRightInd/>
        <w:snapToGrid/>
        <w:spacing w:line="300" w:lineRule="exact"/>
        <w:textAlignment w:val="auto"/>
        <w:rPr>
          <w:rFonts w:hint="eastAsia" w:ascii="宋体" w:hAnsi="宋体" w:eastAsia="宋体" w:cs="宋体"/>
          <w:sz w:val="24"/>
          <w:szCs w:val="24"/>
        </w:rPr>
      </w:pPr>
    </w:p>
    <w:p w14:paraId="6A1AC79B">
      <w:pPr>
        <w:pageBreakBefore w:val="0"/>
        <w:kinsoku/>
        <w:wordWrap/>
        <w:overflowPunct/>
        <w:topLinePunct w:val="0"/>
        <w:autoSpaceDE/>
        <w:autoSpaceDN/>
        <w:bidi w:val="0"/>
        <w:adjustRightInd/>
        <w:snapToGrid/>
        <w:spacing w:line="30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承包人（乙方）：                （盖章）</w:t>
      </w:r>
    </w:p>
    <w:p w14:paraId="3505AB77">
      <w:pPr>
        <w:pageBreakBefore w:val="0"/>
        <w:kinsoku/>
        <w:wordWrap/>
        <w:overflowPunct/>
        <w:topLinePunct w:val="0"/>
        <w:autoSpaceDE/>
        <w:autoSpaceDN/>
        <w:bidi w:val="0"/>
        <w:adjustRightInd/>
        <w:snapToGrid/>
        <w:spacing w:line="30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法定代表人/委托代理人（签字）：</w:t>
      </w:r>
    </w:p>
    <w:p w14:paraId="0A50B1D9">
      <w:pPr>
        <w:pStyle w:val="2"/>
        <w:pageBreakBefore w:val="0"/>
        <w:kinsoku/>
        <w:wordWrap/>
        <w:overflowPunct/>
        <w:topLinePunct w:val="0"/>
        <w:autoSpaceDE/>
        <w:autoSpaceDN/>
        <w:bidi w:val="0"/>
        <w:adjustRightInd/>
        <w:snapToGrid/>
        <w:spacing w:line="300" w:lineRule="exact"/>
        <w:textAlignment w:val="auto"/>
        <w:rPr>
          <w:rFonts w:hint="eastAsia" w:ascii="宋体" w:hAnsi="宋体" w:eastAsia="宋体" w:cs="宋体"/>
          <w:sz w:val="24"/>
          <w:szCs w:val="24"/>
        </w:rPr>
      </w:pPr>
    </w:p>
    <w:p w14:paraId="696978CA">
      <w:pPr>
        <w:pStyle w:val="2"/>
        <w:pageBreakBefore w:val="0"/>
        <w:kinsoku/>
        <w:wordWrap/>
        <w:overflowPunct/>
        <w:topLinePunct w:val="0"/>
        <w:autoSpaceDE/>
        <w:autoSpaceDN/>
        <w:bidi w:val="0"/>
        <w:adjustRightInd/>
        <w:snapToGrid/>
        <w:spacing w:line="300" w:lineRule="exact"/>
        <w:textAlignment w:val="auto"/>
        <w:rPr>
          <w:rFonts w:hint="eastAsia" w:ascii="宋体" w:hAnsi="宋体" w:eastAsia="宋体" w:cs="宋体"/>
          <w:sz w:val="24"/>
          <w:szCs w:val="24"/>
        </w:rPr>
      </w:pPr>
    </w:p>
    <w:p w14:paraId="04197C59">
      <w:pPr>
        <w:pageBreakBefore w:val="0"/>
        <w:kinsoku/>
        <w:wordWrap/>
        <w:overflowPunct/>
        <w:topLinePunct w:val="0"/>
        <w:autoSpaceDE/>
        <w:autoSpaceDN/>
        <w:bidi w:val="0"/>
        <w:adjustRightInd/>
        <w:snapToGrid/>
        <w:spacing w:line="300" w:lineRule="exact"/>
        <w:jc w:val="right"/>
        <w:textAlignment w:val="auto"/>
        <w:rPr>
          <w:rFonts w:hint="eastAsia" w:ascii="宋体" w:hAnsi="宋体" w:eastAsia="宋体" w:cs="宋体"/>
          <w:sz w:val="24"/>
          <w:szCs w:val="24"/>
        </w:rPr>
      </w:pPr>
      <w:r>
        <w:rPr>
          <w:rFonts w:hint="eastAsia" w:ascii="宋体" w:hAnsi="宋体" w:eastAsia="宋体" w:cs="宋体"/>
          <w:b/>
          <w:bCs/>
          <w:sz w:val="24"/>
          <w:szCs w:val="24"/>
        </w:rPr>
        <w:t>合同签订日期：202</w:t>
      </w:r>
      <w:r>
        <w:rPr>
          <w:rFonts w:hint="eastAsia" w:ascii="宋体" w:hAnsi="宋体" w:eastAsia="宋体" w:cs="宋体"/>
          <w:b/>
          <w:bCs/>
          <w:sz w:val="24"/>
          <w:szCs w:val="24"/>
          <w:lang w:val="en-US" w:eastAsia="zh-CN"/>
        </w:rPr>
        <w:t>5</w:t>
      </w:r>
      <w:r>
        <w:rPr>
          <w:rFonts w:hint="eastAsia" w:ascii="宋体" w:hAnsi="宋体" w:eastAsia="宋体" w:cs="宋体"/>
          <w:b/>
          <w:bCs/>
          <w:sz w:val="24"/>
          <w:szCs w:val="24"/>
        </w:rPr>
        <w:t>年  月  日</w:t>
      </w:r>
    </w:p>
    <w:p w14:paraId="0F0922D9">
      <w:pPr>
        <w:pageBreakBefore w:val="0"/>
        <w:kinsoku/>
        <w:wordWrap/>
        <w:overflowPunct/>
        <w:topLinePunct w:val="0"/>
        <w:autoSpaceDE/>
        <w:autoSpaceDN/>
        <w:bidi w:val="0"/>
        <w:adjustRightInd/>
        <w:snapToGrid/>
        <w:spacing w:line="300" w:lineRule="exact"/>
        <w:textAlignment w:val="auto"/>
        <w:rPr>
          <w:rFonts w:hint="eastAsia" w:ascii="宋体" w:hAnsi="宋体" w:eastAsia="宋体" w:cs="宋体"/>
          <w:sz w:val="24"/>
          <w:szCs w:val="24"/>
        </w:rPr>
      </w:pPr>
    </w:p>
    <w:p w14:paraId="5E632CA0">
      <w:pPr>
        <w:pStyle w:val="2"/>
        <w:rPr>
          <w:rFonts w:hint="eastAsia"/>
        </w:rPr>
      </w:pPr>
    </w:p>
    <w:p w14:paraId="25B374D2">
      <w:pPr>
        <w:pStyle w:val="2"/>
        <w:rPr>
          <w:rFonts w:hint="eastAsia"/>
        </w:rPr>
      </w:pPr>
    </w:p>
    <w:p w14:paraId="35A5B95F">
      <w:pPr>
        <w:pStyle w:val="2"/>
        <w:rPr>
          <w:rFonts w:hint="eastAsia"/>
        </w:rPr>
      </w:pPr>
    </w:p>
    <w:p w14:paraId="4144306C">
      <w:pPr>
        <w:pStyle w:val="67"/>
        <w:rPr>
          <w:rFonts w:hint="eastAsia"/>
        </w:rPr>
      </w:pPr>
    </w:p>
    <w:p w14:paraId="7B9A3472">
      <w:pPr>
        <w:pStyle w:val="2"/>
        <w:rPr>
          <w:rFonts w:hint="eastAsia"/>
        </w:rPr>
      </w:pPr>
    </w:p>
    <w:p w14:paraId="74ADE2E0">
      <w:pPr>
        <w:spacing w:line="500" w:lineRule="exact"/>
        <w:rPr>
          <w:rFonts w:hint="eastAsia" w:ascii="方正仿宋_GBK" w:hAnsi="Times New Roman" w:eastAsia="方正仿宋_GBK"/>
          <w:sz w:val="30"/>
          <w:szCs w:val="30"/>
        </w:rPr>
      </w:pPr>
      <w:r>
        <w:rPr>
          <w:rFonts w:hint="eastAsia" w:ascii="方正仿宋_GBK" w:hAnsi="Times New Roman" w:eastAsia="方正仿宋_GBK"/>
          <w:sz w:val="30"/>
          <w:szCs w:val="30"/>
        </w:rPr>
        <w:t>合同附件2：</w:t>
      </w:r>
    </w:p>
    <w:p w14:paraId="69A745F8">
      <w:pPr>
        <w:spacing w:line="500" w:lineRule="exact"/>
        <w:jc w:val="center"/>
        <w:rPr>
          <w:rFonts w:hint="eastAsia" w:ascii="方正仿宋_GBK" w:hAnsi="Times New Roman" w:eastAsia="方正仿宋_GBK"/>
          <w:b/>
          <w:sz w:val="30"/>
          <w:szCs w:val="30"/>
        </w:rPr>
      </w:pPr>
      <w:r>
        <w:rPr>
          <w:rFonts w:hint="eastAsia" w:ascii="方正仿宋_GBK" w:hAnsi="Times New Roman" w:eastAsia="方正仿宋_GBK"/>
          <w:b/>
          <w:sz w:val="32"/>
          <w:szCs w:val="32"/>
        </w:rPr>
        <w:t>工程质量保修书</w:t>
      </w:r>
    </w:p>
    <w:p w14:paraId="65D3CF42">
      <w:pPr>
        <w:pStyle w:val="267"/>
        <w:pageBreakBefore w:val="0"/>
        <w:widowControl w:val="0"/>
        <w:kinsoku/>
        <w:wordWrap/>
        <w:overflowPunct/>
        <w:topLinePunct w:val="0"/>
        <w:bidi w:val="0"/>
        <w:snapToGrid/>
        <w:spacing w:line="360" w:lineRule="exact"/>
        <w:ind w:left="0" w:right="720"/>
        <w:textAlignment w:val="auto"/>
        <w:rPr>
          <w:rFonts w:hint="eastAsia" w:ascii="宋体" w:hAnsi="宋体" w:eastAsia="宋体" w:cs="宋体"/>
          <w:sz w:val="24"/>
          <w:szCs w:val="24"/>
          <w:u w:val="single"/>
        </w:rPr>
      </w:pPr>
      <w:r>
        <w:rPr>
          <w:rFonts w:hint="eastAsia" w:ascii="宋体" w:hAnsi="宋体" w:eastAsia="宋体" w:cs="宋体"/>
          <w:b/>
          <w:bCs/>
          <w:sz w:val="24"/>
          <w:szCs w:val="24"/>
        </w:rPr>
        <w:t>发包人</w:t>
      </w:r>
      <w:r>
        <w:rPr>
          <w:rFonts w:hint="eastAsia" w:ascii="宋体" w:hAnsi="宋体" w:eastAsia="宋体" w:cs="宋体"/>
          <w:sz w:val="24"/>
          <w:szCs w:val="24"/>
        </w:rPr>
        <w:t>（全称）：</w:t>
      </w:r>
      <w:r>
        <w:rPr>
          <w:rFonts w:hint="eastAsia" w:ascii="宋体" w:hAnsi="宋体" w:eastAsia="宋体" w:cs="宋体"/>
          <w:bCs/>
          <w:sz w:val="24"/>
          <w:szCs w:val="24"/>
          <w:u w:val="single"/>
        </w:rPr>
        <w:t xml:space="preserve">重庆理工职业学院                     </w:t>
      </w:r>
    </w:p>
    <w:p w14:paraId="5341B56C">
      <w:pPr>
        <w:pStyle w:val="267"/>
        <w:pageBreakBefore w:val="0"/>
        <w:widowControl w:val="0"/>
        <w:kinsoku/>
        <w:wordWrap/>
        <w:overflowPunct/>
        <w:topLinePunct w:val="0"/>
        <w:bidi w:val="0"/>
        <w:snapToGrid/>
        <w:spacing w:line="360" w:lineRule="exact"/>
        <w:ind w:left="0" w:right="720"/>
        <w:textAlignment w:val="auto"/>
        <w:rPr>
          <w:rFonts w:hint="eastAsia" w:ascii="宋体" w:hAnsi="宋体" w:eastAsia="宋体" w:cs="宋体"/>
          <w:b/>
          <w:sz w:val="24"/>
          <w:szCs w:val="24"/>
          <w:u w:val="single"/>
        </w:rPr>
      </w:pPr>
      <w:r>
        <w:rPr>
          <w:rFonts w:hint="eastAsia" w:ascii="宋体" w:hAnsi="宋体" w:eastAsia="宋体" w:cs="宋体"/>
          <w:b/>
          <w:bCs/>
          <w:sz w:val="24"/>
          <w:szCs w:val="24"/>
        </w:rPr>
        <w:t>承包人</w:t>
      </w:r>
      <w:r>
        <w:rPr>
          <w:rFonts w:hint="eastAsia" w:ascii="宋体" w:hAnsi="宋体" w:eastAsia="宋体" w:cs="宋体"/>
          <w:sz w:val="24"/>
          <w:szCs w:val="24"/>
        </w:rPr>
        <w:t>（全称）</w:t>
      </w:r>
      <w:r>
        <w:rPr>
          <w:rFonts w:hint="eastAsia" w:ascii="宋体" w:hAnsi="宋体" w:eastAsia="宋体" w:cs="宋体"/>
          <w:b/>
          <w:sz w:val="24"/>
          <w:szCs w:val="24"/>
        </w:rPr>
        <w:t>：</w:t>
      </w:r>
      <w:r>
        <w:rPr>
          <w:rFonts w:hint="eastAsia" w:ascii="宋体" w:hAnsi="宋体" w:eastAsia="宋体" w:cs="宋体"/>
          <w:b/>
          <w:sz w:val="24"/>
          <w:szCs w:val="24"/>
          <w:u w:val="single"/>
        </w:rPr>
        <w:t xml:space="preserve">                            </w:t>
      </w:r>
    </w:p>
    <w:p w14:paraId="48DC2805">
      <w:pPr>
        <w:pStyle w:val="267"/>
        <w:pageBreakBefore w:val="0"/>
        <w:widowControl w:val="0"/>
        <w:kinsoku/>
        <w:wordWrap/>
        <w:overflowPunct/>
        <w:topLinePunct w:val="0"/>
        <w:bidi w:val="0"/>
        <w:snapToGrid/>
        <w:spacing w:line="360" w:lineRule="exact"/>
        <w:ind w:left="0" w:right="720"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为保证</w:t>
      </w:r>
      <w:r>
        <w:rPr>
          <w:rFonts w:hint="eastAsia" w:ascii="宋体" w:hAnsi="宋体" w:eastAsia="宋体" w:cs="宋体"/>
          <w:kern w:val="2"/>
          <w:sz w:val="24"/>
          <w:szCs w:val="24"/>
          <w:u w:val="single"/>
        </w:rPr>
        <w:t>重庆</w:t>
      </w:r>
      <w:r>
        <w:rPr>
          <w:rFonts w:hint="eastAsia" w:ascii="宋体" w:hAnsi="宋体" w:eastAsia="宋体" w:cs="宋体"/>
          <w:sz w:val="24"/>
          <w:szCs w:val="24"/>
          <w:u w:val="single"/>
        </w:rPr>
        <w:t>理工职业学</w:t>
      </w:r>
      <w:r>
        <w:rPr>
          <w:rFonts w:hint="eastAsia" w:ascii="宋体" w:hAnsi="宋体" w:eastAsia="宋体" w:cs="宋体"/>
          <w:kern w:val="2"/>
          <w:sz w:val="24"/>
          <w:szCs w:val="24"/>
          <w:u w:val="single"/>
        </w:rPr>
        <w:t>院</w:t>
      </w:r>
      <w:r>
        <w:rPr>
          <w:rFonts w:hint="eastAsia" w:ascii="宋体" w:hAnsi="宋体" w:eastAsia="宋体" w:cs="宋体"/>
          <w:sz w:val="24"/>
          <w:szCs w:val="24"/>
          <w:u w:val="single"/>
        </w:rPr>
        <w:t>党建文化墙</w:t>
      </w:r>
      <w:r>
        <w:rPr>
          <w:rFonts w:hint="eastAsia" w:ascii="宋体" w:hAnsi="宋体" w:eastAsia="宋体" w:cs="宋体"/>
          <w:kern w:val="2"/>
          <w:sz w:val="24"/>
          <w:szCs w:val="24"/>
          <w:u w:val="single"/>
        </w:rPr>
        <w:t>工程</w:t>
      </w:r>
      <w:r>
        <w:rPr>
          <w:rFonts w:hint="eastAsia" w:ascii="宋体" w:hAnsi="宋体" w:eastAsia="宋体" w:cs="宋体"/>
          <w:bCs/>
          <w:sz w:val="24"/>
          <w:szCs w:val="24"/>
        </w:rPr>
        <w:t>在合理使用期内正常使用，根据《中华人民共和国建筑法》、国务院发布的《建设工程质量管理条例》、《房屋建筑工程质量保修办法》等有关法律法规及国家标准，经甲、乙双方协商一致，签订本工程质量保修书。</w:t>
      </w:r>
    </w:p>
    <w:p w14:paraId="6B0EBB89">
      <w:pPr>
        <w:pStyle w:val="267"/>
        <w:pageBreakBefore w:val="0"/>
        <w:widowControl w:val="0"/>
        <w:kinsoku/>
        <w:wordWrap/>
        <w:overflowPunct/>
        <w:topLinePunct w:val="0"/>
        <w:bidi w:val="0"/>
        <w:snapToGrid/>
        <w:spacing w:before="0" w:after="0" w:line="360" w:lineRule="exact"/>
        <w:ind w:left="0" w:right="720"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一、工程质量保修范围和内容</w:t>
      </w:r>
    </w:p>
    <w:p w14:paraId="670BC67A">
      <w:pPr>
        <w:pStyle w:val="267"/>
        <w:pageBreakBefore w:val="0"/>
        <w:widowControl w:val="0"/>
        <w:kinsoku/>
        <w:wordWrap/>
        <w:overflowPunct/>
        <w:topLinePunct w:val="0"/>
        <w:bidi w:val="0"/>
        <w:snapToGrid/>
        <w:spacing w:before="0" w:after="0" w:line="360" w:lineRule="exact"/>
        <w:ind w:left="0" w:right="43"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承包人在质量保修期内，按照有关法律、法规、规章的管理规定和双方约定，承担本工程质量保修责任。</w:t>
      </w:r>
    </w:p>
    <w:p w14:paraId="60A34B70">
      <w:pPr>
        <w:pStyle w:val="267"/>
        <w:pageBreakBefore w:val="0"/>
        <w:widowControl w:val="0"/>
        <w:kinsoku/>
        <w:wordWrap/>
        <w:overflowPunct/>
        <w:topLinePunct w:val="0"/>
        <w:bidi w:val="0"/>
        <w:snapToGrid/>
        <w:spacing w:before="0" w:after="0" w:line="360" w:lineRule="exact"/>
        <w:ind w:left="0" w:right="43"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质量保修范围包括装修工程，以及双方约定的其他项目。具体保修的内容，双方约定如下：</w:t>
      </w:r>
    </w:p>
    <w:p w14:paraId="5393A0FC">
      <w:pPr>
        <w:pStyle w:val="267"/>
        <w:pageBreakBefore w:val="0"/>
        <w:widowControl w:val="0"/>
        <w:kinsoku/>
        <w:wordWrap/>
        <w:overflowPunct/>
        <w:topLinePunct w:val="0"/>
        <w:bidi w:val="0"/>
        <w:snapToGrid/>
        <w:spacing w:before="0" w:after="0" w:line="360" w:lineRule="exact"/>
        <w:ind w:left="0" w:right="43" w:firstLine="482" w:firstLineChars="200"/>
        <w:textAlignment w:val="auto"/>
        <w:rPr>
          <w:rFonts w:hint="eastAsia" w:ascii="宋体" w:hAnsi="宋体" w:eastAsia="宋体" w:cs="宋体"/>
          <w:b/>
          <w:bCs/>
          <w:sz w:val="24"/>
          <w:szCs w:val="24"/>
          <w:u w:val="single"/>
        </w:rPr>
      </w:pPr>
      <w:r>
        <w:rPr>
          <w:rFonts w:hint="eastAsia" w:ascii="宋体" w:hAnsi="宋体" w:eastAsia="宋体" w:cs="宋体"/>
          <w:b/>
          <w:bCs/>
          <w:sz w:val="24"/>
          <w:szCs w:val="24"/>
          <w:u w:val="single"/>
        </w:rPr>
        <w:t>保修范围为设计施工图所示的全部内容（含投标书及附件部分，设计变更部分）。</w:t>
      </w:r>
    </w:p>
    <w:p w14:paraId="2119E5DE">
      <w:pPr>
        <w:pStyle w:val="267"/>
        <w:pageBreakBefore w:val="0"/>
        <w:widowControl w:val="0"/>
        <w:kinsoku/>
        <w:wordWrap/>
        <w:overflowPunct/>
        <w:topLinePunct w:val="0"/>
        <w:bidi w:val="0"/>
        <w:snapToGrid/>
        <w:spacing w:before="0" w:after="0" w:line="360" w:lineRule="exact"/>
        <w:ind w:left="0" w:right="720"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二、质量保修期</w:t>
      </w:r>
    </w:p>
    <w:p w14:paraId="6DCAD8A5">
      <w:pPr>
        <w:pStyle w:val="267"/>
        <w:pageBreakBefore w:val="0"/>
        <w:widowControl w:val="0"/>
        <w:kinsoku/>
        <w:wordWrap/>
        <w:overflowPunct/>
        <w:topLinePunct w:val="0"/>
        <w:bidi w:val="0"/>
        <w:snapToGrid/>
        <w:spacing w:before="0" w:after="0" w:line="360" w:lineRule="exact"/>
        <w:ind w:left="0" w:right="-57"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双方根据《建设工程质量管理条例》及有关规定，约定本工程的质量保修期如下：</w:t>
      </w:r>
    </w:p>
    <w:p w14:paraId="7D0D00C6">
      <w:pPr>
        <w:pStyle w:val="267"/>
        <w:pageBreakBefore w:val="0"/>
        <w:widowControl w:val="0"/>
        <w:kinsoku/>
        <w:wordWrap/>
        <w:overflowPunct/>
        <w:topLinePunct w:val="0"/>
        <w:bidi w:val="0"/>
        <w:snapToGrid/>
        <w:spacing w:before="0" w:after="0" w:line="360" w:lineRule="exact"/>
        <w:ind w:left="0" w:right="720"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1．质量保修期从工程验收合格交付使用之日起计算。</w:t>
      </w:r>
    </w:p>
    <w:p w14:paraId="244DC032">
      <w:pPr>
        <w:pStyle w:val="267"/>
        <w:pageBreakBefore w:val="0"/>
        <w:widowControl w:val="0"/>
        <w:kinsoku/>
        <w:wordWrap/>
        <w:overflowPunct/>
        <w:topLinePunct w:val="0"/>
        <w:bidi w:val="0"/>
        <w:snapToGrid/>
        <w:spacing w:before="0" w:after="0" w:line="360" w:lineRule="exact"/>
        <w:ind w:left="0" w:right="-57"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2．基础装修工程为设计文件规定的该工程合理使用年限；</w:t>
      </w:r>
    </w:p>
    <w:p w14:paraId="15404F78">
      <w:pPr>
        <w:pStyle w:val="267"/>
        <w:pageBreakBefore w:val="0"/>
        <w:widowControl w:val="0"/>
        <w:kinsoku/>
        <w:wordWrap/>
        <w:overflowPunct/>
        <w:topLinePunct w:val="0"/>
        <w:bidi w:val="0"/>
        <w:snapToGrid/>
        <w:spacing w:before="0" w:after="0" w:line="360" w:lineRule="exact"/>
        <w:ind w:left="0" w:right="43"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3．有防水要求的卫生间、房间等其它工程的防渗漏为5年；</w:t>
      </w:r>
    </w:p>
    <w:p w14:paraId="59BC8CE8">
      <w:pPr>
        <w:pStyle w:val="267"/>
        <w:pageBreakBefore w:val="0"/>
        <w:widowControl w:val="0"/>
        <w:kinsoku/>
        <w:wordWrap/>
        <w:overflowPunct/>
        <w:topLinePunct w:val="0"/>
        <w:bidi w:val="0"/>
        <w:snapToGrid/>
        <w:spacing w:before="0" w:after="0" w:line="360" w:lineRule="exact"/>
        <w:ind w:left="0" w:right="43"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4．电气及管线、给排水管道和装修工程为2年；</w:t>
      </w:r>
    </w:p>
    <w:p w14:paraId="2CFCA26E">
      <w:pPr>
        <w:pStyle w:val="267"/>
        <w:pageBreakBefore w:val="0"/>
        <w:widowControl w:val="0"/>
        <w:kinsoku/>
        <w:wordWrap/>
        <w:overflowPunct/>
        <w:topLinePunct w:val="0"/>
        <w:bidi w:val="0"/>
        <w:snapToGrid/>
        <w:spacing w:before="0" w:after="0" w:line="360" w:lineRule="exact"/>
        <w:ind w:left="0" w:right="720"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 xml:space="preserve">5．定型设备、电气设备、静止设备安装保修期为2年； </w:t>
      </w:r>
    </w:p>
    <w:p w14:paraId="23244C58">
      <w:pPr>
        <w:pStyle w:val="267"/>
        <w:pageBreakBefore w:val="0"/>
        <w:widowControl w:val="0"/>
        <w:kinsoku/>
        <w:wordWrap/>
        <w:overflowPunct/>
        <w:topLinePunct w:val="0"/>
        <w:bidi w:val="0"/>
        <w:snapToGrid/>
        <w:spacing w:before="0" w:after="0" w:line="360" w:lineRule="exact"/>
        <w:ind w:left="0" w:right="720"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6．电气、桥架、支托架等安装保修期为2年；</w:t>
      </w:r>
    </w:p>
    <w:p w14:paraId="0C2315B2">
      <w:pPr>
        <w:pStyle w:val="267"/>
        <w:pageBreakBefore w:val="0"/>
        <w:widowControl w:val="0"/>
        <w:kinsoku/>
        <w:wordWrap/>
        <w:overflowPunct/>
        <w:topLinePunct w:val="0"/>
        <w:bidi w:val="0"/>
        <w:snapToGrid/>
        <w:spacing w:before="0" w:after="0" w:line="360" w:lineRule="exact"/>
        <w:ind w:left="0" w:right="720" w:firstLine="480" w:firstLineChars="200"/>
        <w:textAlignment w:val="auto"/>
        <w:rPr>
          <w:rFonts w:hint="eastAsia" w:ascii="宋体" w:hAnsi="宋体" w:eastAsia="宋体" w:cs="宋体"/>
          <w:bCs/>
          <w:sz w:val="24"/>
          <w:szCs w:val="24"/>
          <w:lang w:eastAsia="zh-Hans"/>
        </w:rPr>
      </w:pPr>
      <w:r>
        <w:rPr>
          <w:rFonts w:hint="eastAsia" w:ascii="宋体" w:hAnsi="宋体" w:eastAsia="宋体" w:cs="宋体"/>
          <w:bCs/>
          <w:sz w:val="24"/>
          <w:szCs w:val="24"/>
        </w:rPr>
        <w:t>7</w:t>
      </w:r>
      <w:r>
        <w:rPr>
          <w:rFonts w:hint="eastAsia" w:ascii="宋体" w:hAnsi="宋体" w:eastAsia="宋体" w:cs="宋体"/>
          <w:bCs/>
          <w:sz w:val="24"/>
          <w:szCs w:val="24"/>
          <w:lang w:eastAsia="zh-Hans"/>
        </w:rPr>
        <w:t>.除上述明确约定的质保责任期</w:t>
      </w:r>
      <w:r>
        <w:rPr>
          <w:rFonts w:hint="eastAsia" w:ascii="宋体" w:hAnsi="宋体" w:eastAsia="宋体" w:cs="宋体"/>
          <w:bCs/>
          <w:sz w:val="24"/>
          <w:szCs w:val="24"/>
        </w:rPr>
        <w:t>以</w:t>
      </w:r>
      <w:r>
        <w:rPr>
          <w:rFonts w:hint="eastAsia" w:ascii="宋体" w:hAnsi="宋体" w:eastAsia="宋体" w:cs="宋体"/>
          <w:bCs/>
          <w:sz w:val="24"/>
          <w:szCs w:val="24"/>
          <w:lang w:eastAsia="zh-Hans"/>
        </w:rPr>
        <w:t>外的其他工程项目质保责任为2年。</w:t>
      </w:r>
    </w:p>
    <w:p w14:paraId="59F0E83E">
      <w:pPr>
        <w:pStyle w:val="267"/>
        <w:pageBreakBefore w:val="0"/>
        <w:widowControl w:val="0"/>
        <w:kinsoku/>
        <w:wordWrap/>
        <w:overflowPunct/>
        <w:topLinePunct w:val="0"/>
        <w:bidi w:val="0"/>
        <w:snapToGrid/>
        <w:spacing w:before="0" w:after="0" w:line="360" w:lineRule="exact"/>
        <w:ind w:left="0" w:right="720"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三、保修责任</w:t>
      </w:r>
    </w:p>
    <w:p w14:paraId="272C0092">
      <w:pPr>
        <w:pStyle w:val="267"/>
        <w:pageBreakBefore w:val="0"/>
        <w:widowControl w:val="0"/>
        <w:tabs>
          <w:tab w:val="left" w:pos="9200"/>
        </w:tabs>
        <w:kinsoku/>
        <w:wordWrap/>
        <w:overflowPunct/>
        <w:topLinePunct w:val="0"/>
        <w:bidi w:val="0"/>
        <w:snapToGrid/>
        <w:spacing w:before="0" w:after="0" w:line="360" w:lineRule="exact"/>
        <w:ind w:left="0" w:right="43"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1.属于保修范围、内容的工程，承包人应当在接到保修通知之日起24小时内给予答复，48小时内派人保修。承包人不在约定期限内派人保修的，发包人有权委托他人修理，费用由承包人支付。</w:t>
      </w:r>
    </w:p>
    <w:p w14:paraId="2B8B43BB">
      <w:pPr>
        <w:pStyle w:val="267"/>
        <w:pageBreakBefore w:val="0"/>
        <w:widowControl w:val="0"/>
        <w:kinsoku/>
        <w:wordWrap/>
        <w:overflowPunct/>
        <w:topLinePunct w:val="0"/>
        <w:bidi w:val="0"/>
        <w:snapToGrid/>
        <w:spacing w:before="0" w:after="0" w:line="360" w:lineRule="exact"/>
        <w:ind w:left="0" w:right="43"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2.发生紧急抢修事故，承包人在接到事故通知后，应当立即到达事故现场抢修或委托他人修理。</w:t>
      </w:r>
    </w:p>
    <w:p w14:paraId="6EB62439">
      <w:pPr>
        <w:pStyle w:val="267"/>
        <w:pageBreakBefore w:val="0"/>
        <w:widowControl w:val="0"/>
        <w:kinsoku/>
        <w:wordWrap/>
        <w:overflowPunct/>
        <w:topLinePunct w:val="0"/>
        <w:bidi w:val="0"/>
        <w:snapToGrid/>
        <w:spacing w:before="0" w:after="0" w:line="360" w:lineRule="exact"/>
        <w:ind w:left="0" w:right="43"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3.对于涉及结构安全的质量问题，应当按照《房屋建筑工程质量保修办法》的规定，立即向发包人报告，采取安全防范措施；由原设计单位或者具有相应资质等级的设计单位提出保修方案，承包人实施保修。</w:t>
      </w:r>
    </w:p>
    <w:p w14:paraId="1A968844">
      <w:pPr>
        <w:pStyle w:val="267"/>
        <w:pageBreakBefore w:val="0"/>
        <w:widowControl w:val="0"/>
        <w:kinsoku/>
        <w:wordWrap/>
        <w:overflowPunct/>
        <w:topLinePunct w:val="0"/>
        <w:bidi w:val="0"/>
        <w:snapToGrid/>
        <w:spacing w:before="0" w:after="0" w:line="360" w:lineRule="exact"/>
        <w:ind w:left="0" w:right="43"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4.在国家规定的工程合理使用期限内，承包日内应确保其质量。因承包人原因致使工程在合理使用期限内造成人身和财产损害，承包人应承担损害赔偿责任。</w:t>
      </w:r>
    </w:p>
    <w:p w14:paraId="287BB89C">
      <w:pPr>
        <w:pStyle w:val="267"/>
        <w:pageBreakBefore w:val="0"/>
        <w:widowControl w:val="0"/>
        <w:kinsoku/>
        <w:wordWrap/>
        <w:overflowPunct/>
        <w:topLinePunct w:val="0"/>
        <w:bidi w:val="0"/>
        <w:snapToGrid/>
        <w:spacing w:before="0" w:after="0" w:line="360" w:lineRule="exact"/>
        <w:ind w:left="0" w:right="720"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5.质保期满后，由业主及发包人组织验收。</w:t>
      </w:r>
    </w:p>
    <w:p w14:paraId="51C1FC85">
      <w:pPr>
        <w:pStyle w:val="267"/>
        <w:pageBreakBefore w:val="0"/>
        <w:widowControl w:val="0"/>
        <w:kinsoku/>
        <w:wordWrap/>
        <w:overflowPunct/>
        <w:topLinePunct w:val="0"/>
        <w:bidi w:val="0"/>
        <w:snapToGrid/>
        <w:spacing w:before="0" w:after="0" w:line="360" w:lineRule="exact"/>
        <w:ind w:left="0" w:right="720"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四、质量保修金</w:t>
      </w:r>
    </w:p>
    <w:p w14:paraId="58DF5DCA">
      <w:pPr>
        <w:pStyle w:val="267"/>
        <w:pageBreakBefore w:val="0"/>
        <w:widowControl w:val="0"/>
        <w:kinsoku/>
        <w:wordWrap/>
        <w:overflowPunct/>
        <w:topLinePunct w:val="0"/>
        <w:bidi w:val="0"/>
        <w:snapToGrid/>
        <w:spacing w:before="0" w:after="0" w:line="360" w:lineRule="exact"/>
        <w:ind w:left="0" w:right="720"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本工程约定的工程质量保修金为审定结算总价的3%。</w:t>
      </w:r>
    </w:p>
    <w:p w14:paraId="3A447B17">
      <w:pPr>
        <w:pStyle w:val="267"/>
        <w:pageBreakBefore w:val="0"/>
        <w:widowControl w:val="0"/>
        <w:kinsoku/>
        <w:wordWrap/>
        <w:overflowPunct/>
        <w:topLinePunct w:val="0"/>
        <w:bidi w:val="0"/>
        <w:snapToGrid/>
        <w:spacing w:before="0" w:after="0" w:line="360" w:lineRule="exact"/>
        <w:ind w:left="0" w:right="720"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五、质量保修金返还</w:t>
      </w:r>
    </w:p>
    <w:p w14:paraId="781A4D14">
      <w:pPr>
        <w:pStyle w:val="267"/>
        <w:pageBreakBefore w:val="0"/>
        <w:widowControl w:val="0"/>
        <w:kinsoku/>
        <w:wordWrap/>
        <w:overflowPunct/>
        <w:topLinePunct w:val="0"/>
        <w:bidi w:val="0"/>
        <w:snapToGrid/>
        <w:spacing w:before="0" w:after="0" w:line="360" w:lineRule="exact"/>
        <w:ind w:left="0" w:right="43"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在保修期满后1个月，如无施工质量问题，返还承包人。</w:t>
      </w:r>
    </w:p>
    <w:p w14:paraId="729D3E4A">
      <w:pPr>
        <w:pStyle w:val="267"/>
        <w:pageBreakBefore w:val="0"/>
        <w:widowControl w:val="0"/>
        <w:kinsoku/>
        <w:wordWrap/>
        <w:overflowPunct/>
        <w:topLinePunct w:val="0"/>
        <w:bidi w:val="0"/>
        <w:snapToGrid/>
        <w:spacing w:before="0" w:after="0" w:line="360" w:lineRule="exact"/>
        <w:ind w:left="0" w:right="720"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六、其它</w:t>
      </w:r>
    </w:p>
    <w:p w14:paraId="37952963">
      <w:pPr>
        <w:pStyle w:val="267"/>
        <w:pageBreakBefore w:val="0"/>
        <w:widowControl w:val="0"/>
        <w:kinsoku/>
        <w:wordWrap/>
        <w:overflowPunct/>
        <w:topLinePunct w:val="0"/>
        <w:bidi w:val="0"/>
        <w:snapToGrid/>
        <w:spacing w:before="0" w:after="0" w:line="360" w:lineRule="exact"/>
        <w:ind w:left="0" w:right="43"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1．本工程质量保修书，作为本项目《工程承包合同》的组成部分，与《工程承包合同》具有同等法律效力。</w:t>
      </w:r>
    </w:p>
    <w:p w14:paraId="5FE010EF">
      <w:pPr>
        <w:pStyle w:val="267"/>
        <w:pageBreakBefore w:val="0"/>
        <w:widowControl w:val="0"/>
        <w:kinsoku/>
        <w:wordWrap/>
        <w:overflowPunct/>
        <w:topLinePunct w:val="0"/>
        <w:bidi w:val="0"/>
        <w:snapToGrid/>
        <w:spacing w:before="0" w:after="0" w:line="360" w:lineRule="exact"/>
        <w:ind w:left="0" w:right="43"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2．本工程质量保修书的有效期为保修期满后，质量保修金返还后失效。</w:t>
      </w:r>
    </w:p>
    <w:p w14:paraId="3017152F">
      <w:pPr>
        <w:pStyle w:val="267"/>
        <w:pageBreakBefore w:val="0"/>
        <w:widowControl w:val="0"/>
        <w:kinsoku/>
        <w:wordWrap/>
        <w:overflowPunct/>
        <w:topLinePunct w:val="0"/>
        <w:bidi w:val="0"/>
        <w:snapToGrid/>
        <w:spacing w:before="0" w:after="0" w:line="360" w:lineRule="exact"/>
        <w:ind w:left="0" w:right="43" w:firstLine="480" w:firstLineChars="200"/>
        <w:textAlignment w:val="auto"/>
        <w:rPr>
          <w:rFonts w:hint="eastAsia" w:ascii="宋体" w:hAnsi="宋体" w:eastAsia="宋体" w:cs="宋体"/>
          <w:bCs/>
          <w:sz w:val="24"/>
          <w:szCs w:val="24"/>
        </w:rPr>
      </w:pPr>
    </w:p>
    <w:p w14:paraId="4DDF69CF">
      <w:pPr>
        <w:pStyle w:val="267"/>
        <w:pageBreakBefore w:val="0"/>
        <w:widowControl w:val="0"/>
        <w:kinsoku/>
        <w:wordWrap/>
        <w:overflowPunct/>
        <w:topLinePunct w:val="0"/>
        <w:bidi w:val="0"/>
        <w:snapToGrid/>
        <w:spacing w:before="0" w:after="0" w:line="360" w:lineRule="exact"/>
        <w:ind w:left="0" w:right="43" w:firstLine="480" w:firstLineChars="200"/>
        <w:textAlignment w:val="auto"/>
        <w:rPr>
          <w:rFonts w:hint="eastAsia" w:ascii="宋体" w:hAnsi="宋体" w:eastAsia="宋体" w:cs="宋体"/>
          <w:bCs/>
          <w:sz w:val="24"/>
          <w:szCs w:val="24"/>
        </w:rPr>
      </w:pPr>
    </w:p>
    <w:p w14:paraId="7649F829">
      <w:pPr>
        <w:pStyle w:val="267"/>
        <w:pageBreakBefore w:val="0"/>
        <w:widowControl w:val="0"/>
        <w:kinsoku/>
        <w:wordWrap/>
        <w:overflowPunct/>
        <w:topLinePunct w:val="0"/>
        <w:bidi w:val="0"/>
        <w:snapToGrid/>
        <w:spacing w:before="0" w:after="0" w:line="360" w:lineRule="exact"/>
        <w:ind w:left="0" w:right="43"/>
        <w:textAlignment w:val="auto"/>
        <w:rPr>
          <w:rFonts w:hint="eastAsia" w:ascii="宋体" w:hAnsi="宋体" w:eastAsia="宋体" w:cs="宋体"/>
          <w:bCs/>
          <w:sz w:val="24"/>
          <w:szCs w:val="24"/>
        </w:rPr>
      </w:pPr>
    </w:p>
    <w:p w14:paraId="6C5DFC0B">
      <w:pPr>
        <w:pStyle w:val="267"/>
        <w:pageBreakBefore w:val="0"/>
        <w:widowControl w:val="0"/>
        <w:kinsoku/>
        <w:wordWrap/>
        <w:overflowPunct/>
        <w:topLinePunct w:val="0"/>
        <w:bidi w:val="0"/>
        <w:snapToGrid/>
        <w:spacing w:before="0" w:after="0" w:line="360" w:lineRule="exact"/>
        <w:ind w:left="0" w:right="43"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 xml:space="preserve">发 包 人：（公章）                     </w:t>
      </w:r>
    </w:p>
    <w:p w14:paraId="3E87FC0A">
      <w:pPr>
        <w:pStyle w:val="267"/>
        <w:pageBreakBefore w:val="0"/>
        <w:widowControl w:val="0"/>
        <w:kinsoku/>
        <w:wordWrap/>
        <w:overflowPunct/>
        <w:topLinePunct w:val="0"/>
        <w:bidi w:val="0"/>
        <w:snapToGrid/>
        <w:spacing w:before="0" w:after="0" w:line="360" w:lineRule="exact"/>
        <w:ind w:left="0" w:right="43"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 xml:space="preserve">法定代表人：                           </w:t>
      </w:r>
    </w:p>
    <w:p w14:paraId="0BDD4F61">
      <w:pPr>
        <w:pStyle w:val="267"/>
        <w:pageBreakBefore w:val="0"/>
        <w:widowControl w:val="0"/>
        <w:kinsoku/>
        <w:wordWrap/>
        <w:overflowPunct/>
        <w:topLinePunct w:val="0"/>
        <w:bidi w:val="0"/>
        <w:snapToGrid/>
        <w:spacing w:before="0" w:after="0" w:line="360" w:lineRule="exact"/>
        <w:ind w:left="0" w:right="43"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 xml:space="preserve">委托代理人：                           </w:t>
      </w:r>
    </w:p>
    <w:p w14:paraId="787EAD9B">
      <w:pPr>
        <w:pStyle w:val="267"/>
        <w:pageBreakBefore w:val="0"/>
        <w:widowControl w:val="0"/>
        <w:kinsoku/>
        <w:wordWrap/>
        <w:overflowPunct/>
        <w:topLinePunct w:val="0"/>
        <w:bidi w:val="0"/>
        <w:snapToGrid/>
        <w:spacing w:before="0" w:after="0" w:line="360" w:lineRule="exact"/>
        <w:ind w:left="0" w:right="43"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 xml:space="preserve">年    月   日 </w:t>
      </w:r>
    </w:p>
    <w:p w14:paraId="3232EF4B">
      <w:pPr>
        <w:pStyle w:val="267"/>
        <w:pageBreakBefore w:val="0"/>
        <w:widowControl w:val="0"/>
        <w:kinsoku/>
        <w:wordWrap/>
        <w:overflowPunct/>
        <w:topLinePunct w:val="0"/>
        <w:bidi w:val="0"/>
        <w:snapToGrid/>
        <w:spacing w:before="0" w:after="0" w:line="360" w:lineRule="exact"/>
        <w:ind w:left="0" w:right="43" w:firstLine="480" w:firstLineChars="200"/>
        <w:textAlignment w:val="auto"/>
        <w:rPr>
          <w:rFonts w:hint="eastAsia" w:ascii="宋体" w:hAnsi="宋体" w:eastAsia="宋体" w:cs="宋体"/>
          <w:bCs/>
          <w:sz w:val="24"/>
          <w:szCs w:val="24"/>
        </w:rPr>
      </w:pPr>
    </w:p>
    <w:p w14:paraId="73A148B5">
      <w:pPr>
        <w:pStyle w:val="267"/>
        <w:pageBreakBefore w:val="0"/>
        <w:widowControl w:val="0"/>
        <w:kinsoku/>
        <w:wordWrap/>
        <w:overflowPunct/>
        <w:topLinePunct w:val="0"/>
        <w:bidi w:val="0"/>
        <w:snapToGrid/>
        <w:spacing w:before="0" w:after="0" w:line="360" w:lineRule="exact"/>
        <w:ind w:left="0" w:right="43" w:firstLine="480" w:firstLineChars="200"/>
        <w:textAlignment w:val="auto"/>
        <w:rPr>
          <w:rFonts w:hint="eastAsia" w:ascii="宋体" w:hAnsi="宋体" w:eastAsia="宋体" w:cs="宋体"/>
          <w:bCs/>
          <w:sz w:val="24"/>
          <w:szCs w:val="24"/>
        </w:rPr>
      </w:pPr>
    </w:p>
    <w:p w14:paraId="0C27893A">
      <w:pPr>
        <w:pStyle w:val="267"/>
        <w:pageBreakBefore w:val="0"/>
        <w:widowControl w:val="0"/>
        <w:kinsoku/>
        <w:wordWrap/>
        <w:overflowPunct/>
        <w:topLinePunct w:val="0"/>
        <w:bidi w:val="0"/>
        <w:snapToGrid/>
        <w:spacing w:before="0" w:after="0" w:line="360" w:lineRule="exact"/>
        <w:ind w:left="0" w:right="43"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 xml:space="preserve">                         </w:t>
      </w:r>
    </w:p>
    <w:p w14:paraId="1FE38FAF">
      <w:pPr>
        <w:pStyle w:val="267"/>
        <w:pageBreakBefore w:val="0"/>
        <w:widowControl w:val="0"/>
        <w:kinsoku/>
        <w:wordWrap/>
        <w:overflowPunct/>
        <w:topLinePunct w:val="0"/>
        <w:bidi w:val="0"/>
        <w:snapToGrid/>
        <w:spacing w:before="0" w:after="0" w:line="360" w:lineRule="exact"/>
        <w:ind w:left="0" w:right="43"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承 包 人：（公章）</w:t>
      </w:r>
    </w:p>
    <w:p w14:paraId="1ABD5E13">
      <w:pPr>
        <w:pStyle w:val="267"/>
        <w:pageBreakBefore w:val="0"/>
        <w:widowControl w:val="0"/>
        <w:kinsoku/>
        <w:wordWrap/>
        <w:overflowPunct/>
        <w:topLinePunct w:val="0"/>
        <w:bidi w:val="0"/>
        <w:snapToGrid/>
        <w:spacing w:before="0" w:after="0" w:line="360" w:lineRule="exact"/>
        <w:ind w:left="0" w:right="43"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法定代表人：</w:t>
      </w:r>
    </w:p>
    <w:p w14:paraId="45630224">
      <w:pPr>
        <w:pStyle w:val="267"/>
        <w:pageBreakBefore w:val="0"/>
        <w:widowControl w:val="0"/>
        <w:kinsoku/>
        <w:wordWrap/>
        <w:overflowPunct/>
        <w:topLinePunct w:val="0"/>
        <w:bidi w:val="0"/>
        <w:snapToGrid/>
        <w:spacing w:before="0" w:after="0" w:line="360" w:lineRule="exact"/>
        <w:ind w:left="0" w:right="43"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委托代理人：</w:t>
      </w:r>
    </w:p>
    <w:p w14:paraId="4C846989">
      <w:pPr>
        <w:pStyle w:val="267"/>
        <w:pageBreakBefore w:val="0"/>
        <w:widowControl w:val="0"/>
        <w:kinsoku/>
        <w:wordWrap/>
        <w:overflowPunct/>
        <w:topLinePunct w:val="0"/>
        <w:bidi w:val="0"/>
        <w:snapToGrid/>
        <w:spacing w:before="0" w:after="0" w:line="360" w:lineRule="exact"/>
        <w:ind w:left="0" w:right="43"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年   月   日</w:t>
      </w:r>
    </w:p>
    <w:p w14:paraId="10C1CDB7">
      <w:pPr>
        <w:pStyle w:val="5"/>
        <w:pageBreakBefore w:val="0"/>
        <w:widowControl w:val="0"/>
        <w:kinsoku/>
        <w:wordWrap/>
        <w:overflowPunct/>
        <w:topLinePunct w:val="0"/>
        <w:bidi w:val="0"/>
        <w:snapToGrid/>
        <w:spacing w:line="360" w:lineRule="exact"/>
        <w:textAlignment w:val="auto"/>
        <w:rPr>
          <w:rFonts w:hint="eastAsia" w:ascii="宋体" w:hAnsi="宋体" w:eastAsia="宋体" w:cs="宋体"/>
          <w:bCs w:val="0"/>
          <w:sz w:val="24"/>
          <w:szCs w:val="24"/>
          <w:lang w:val="en-US"/>
        </w:rPr>
      </w:pPr>
      <w:bookmarkStart w:id="113" w:name="_Toc435689499"/>
      <w:bookmarkStart w:id="114" w:name="_Toc239510288"/>
      <w:bookmarkStart w:id="115" w:name="_Toc336680145"/>
      <w:bookmarkStart w:id="116" w:name="_Toc448406299"/>
      <w:bookmarkStart w:id="117" w:name="_Toc247431422"/>
      <w:bookmarkStart w:id="118" w:name="_Toc435690184"/>
    </w:p>
    <w:p w14:paraId="5F84D260">
      <w:pPr>
        <w:rPr>
          <w:rFonts w:hint="eastAsia" w:ascii="宋体" w:hAnsi="宋体" w:eastAsia="宋体" w:cs="宋体"/>
          <w:bCs w:val="0"/>
          <w:sz w:val="24"/>
          <w:szCs w:val="24"/>
          <w:lang w:val="en-US"/>
        </w:rPr>
      </w:pPr>
    </w:p>
    <w:p w14:paraId="735C96EE">
      <w:pPr>
        <w:pStyle w:val="2"/>
        <w:rPr>
          <w:rFonts w:hint="eastAsia" w:ascii="宋体" w:hAnsi="宋体" w:eastAsia="宋体" w:cs="宋体"/>
          <w:bCs w:val="0"/>
          <w:sz w:val="24"/>
          <w:szCs w:val="24"/>
          <w:lang w:val="en-US"/>
        </w:rPr>
      </w:pPr>
    </w:p>
    <w:p w14:paraId="43F3E1FA">
      <w:pPr>
        <w:pStyle w:val="2"/>
        <w:rPr>
          <w:rFonts w:hint="eastAsia" w:ascii="宋体" w:hAnsi="宋体" w:eastAsia="宋体" w:cs="宋体"/>
          <w:bCs w:val="0"/>
          <w:sz w:val="24"/>
          <w:szCs w:val="24"/>
          <w:lang w:val="en-US"/>
        </w:rPr>
      </w:pPr>
    </w:p>
    <w:p w14:paraId="04CB50CB">
      <w:pPr>
        <w:pStyle w:val="2"/>
        <w:rPr>
          <w:rFonts w:hint="eastAsia" w:ascii="宋体" w:hAnsi="宋体" w:eastAsia="宋体" w:cs="宋体"/>
          <w:bCs w:val="0"/>
          <w:sz w:val="24"/>
          <w:szCs w:val="24"/>
          <w:lang w:val="en-US"/>
        </w:rPr>
      </w:pPr>
    </w:p>
    <w:p w14:paraId="45737780">
      <w:pPr>
        <w:pStyle w:val="2"/>
        <w:rPr>
          <w:rFonts w:hint="eastAsia" w:ascii="宋体" w:hAnsi="宋体" w:eastAsia="宋体" w:cs="宋体"/>
          <w:bCs w:val="0"/>
          <w:sz w:val="24"/>
          <w:szCs w:val="24"/>
          <w:lang w:val="en-US"/>
        </w:rPr>
      </w:pPr>
    </w:p>
    <w:p w14:paraId="2807FE35">
      <w:pPr>
        <w:pStyle w:val="2"/>
        <w:rPr>
          <w:rFonts w:hint="eastAsia" w:ascii="宋体" w:hAnsi="宋体" w:eastAsia="宋体" w:cs="宋体"/>
          <w:bCs w:val="0"/>
          <w:sz w:val="24"/>
          <w:szCs w:val="24"/>
          <w:lang w:val="en-US"/>
        </w:rPr>
      </w:pPr>
    </w:p>
    <w:p w14:paraId="2586CD47">
      <w:pPr>
        <w:pStyle w:val="2"/>
        <w:rPr>
          <w:rFonts w:hint="eastAsia" w:ascii="宋体" w:hAnsi="宋体" w:eastAsia="宋体" w:cs="宋体"/>
          <w:bCs w:val="0"/>
          <w:sz w:val="24"/>
          <w:szCs w:val="24"/>
          <w:lang w:val="en-US"/>
        </w:rPr>
      </w:pPr>
    </w:p>
    <w:p w14:paraId="4AD19CBD">
      <w:pPr>
        <w:pStyle w:val="2"/>
        <w:rPr>
          <w:rFonts w:hint="eastAsia" w:ascii="宋体" w:hAnsi="宋体" w:eastAsia="宋体" w:cs="宋体"/>
          <w:bCs w:val="0"/>
          <w:sz w:val="24"/>
          <w:szCs w:val="24"/>
          <w:lang w:val="en-US"/>
        </w:rPr>
      </w:pPr>
    </w:p>
    <w:p w14:paraId="27AD4183">
      <w:pPr>
        <w:pStyle w:val="2"/>
        <w:rPr>
          <w:rFonts w:hint="eastAsia" w:ascii="宋体" w:hAnsi="宋体" w:eastAsia="宋体" w:cs="宋体"/>
          <w:bCs w:val="0"/>
          <w:sz w:val="24"/>
          <w:szCs w:val="24"/>
          <w:lang w:val="en-US"/>
        </w:rPr>
      </w:pPr>
    </w:p>
    <w:p w14:paraId="56A19CF9">
      <w:pPr>
        <w:pStyle w:val="2"/>
        <w:rPr>
          <w:rFonts w:hint="eastAsia" w:ascii="宋体" w:hAnsi="宋体" w:eastAsia="宋体" w:cs="宋体"/>
          <w:bCs w:val="0"/>
          <w:sz w:val="24"/>
          <w:szCs w:val="24"/>
          <w:lang w:val="en-US"/>
        </w:rPr>
      </w:pPr>
    </w:p>
    <w:p w14:paraId="3C826B21">
      <w:pPr>
        <w:pStyle w:val="2"/>
        <w:rPr>
          <w:rFonts w:hint="eastAsia" w:ascii="宋体" w:hAnsi="宋体" w:eastAsia="宋体" w:cs="宋体"/>
          <w:bCs w:val="0"/>
          <w:sz w:val="24"/>
          <w:szCs w:val="24"/>
          <w:lang w:val="en-US"/>
        </w:rPr>
      </w:pPr>
    </w:p>
    <w:p w14:paraId="38A5DC06">
      <w:pPr>
        <w:pStyle w:val="2"/>
        <w:rPr>
          <w:rFonts w:hint="eastAsia" w:ascii="宋体" w:hAnsi="宋体" w:eastAsia="宋体" w:cs="宋体"/>
          <w:bCs w:val="0"/>
          <w:sz w:val="24"/>
          <w:szCs w:val="24"/>
          <w:lang w:val="en-US"/>
        </w:rPr>
      </w:pPr>
    </w:p>
    <w:p w14:paraId="683ACB4A">
      <w:pPr>
        <w:pStyle w:val="2"/>
        <w:rPr>
          <w:rFonts w:hint="eastAsia" w:ascii="宋体" w:hAnsi="宋体" w:eastAsia="宋体" w:cs="宋体"/>
          <w:bCs w:val="0"/>
          <w:sz w:val="24"/>
          <w:szCs w:val="24"/>
          <w:lang w:val="en-US"/>
        </w:rPr>
      </w:pPr>
    </w:p>
    <w:p w14:paraId="46AEC5D1">
      <w:pPr>
        <w:pStyle w:val="2"/>
        <w:rPr>
          <w:rFonts w:hint="eastAsia" w:ascii="宋体" w:hAnsi="宋体" w:eastAsia="宋体" w:cs="宋体"/>
          <w:bCs w:val="0"/>
          <w:sz w:val="24"/>
          <w:szCs w:val="24"/>
          <w:lang w:val="en-US"/>
        </w:rPr>
      </w:pPr>
    </w:p>
    <w:p w14:paraId="43B1AC93">
      <w:pPr>
        <w:pStyle w:val="2"/>
        <w:rPr>
          <w:rFonts w:hint="eastAsia" w:ascii="宋体" w:hAnsi="宋体" w:eastAsia="宋体" w:cs="宋体"/>
          <w:bCs w:val="0"/>
          <w:sz w:val="24"/>
          <w:szCs w:val="24"/>
          <w:lang w:val="en-US"/>
        </w:rPr>
      </w:pPr>
    </w:p>
    <w:p w14:paraId="5106F33F">
      <w:pPr>
        <w:pStyle w:val="2"/>
        <w:rPr>
          <w:rFonts w:hint="eastAsia" w:ascii="宋体" w:hAnsi="宋体" w:eastAsia="宋体" w:cs="宋体"/>
          <w:bCs w:val="0"/>
          <w:sz w:val="24"/>
          <w:szCs w:val="24"/>
          <w:lang w:val="en-US"/>
        </w:rPr>
      </w:pPr>
    </w:p>
    <w:p w14:paraId="30064B9B">
      <w:pPr>
        <w:pStyle w:val="5"/>
        <w:pageBreakBefore w:val="0"/>
        <w:widowControl w:val="0"/>
        <w:kinsoku/>
        <w:wordWrap/>
        <w:overflowPunct/>
        <w:topLinePunct w:val="0"/>
        <w:bidi w:val="0"/>
        <w:spacing w:line="320" w:lineRule="exact"/>
        <w:textAlignment w:val="auto"/>
        <w:rPr>
          <w:rFonts w:hint="eastAsia" w:ascii="宋体" w:hAnsi="宋体" w:eastAsia="宋体" w:cs="宋体"/>
          <w:bCs w:val="0"/>
          <w:sz w:val="24"/>
          <w:szCs w:val="24"/>
          <w:lang w:val="en-US"/>
        </w:rPr>
      </w:pPr>
      <w:bookmarkStart w:id="119" w:name="_Toc19973"/>
      <w:r>
        <w:rPr>
          <w:rFonts w:hint="eastAsia" w:ascii="宋体" w:hAnsi="宋体" w:eastAsia="宋体" w:cs="宋体"/>
          <w:bCs w:val="0"/>
          <w:sz w:val="24"/>
          <w:szCs w:val="24"/>
          <w:lang w:val="en-US"/>
        </w:rPr>
        <w:t>合同</w:t>
      </w:r>
      <w:r>
        <w:rPr>
          <w:rFonts w:hint="eastAsia" w:ascii="宋体" w:hAnsi="宋体" w:eastAsia="宋体" w:cs="宋体"/>
          <w:bCs w:val="0"/>
          <w:sz w:val="24"/>
          <w:szCs w:val="24"/>
        </w:rPr>
        <w:t>附件</w:t>
      </w:r>
      <w:r>
        <w:rPr>
          <w:rFonts w:hint="eastAsia" w:ascii="宋体" w:hAnsi="宋体" w:eastAsia="宋体" w:cs="宋体"/>
          <w:bCs w:val="0"/>
          <w:sz w:val="24"/>
          <w:szCs w:val="24"/>
          <w:lang w:val="en-US"/>
        </w:rPr>
        <w:t>3：</w:t>
      </w:r>
      <w:bookmarkEnd w:id="119"/>
    </w:p>
    <w:p w14:paraId="75CB654B">
      <w:pPr>
        <w:pageBreakBefore w:val="0"/>
        <w:widowControl w:val="0"/>
        <w:kinsoku/>
        <w:wordWrap/>
        <w:overflowPunct/>
        <w:topLinePunct w:val="0"/>
        <w:bidi w:val="0"/>
        <w:spacing w:before="156" w:beforeLines="50" w:after="156" w:afterLines="50" w:line="320" w:lineRule="exact"/>
        <w:jc w:val="center"/>
        <w:textAlignment w:val="auto"/>
        <w:rPr>
          <w:rFonts w:hint="eastAsia" w:ascii="宋体" w:hAnsi="宋体" w:eastAsia="宋体" w:cs="宋体"/>
          <w:sz w:val="24"/>
          <w:szCs w:val="24"/>
        </w:rPr>
      </w:pPr>
      <w:r>
        <w:rPr>
          <w:rFonts w:hint="eastAsia" w:ascii="宋体" w:hAnsi="宋体" w:eastAsia="宋体" w:cs="宋体"/>
          <w:b/>
          <w:bCs/>
          <w:sz w:val="32"/>
          <w:szCs w:val="32"/>
        </w:rPr>
        <w:t>安全管理协议</w:t>
      </w:r>
      <w:bookmarkEnd w:id="113"/>
      <w:bookmarkEnd w:id="114"/>
      <w:bookmarkEnd w:id="115"/>
      <w:bookmarkEnd w:id="116"/>
      <w:bookmarkEnd w:id="117"/>
      <w:bookmarkEnd w:id="118"/>
    </w:p>
    <w:p w14:paraId="0EC0930D">
      <w:pPr>
        <w:pageBreakBefore w:val="0"/>
        <w:widowControl w:val="0"/>
        <w:kinsoku/>
        <w:wordWrap/>
        <w:overflowPunct/>
        <w:topLinePunct w:val="0"/>
        <w:bidi w:val="0"/>
        <w:snapToGrid w:val="0"/>
        <w:spacing w:line="320" w:lineRule="exact"/>
        <w:textAlignment w:val="auto"/>
        <w:rPr>
          <w:rFonts w:hint="eastAsia" w:ascii="宋体" w:hAnsi="宋体" w:eastAsia="宋体" w:cs="宋体"/>
          <w:b/>
          <w:sz w:val="24"/>
          <w:szCs w:val="24"/>
          <w:u w:val="single"/>
        </w:rPr>
      </w:pPr>
      <w:r>
        <w:rPr>
          <w:rFonts w:hint="eastAsia" w:ascii="宋体" w:hAnsi="宋体" w:eastAsia="宋体" w:cs="宋体"/>
          <w:b/>
          <w:sz w:val="24"/>
          <w:szCs w:val="24"/>
        </w:rPr>
        <w:t>发包人（全称）：</w:t>
      </w:r>
      <w:r>
        <w:rPr>
          <w:rFonts w:hint="eastAsia" w:ascii="宋体" w:hAnsi="宋体" w:eastAsia="宋体" w:cs="宋体"/>
          <w:b/>
          <w:sz w:val="24"/>
          <w:szCs w:val="24"/>
          <w:u w:val="single"/>
        </w:rPr>
        <w:t xml:space="preserve">重庆理工职业学院（以下简称“发包人”）        </w:t>
      </w:r>
    </w:p>
    <w:p w14:paraId="5F93438E">
      <w:pPr>
        <w:pageBreakBefore w:val="0"/>
        <w:widowControl w:val="0"/>
        <w:kinsoku/>
        <w:wordWrap/>
        <w:overflowPunct/>
        <w:topLinePunct w:val="0"/>
        <w:bidi w:val="0"/>
        <w:snapToGrid w:val="0"/>
        <w:spacing w:line="320" w:lineRule="exact"/>
        <w:textAlignment w:val="auto"/>
        <w:rPr>
          <w:rFonts w:hint="eastAsia" w:ascii="宋体" w:hAnsi="宋体" w:eastAsia="宋体" w:cs="宋体"/>
          <w:b/>
          <w:sz w:val="24"/>
          <w:szCs w:val="24"/>
          <w:u w:val="single"/>
        </w:rPr>
      </w:pPr>
      <w:r>
        <w:rPr>
          <w:rFonts w:hint="eastAsia" w:ascii="宋体" w:hAnsi="宋体" w:eastAsia="宋体" w:cs="宋体"/>
          <w:b/>
          <w:sz w:val="24"/>
          <w:szCs w:val="24"/>
        </w:rPr>
        <w:t>承包人（全称）：</w:t>
      </w:r>
      <w:r>
        <w:rPr>
          <w:rFonts w:hint="eastAsia" w:ascii="宋体" w:hAnsi="宋体" w:eastAsia="宋体" w:cs="宋体"/>
          <w:b/>
          <w:sz w:val="24"/>
          <w:szCs w:val="24"/>
          <w:u w:val="single"/>
        </w:rPr>
        <w:t xml:space="preserve">                </w:t>
      </w:r>
      <w:r>
        <w:rPr>
          <w:rFonts w:hint="eastAsia" w:ascii="宋体" w:hAnsi="宋体" w:eastAsia="宋体" w:cs="宋体"/>
          <w:b/>
          <w:sz w:val="24"/>
          <w:szCs w:val="24"/>
          <w:u w:val="single"/>
          <w:lang w:eastAsia="zh-Hans"/>
        </w:rPr>
        <w:t>（</w:t>
      </w:r>
      <w:r>
        <w:rPr>
          <w:rFonts w:hint="eastAsia" w:ascii="宋体" w:hAnsi="宋体" w:eastAsia="宋体" w:cs="宋体"/>
          <w:b/>
          <w:sz w:val="24"/>
          <w:szCs w:val="24"/>
          <w:u w:val="single"/>
        </w:rPr>
        <w:t>以下简称“承包人”）</w:t>
      </w:r>
    </w:p>
    <w:p w14:paraId="34828C2B">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为了确保实现安全生产目标，进一步明确双方的安全管理责任，加强安全生产管理工作的协调、管理力度，（以下简称“发包人”）与（以下简称“承包人”）依据国家安全生产相关的法律、法规和安全方面的强制性国家标准或行业标准，双方同意签订该协议作为正式合同安全管理方面的补充规定，并承诺本协议具有与合同相同的法律效力。具体条款如下：</w:t>
      </w:r>
    </w:p>
    <w:p w14:paraId="69146DE9">
      <w:pPr>
        <w:pageBreakBefore w:val="0"/>
        <w:widowControl w:val="0"/>
        <w:kinsoku/>
        <w:wordWrap/>
        <w:overflowPunct/>
        <w:topLinePunct w:val="0"/>
        <w:bidi w:val="0"/>
        <w:spacing w:line="320" w:lineRule="exact"/>
        <w:ind w:firstLine="482" w:firstLineChars="200"/>
        <w:textAlignment w:val="auto"/>
        <w:rPr>
          <w:rFonts w:hint="eastAsia" w:ascii="宋体" w:hAnsi="宋体" w:eastAsia="宋体" w:cs="宋体"/>
          <w:b/>
          <w:bCs/>
          <w:sz w:val="24"/>
          <w:szCs w:val="24"/>
        </w:rPr>
      </w:pPr>
      <w:bookmarkStart w:id="120" w:name="_Toc247431423"/>
      <w:bookmarkStart w:id="121" w:name="_Toc532375700"/>
      <w:bookmarkStart w:id="122" w:name="_Toc247418263"/>
      <w:bookmarkStart w:id="123" w:name="_Toc239510289"/>
      <w:r>
        <w:rPr>
          <w:rFonts w:hint="eastAsia" w:ascii="宋体" w:hAnsi="宋体" w:eastAsia="宋体" w:cs="宋体"/>
          <w:b/>
          <w:bCs/>
          <w:sz w:val="24"/>
          <w:szCs w:val="24"/>
        </w:rPr>
        <w:t>一、协议有效期限</w:t>
      </w:r>
      <w:bookmarkEnd w:id="120"/>
      <w:bookmarkEnd w:id="121"/>
      <w:bookmarkEnd w:id="122"/>
      <w:bookmarkEnd w:id="123"/>
    </w:p>
    <w:p w14:paraId="217AE4DD">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本协议中所涉及的安全管理责任自合同签订之日起开始生效，至合同工程全部完工验收且经发包人与承包人签订移交协议生效后之日终止。</w:t>
      </w:r>
    </w:p>
    <w:p w14:paraId="6B790AD7">
      <w:pPr>
        <w:pageBreakBefore w:val="0"/>
        <w:widowControl w:val="0"/>
        <w:kinsoku/>
        <w:wordWrap/>
        <w:overflowPunct/>
        <w:topLinePunct w:val="0"/>
        <w:bidi w:val="0"/>
        <w:spacing w:line="320" w:lineRule="exact"/>
        <w:ind w:firstLine="482" w:firstLineChars="200"/>
        <w:textAlignment w:val="auto"/>
        <w:rPr>
          <w:rFonts w:hint="eastAsia" w:ascii="宋体" w:hAnsi="宋体" w:eastAsia="宋体" w:cs="宋体"/>
          <w:b/>
          <w:bCs/>
          <w:sz w:val="24"/>
          <w:szCs w:val="24"/>
        </w:rPr>
      </w:pPr>
      <w:bookmarkStart w:id="124" w:name="_Toc532375701"/>
      <w:bookmarkStart w:id="125" w:name="_Toc247431424"/>
      <w:bookmarkStart w:id="126" w:name="_Toc239510290"/>
      <w:bookmarkStart w:id="127" w:name="_Toc247418264"/>
      <w:r>
        <w:rPr>
          <w:rFonts w:hint="eastAsia" w:ascii="宋体" w:hAnsi="宋体" w:eastAsia="宋体" w:cs="宋体"/>
          <w:b/>
          <w:bCs/>
          <w:sz w:val="24"/>
          <w:szCs w:val="24"/>
        </w:rPr>
        <w:t>二、责任目标</w:t>
      </w:r>
      <w:bookmarkEnd w:id="124"/>
      <w:bookmarkEnd w:id="125"/>
      <w:bookmarkEnd w:id="126"/>
      <w:bookmarkEnd w:id="127"/>
    </w:p>
    <w:p w14:paraId="59CDBB1D">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（一）承包人承诺承担和履行合同和发包人所规定的安全责任，且满足要求。</w:t>
      </w:r>
    </w:p>
    <w:p w14:paraId="5037964C">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（二）承包人的安全控制目标是确保本工程在实施过程中：</w:t>
      </w:r>
    </w:p>
    <w:p w14:paraId="5C3ADE3F">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1．不发生人身重伤事故；</w:t>
      </w:r>
    </w:p>
    <w:p w14:paraId="254F072F">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2．不发生火灾事故；</w:t>
      </w:r>
    </w:p>
    <w:p w14:paraId="36F86462">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3．不发生负有同等及以上事故责任的造成人身重伤的一般交通事故；</w:t>
      </w:r>
    </w:p>
    <w:p w14:paraId="608615DD">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4．不发生集体食物中毒事件（同时5人及以上的食物中毒）；</w:t>
      </w:r>
    </w:p>
    <w:p w14:paraId="7EFF38A0">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5．不发生流行性传染病 （无甲型传染病、新冠疫情、其他常见传染病未形成多人同时患病）；</w:t>
      </w:r>
    </w:p>
    <w:p w14:paraId="70091406">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6．不发生重大环境污染事件（生活、工业垃圾及其他污染物造成环境污染和大面积水土流失）；</w:t>
      </w:r>
    </w:p>
    <w:p w14:paraId="219D1DD0">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7．不发生对施工区附近生产、生活造成重大影响的事件（如造成重大设备损坏、重大财产损失、人员伤害等）；</w:t>
      </w:r>
    </w:p>
    <w:p w14:paraId="581EC9CB">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8．不发生治安保卫事件（构成刑事拘留及以上的事件、盗窃直接损失超过1万元人民币的事件）。</w:t>
      </w:r>
    </w:p>
    <w:p w14:paraId="4637ED10">
      <w:pPr>
        <w:pageBreakBefore w:val="0"/>
        <w:widowControl w:val="0"/>
        <w:kinsoku/>
        <w:wordWrap/>
        <w:overflowPunct/>
        <w:topLinePunct w:val="0"/>
        <w:bidi w:val="0"/>
        <w:spacing w:line="320" w:lineRule="exact"/>
        <w:ind w:firstLine="482" w:firstLineChars="200"/>
        <w:textAlignment w:val="auto"/>
        <w:rPr>
          <w:rFonts w:hint="eastAsia" w:ascii="宋体" w:hAnsi="宋体" w:eastAsia="宋体" w:cs="宋体"/>
          <w:b/>
          <w:bCs/>
          <w:sz w:val="24"/>
          <w:szCs w:val="24"/>
        </w:rPr>
      </w:pPr>
      <w:bookmarkStart w:id="128" w:name="_Toc239510291"/>
      <w:bookmarkStart w:id="129" w:name="_Toc247418265"/>
      <w:bookmarkStart w:id="130" w:name="_Toc247431425"/>
      <w:r>
        <w:rPr>
          <w:rFonts w:hint="eastAsia" w:ascii="宋体" w:hAnsi="宋体" w:eastAsia="宋体" w:cs="宋体"/>
          <w:b/>
          <w:bCs/>
          <w:sz w:val="24"/>
          <w:szCs w:val="24"/>
        </w:rPr>
        <w:t>（三）承包人承诺在施工中控制以下安全事故的发生：</w:t>
      </w:r>
      <w:bookmarkEnd w:id="128"/>
      <w:bookmarkEnd w:id="129"/>
      <w:bookmarkEnd w:id="130"/>
    </w:p>
    <w:p w14:paraId="4436D8D9">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1．人员轻伤事故。</w:t>
      </w:r>
    </w:p>
    <w:p w14:paraId="3E8320DC">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2．负有同等及以上事故责任的人身轻伤交通事故。</w:t>
      </w:r>
    </w:p>
    <w:p w14:paraId="52A67703">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3．其他安全未遂事故和异常事件。</w:t>
      </w:r>
    </w:p>
    <w:p w14:paraId="1BD0B576">
      <w:pPr>
        <w:pageBreakBefore w:val="0"/>
        <w:widowControl w:val="0"/>
        <w:kinsoku/>
        <w:wordWrap/>
        <w:overflowPunct/>
        <w:topLinePunct w:val="0"/>
        <w:bidi w:val="0"/>
        <w:spacing w:line="320" w:lineRule="exact"/>
        <w:ind w:firstLine="482" w:firstLineChars="200"/>
        <w:textAlignment w:val="auto"/>
        <w:rPr>
          <w:rFonts w:hint="eastAsia" w:ascii="宋体" w:hAnsi="宋体" w:eastAsia="宋体" w:cs="宋体"/>
          <w:b/>
          <w:bCs/>
          <w:sz w:val="24"/>
          <w:szCs w:val="24"/>
        </w:rPr>
      </w:pPr>
      <w:bookmarkStart w:id="131" w:name="_Toc247418266"/>
      <w:bookmarkStart w:id="132" w:name="_Toc247431426"/>
      <w:bookmarkStart w:id="133" w:name="_Toc239510292"/>
      <w:bookmarkStart w:id="134" w:name="_Toc532375702"/>
      <w:r>
        <w:rPr>
          <w:rFonts w:hint="eastAsia" w:ascii="宋体" w:hAnsi="宋体" w:eastAsia="宋体" w:cs="宋体"/>
          <w:b/>
          <w:bCs/>
          <w:sz w:val="24"/>
          <w:szCs w:val="24"/>
        </w:rPr>
        <w:t>三、安全责任</w:t>
      </w:r>
      <w:bookmarkEnd w:id="131"/>
      <w:bookmarkEnd w:id="132"/>
      <w:bookmarkEnd w:id="133"/>
      <w:bookmarkEnd w:id="134"/>
    </w:p>
    <w:p w14:paraId="0DE3DFC0">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1．承包人负有安全生产的管理责任和直接责任。</w:t>
      </w:r>
    </w:p>
    <w:p w14:paraId="4067C1DC">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2．承包人的法人或签署合同的公司总经理或受委托的代理人对合同安全负有全面的领导责任。</w:t>
      </w:r>
    </w:p>
    <w:p w14:paraId="6F2400FB">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3．承包人项目经理对施工现场的安全工作负有全面的直接领导责任。</w:t>
      </w:r>
    </w:p>
    <w:p w14:paraId="2A1FDFAE">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4．承包人保证执行“谁施工、谁负责”的施工安全原则。</w:t>
      </w:r>
    </w:p>
    <w:p w14:paraId="7557A13B">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5．承包人保证服从发包人对安全工作的统一协调和管理。</w:t>
      </w:r>
    </w:p>
    <w:p w14:paraId="41A22142">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6．承包人保证对本工程项目安全生产条件及其管理资源自行投入，保证安全资金的专款专用。</w:t>
      </w:r>
    </w:p>
    <w:p w14:paraId="77B71339">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7．承包人保证建立本工程项目的安全管理体系及安全保证体系（注：项目安全管理大纲/手册、管理性的程序文件等）。</w:t>
      </w:r>
    </w:p>
    <w:p w14:paraId="5C468A32">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8．承包人保证现场的安全管理专职人员必须持有建设主管部门安全生产培训考核合格证书。</w:t>
      </w:r>
    </w:p>
    <w:p w14:paraId="2B75FAED">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9．承包人保证为现场所有工作人员（含分包商员工及劳务人员）配备符合国家标准的有承包人和/或其下属分包商标志的个人基本劳动保护用品。</w:t>
      </w:r>
    </w:p>
    <w:p w14:paraId="62FFB656">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10．承包人保证按照国家法律规定为现场所有工作人员（含分包商员工及劳务人员）购买意外伤害保险。</w:t>
      </w:r>
    </w:p>
    <w:p w14:paraId="61A29376">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11．承包人保证施工生活营地（包括自建的和租用的营地）满足消防、安全用电、卫生防疫、防暴雨、防雷击等方面的安全要求。</w:t>
      </w:r>
    </w:p>
    <w:p w14:paraId="43A74E84">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12．承包人保证对带入现场的设备、工具、材料按照国家法规和标准进行检测、试验，并持有法定部门出具的检验证书。</w:t>
      </w:r>
    </w:p>
    <w:p w14:paraId="6FA9313C">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13．承包人保证制订施工现场的文明施工措施，保护环境、树木和植被，保持施工现场的良好秩序和整洁的作业环境。</w:t>
      </w:r>
    </w:p>
    <w:p w14:paraId="3647BCBA">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14．承包人负责在施工过程中与当地政府、周边群众及其他承包商保持良好的沟通和交流。承包人遇到与周边群众发生纠纷时，应负责协调工作，确保工程能够顺利进行。</w:t>
      </w:r>
    </w:p>
    <w:p w14:paraId="4163576D">
      <w:pPr>
        <w:pageBreakBefore w:val="0"/>
        <w:widowControl w:val="0"/>
        <w:kinsoku/>
        <w:wordWrap/>
        <w:overflowPunct/>
        <w:topLinePunct w:val="0"/>
        <w:bidi w:val="0"/>
        <w:spacing w:line="320" w:lineRule="exact"/>
        <w:ind w:firstLine="482" w:firstLineChars="200"/>
        <w:textAlignment w:val="auto"/>
        <w:rPr>
          <w:rFonts w:hint="eastAsia" w:ascii="宋体" w:hAnsi="宋体" w:eastAsia="宋体" w:cs="宋体"/>
          <w:b/>
          <w:bCs/>
          <w:sz w:val="24"/>
          <w:szCs w:val="24"/>
        </w:rPr>
      </w:pPr>
      <w:bookmarkStart w:id="135" w:name="_Toc532375703"/>
      <w:bookmarkStart w:id="136" w:name="_Toc247431427"/>
      <w:bookmarkStart w:id="137" w:name="_Toc247418267"/>
      <w:bookmarkStart w:id="138" w:name="_Toc239510293"/>
      <w:r>
        <w:rPr>
          <w:rFonts w:hint="eastAsia" w:ascii="宋体" w:hAnsi="宋体" w:eastAsia="宋体" w:cs="宋体"/>
          <w:b/>
          <w:bCs/>
          <w:sz w:val="24"/>
          <w:szCs w:val="24"/>
        </w:rPr>
        <w:t>四、接口及协调</w:t>
      </w:r>
      <w:bookmarkEnd w:id="135"/>
      <w:bookmarkEnd w:id="136"/>
      <w:bookmarkEnd w:id="137"/>
      <w:bookmarkEnd w:id="138"/>
    </w:p>
    <w:p w14:paraId="6429E11C">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1．发包人委托监理公司对该工程实施监理，监理公司在安全管理方面代表发包人行使监督检查职能，承包人必须给予配合和支持。</w:t>
      </w:r>
    </w:p>
    <w:p w14:paraId="01C841B2">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2．承包人人员、车辆的出入，带入现场的设备、机具、材料，在现场使用的或直接管理的办公、生活、生产性设施的安全管理须满足发包人现场管理的基本要求。</w:t>
      </w:r>
    </w:p>
    <w:p w14:paraId="209CB96D">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3．承包人应指定专职安全管理人员与发包人委托的监理公司接口，参与安全协调和管理。安全协调和管理的内容包括职业健康、工业安全、消防安全、卫生防疫、交通安全、环境保护、治安保卫等各方面。</w:t>
      </w:r>
    </w:p>
    <w:p w14:paraId="77E671D6">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4．承包人的专职安全管理人员应具备协调安全工作的能力和授权。发包人委托的监理公司有权对专职安全管理人员的能力和权力做出评价，对于不能胜任的专职安全管理人员，发包人委托的监理公司有权要求承包人换人。</w:t>
      </w:r>
    </w:p>
    <w:p w14:paraId="5F5F127A">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5．承包人指定的专职安全管理人员应与发包人委托的监理公司建立联系，在业务上接受发包人委托的监理公司的协调和指导。</w:t>
      </w:r>
    </w:p>
    <w:p w14:paraId="6C429122">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6．开工后承包人的专职安全管理人员应按照发包人委托的监理公司的规定，定期报送安全月度快报、季报、年报和各种专项事故报告等。</w:t>
      </w:r>
    </w:p>
    <w:p w14:paraId="1C2315AF">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7．在工程实体未全部正式移交发包人施工管理部门之前，承包人依旧对施工范围内的安全管理负责。</w:t>
      </w:r>
    </w:p>
    <w:p w14:paraId="24BC7EC5">
      <w:pPr>
        <w:pageBreakBefore w:val="0"/>
        <w:widowControl w:val="0"/>
        <w:kinsoku/>
        <w:wordWrap/>
        <w:overflowPunct/>
        <w:topLinePunct w:val="0"/>
        <w:bidi w:val="0"/>
        <w:spacing w:line="320" w:lineRule="exact"/>
        <w:ind w:firstLine="482" w:firstLineChars="200"/>
        <w:textAlignment w:val="auto"/>
        <w:rPr>
          <w:rFonts w:hint="eastAsia" w:ascii="宋体" w:hAnsi="宋体" w:eastAsia="宋体" w:cs="宋体"/>
          <w:b/>
          <w:bCs/>
          <w:sz w:val="24"/>
          <w:szCs w:val="24"/>
        </w:rPr>
      </w:pPr>
      <w:bookmarkStart w:id="139" w:name="_Toc247418268"/>
      <w:bookmarkStart w:id="140" w:name="_Toc247431428"/>
      <w:bookmarkStart w:id="141" w:name="_Toc239510294"/>
      <w:bookmarkStart w:id="142" w:name="_Toc532375704"/>
      <w:r>
        <w:rPr>
          <w:rFonts w:hint="eastAsia" w:ascii="宋体" w:hAnsi="宋体" w:eastAsia="宋体" w:cs="宋体"/>
          <w:b/>
          <w:bCs/>
          <w:sz w:val="24"/>
          <w:szCs w:val="24"/>
        </w:rPr>
        <w:t>五、安全资质审查</w:t>
      </w:r>
      <w:bookmarkEnd w:id="139"/>
      <w:bookmarkEnd w:id="140"/>
      <w:bookmarkEnd w:id="141"/>
      <w:bookmarkEnd w:id="142"/>
    </w:p>
    <w:p w14:paraId="60FEBCBC">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承包人在项目开工前5个工作天内向发包人委托的监理公司提供以下安全资质供审查和存档：</w:t>
      </w:r>
    </w:p>
    <w:p w14:paraId="5EC1DE43">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1．企业安全生产许可证书复印件。</w:t>
      </w:r>
    </w:p>
    <w:p w14:paraId="3734BCA4">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2．企业近三年的施工简历及安全施工业绩证明文件。</w:t>
      </w:r>
    </w:p>
    <w:p w14:paraId="7755EF06">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3．企业主要安全管理人员（包括项目经理、专职安全管理人员）经建设主管部门安全生产知识考核合格证书。</w:t>
      </w:r>
    </w:p>
    <w:p w14:paraId="66D494AA">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4．特种作业人员资格证书。</w:t>
      </w:r>
    </w:p>
    <w:p w14:paraId="5CBEFC1D">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5．项目安全管理机构及其人员配备（承包人必须配有专职的安全员）。</w:t>
      </w:r>
    </w:p>
    <w:p w14:paraId="57AA2248">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6．适用于项目的安全管理体系及保证体系文件（安全管理大纲及管理程序文件）。</w:t>
      </w:r>
    </w:p>
    <w:p w14:paraId="3B491E02">
      <w:pPr>
        <w:pageBreakBefore w:val="0"/>
        <w:widowControl w:val="0"/>
        <w:kinsoku/>
        <w:wordWrap/>
        <w:overflowPunct/>
        <w:topLinePunct w:val="0"/>
        <w:bidi w:val="0"/>
        <w:spacing w:line="320" w:lineRule="exact"/>
        <w:ind w:firstLine="482" w:firstLineChars="200"/>
        <w:textAlignment w:val="auto"/>
        <w:rPr>
          <w:rFonts w:hint="eastAsia" w:ascii="宋体" w:hAnsi="宋体" w:eastAsia="宋体" w:cs="宋体"/>
          <w:b/>
          <w:bCs/>
          <w:sz w:val="24"/>
          <w:szCs w:val="24"/>
        </w:rPr>
      </w:pPr>
      <w:bookmarkStart w:id="143" w:name="_Toc247418269"/>
      <w:bookmarkStart w:id="144" w:name="_Toc239510295"/>
      <w:bookmarkStart w:id="145" w:name="_Toc532375705"/>
      <w:bookmarkStart w:id="146" w:name="_Toc247431429"/>
      <w:r>
        <w:rPr>
          <w:rFonts w:hint="eastAsia" w:ascii="宋体" w:hAnsi="宋体" w:eastAsia="宋体" w:cs="宋体"/>
          <w:b/>
          <w:bCs/>
          <w:sz w:val="24"/>
          <w:szCs w:val="24"/>
        </w:rPr>
        <w:t>六、人员基本素质</w:t>
      </w:r>
      <w:bookmarkEnd w:id="143"/>
      <w:bookmarkEnd w:id="144"/>
      <w:bookmarkEnd w:id="145"/>
      <w:bookmarkEnd w:id="146"/>
    </w:p>
    <w:p w14:paraId="3023CCC7">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承包人提供的人员必须满足下列要求：</w:t>
      </w:r>
    </w:p>
    <w:p w14:paraId="37997849">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1．身体健康，无影响工作的精神疾病、无传染病和其他重大疾病；承包人需对其雇用的施工人员签发健康声明并保证其健康。其中体检证明材料（县级以上医院）和健康声明作为人员办理入场证件的必备材料。</w:t>
      </w:r>
    </w:p>
    <w:p w14:paraId="558AA94F">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2．无刑事案件牵连。</w:t>
      </w:r>
    </w:p>
    <w:p w14:paraId="2A462881">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3．无吸毒、酗酒、赌博、嫖娼等恶习及违法行为。</w:t>
      </w:r>
    </w:p>
    <w:p w14:paraId="66B37F27">
      <w:pPr>
        <w:pageBreakBefore w:val="0"/>
        <w:widowControl w:val="0"/>
        <w:kinsoku/>
        <w:wordWrap/>
        <w:overflowPunct/>
        <w:topLinePunct w:val="0"/>
        <w:bidi w:val="0"/>
        <w:spacing w:line="320" w:lineRule="exact"/>
        <w:ind w:firstLine="482" w:firstLineChars="200"/>
        <w:textAlignment w:val="auto"/>
        <w:rPr>
          <w:rFonts w:hint="eastAsia" w:ascii="宋体" w:hAnsi="宋体" w:eastAsia="宋体" w:cs="宋体"/>
          <w:b/>
          <w:bCs/>
          <w:sz w:val="24"/>
          <w:szCs w:val="24"/>
        </w:rPr>
      </w:pPr>
      <w:bookmarkStart w:id="147" w:name="_Toc247431430"/>
      <w:bookmarkStart w:id="148" w:name="_Toc247418270"/>
      <w:bookmarkStart w:id="149" w:name="_Toc532375706"/>
      <w:bookmarkStart w:id="150" w:name="_Toc239510296"/>
      <w:r>
        <w:rPr>
          <w:rFonts w:hint="eastAsia" w:ascii="宋体" w:hAnsi="宋体" w:eastAsia="宋体" w:cs="宋体"/>
          <w:b/>
          <w:bCs/>
          <w:sz w:val="24"/>
          <w:szCs w:val="24"/>
        </w:rPr>
        <w:t>七、劳动保护</w:t>
      </w:r>
      <w:bookmarkEnd w:id="147"/>
      <w:bookmarkEnd w:id="148"/>
      <w:bookmarkEnd w:id="149"/>
      <w:bookmarkEnd w:id="150"/>
    </w:p>
    <w:p w14:paraId="5CBA08DB">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1．承包人负责为本单位任何用工形式的员工提供个人劳动保护用品（包括工作服、安全帽、安全鞋等）。</w:t>
      </w:r>
    </w:p>
    <w:p w14:paraId="446BDF60">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2．承包人负责向特殊工种的员工提供特殊劳动保护，否则不得从事特殊工种作业。</w:t>
      </w:r>
    </w:p>
    <w:p w14:paraId="5F19E39D">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3．发包人委托的监理公司有权检查承包人的个人劳动保护用品是否符合国家的相应标准。</w:t>
      </w:r>
    </w:p>
    <w:p w14:paraId="611744DC">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4． 承包人在特殊风险场所作业而需要特殊防护用品或安全仪表时，必须在上述防护用品全部到位后才能开工。</w:t>
      </w:r>
    </w:p>
    <w:p w14:paraId="76274FA3">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5．承包人应配备临时安全围栏、警示带、警告标志、防火布等集体防护用品。</w:t>
      </w:r>
    </w:p>
    <w:p w14:paraId="7A432B64">
      <w:pPr>
        <w:pageBreakBefore w:val="0"/>
        <w:widowControl w:val="0"/>
        <w:kinsoku/>
        <w:wordWrap/>
        <w:overflowPunct/>
        <w:topLinePunct w:val="0"/>
        <w:bidi w:val="0"/>
        <w:spacing w:line="320" w:lineRule="exact"/>
        <w:ind w:firstLine="482" w:firstLineChars="200"/>
        <w:textAlignment w:val="auto"/>
        <w:rPr>
          <w:rFonts w:hint="eastAsia" w:ascii="宋体" w:hAnsi="宋体" w:eastAsia="宋体" w:cs="宋体"/>
          <w:b/>
          <w:bCs/>
          <w:sz w:val="24"/>
          <w:szCs w:val="24"/>
        </w:rPr>
      </w:pPr>
      <w:bookmarkStart w:id="151" w:name="_Toc239510297"/>
      <w:bookmarkStart w:id="152" w:name="_Toc532375707"/>
      <w:bookmarkStart w:id="153" w:name="_Toc247418271"/>
      <w:bookmarkStart w:id="154" w:name="_Toc247431431"/>
      <w:r>
        <w:rPr>
          <w:rFonts w:hint="eastAsia" w:ascii="宋体" w:hAnsi="宋体" w:eastAsia="宋体" w:cs="宋体"/>
          <w:b/>
          <w:bCs/>
          <w:sz w:val="24"/>
          <w:szCs w:val="24"/>
        </w:rPr>
        <w:t>八、施工机具与材料</w:t>
      </w:r>
      <w:bookmarkEnd w:id="151"/>
      <w:bookmarkEnd w:id="152"/>
      <w:bookmarkEnd w:id="153"/>
      <w:bookmarkEnd w:id="154"/>
    </w:p>
    <w:p w14:paraId="05FDE2AF">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1．承包人对带入现场的施工机械和工器具的安全负责。</w:t>
      </w:r>
    </w:p>
    <w:p w14:paraId="65A1AEEE">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2．对于承包人带入现场的特殊工器具，如起重设备、索具、机动车辆、压缩气瓶等，承包人必须按国家法规和标准进行检测、试验，并持有法定部门出具的检验证书。</w:t>
      </w:r>
    </w:p>
    <w:p w14:paraId="119E6205">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3．对于不属于法定检测的工器具，承包人也必须建立相应的管理、检测制度，这些工器具包括登高工具、脚手架材料、电动工具、安全防护设备及用具等。</w:t>
      </w:r>
    </w:p>
    <w:p w14:paraId="0CF9628C">
      <w:pPr>
        <w:pageBreakBefore w:val="0"/>
        <w:widowControl w:val="0"/>
        <w:kinsoku/>
        <w:wordWrap/>
        <w:overflowPunct/>
        <w:topLinePunct w:val="0"/>
        <w:bidi w:val="0"/>
        <w:spacing w:line="320" w:lineRule="exact"/>
        <w:ind w:firstLine="482" w:firstLineChars="200"/>
        <w:textAlignment w:val="auto"/>
        <w:rPr>
          <w:rFonts w:hint="eastAsia" w:ascii="宋体" w:hAnsi="宋体" w:eastAsia="宋体" w:cs="宋体"/>
          <w:b/>
          <w:bCs/>
          <w:sz w:val="24"/>
          <w:szCs w:val="24"/>
        </w:rPr>
      </w:pPr>
      <w:bookmarkStart w:id="155" w:name="_Toc532375708"/>
      <w:bookmarkStart w:id="156" w:name="_Toc239510298"/>
      <w:bookmarkStart w:id="157" w:name="_Toc247431432"/>
      <w:bookmarkStart w:id="158" w:name="_Toc247418272"/>
      <w:r>
        <w:rPr>
          <w:rFonts w:hint="eastAsia" w:ascii="宋体" w:hAnsi="宋体" w:eastAsia="宋体" w:cs="宋体"/>
          <w:b/>
          <w:bCs/>
          <w:sz w:val="24"/>
          <w:szCs w:val="24"/>
        </w:rPr>
        <w:t>九、开工前安全条件检查</w:t>
      </w:r>
      <w:bookmarkEnd w:id="155"/>
      <w:bookmarkEnd w:id="156"/>
      <w:bookmarkEnd w:id="157"/>
      <w:bookmarkEnd w:id="158"/>
    </w:p>
    <w:p w14:paraId="7A6E0154">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发包人委托的监理公司将在合同生效后，工程项目正式开工5个工作日前，依据合同安全条款的要求逐项对承包人安全准备情况进行检查。不满足开工安全条件时，承包人将不得开工，由此产生的工期和成本的影响，由承包人自行负责。</w:t>
      </w:r>
    </w:p>
    <w:p w14:paraId="52A47668">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开工前安全条件检查的基本内容包括：安全管理体系建设、安全资金投入、危险源识别和安全风险分析、施工机械的安全状况、安全工器具和材料、安全培训教材和教员、专职安全人员的到岗情况、培训的有效性、人员控制、个人劳动保护用品配备等内容。</w:t>
      </w:r>
    </w:p>
    <w:p w14:paraId="50BABAD4">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3．发包人委托的监理公司检查发现的缺陷，承包人应在规定期限内完成整改。对于重大缺陷，发包人委托的监理公司有权要求承包人推迟开工，由此对工期产生的影响或经济损失，由承包人承担。</w:t>
      </w:r>
    </w:p>
    <w:p w14:paraId="304E43AD">
      <w:pPr>
        <w:pageBreakBefore w:val="0"/>
        <w:widowControl w:val="0"/>
        <w:kinsoku/>
        <w:wordWrap/>
        <w:overflowPunct/>
        <w:topLinePunct w:val="0"/>
        <w:bidi w:val="0"/>
        <w:spacing w:line="320" w:lineRule="exact"/>
        <w:ind w:firstLine="482" w:firstLineChars="200"/>
        <w:textAlignment w:val="auto"/>
        <w:rPr>
          <w:rFonts w:hint="eastAsia" w:ascii="宋体" w:hAnsi="宋体" w:eastAsia="宋体" w:cs="宋体"/>
          <w:b/>
          <w:bCs/>
          <w:sz w:val="24"/>
          <w:szCs w:val="24"/>
        </w:rPr>
      </w:pPr>
      <w:bookmarkStart w:id="159" w:name="_Toc532375709"/>
      <w:bookmarkStart w:id="160" w:name="_Toc239510299"/>
      <w:bookmarkStart w:id="161" w:name="_Toc247418273"/>
      <w:bookmarkStart w:id="162" w:name="_Toc247431433"/>
      <w:r>
        <w:rPr>
          <w:rFonts w:hint="eastAsia" w:ascii="宋体" w:hAnsi="宋体" w:eastAsia="宋体" w:cs="宋体"/>
          <w:b/>
          <w:bCs/>
          <w:sz w:val="24"/>
          <w:szCs w:val="24"/>
        </w:rPr>
        <w:t>十、安全监督</w:t>
      </w:r>
      <w:bookmarkEnd w:id="159"/>
      <w:bookmarkEnd w:id="160"/>
      <w:bookmarkEnd w:id="161"/>
      <w:bookmarkEnd w:id="162"/>
    </w:p>
    <w:p w14:paraId="26DA53EC">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1．承包人应配备有满足项目安全管理需要的专职安全管理人员。</w:t>
      </w:r>
    </w:p>
    <w:p w14:paraId="3EA95B97">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2．承包人的专职安全管理人员必须持建设主管部门颁发的安全生产知识考核合格证书。</w:t>
      </w:r>
    </w:p>
    <w:p w14:paraId="0F6C9A1B">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3．承包人的专职安全管理人员在业务上接受发包人委托的监理公司和发包人安全管理部门的协调和指导。</w:t>
      </w:r>
    </w:p>
    <w:p w14:paraId="48F3CFCB">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4．承包人应建立班前安全交底制度；施工期间坚持开展安全检查和日常安全监督并形成相应的记录。</w:t>
      </w:r>
    </w:p>
    <w:p w14:paraId="552EAC71">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5．承包人应在每个作业区任命兼职安全员，赋予兼职安全员相应的授权和义务，并对兼职安全员进行定期考核。</w:t>
      </w:r>
    </w:p>
    <w:p w14:paraId="04BE64A2">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6．承包人应接受和配合发包人专业部门及委托的监理公司的监督与安全评价。</w:t>
      </w:r>
    </w:p>
    <w:p w14:paraId="69BDFD66">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7．发包人和委托的监理公司有权对承包人履行安全管理协议的情况进行监督，并有权对违章行为实行停工和处罚，处罚情况将通知承包人。涉及经济处罚时将直接通知合同管理部门从合同结算中扣除。</w:t>
      </w:r>
    </w:p>
    <w:p w14:paraId="6A3FD58B">
      <w:pPr>
        <w:pageBreakBefore w:val="0"/>
        <w:widowControl w:val="0"/>
        <w:kinsoku/>
        <w:wordWrap/>
        <w:overflowPunct/>
        <w:topLinePunct w:val="0"/>
        <w:bidi w:val="0"/>
        <w:spacing w:line="320" w:lineRule="exact"/>
        <w:ind w:firstLine="482" w:firstLineChars="200"/>
        <w:textAlignment w:val="auto"/>
        <w:rPr>
          <w:rFonts w:hint="eastAsia" w:ascii="宋体" w:hAnsi="宋体" w:eastAsia="宋体" w:cs="宋体"/>
          <w:b/>
          <w:bCs/>
          <w:sz w:val="24"/>
          <w:szCs w:val="24"/>
        </w:rPr>
      </w:pPr>
      <w:bookmarkStart w:id="163" w:name="_Toc532375710"/>
      <w:bookmarkStart w:id="164" w:name="_Toc247431434"/>
      <w:bookmarkStart w:id="165" w:name="_Toc239510300"/>
      <w:bookmarkStart w:id="166" w:name="_Toc247418274"/>
      <w:r>
        <w:rPr>
          <w:rFonts w:hint="eastAsia" w:ascii="宋体" w:hAnsi="宋体" w:eastAsia="宋体" w:cs="宋体"/>
          <w:b/>
          <w:bCs/>
          <w:sz w:val="24"/>
          <w:szCs w:val="24"/>
        </w:rPr>
        <w:t>十一、安全培训与授权</w:t>
      </w:r>
      <w:bookmarkEnd w:id="163"/>
      <w:bookmarkEnd w:id="164"/>
      <w:bookmarkEnd w:id="165"/>
      <w:bookmarkEnd w:id="166"/>
    </w:p>
    <w:p w14:paraId="5800E311">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1．承包人所有特殊工种人员必须持证上岗，发包人和发包人委托的监理公司有权对其进行抽查。承包人要建立特殊工种定期培训和检查计划，这些工种包括但不限于：机动车驾驶员、焊工、起重工、电工等。</w:t>
      </w:r>
    </w:p>
    <w:p w14:paraId="18CBA801">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2．承包人应在特殊工种之外的其他工种中，筛选出高风险工种，并对其开展针对性的专题安全培训。</w:t>
      </w:r>
    </w:p>
    <w:p w14:paraId="3E2BD3A1">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3．承包人应组织 “入场培训”和考核。发包人委托的监理公司有权监督培训、考核情况或组织抽查考核。</w:t>
      </w:r>
    </w:p>
    <w:p w14:paraId="2B6C9612">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4．承包人应建立安全培训和考核机制，编制培训教材和培训滚动计划。承包人应组织安全考试/考核，建立培训考核记录，发包人委托的监理公司有权查看这些记录。</w:t>
      </w:r>
    </w:p>
    <w:p w14:paraId="4BEF0937">
      <w:pPr>
        <w:pageBreakBefore w:val="0"/>
        <w:widowControl w:val="0"/>
        <w:kinsoku/>
        <w:wordWrap/>
        <w:overflowPunct/>
        <w:topLinePunct w:val="0"/>
        <w:bidi w:val="0"/>
        <w:spacing w:line="320" w:lineRule="exact"/>
        <w:ind w:firstLine="482" w:firstLineChars="200"/>
        <w:textAlignment w:val="auto"/>
        <w:rPr>
          <w:rFonts w:hint="eastAsia" w:ascii="宋体" w:hAnsi="宋体" w:eastAsia="宋体" w:cs="宋体"/>
          <w:b/>
          <w:bCs/>
          <w:sz w:val="24"/>
          <w:szCs w:val="24"/>
        </w:rPr>
      </w:pPr>
      <w:bookmarkStart w:id="167" w:name="_Toc247431435"/>
      <w:bookmarkStart w:id="168" w:name="_Toc532375711"/>
      <w:bookmarkStart w:id="169" w:name="_Toc239510301"/>
      <w:bookmarkStart w:id="170" w:name="_Toc247418275"/>
      <w:r>
        <w:rPr>
          <w:rFonts w:hint="eastAsia" w:ascii="宋体" w:hAnsi="宋体" w:eastAsia="宋体" w:cs="宋体"/>
          <w:b/>
          <w:bCs/>
          <w:sz w:val="24"/>
          <w:szCs w:val="24"/>
        </w:rPr>
        <w:t>十二、职业健康与卫生防疫</w:t>
      </w:r>
      <w:bookmarkEnd w:id="167"/>
      <w:bookmarkEnd w:id="168"/>
      <w:bookmarkEnd w:id="169"/>
      <w:bookmarkEnd w:id="170"/>
    </w:p>
    <w:p w14:paraId="2525CE6B">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1．承包人应有特殊健康检查制度，预防有禁忌症患者从事有关职业，如恐高症患者不得从事高空作业，患有心血管疾病的人员不得从事繁重的体力劳动，特殊工种人员的体检应符合国家的规定。</w:t>
      </w:r>
    </w:p>
    <w:p w14:paraId="64DF5FDE">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2．承包人应保证卫生防疫基本设施的投入，以满足医疗、急救的要求，建立外部医疗支持渠道。</w:t>
      </w:r>
    </w:p>
    <w:p w14:paraId="74E6FC9C">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应建立卫生防疫措施计划，做好生活区和施工区的卫生防疫工作；制定和执行保证饮水卫生、饮食卫生、环境卫生和预防集体食物中毒的措施；有灭蚊、灭鼠和消毒的专项工作计划；有针对性地制订预防SARS、禽流感、疟疾、霍乱、肠道传染病、肝炎、新冠肺炎、H1N1流感等疾病的措施。</w:t>
      </w:r>
    </w:p>
    <w:p w14:paraId="010B5B82">
      <w:pPr>
        <w:pageBreakBefore w:val="0"/>
        <w:widowControl w:val="0"/>
        <w:kinsoku/>
        <w:wordWrap/>
        <w:overflowPunct/>
        <w:topLinePunct w:val="0"/>
        <w:bidi w:val="0"/>
        <w:spacing w:line="320" w:lineRule="exact"/>
        <w:ind w:firstLine="482" w:firstLineChars="200"/>
        <w:textAlignment w:val="auto"/>
        <w:rPr>
          <w:rFonts w:hint="eastAsia" w:ascii="宋体" w:hAnsi="宋体" w:eastAsia="宋体" w:cs="宋体"/>
          <w:b/>
          <w:bCs/>
          <w:sz w:val="24"/>
          <w:szCs w:val="24"/>
        </w:rPr>
      </w:pPr>
      <w:bookmarkStart w:id="171" w:name="_Toc247431436"/>
      <w:bookmarkStart w:id="172" w:name="_Toc532375712"/>
      <w:bookmarkStart w:id="173" w:name="_Toc239510302"/>
      <w:bookmarkStart w:id="174" w:name="_Toc247418276"/>
      <w:r>
        <w:rPr>
          <w:rFonts w:hint="eastAsia" w:ascii="宋体" w:hAnsi="宋体" w:eastAsia="宋体" w:cs="宋体"/>
          <w:b/>
          <w:bCs/>
          <w:sz w:val="24"/>
          <w:szCs w:val="24"/>
        </w:rPr>
        <w:t>十三、文明施工与环保要求</w:t>
      </w:r>
      <w:bookmarkEnd w:id="171"/>
      <w:bookmarkEnd w:id="172"/>
      <w:bookmarkEnd w:id="173"/>
      <w:bookmarkEnd w:id="174"/>
    </w:p>
    <w:p w14:paraId="10784903">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1．承包人需制订施工现场的文明施工措施，保持良好的施工现场秩序。施工现场的物料堆放要摆放整齐，安全标志和宣传标志要清楚醒目，废料、废物要分类收集，安全通道要畅通。</w:t>
      </w:r>
    </w:p>
    <w:p w14:paraId="63B35F9D">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2．承包人作业时应避免建筑材料抛洒、飞扬、流淌；应尽可能降低噪音、震动。</w:t>
      </w:r>
    </w:p>
    <w:p w14:paraId="6D4B2164">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3．承包人应根据实际需要，在施工现场布置临时卫生设施（洗手间、卫生间等），施工作业不破坏环境卫生，不污染现场环境。</w:t>
      </w:r>
    </w:p>
    <w:p w14:paraId="0B9694D2">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4．承包人在施工中应充分重视对环境的保护，保护绿色植被，保护古树。施工如需伤害古树，必须报告发包人委托的监理公司，在未得到指令前，禁止擅自伤害古树。</w:t>
      </w:r>
    </w:p>
    <w:p w14:paraId="30C6A7D9">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5．承包人应及时清理现场废物和垃圾。工业废料与生活垃圾必须分开，有害废物与普通废物必须分开（如油品废物、电池灯管等，必须单独收集、存放）；禁止在非指定场所乱倒、乱堆垃圾。禁止违章处理危险化学品和工业垃圾。</w:t>
      </w:r>
    </w:p>
    <w:p w14:paraId="6B1E95A1">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6．承包人在施工中应禁止向环境，排放工业污水、生活污水、废油或其他有害物质。</w:t>
      </w:r>
    </w:p>
    <w:p w14:paraId="700FCD94">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7．承包人在施工中应防止水土流失，应及时对裸露的地基、边坡、开挖出来的沙/土以及砂、石、水泥等建筑材料予以保护，防止风刮扬尘，雨水冲刷，流入下水道、排洪沟。如因防护不及时而造成大量水土流失、淤塞道路、沟道或污染环境的，承包人应承担清淤、清扫以及相应的赔偿责任。</w:t>
      </w:r>
    </w:p>
    <w:p w14:paraId="1B62E1CC">
      <w:pPr>
        <w:pageBreakBefore w:val="0"/>
        <w:widowControl w:val="0"/>
        <w:kinsoku/>
        <w:wordWrap/>
        <w:overflowPunct/>
        <w:topLinePunct w:val="0"/>
        <w:bidi w:val="0"/>
        <w:spacing w:line="320" w:lineRule="exact"/>
        <w:ind w:firstLine="482" w:firstLineChars="200"/>
        <w:textAlignment w:val="auto"/>
        <w:rPr>
          <w:rFonts w:hint="eastAsia" w:ascii="宋体" w:hAnsi="宋体" w:eastAsia="宋体" w:cs="宋体"/>
          <w:b/>
          <w:bCs/>
          <w:sz w:val="24"/>
          <w:szCs w:val="24"/>
        </w:rPr>
      </w:pPr>
      <w:bookmarkStart w:id="175" w:name="_Toc532375713"/>
      <w:bookmarkStart w:id="176" w:name="_Toc247431437"/>
      <w:bookmarkStart w:id="177" w:name="_Toc239510303"/>
      <w:bookmarkStart w:id="178" w:name="_Toc247418277"/>
      <w:r>
        <w:rPr>
          <w:rFonts w:hint="eastAsia" w:ascii="宋体" w:hAnsi="宋体" w:eastAsia="宋体" w:cs="宋体"/>
          <w:b/>
          <w:bCs/>
          <w:sz w:val="24"/>
          <w:szCs w:val="24"/>
        </w:rPr>
        <w:t>十四、工程风险管理与事故预防</w:t>
      </w:r>
      <w:bookmarkEnd w:id="175"/>
      <w:bookmarkEnd w:id="176"/>
      <w:bookmarkEnd w:id="177"/>
      <w:bookmarkEnd w:id="178"/>
    </w:p>
    <w:p w14:paraId="0F858F66">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bookmarkStart w:id="179" w:name="_Toc247418278"/>
      <w:bookmarkStart w:id="180" w:name="_Toc239510304"/>
      <w:bookmarkStart w:id="181" w:name="_Toc247431438"/>
      <w:r>
        <w:rPr>
          <w:rFonts w:hint="eastAsia" w:ascii="宋体" w:hAnsi="宋体" w:eastAsia="宋体" w:cs="宋体"/>
          <w:sz w:val="24"/>
          <w:szCs w:val="24"/>
        </w:rPr>
        <w:t>（一）基本要求</w:t>
      </w:r>
      <w:bookmarkEnd w:id="179"/>
      <w:bookmarkEnd w:id="180"/>
      <w:bookmarkEnd w:id="181"/>
    </w:p>
    <w:p w14:paraId="689A3F56">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bookmarkStart w:id="182" w:name="_Toc532375714"/>
      <w:r>
        <w:rPr>
          <w:rFonts w:hint="eastAsia" w:ascii="宋体" w:hAnsi="宋体" w:eastAsia="宋体" w:cs="宋体"/>
          <w:sz w:val="24"/>
          <w:szCs w:val="24"/>
        </w:rPr>
        <w:t>1．承包人应对施工过程进行全面、深入的危险源识别和风险分析。在施工安全组织设计中提供危险源及重要危险源清单、作业风险分析报告，该报告应包括（但不限于）如下信息：</w:t>
      </w:r>
      <w:bookmarkEnd w:id="182"/>
    </w:p>
    <w:p w14:paraId="351FA44C">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（1）高风险作业和工种清单：作业名称、类别和数量、主要事故风险。</w:t>
      </w:r>
    </w:p>
    <w:p w14:paraId="073E73E3">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（2）施工能源和机械的种类、数量和主要事故风险。</w:t>
      </w:r>
    </w:p>
    <w:p w14:paraId="7F2E9863">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（3）施工作业条件的类型和主要事故风险。</w:t>
      </w:r>
    </w:p>
    <w:p w14:paraId="3D34A7E0">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（4）主要工艺过程（或施工活动）的类别及其相关的事故风险。</w:t>
      </w:r>
    </w:p>
    <w:p w14:paraId="11E6D87A">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（5）主要火灾危险（可燃物、点火源）。</w:t>
      </w:r>
    </w:p>
    <w:p w14:paraId="3B6C6B7A">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（6）主要自然灾害（洪水、大风、雷暴、暴雨、地质灾害等）。</w:t>
      </w:r>
    </w:p>
    <w:p w14:paraId="0F9DE9DE">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（7）主要环境保护事件（有害垃圾、机械的跑冒滴漏、原材料流失、水土流失等）。</w:t>
      </w:r>
    </w:p>
    <w:p w14:paraId="1F060EAC">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（8）其他。</w:t>
      </w:r>
    </w:p>
    <w:p w14:paraId="382F6AD6">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2．承包人应针对识别出的危险源制定有针对性的事故预防措施并确保在施工中得到有效落实。</w:t>
      </w:r>
    </w:p>
    <w:p w14:paraId="7079CE37">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3．承包人应建立日常施工活动的动态作业风险分析和安全交底制度。该制度应明确规定风险分析的方法、责任和交底的内容、时间及记录。</w:t>
      </w:r>
    </w:p>
    <w:p w14:paraId="758F8E23">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bookmarkStart w:id="183" w:name="_Toc247431439"/>
      <w:bookmarkStart w:id="184" w:name="_Toc247418279"/>
      <w:bookmarkStart w:id="185" w:name="_Toc239510305"/>
      <w:r>
        <w:rPr>
          <w:rFonts w:hint="eastAsia" w:ascii="宋体" w:hAnsi="宋体" w:eastAsia="宋体" w:cs="宋体"/>
          <w:sz w:val="24"/>
          <w:szCs w:val="24"/>
        </w:rPr>
        <w:t>（二）现场作业基本安全条件</w:t>
      </w:r>
      <w:bookmarkEnd w:id="183"/>
      <w:bookmarkEnd w:id="184"/>
      <w:bookmarkEnd w:id="185"/>
    </w:p>
    <w:p w14:paraId="7B7B9A33">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承包人应规定现场作业的基本安全条件，包括照明条件、通风条件、作业平台和通道条件、物料堆放条件、供电供水条件、吸烟点、休息点等，并对临边现场、道路上作业现场、立体交叉作业现场、地面坑洞和沟道、夜间作业现场等的基本安全条件做出规定。</w:t>
      </w:r>
    </w:p>
    <w:p w14:paraId="591D0504">
      <w:pPr>
        <w:pageBreakBefore w:val="0"/>
        <w:widowControl w:val="0"/>
        <w:kinsoku/>
        <w:wordWrap/>
        <w:overflowPunct/>
        <w:topLinePunct w:val="0"/>
        <w:bidi w:val="0"/>
        <w:spacing w:line="320" w:lineRule="exact"/>
        <w:ind w:firstLine="482" w:firstLineChars="200"/>
        <w:jc w:val="left"/>
        <w:textAlignment w:val="auto"/>
        <w:rPr>
          <w:rFonts w:hint="eastAsia" w:ascii="宋体" w:hAnsi="宋体" w:eastAsia="宋体" w:cs="宋体"/>
          <w:b/>
          <w:bCs/>
          <w:sz w:val="24"/>
          <w:szCs w:val="24"/>
        </w:rPr>
      </w:pPr>
      <w:bookmarkStart w:id="186" w:name="_Toc247418280"/>
      <w:bookmarkStart w:id="187" w:name="_Toc247431440"/>
      <w:bookmarkStart w:id="188" w:name="_Toc532375715"/>
      <w:bookmarkStart w:id="189" w:name="_Toc239510306"/>
      <w:r>
        <w:rPr>
          <w:rFonts w:hint="eastAsia" w:ascii="宋体" w:hAnsi="宋体" w:eastAsia="宋体" w:cs="宋体"/>
          <w:b/>
          <w:bCs/>
          <w:sz w:val="24"/>
          <w:szCs w:val="24"/>
        </w:rPr>
        <w:t>十五、事故报告与应急救援</w:t>
      </w:r>
      <w:bookmarkEnd w:id="186"/>
      <w:bookmarkEnd w:id="187"/>
      <w:bookmarkEnd w:id="188"/>
      <w:bookmarkEnd w:id="189"/>
    </w:p>
    <w:p w14:paraId="6E6A486B">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1．承包人应制定对于未遂事故及以上级别的安全事件和事故，定期报送安全月度快报、季报、年报和各种专项事故报告等。</w:t>
      </w:r>
    </w:p>
    <w:p w14:paraId="1F9B8432">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2．承包人应建立安全事故统计记录、未遂事故统计记录、违章统计记录，并根据统计情况进行分析，并就分析结果制定相应的预防措施。</w:t>
      </w:r>
    </w:p>
    <w:p w14:paraId="75FE5154">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3．承包人应建立事故应急救援机制，明确事故处置的基本原则，即现场发生事故时，首先抢救生命，向救援组织报警，并采取措施限制事故扩大。</w:t>
      </w:r>
    </w:p>
    <w:p w14:paraId="039B543C">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4．承包人应建立相应的应急响应组织，以便能迅速处理突发意外。</w:t>
      </w:r>
    </w:p>
    <w:p w14:paraId="79160BF5">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5．承包人应建立专项应急响应预案，包括重大人身伤亡事故的救护预案、火灾响应预案、“四防”预案（防风、防冻、防雷、防暴雨）、重大疫病防护预案、环境污染防护预案、地质灾害防护预案等。</w:t>
      </w:r>
    </w:p>
    <w:p w14:paraId="6886B8F8">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6．承包人应对应急预案进行适当演练，保证应急预案的可操作性。</w:t>
      </w:r>
    </w:p>
    <w:p w14:paraId="2B50AFD3">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7．在工地的其他施工单位发生重大事故时，承包人应无条件立即配合、支持事故抢险。</w:t>
      </w:r>
    </w:p>
    <w:p w14:paraId="7D5B85B2">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8．承包人必须为事故处置支付各项费用，包括受伤者的抚恤、补偿等费用，并按合同要求赔偿对发包人造成的损失。</w:t>
      </w:r>
    </w:p>
    <w:p w14:paraId="7644642D">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9．由于发包人原因而造成的事故，发包人应负责按事故的具体损失情况给予承包人经济赔偿。</w:t>
      </w:r>
    </w:p>
    <w:p w14:paraId="0D25144E">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10．涉及承包人员工的伤害事故，承包人除要报告发包人委托的监理公司外，还应负责按照国家、行业和本单位上级公司的要求，上报事故。</w:t>
      </w:r>
    </w:p>
    <w:p w14:paraId="05DF9E52">
      <w:pPr>
        <w:pageBreakBefore w:val="0"/>
        <w:widowControl w:val="0"/>
        <w:kinsoku/>
        <w:wordWrap/>
        <w:overflowPunct/>
        <w:topLinePunct w:val="0"/>
        <w:bidi w:val="0"/>
        <w:spacing w:line="320" w:lineRule="exact"/>
        <w:ind w:firstLine="482" w:firstLineChars="200"/>
        <w:jc w:val="left"/>
        <w:textAlignment w:val="auto"/>
        <w:rPr>
          <w:rFonts w:hint="eastAsia" w:ascii="宋体" w:hAnsi="宋体" w:eastAsia="宋体" w:cs="宋体"/>
          <w:b/>
          <w:bCs/>
          <w:sz w:val="24"/>
          <w:szCs w:val="24"/>
        </w:rPr>
      </w:pPr>
      <w:bookmarkStart w:id="190" w:name="_Toc532375716"/>
      <w:bookmarkStart w:id="191" w:name="_Toc239510307"/>
      <w:bookmarkStart w:id="192" w:name="_Toc247431441"/>
      <w:bookmarkStart w:id="193" w:name="_Toc247418281"/>
      <w:r>
        <w:rPr>
          <w:rFonts w:hint="eastAsia" w:ascii="宋体" w:hAnsi="宋体" w:eastAsia="宋体" w:cs="宋体"/>
          <w:b/>
          <w:bCs/>
          <w:sz w:val="24"/>
          <w:szCs w:val="24"/>
        </w:rPr>
        <w:t>十六、安全业绩考核</w:t>
      </w:r>
      <w:bookmarkEnd w:id="190"/>
      <w:bookmarkEnd w:id="191"/>
      <w:bookmarkEnd w:id="192"/>
      <w:bookmarkEnd w:id="193"/>
    </w:p>
    <w:p w14:paraId="00A49333">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为了落实安全管理的责任，承包人在施工过程中发生安全事故时，承包人除应按国家有关规定承担责任和处罚外，发包人将按照以下标准进行考核：</w:t>
      </w:r>
    </w:p>
    <w:tbl>
      <w:tblPr>
        <w:tblStyle w:val="57"/>
        <w:tblW w:w="7005" w:type="dxa"/>
        <w:jc w:val="center"/>
        <w:tblLayout w:type="fixed"/>
        <w:tblCellMar>
          <w:top w:w="0" w:type="dxa"/>
          <w:left w:w="0" w:type="dxa"/>
          <w:bottom w:w="0" w:type="dxa"/>
          <w:right w:w="0" w:type="dxa"/>
        </w:tblCellMar>
      </w:tblPr>
      <w:tblGrid>
        <w:gridCol w:w="3240"/>
        <w:gridCol w:w="3765"/>
      </w:tblGrid>
      <w:tr w14:paraId="4E39EF1A">
        <w:tblPrEx>
          <w:tblCellMar>
            <w:top w:w="0" w:type="dxa"/>
            <w:left w:w="0" w:type="dxa"/>
            <w:bottom w:w="0" w:type="dxa"/>
            <w:right w:w="0" w:type="dxa"/>
          </w:tblCellMar>
        </w:tblPrEx>
        <w:trPr>
          <w:trHeight w:val="188" w:hRule="atLeast"/>
          <w:jc w:val="center"/>
        </w:trPr>
        <w:tc>
          <w:tcPr>
            <w:tcW w:w="3240" w:type="dxa"/>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7BE04F34">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事件类型</w:t>
            </w:r>
          </w:p>
        </w:tc>
        <w:tc>
          <w:tcPr>
            <w:tcW w:w="3765"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14:paraId="3E7816E0">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违约金额</w:t>
            </w:r>
          </w:p>
        </w:tc>
      </w:tr>
      <w:tr w14:paraId="3CE4D72C">
        <w:tblPrEx>
          <w:tblCellMar>
            <w:top w:w="0" w:type="dxa"/>
            <w:left w:w="0" w:type="dxa"/>
            <w:bottom w:w="0" w:type="dxa"/>
            <w:right w:w="0" w:type="dxa"/>
          </w:tblCellMar>
        </w:tblPrEx>
        <w:trPr>
          <w:trHeight w:val="281" w:hRule="atLeast"/>
          <w:jc w:val="center"/>
        </w:trPr>
        <w:tc>
          <w:tcPr>
            <w:tcW w:w="3240" w:type="dxa"/>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68A255F3">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较大事故</w:t>
            </w:r>
          </w:p>
        </w:tc>
        <w:tc>
          <w:tcPr>
            <w:tcW w:w="3765" w:type="dxa"/>
            <w:tcBorders>
              <w:top w:val="single" w:color="auto" w:sz="8" w:space="0"/>
              <w:left w:val="nil"/>
              <w:bottom w:val="single" w:color="auto" w:sz="8" w:space="0"/>
              <w:right w:val="single" w:color="auto" w:sz="8" w:space="0"/>
            </w:tcBorders>
            <w:noWrap w:val="0"/>
            <w:vAlign w:val="center"/>
          </w:tcPr>
          <w:p w14:paraId="2482A729">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kern w:val="0"/>
                <w:sz w:val="24"/>
                <w:szCs w:val="24"/>
              </w:rPr>
              <w:t>签约合同价</w:t>
            </w:r>
            <w:r>
              <w:rPr>
                <w:rFonts w:hint="eastAsia" w:ascii="宋体" w:hAnsi="宋体" w:eastAsia="宋体" w:cs="宋体"/>
                <w:sz w:val="24"/>
                <w:szCs w:val="24"/>
              </w:rPr>
              <w:t>的0.5‰</w:t>
            </w:r>
          </w:p>
        </w:tc>
      </w:tr>
      <w:tr w14:paraId="777D2575">
        <w:tblPrEx>
          <w:tblCellMar>
            <w:top w:w="0" w:type="dxa"/>
            <w:left w:w="0" w:type="dxa"/>
            <w:bottom w:w="0" w:type="dxa"/>
            <w:right w:w="0" w:type="dxa"/>
          </w:tblCellMar>
        </w:tblPrEx>
        <w:trPr>
          <w:trHeight w:val="274" w:hRule="atLeast"/>
          <w:jc w:val="center"/>
        </w:trPr>
        <w:tc>
          <w:tcPr>
            <w:tcW w:w="3240" w:type="dxa"/>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0251ED2D">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重大事故</w:t>
            </w:r>
          </w:p>
        </w:tc>
        <w:tc>
          <w:tcPr>
            <w:tcW w:w="3765" w:type="dxa"/>
            <w:tcBorders>
              <w:top w:val="single" w:color="auto" w:sz="8" w:space="0"/>
              <w:left w:val="nil"/>
              <w:bottom w:val="single" w:color="auto" w:sz="8" w:space="0"/>
              <w:right w:val="single" w:color="auto" w:sz="8" w:space="0"/>
            </w:tcBorders>
            <w:noWrap w:val="0"/>
            <w:vAlign w:val="center"/>
          </w:tcPr>
          <w:p w14:paraId="54EE0391">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签约合同价的2‰</w:t>
            </w:r>
          </w:p>
        </w:tc>
      </w:tr>
      <w:tr w14:paraId="7DC38BB3">
        <w:tblPrEx>
          <w:tblCellMar>
            <w:top w:w="0" w:type="dxa"/>
            <w:left w:w="0" w:type="dxa"/>
            <w:bottom w:w="0" w:type="dxa"/>
            <w:right w:w="0" w:type="dxa"/>
          </w:tblCellMar>
        </w:tblPrEx>
        <w:trPr>
          <w:trHeight w:val="138" w:hRule="atLeast"/>
          <w:jc w:val="center"/>
        </w:trPr>
        <w:tc>
          <w:tcPr>
            <w:tcW w:w="3240" w:type="dxa"/>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4A552A98">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特别重大事故</w:t>
            </w:r>
          </w:p>
        </w:tc>
        <w:tc>
          <w:tcPr>
            <w:tcW w:w="3765" w:type="dxa"/>
            <w:tcBorders>
              <w:top w:val="single" w:color="auto" w:sz="8" w:space="0"/>
              <w:left w:val="nil"/>
              <w:bottom w:val="single" w:color="auto" w:sz="8" w:space="0"/>
              <w:right w:val="single" w:color="auto" w:sz="8" w:space="0"/>
            </w:tcBorders>
            <w:noWrap w:val="0"/>
            <w:vAlign w:val="center"/>
          </w:tcPr>
          <w:p w14:paraId="70DF2D99">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签约合同价的4‰</w:t>
            </w:r>
          </w:p>
        </w:tc>
      </w:tr>
    </w:tbl>
    <w:p w14:paraId="491FC422">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（1）较大事故，是指造成3人以上10人以下死亡，或者10人以上50人以下重伤，或者1000万元以上5000万元以下直接经济损失的事故；</w:t>
      </w:r>
    </w:p>
    <w:p w14:paraId="6369E565">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（2）重大事故，是指造成10人以上30人以下死亡，或者50人以上100人以下重伤，或者5000万元以上1亿元以下直接经济损失的事故；</w:t>
      </w:r>
    </w:p>
    <w:p w14:paraId="72DE75DB">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（3）特别重大事故，是指造成30人以上死亡，或者100人以上重伤（包括急性工业中毒，下同），或者1亿元以上直接经济损失的事故；</w:t>
      </w:r>
    </w:p>
    <w:p w14:paraId="7CBD4559">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（4）所称的“以上”包括本数，所称的“以下”不包括本数。</w:t>
      </w:r>
    </w:p>
    <w:p w14:paraId="0FC4822C">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（5）如整个施工过程未发生以上安全事故，则给予承包人建安费总额的1‰的安全奖励。</w:t>
      </w:r>
    </w:p>
    <w:p w14:paraId="68B67DDD">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发包人委托的监理公司负责对承包人的安全业绩进行考核。每次合同支付前，承包人提交自我安全业绩评估报告，然后交发包人委托的监理公司评价。发包人委托的监理公司在签署评价意见后，将作为合同支付依据之一，同时也作为是否可接受承包人再次参加发包人项目投标的依据之一。 </w:t>
      </w:r>
    </w:p>
    <w:p w14:paraId="35931B55">
      <w:pPr>
        <w:pageBreakBefore w:val="0"/>
        <w:widowControl w:val="0"/>
        <w:kinsoku/>
        <w:wordWrap/>
        <w:overflowPunct/>
        <w:topLinePunct w:val="0"/>
        <w:bidi w:val="0"/>
        <w:spacing w:line="320" w:lineRule="exact"/>
        <w:ind w:firstLine="482" w:firstLineChars="200"/>
        <w:textAlignment w:val="auto"/>
        <w:rPr>
          <w:rFonts w:hint="eastAsia" w:ascii="宋体" w:hAnsi="宋体" w:eastAsia="宋体" w:cs="宋体"/>
          <w:b/>
          <w:bCs/>
          <w:sz w:val="24"/>
          <w:szCs w:val="24"/>
        </w:rPr>
      </w:pPr>
      <w:bookmarkStart w:id="194" w:name="_Toc247431442"/>
      <w:bookmarkStart w:id="195" w:name="_Toc532375717"/>
      <w:bookmarkStart w:id="196" w:name="_Toc239510308"/>
      <w:bookmarkStart w:id="197" w:name="_Toc247418282"/>
      <w:r>
        <w:rPr>
          <w:rFonts w:hint="eastAsia" w:ascii="宋体" w:hAnsi="宋体" w:eastAsia="宋体" w:cs="宋体"/>
          <w:b/>
          <w:bCs/>
          <w:sz w:val="24"/>
          <w:szCs w:val="24"/>
        </w:rPr>
        <w:t>十七、协议条款的修订</w:t>
      </w:r>
      <w:bookmarkEnd w:id="194"/>
      <w:bookmarkEnd w:id="195"/>
      <w:bookmarkEnd w:id="196"/>
      <w:bookmarkEnd w:id="197"/>
    </w:p>
    <w:p w14:paraId="6BB09BD4">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在项目实施过程中，经双方友好协商，本协议的有关条款也可做出相应的修改。</w:t>
      </w:r>
    </w:p>
    <w:p w14:paraId="266DFBF4">
      <w:pPr>
        <w:pageBreakBefore w:val="0"/>
        <w:widowControl w:val="0"/>
        <w:kinsoku/>
        <w:wordWrap/>
        <w:overflowPunct/>
        <w:topLinePunct w:val="0"/>
        <w:bidi w:val="0"/>
        <w:spacing w:line="3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本工程安全管理协议，由发包人、承包人双方在施工承包合同签订后7天内共同签署，作为施工合同附件。</w:t>
      </w:r>
    </w:p>
    <w:p w14:paraId="402F5361">
      <w:pPr>
        <w:pageBreakBefore w:val="0"/>
        <w:widowControl w:val="0"/>
        <w:kinsoku/>
        <w:wordWrap/>
        <w:overflowPunct/>
        <w:topLinePunct w:val="0"/>
        <w:bidi w:val="0"/>
        <w:spacing w:line="320" w:lineRule="exact"/>
        <w:ind w:firstLine="482" w:firstLineChars="200"/>
        <w:jc w:val="left"/>
        <w:textAlignment w:val="auto"/>
        <w:rPr>
          <w:rFonts w:hint="eastAsia" w:ascii="宋体" w:hAnsi="宋体" w:eastAsia="宋体" w:cs="宋体"/>
          <w:b/>
          <w:bCs/>
          <w:sz w:val="24"/>
          <w:szCs w:val="24"/>
        </w:rPr>
      </w:pPr>
    </w:p>
    <w:p w14:paraId="76464577">
      <w:pPr>
        <w:pageBreakBefore w:val="0"/>
        <w:widowControl w:val="0"/>
        <w:kinsoku/>
        <w:wordWrap/>
        <w:overflowPunct/>
        <w:topLinePunct w:val="0"/>
        <w:bidi w:val="0"/>
        <w:spacing w:line="320" w:lineRule="exact"/>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 xml:space="preserve">发  包  人（公章）：                               </w:t>
      </w:r>
    </w:p>
    <w:p w14:paraId="01F74C5B">
      <w:pPr>
        <w:pageBreakBefore w:val="0"/>
        <w:widowControl w:val="0"/>
        <w:kinsoku/>
        <w:wordWrap/>
        <w:overflowPunct/>
        <w:topLinePunct w:val="0"/>
        <w:bidi w:val="0"/>
        <w:spacing w:line="320" w:lineRule="exact"/>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 xml:space="preserve">法定代表人（签名）：                               </w:t>
      </w:r>
    </w:p>
    <w:p w14:paraId="2F022CC5">
      <w:pPr>
        <w:pageBreakBefore w:val="0"/>
        <w:widowControl w:val="0"/>
        <w:kinsoku/>
        <w:wordWrap/>
        <w:overflowPunct/>
        <w:topLinePunct w:val="0"/>
        <w:bidi w:val="0"/>
        <w:spacing w:line="320" w:lineRule="exact"/>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 xml:space="preserve">或其委托代理人（签名）   </w:t>
      </w:r>
    </w:p>
    <w:p w14:paraId="32C7021E">
      <w:pPr>
        <w:pageBreakBefore w:val="0"/>
        <w:widowControl w:val="0"/>
        <w:kinsoku/>
        <w:wordWrap/>
        <w:overflowPunct/>
        <w:topLinePunct w:val="0"/>
        <w:bidi w:val="0"/>
        <w:spacing w:line="320" w:lineRule="exact"/>
        <w:jc w:val="left"/>
        <w:textAlignment w:val="auto"/>
        <w:rPr>
          <w:rFonts w:hint="eastAsia" w:ascii="宋体" w:hAnsi="宋体" w:eastAsia="宋体" w:cs="宋体"/>
          <w:b/>
          <w:bCs/>
          <w:sz w:val="24"/>
          <w:szCs w:val="24"/>
        </w:rPr>
      </w:pPr>
    </w:p>
    <w:p w14:paraId="4E28E9FA">
      <w:pPr>
        <w:pageBreakBefore w:val="0"/>
        <w:widowControl w:val="0"/>
        <w:kinsoku/>
        <w:wordWrap/>
        <w:overflowPunct/>
        <w:topLinePunct w:val="0"/>
        <w:bidi w:val="0"/>
        <w:spacing w:line="320" w:lineRule="exact"/>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 xml:space="preserve">                         </w:t>
      </w:r>
    </w:p>
    <w:p w14:paraId="329E8695">
      <w:pPr>
        <w:pStyle w:val="2"/>
        <w:pageBreakBefore w:val="0"/>
        <w:widowControl w:val="0"/>
        <w:kinsoku/>
        <w:wordWrap/>
        <w:overflowPunct/>
        <w:topLinePunct w:val="0"/>
        <w:bidi w:val="0"/>
        <w:spacing w:line="320" w:lineRule="exact"/>
        <w:textAlignment w:val="auto"/>
        <w:rPr>
          <w:rFonts w:hint="eastAsia" w:ascii="宋体" w:hAnsi="宋体" w:eastAsia="宋体" w:cs="宋体"/>
          <w:b/>
          <w:bCs/>
          <w:sz w:val="24"/>
          <w:szCs w:val="24"/>
        </w:rPr>
      </w:pPr>
      <w:r>
        <w:rPr>
          <w:rFonts w:hint="eastAsia" w:ascii="宋体" w:hAnsi="宋体" w:eastAsia="宋体" w:cs="宋体"/>
          <w:b/>
          <w:bCs/>
          <w:sz w:val="24"/>
          <w:szCs w:val="24"/>
        </w:rPr>
        <w:t>承  包  人（公章）：</w:t>
      </w:r>
    </w:p>
    <w:p w14:paraId="25342AF9">
      <w:pPr>
        <w:pStyle w:val="2"/>
        <w:pageBreakBefore w:val="0"/>
        <w:widowControl w:val="0"/>
        <w:kinsoku/>
        <w:wordWrap/>
        <w:overflowPunct/>
        <w:topLinePunct w:val="0"/>
        <w:bidi w:val="0"/>
        <w:spacing w:line="320" w:lineRule="exact"/>
        <w:textAlignment w:val="auto"/>
        <w:rPr>
          <w:rFonts w:hint="eastAsia" w:ascii="宋体" w:hAnsi="宋体" w:eastAsia="宋体" w:cs="宋体"/>
          <w:b/>
          <w:bCs/>
          <w:sz w:val="24"/>
          <w:szCs w:val="24"/>
        </w:rPr>
      </w:pPr>
      <w:r>
        <w:rPr>
          <w:rFonts w:hint="eastAsia" w:ascii="宋体" w:hAnsi="宋体" w:eastAsia="宋体" w:cs="宋体"/>
          <w:b/>
          <w:bCs/>
          <w:sz w:val="24"/>
          <w:szCs w:val="24"/>
        </w:rPr>
        <w:t>法定代表人（签名）：</w:t>
      </w:r>
    </w:p>
    <w:p w14:paraId="34A53C2C">
      <w:pPr>
        <w:pStyle w:val="2"/>
        <w:pageBreakBefore w:val="0"/>
        <w:widowControl w:val="0"/>
        <w:kinsoku/>
        <w:wordWrap/>
        <w:overflowPunct/>
        <w:topLinePunct w:val="0"/>
        <w:bidi w:val="0"/>
        <w:spacing w:line="320" w:lineRule="exact"/>
        <w:textAlignment w:val="auto"/>
        <w:rPr>
          <w:rFonts w:hint="eastAsia" w:ascii="宋体" w:hAnsi="宋体" w:eastAsia="宋体" w:cs="宋体"/>
          <w:b/>
          <w:bCs/>
          <w:sz w:val="24"/>
          <w:szCs w:val="24"/>
        </w:rPr>
      </w:pPr>
      <w:r>
        <w:rPr>
          <w:rFonts w:hint="eastAsia" w:ascii="宋体" w:hAnsi="宋体" w:eastAsia="宋体" w:cs="宋体"/>
          <w:b/>
          <w:bCs/>
          <w:sz w:val="24"/>
          <w:szCs w:val="24"/>
        </w:rPr>
        <w:t>或其委托代理人（签名）：</w:t>
      </w:r>
    </w:p>
    <w:p w14:paraId="16C3F50E">
      <w:pPr>
        <w:spacing w:line="480" w:lineRule="auto"/>
        <w:rPr>
          <w:rFonts w:hint="eastAsia" w:ascii="方正仿宋_GBK" w:hAnsi="Times New Roman" w:eastAsia="方正仿宋_GBK"/>
          <w:sz w:val="30"/>
          <w:szCs w:val="30"/>
        </w:rPr>
      </w:pPr>
    </w:p>
    <w:p w14:paraId="5E240A15">
      <w:pPr>
        <w:spacing w:line="480" w:lineRule="auto"/>
        <w:rPr>
          <w:rFonts w:hint="eastAsia" w:ascii="方正仿宋_GBK" w:hAnsi="Times New Roman" w:eastAsia="方正仿宋_GBK"/>
          <w:sz w:val="30"/>
          <w:szCs w:val="30"/>
        </w:rPr>
      </w:pPr>
    </w:p>
    <w:p w14:paraId="74CD4D58">
      <w:pPr>
        <w:spacing w:line="480" w:lineRule="auto"/>
        <w:rPr>
          <w:rFonts w:hint="eastAsia" w:ascii="方正仿宋_GBK" w:hAnsi="Times New Roman" w:eastAsia="方正仿宋_GBK"/>
          <w:sz w:val="30"/>
          <w:szCs w:val="30"/>
        </w:rPr>
      </w:pPr>
    </w:p>
    <w:p w14:paraId="71C4897A">
      <w:pPr>
        <w:spacing w:line="480" w:lineRule="auto"/>
        <w:rPr>
          <w:rFonts w:hint="eastAsia" w:ascii="方正仿宋_GBK" w:hAnsi="Times New Roman" w:eastAsia="方正仿宋_GBK"/>
          <w:sz w:val="30"/>
          <w:szCs w:val="30"/>
        </w:rPr>
      </w:pPr>
    </w:p>
    <w:p w14:paraId="53CA8591">
      <w:pPr>
        <w:spacing w:line="480" w:lineRule="auto"/>
        <w:rPr>
          <w:rFonts w:hint="eastAsia" w:ascii="方正仿宋_GBK" w:hAnsi="Times New Roman" w:eastAsia="方正仿宋_GBK"/>
          <w:sz w:val="30"/>
          <w:szCs w:val="30"/>
        </w:rPr>
      </w:pPr>
    </w:p>
    <w:p w14:paraId="22842F2D">
      <w:pPr>
        <w:spacing w:line="480" w:lineRule="auto"/>
        <w:rPr>
          <w:rFonts w:hint="eastAsia" w:ascii="方正仿宋_GBK" w:hAnsi="Times New Roman" w:eastAsia="方正仿宋_GBK"/>
          <w:sz w:val="30"/>
          <w:szCs w:val="30"/>
        </w:rPr>
      </w:pPr>
    </w:p>
    <w:p w14:paraId="6D4876C3">
      <w:pPr>
        <w:spacing w:line="480" w:lineRule="auto"/>
        <w:rPr>
          <w:rFonts w:hint="eastAsia" w:ascii="方正仿宋_GBK" w:hAnsi="Times New Roman" w:eastAsia="方正仿宋_GBK"/>
          <w:sz w:val="30"/>
          <w:szCs w:val="30"/>
        </w:rPr>
      </w:pPr>
    </w:p>
    <w:p w14:paraId="131D3873">
      <w:pPr>
        <w:spacing w:line="480" w:lineRule="auto"/>
        <w:rPr>
          <w:rFonts w:hint="eastAsia" w:ascii="方正仿宋_GBK" w:hAnsi="Times New Roman" w:eastAsia="方正仿宋_GBK"/>
          <w:sz w:val="30"/>
          <w:szCs w:val="30"/>
        </w:rPr>
      </w:pPr>
    </w:p>
    <w:p w14:paraId="18129C5B">
      <w:pPr>
        <w:spacing w:line="480" w:lineRule="auto"/>
        <w:rPr>
          <w:rFonts w:hint="eastAsia" w:ascii="方正仿宋_GBK" w:hAnsi="Times New Roman" w:eastAsia="方正仿宋_GBK"/>
          <w:sz w:val="30"/>
          <w:szCs w:val="30"/>
        </w:rPr>
      </w:pPr>
    </w:p>
    <w:p w14:paraId="36112F42">
      <w:pPr>
        <w:spacing w:line="480" w:lineRule="auto"/>
        <w:rPr>
          <w:rFonts w:hint="eastAsia" w:ascii="方正仿宋_GBK" w:hAnsi="Times New Roman" w:eastAsia="方正仿宋_GBK"/>
          <w:sz w:val="30"/>
          <w:szCs w:val="30"/>
        </w:rPr>
      </w:pPr>
    </w:p>
    <w:p w14:paraId="4ABDC871">
      <w:pPr>
        <w:spacing w:line="480" w:lineRule="auto"/>
        <w:rPr>
          <w:rFonts w:hint="eastAsia" w:ascii="方正仿宋_GBK" w:hAnsi="Times New Roman" w:eastAsia="方正仿宋_GBK"/>
          <w:sz w:val="30"/>
          <w:szCs w:val="30"/>
        </w:rPr>
      </w:pPr>
    </w:p>
    <w:p w14:paraId="275D7560">
      <w:pPr>
        <w:spacing w:line="480" w:lineRule="auto"/>
        <w:rPr>
          <w:rFonts w:hint="eastAsia" w:ascii="方正仿宋_GBK" w:hAnsi="Times New Roman" w:eastAsia="方正仿宋_GBK"/>
          <w:sz w:val="30"/>
          <w:szCs w:val="30"/>
        </w:rPr>
      </w:pPr>
      <w:r>
        <w:rPr>
          <w:rFonts w:hint="eastAsia" w:ascii="方正仿宋_GBK" w:hAnsi="Times New Roman" w:eastAsia="方正仿宋_GBK"/>
          <w:sz w:val="30"/>
          <w:szCs w:val="30"/>
        </w:rPr>
        <w:t>合同附件4：</w:t>
      </w:r>
    </w:p>
    <w:p w14:paraId="306508F4">
      <w:pPr>
        <w:spacing w:line="480" w:lineRule="auto"/>
        <w:jc w:val="center"/>
        <w:rPr>
          <w:rFonts w:hint="eastAsia" w:ascii="方正仿宋_GBK" w:hAnsi="Times New Roman" w:eastAsia="方正仿宋_GBK"/>
          <w:b/>
          <w:bCs/>
          <w:sz w:val="32"/>
          <w:szCs w:val="32"/>
        </w:rPr>
      </w:pPr>
      <w:r>
        <w:rPr>
          <w:rFonts w:hint="eastAsia" w:ascii="方正仿宋_GBK" w:hAnsi="Times New Roman" w:eastAsia="方正仿宋_GBK"/>
          <w:b/>
          <w:bCs/>
          <w:sz w:val="32"/>
          <w:szCs w:val="32"/>
        </w:rPr>
        <w:t>保障农民工工资支付协议</w:t>
      </w:r>
    </w:p>
    <w:p w14:paraId="0AD0C730">
      <w:pPr>
        <w:pStyle w:val="2"/>
        <w:rPr>
          <w:rFonts w:hint="eastAsia"/>
        </w:rPr>
      </w:pPr>
    </w:p>
    <w:p w14:paraId="08CBDFE7">
      <w:pPr>
        <w:pageBreakBefore w:val="0"/>
        <w:kinsoku/>
        <w:wordWrap/>
        <w:overflowPunct/>
        <w:topLinePunct w:val="0"/>
        <w:autoSpaceDE/>
        <w:autoSpaceDN/>
        <w:bidi w:val="0"/>
        <w:adjustRightInd/>
        <w:snapToGrid w:val="0"/>
        <w:spacing w:line="320" w:lineRule="exact"/>
        <w:textAlignment w:val="auto"/>
        <w:rPr>
          <w:rFonts w:hint="eastAsia" w:ascii="宋体" w:hAnsi="宋体" w:eastAsia="宋体" w:cs="宋体"/>
          <w:b/>
          <w:sz w:val="24"/>
          <w:szCs w:val="24"/>
          <w:u w:val="single"/>
        </w:rPr>
      </w:pPr>
      <w:r>
        <w:rPr>
          <w:rFonts w:hint="eastAsia" w:ascii="宋体" w:hAnsi="宋体" w:eastAsia="宋体" w:cs="宋体"/>
          <w:b/>
          <w:sz w:val="24"/>
          <w:szCs w:val="24"/>
        </w:rPr>
        <w:t>发包人（全称）：</w:t>
      </w:r>
      <w:r>
        <w:rPr>
          <w:rFonts w:hint="eastAsia" w:ascii="宋体" w:hAnsi="宋体" w:eastAsia="宋体" w:cs="宋体"/>
          <w:b/>
          <w:sz w:val="24"/>
          <w:szCs w:val="24"/>
          <w:u w:val="single"/>
        </w:rPr>
        <w:t>重庆理工职业学院（以下简称“甲方”）</w:t>
      </w:r>
    </w:p>
    <w:p w14:paraId="7DFBE549">
      <w:pPr>
        <w:pageBreakBefore w:val="0"/>
        <w:tabs>
          <w:tab w:val="center" w:pos="4153"/>
        </w:tabs>
        <w:kinsoku/>
        <w:wordWrap/>
        <w:overflowPunct/>
        <w:topLinePunct w:val="0"/>
        <w:autoSpaceDE/>
        <w:autoSpaceDN/>
        <w:bidi w:val="0"/>
        <w:adjustRightInd/>
        <w:snapToGrid w:val="0"/>
        <w:spacing w:line="320" w:lineRule="exact"/>
        <w:textAlignment w:val="auto"/>
        <w:rPr>
          <w:rFonts w:hint="eastAsia" w:ascii="宋体" w:hAnsi="宋体" w:eastAsia="宋体" w:cs="宋体"/>
          <w:b/>
          <w:sz w:val="24"/>
          <w:szCs w:val="24"/>
          <w:u w:val="single"/>
        </w:rPr>
      </w:pPr>
      <w:r>
        <w:rPr>
          <w:rFonts w:hint="eastAsia" w:ascii="宋体" w:hAnsi="宋体" w:eastAsia="宋体" w:cs="宋体"/>
          <w:b/>
          <w:sz w:val="24"/>
          <w:szCs w:val="24"/>
        </w:rPr>
        <w:t>承包人（全称）：</w:t>
      </w:r>
      <w:r>
        <w:rPr>
          <w:rFonts w:hint="eastAsia" w:ascii="宋体" w:hAnsi="宋体" w:eastAsia="宋体" w:cs="宋体"/>
          <w:b/>
          <w:sz w:val="24"/>
          <w:szCs w:val="24"/>
          <w:u w:val="single"/>
        </w:rPr>
        <w:t xml:space="preserve">                                  </w:t>
      </w:r>
      <w:r>
        <w:rPr>
          <w:rFonts w:hint="eastAsia" w:ascii="宋体" w:hAnsi="宋体" w:eastAsia="宋体" w:cs="宋体"/>
          <w:b/>
          <w:sz w:val="24"/>
          <w:szCs w:val="24"/>
          <w:u w:val="single"/>
        </w:rPr>
        <w:tab/>
      </w:r>
    </w:p>
    <w:p w14:paraId="34F9C442">
      <w:pPr>
        <w:pStyle w:val="2"/>
        <w:rPr>
          <w:rFonts w:hint="eastAsia"/>
        </w:rPr>
      </w:pPr>
    </w:p>
    <w:p w14:paraId="5B2E5D29">
      <w:pPr>
        <w:pageBreakBefore w:val="0"/>
        <w:kinsoku/>
        <w:wordWrap/>
        <w:overflowPunct/>
        <w:topLinePunct w:val="0"/>
        <w:autoSpaceDE/>
        <w:autoSpaceDN/>
        <w:bidi w:val="0"/>
        <w:adjustRightInd/>
        <w:spacing w:line="3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为贯彻落实《国务院办公厅关于全面治理拖欠农民工工资问题的意见》（国办发〔2016〕1号），《重庆市人民政府办公厅关于全面治理拖欠农民工工资问题的实施意见》（渝府办发〔2016〕101号），健全预防和解决拖欠农民工工资问题的长效机制，切实保障农民工劳动报酬权益，维护社会公平正义，促进社会和谐稳定。经甲、乙双方结合实际情况，友好协商，达成如下协议：</w:t>
      </w:r>
    </w:p>
    <w:p w14:paraId="6ADF4FFA">
      <w:pPr>
        <w:pageBreakBefore w:val="0"/>
        <w:kinsoku/>
        <w:wordWrap/>
        <w:overflowPunct/>
        <w:topLinePunct w:val="0"/>
        <w:autoSpaceDE/>
        <w:autoSpaceDN/>
        <w:bidi w:val="0"/>
        <w:adjustRightInd/>
        <w:spacing w:line="340" w:lineRule="exact"/>
        <w:ind w:firstLine="482" w:firstLineChars="200"/>
        <w:textAlignment w:val="auto"/>
        <w:rPr>
          <w:rFonts w:hint="eastAsia" w:ascii="宋体" w:hAnsi="宋体" w:eastAsia="宋体" w:cs="宋体"/>
          <w:sz w:val="24"/>
          <w:szCs w:val="24"/>
        </w:rPr>
      </w:pPr>
      <w:r>
        <w:rPr>
          <w:rFonts w:hint="eastAsia" w:ascii="宋体" w:hAnsi="宋体" w:eastAsia="宋体" w:cs="宋体"/>
          <w:b/>
          <w:bCs/>
          <w:sz w:val="24"/>
          <w:szCs w:val="24"/>
        </w:rPr>
        <w:t>一、</w:t>
      </w:r>
      <w:r>
        <w:rPr>
          <w:rFonts w:hint="eastAsia" w:ascii="宋体" w:hAnsi="宋体" w:eastAsia="宋体" w:cs="宋体"/>
          <w:sz w:val="24"/>
          <w:szCs w:val="24"/>
        </w:rPr>
        <w:t>承包人申报工程进度款时，应对上月已支付工程款用于农民工工资发放的情况进行说明，并附农民工代表按时足额收取了工资的签名确认书。监理单位或建设单位现场负责人应对相关情况说明和签名确认书（详附件）进行审查签名后，与工程进度款申报资料一并提交给发包人。发包人审核合格后，才进行当期工程进度款的支付。</w:t>
      </w:r>
    </w:p>
    <w:p w14:paraId="29F5F59F">
      <w:pPr>
        <w:pageBreakBefore w:val="0"/>
        <w:kinsoku/>
        <w:wordWrap/>
        <w:overflowPunct/>
        <w:topLinePunct w:val="0"/>
        <w:autoSpaceDE/>
        <w:autoSpaceDN/>
        <w:bidi w:val="0"/>
        <w:adjustRightInd/>
        <w:spacing w:line="340" w:lineRule="exact"/>
        <w:ind w:firstLine="482" w:firstLineChars="200"/>
        <w:textAlignment w:val="auto"/>
        <w:rPr>
          <w:rFonts w:hint="eastAsia" w:ascii="宋体" w:hAnsi="宋体" w:eastAsia="宋体" w:cs="宋体"/>
          <w:sz w:val="24"/>
          <w:szCs w:val="24"/>
        </w:rPr>
      </w:pPr>
      <w:r>
        <w:rPr>
          <w:rFonts w:hint="eastAsia" w:ascii="宋体" w:hAnsi="宋体" w:eastAsia="宋体" w:cs="宋体"/>
          <w:b/>
          <w:bCs/>
          <w:sz w:val="24"/>
          <w:szCs w:val="24"/>
        </w:rPr>
        <w:t>二、</w:t>
      </w:r>
      <w:r>
        <w:rPr>
          <w:rFonts w:hint="eastAsia" w:ascii="宋体" w:hAnsi="宋体" w:eastAsia="宋体" w:cs="宋体"/>
          <w:sz w:val="24"/>
          <w:szCs w:val="24"/>
        </w:rPr>
        <w:t>由于工程进度款申报和审查需一定时间，其与农民工工资发放时间存在一定时间的延后，乙方承诺有垫付不低于4个月农民工工资能力。</w:t>
      </w:r>
    </w:p>
    <w:p w14:paraId="44F9931B">
      <w:pPr>
        <w:pageBreakBefore w:val="0"/>
        <w:kinsoku/>
        <w:wordWrap/>
        <w:overflowPunct/>
        <w:topLinePunct w:val="0"/>
        <w:autoSpaceDE/>
        <w:autoSpaceDN/>
        <w:bidi w:val="0"/>
        <w:adjustRightInd/>
        <w:spacing w:line="340" w:lineRule="exact"/>
        <w:ind w:firstLine="482" w:firstLineChars="200"/>
        <w:textAlignment w:val="auto"/>
        <w:rPr>
          <w:rFonts w:hint="eastAsia" w:ascii="宋体" w:hAnsi="宋体" w:eastAsia="宋体" w:cs="宋体"/>
          <w:sz w:val="24"/>
          <w:szCs w:val="24"/>
        </w:rPr>
      </w:pPr>
      <w:r>
        <w:rPr>
          <w:rFonts w:hint="eastAsia" w:ascii="宋体" w:hAnsi="宋体" w:eastAsia="宋体" w:cs="宋体"/>
          <w:b/>
          <w:bCs/>
          <w:sz w:val="24"/>
          <w:szCs w:val="24"/>
        </w:rPr>
        <w:t>三、</w:t>
      </w:r>
      <w:r>
        <w:rPr>
          <w:rFonts w:hint="eastAsia" w:ascii="宋体" w:hAnsi="宋体" w:eastAsia="宋体" w:cs="宋体"/>
          <w:sz w:val="24"/>
          <w:szCs w:val="24"/>
        </w:rPr>
        <w:t>承包人每月10日前将本月作业班组、班组人数、农民工身份信息等报监理单位或建设单位项目部，10日～15日分别以作业班组为小组，每小组自行选举产生一名农民工代表，监理单位应全程监督，选举结果与当期工程款支付申请一并报送发包人。</w:t>
      </w:r>
    </w:p>
    <w:p w14:paraId="0A6D67F5">
      <w:pPr>
        <w:pageBreakBefore w:val="0"/>
        <w:kinsoku/>
        <w:wordWrap/>
        <w:overflowPunct/>
        <w:topLinePunct w:val="0"/>
        <w:autoSpaceDE/>
        <w:autoSpaceDN/>
        <w:bidi w:val="0"/>
        <w:adjustRightInd/>
        <w:spacing w:line="340" w:lineRule="exact"/>
        <w:ind w:firstLine="482" w:firstLineChars="200"/>
        <w:textAlignment w:val="auto"/>
        <w:rPr>
          <w:rFonts w:hint="eastAsia" w:ascii="宋体" w:hAnsi="宋体" w:eastAsia="宋体" w:cs="宋体"/>
          <w:sz w:val="24"/>
          <w:szCs w:val="24"/>
        </w:rPr>
      </w:pPr>
      <w:r>
        <w:rPr>
          <w:rFonts w:hint="eastAsia" w:ascii="宋体" w:hAnsi="宋体" w:eastAsia="宋体" w:cs="宋体"/>
          <w:b/>
          <w:bCs/>
          <w:sz w:val="24"/>
          <w:szCs w:val="24"/>
        </w:rPr>
        <w:t>四、</w:t>
      </w:r>
      <w:r>
        <w:rPr>
          <w:rFonts w:hint="eastAsia" w:ascii="宋体" w:hAnsi="宋体" w:eastAsia="宋体" w:cs="宋体"/>
          <w:sz w:val="24"/>
          <w:szCs w:val="24"/>
        </w:rPr>
        <w:t>若发现承包人有下列事项的，发包人在支付当期进度款时暂扣当期应支付进度款5%比例的款项。</w:t>
      </w:r>
    </w:p>
    <w:p w14:paraId="77424768">
      <w:pPr>
        <w:pageBreakBefore w:val="0"/>
        <w:kinsoku/>
        <w:wordWrap/>
        <w:overflowPunct/>
        <w:topLinePunct w:val="0"/>
        <w:autoSpaceDE/>
        <w:autoSpaceDN/>
        <w:bidi w:val="0"/>
        <w:adjustRightInd/>
        <w:spacing w:line="3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 （一）现场检查发现项目存在拖欠农民工工资情况并经核查属实的；</w:t>
      </w:r>
    </w:p>
    <w:p w14:paraId="5B006BD6">
      <w:pPr>
        <w:pageBreakBefore w:val="0"/>
        <w:kinsoku/>
        <w:wordWrap/>
        <w:overflowPunct/>
        <w:topLinePunct w:val="0"/>
        <w:autoSpaceDE/>
        <w:autoSpaceDN/>
        <w:bidi w:val="0"/>
        <w:adjustRightInd/>
        <w:spacing w:line="3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（二）相关行政管理部门检查发现存在拖欠农民工工资情况并经核查属实的；</w:t>
      </w:r>
    </w:p>
    <w:p w14:paraId="7A87C668">
      <w:pPr>
        <w:pageBreakBefore w:val="0"/>
        <w:kinsoku/>
        <w:wordWrap/>
        <w:overflowPunct/>
        <w:topLinePunct w:val="0"/>
        <w:autoSpaceDE/>
        <w:autoSpaceDN/>
        <w:bidi w:val="0"/>
        <w:adjustRightInd/>
        <w:spacing w:line="3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（三）有拖欠农民工工资投诉事项并经核查属实的。</w:t>
      </w:r>
    </w:p>
    <w:p w14:paraId="67F6C0C9">
      <w:pPr>
        <w:pageBreakBefore w:val="0"/>
        <w:kinsoku/>
        <w:wordWrap/>
        <w:overflowPunct/>
        <w:topLinePunct w:val="0"/>
        <w:autoSpaceDE/>
        <w:autoSpaceDN/>
        <w:bidi w:val="0"/>
        <w:adjustRightInd/>
        <w:spacing w:line="340" w:lineRule="exact"/>
        <w:ind w:firstLine="482" w:firstLineChars="200"/>
        <w:textAlignment w:val="auto"/>
        <w:rPr>
          <w:rFonts w:hint="eastAsia" w:ascii="宋体" w:hAnsi="宋体" w:eastAsia="宋体" w:cs="宋体"/>
          <w:sz w:val="24"/>
          <w:szCs w:val="24"/>
        </w:rPr>
      </w:pPr>
      <w:r>
        <w:rPr>
          <w:rFonts w:hint="eastAsia" w:ascii="宋体" w:hAnsi="宋体" w:eastAsia="宋体" w:cs="宋体"/>
          <w:b/>
          <w:bCs/>
          <w:sz w:val="24"/>
          <w:szCs w:val="24"/>
        </w:rPr>
        <w:t xml:space="preserve"> 五、</w:t>
      </w:r>
      <w:r>
        <w:rPr>
          <w:rFonts w:hint="eastAsia" w:ascii="宋体" w:hAnsi="宋体" w:eastAsia="宋体" w:cs="宋体"/>
          <w:sz w:val="24"/>
          <w:szCs w:val="24"/>
        </w:rPr>
        <w:t>对发现的存在拖欠农民工工资事项，承包人应在3天内限时整改，并将整改措施和结果报发包人审查，经发包人批准同意后，在下一期工程进度款支付中返还暂扣的工程款；如承包人未在3天内限时整改，暂扣工程款将继续扣留，直至整改完毕。暂扣款不计息。</w:t>
      </w:r>
    </w:p>
    <w:p w14:paraId="48A662D2">
      <w:pPr>
        <w:pageBreakBefore w:val="0"/>
        <w:tabs>
          <w:tab w:val="left" w:pos="1080"/>
          <w:tab w:val="left" w:pos="1260"/>
          <w:tab w:val="left" w:pos="1440"/>
        </w:tabs>
        <w:kinsoku/>
        <w:wordWrap/>
        <w:overflowPunct/>
        <w:topLinePunct w:val="0"/>
        <w:autoSpaceDE/>
        <w:autoSpaceDN/>
        <w:bidi w:val="0"/>
        <w:adjustRightInd/>
        <w:spacing w:line="340" w:lineRule="exact"/>
        <w:ind w:firstLine="482" w:firstLineChars="200"/>
        <w:textAlignment w:val="auto"/>
        <w:rPr>
          <w:rFonts w:hint="eastAsia" w:ascii="宋体" w:hAnsi="宋体" w:eastAsia="宋体" w:cs="宋体"/>
          <w:sz w:val="24"/>
          <w:szCs w:val="24"/>
        </w:rPr>
      </w:pPr>
      <w:r>
        <w:rPr>
          <w:rFonts w:hint="eastAsia" w:ascii="宋体" w:hAnsi="宋体" w:eastAsia="宋体" w:cs="宋体"/>
          <w:b/>
          <w:bCs/>
          <w:sz w:val="24"/>
          <w:szCs w:val="24"/>
        </w:rPr>
        <w:t>六、</w:t>
      </w:r>
      <w:r>
        <w:rPr>
          <w:rFonts w:hint="eastAsia" w:ascii="宋体" w:hAnsi="宋体" w:eastAsia="宋体" w:cs="宋体"/>
          <w:sz w:val="24"/>
          <w:szCs w:val="24"/>
        </w:rPr>
        <w:t>本协议经双方法定代表人或委托代理人签名并加盖公章后生效，履行完毕后自然失效。</w:t>
      </w:r>
    </w:p>
    <w:p w14:paraId="2CB1EC36">
      <w:pPr>
        <w:pageBreakBefore w:val="0"/>
        <w:tabs>
          <w:tab w:val="left" w:pos="1080"/>
          <w:tab w:val="left" w:pos="1260"/>
          <w:tab w:val="left" w:pos="1440"/>
        </w:tabs>
        <w:kinsoku/>
        <w:wordWrap/>
        <w:overflowPunct/>
        <w:topLinePunct w:val="0"/>
        <w:autoSpaceDE/>
        <w:autoSpaceDN/>
        <w:bidi w:val="0"/>
        <w:adjustRightInd/>
        <w:spacing w:line="340" w:lineRule="exact"/>
        <w:ind w:firstLine="482" w:firstLineChars="200"/>
        <w:textAlignment w:val="auto"/>
        <w:rPr>
          <w:rFonts w:hint="eastAsia" w:ascii="宋体" w:hAnsi="宋体" w:eastAsia="宋体" w:cs="宋体"/>
          <w:sz w:val="24"/>
          <w:szCs w:val="24"/>
        </w:rPr>
      </w:pPr>
      <w:r>
        <w:rPr>
          <w:rFonts w:hint="eastAsia" w:ascii="宋体" w:hAnsi="宋体" w:eastAsia="宋体" w:cs="宋体"/>
          <w:b/>
          <w:bCs/>
          <w:sz w:val="24"/>
          <w:szCs w:val="24"/>
        </w:rPr>
        <w:t>七</w:t>
      </w:r>
      <w:r>
        <w:rPr>
          <w:rFonts w:hint="eastAsia" w:ascii="宋体" w:hAnsi="宋体" w:eastAsia="宋体" w:cs="宋体"/>
          <w:sz w:val="24"/>
          <w:szCs w:val="24"/>
        </w:rPr>
        <w:t>、乙方同意按国家的有关规定制订保证民工工资支付的方案及保证措施，并在资金使用计划表中按月单列需支付的民工工资计划和先行支付民工工资，并保证甲方不因任何由于我方在发放民工工资事宜上而受到任何处罚、诉讼和罚款。若有民工上访讨薪情况发生，乙方承担一切法律责任和经济责任。</w:t>
      </w:r>
    </w:p>
    <w:p w14:paraId="00C4B22B">
      <w:pPr>
        <w:pageBreakBefore w:val="0"/>
        <w:tabs>
          <w:tab w:val="left" w:pos="1080"/>
          <w:tab w:val="left" w:pos="1260"/>
          <w:tab w:val="left" w:pos="1440"/>
        </w:tabs>
        <w:kinsoku/>
        <w:wordWrap/>
        <w:overflowPunct/>
        <w:topLinePunct w:val="0"/>
        <w:autoSpaceDE/>
        <w:autoSpaceDN/>
        <w:bidi w:val="0"/>
        <w:adjustRightInd/>
        <w:spacing w:line="3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八、乙方同意按甲方的要求如实每月向贵甲方财务部门报送工资发放表，工资表会如实列明工作内容、工资结算期间、结算工资额、实付工资额及拖欠金额，并有劳务工本人亲笔签名及手印。若乙方报送的资料不全、报送的资料不能如实反映工资发放情况或提供的支付明细及出勤记录存在明显不实虚假情况，甲方有权视情况暂扣乙方的工程进度款， 直至乙方能提供工资己经发放的确切证明。</w:t>
      </w:r>
    </w:p>
    <w:p w14:paraId="7D5EE7FC">
      <w:pPr>
        <w:pageBreakBefore w:val="0"/>
        <w:kinsoku/>
        <w:wordWrap/>
        <w:overflowPunct/>
        <w:topLinePunct w:val="0"/>
        <w:autoSpaceDE/>
        <w:autoSpaceDN/>
        <w:bidi w:val="0"/>
        <w:adjustRightInd/>
        <w:spacing w:line="3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后附：保障农民工工资支付协议附件1：</w:t>
      </w:r>
    </w:p>
    <w:p w14:paraId="196AAAAE">
      <w:pPr>
        <w:pStyle w:val="2"/>
        <w:pageBreakBefore w:val="0"/>
        <w:kinsoku/>
        <w:wordWrap/>
        <w:overflowPunct/>
        <w:topLinePunct w:val="0"/>
        <w:autoSpaceDE/>
        <w:autoSpaceDN/>
        <w:bidi w:val="0"/>
        <w:adjustRightInd/>
        <w:spacing w:line="340" w:lineRule="exact"/>
        <w:textAlignment w:val="auto"/>
        <w:rPr>
          <w:rFonts w:hint="eastAsia"/>
        </w:rPr>
      </w:pPr>
    </w:p>
    <w:tbl>
      <w:tblPr>
        <w:tblStyle w:val="57"/>
        <w:tblW w:w="84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0"/>
        <w:gridCol w:w="5927"/>
      </w:tblGrid>
      <w:tr w14:paraId="28705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37" w:type="dxa"/>
            <w:gridSpan w:val="2"/>
            <w:noWrap w:val="0"/>
            <w:vAlign w:val="top"/>
          </w:tcPr>
          <w:p w14:paraId="117FCFD2">
            <w:pPr>
              <w:pageBreakBefore w:val="0"/>
              <w:widowControl/>
              <w:kinsoku/>
              <w:wordWrap/>
              <w:overflowPunct/>
              <w:topLinePunct w:val="0"/>
              <w:autoSpaceDE/>
              <w:autoSpaceDN/>
              <w:bidi w:val="0"/>
              <w:adjustRightInd/>
              <w:snapToGrid w:val="0"/>
              <w:spacing w:after="100" w:afterAutospacing="1" w:line="340" w:lineRule="exact"/>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工程名称：</w:t>
            </w:r>
          </w:p>
        </w:tc>
      </w:tr>
      <w:tr w14:paraId="1FCB0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2510" w:type="dxa"/>
            <w:noWrap w:val="0"/>
            <w:vAlign w:val="top"/>
          </w:tcPr>
          <w:p w14:paraId="0177621E">
            <w:pPr>
              <w:pageBreakBefore w:val="0"/>
              <w:widowControl/>
              <w:kinsoku/>
              <w:wordWrap/>
              <w:overflowPunct/>
              <w:topLinePunct w:val="0"/>
              <w:autoSpaceDE/>
              <w:autoSpaceDN/>
              <w:bidi w:val="0"/>
              <w:adjustRightInd/>
              <w:snapToGrid w:val="0"/>
              <w:spacing w:after="100" w:afterAutospacing="1" w:line="340" w:lineRule="exact"/>
              <w:textAlignment w:val="auto"/>
              <w:rPr>
                <w:rFonts w:hint="eastAsia" w:ascii="宋体" w:hAnsi="宋体" w:eastAsia="宋体" w:cs="宋体"/>
                <w:kern w:val="0"/>
                <w:sz w:val="24"/>
                <w:szCs w:val="24"/>
              </w:rPr>
            </w:pPr>
            <w:r>
              <w:rPr>
                <w:rFonts w:hint="eastAsia" w:ascii="宋体" w:hAnsi="宋体" w:eastAsia="宋体" w:cs="宋体"/>
                <w:kern w:val="0"/>
                <w:sz w:val="24"/>
                <w:szCs w:val="24"/>
              </w:rPr>
              <w:t>施工单位：</w:t>
            </w:r>
          </w:p>
        </w:tc>
        <w:tc>
          <w:tcPr>
            <w:tcW w:w="5927" w:type="dxa"/>
            <w:noWrap w:val="0"/>
            <w:vAlign w:val="top"/>
          </w:tcPr>
          <w:p w14:paraId="78B1C8F7">
            <w:pPr>
              <w:pageBreakBefore w:val="0"/>
              <w:widowControl/>
              <w:kinsoku/>
              <w:wordWrap/>
              <w:overflowPunct/>
              <w:topLinePunct w:val="0"/>
              <w:autoSpaceDE/>
              <w:autoSpaceDN/>
              <w:bidi w:val="0"/>
              <w:adjustRightInd/>
              <w:snapToGrid w:val="0"/>
              <w:spacing w:after="100" w:afterAutospacing="1" w:line="340" w:lineRule="exact"/>
              <w:textAlignment w:val="auto"/>
              <w:rPr>
                <w:rFonts w:hint="eastAsia" w:ascii="宋体" w:hAnsi="宋体" w:eastAsia="宋体" w:cs="宋体"/>
                <w:kern w:val="0"/>
                <w:sz w:val="24"/>
                <w:szCs w:val="24"/>
              </w:rPr>
            </w:pPr>
          </w:p>
        </w:tc>
      </w:tr>
      <w:tr w14:paraId="79F96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0" w:type="dxa"/>
            <w:noWrap w:val="0"/>
            <w:vAlign w:val="top"/>
          </w:tcPr>
          <w:p w14:paraId="59B2B9CB">
            <w:pPr>
              <w:pageBreakBefore w:val="0"/>
              <w:widowControl/>
              <w:kinsoku/>
              <w:wordWrap/>
              <w:overflowPunct/>
              <w:topLinePunct w:val="0"/>
              <w:autoSpaceDE/>
              <w:autoSpaceDN/>
              <w:bidi w:val="0"/>
              <w:adjustRightInd/>
              <w:snapToGrid w:val="0"/>
              <w:spacing w:after="100" w:afterAutospacing="1" w:line="340" w:lineRule="exact"/>
              <w:textAlignment w:val="auto"/>
              <w:rPr>
                <w:rFonts w:hint="eastAsia" w:ascii="宋体" w:hAnsi="宋体" w:eastAsia="宋体" w:cs="宋体"/>
                <w:kern w:val="0"/>
                <w:sz w:val="24"/>
                <w:szCs w:val="24"/>
              </w:rPr>
            </w:pPr>
            <w:r>
              <w:rPr>
                <w:rFonts w:hint="eastAsia" w:ascii="宋体" w:hAnsi="宋体" w:eastAsia="宋体" w:cs="宋体"/>
                <w:kern w:val="0"/>
                <w:sz w:val="24"/>
                <w:szCs w:val="24"/>
              </w:rPr>
              <w:t>监理单位：</w:t>
            </w:r>
          </w:p>
        </w:tc>
        <w:tc>
          <w:tcPr>
            <w:tcW w:w="5927" w:type="dxa"/>
            <w:noWrap w:val="0"/>
            <w:vAlign w:val="top"/>
          </w:tcPr>
          <w:p w14:paraId="26696F66">
            <w:pPr>
              <w:pageBreakBefore w:val="0"/>
              <w:widowControl/>
              <w:kinsoku/>
              <w:wordWrap/>
              <w:overflowPunct/>
              <w:topLinePunct w:val="0"/>
              <w:autoSpaceDE/>
              <w:autoSpaceDN/>
              <w:bidi w:val="0"/>
              <w:adjustRightInd/>
              <w:snapToGrid w:val="0"/>
              <w:spacing w:after="100" w:afterAutospacing="1" w:line="340" w:lineRule="exact"/>
              <w:textAlignment w:val="auto"/>
              <w:rPr>
                <w:rFonts w:hint="eastAsia" w:ascii="宋体" w:hAnsi="宋体" w:eastAsia="宋体" w:cs="宋体"/>
                <w:kern w:val="0"/>
                <w:sz w:val="24"/>
                <w:szCs w:val="24"/>
              </w:rPr>
            </w:pPr>
          </w:p>
        </w:tc>
      </w:tr>
      <w:tr w14:paraId="5C6F4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0" w:hRule="atLeast"/>
          <w:jc w:val="center"/>
        </w:trPr>
        <w:tc>
          <w:tcPr>
            <w:tcW w:w="8437" w:type="dxa"/>
            <w:gridSpan w:val="2"/>
            <w:noWrap w:val="0"/>
            <w:vAlign w:val="top"/>
          </w:tcPr>
          <w:p w14:paraId="756078DE">
            <w:pPr>
              <w:pageBreakBefore w:val="0"/>
              <w:widowControl/>
              <w:kinsoku/>
              <w:wordWrap/>
              <w:overflowPunct/>
              <w:topLinePunct w:val="0"/>
              <w:autoSpaceDE/>
              <w:autoSpaceDN/>
              <w:bidi w:val="0"/>
              <w:adjustRightInd/>
              <w:snapToGrid w:val="0"/>
              <w:spacing w:after="100" w:afterAutospacing="1" w:line="340" w:lineRule="exact"/>
              <w:textAlignment w:val="auto"/>
              <w:rPr>
                <w:rFonts w:hint="eastAsia" w:ascii="宋体" w:hAnsi="宋体" w:eastAsia="宋体" w:cs="宋体"/>
                <w:kern w:val="0"/>
                <w:sz w:val="24"/>
                <w:szCs w:val="24"/>
              </w:rPr>
            </w:pPr>
            <w:r>
              <w:rPr>
                <w:rFonts w:hint="eastAsia" w:ascii="宋体" w:hAnsi="宋体" w:eastAsia="宋体" w:cs="宋体"/>
                <w:kern w:val="0"/>
                <w:sz w:val="24"/>
                <w:szCs w:val="24"/>
              </w:rPr>
              <w:t>（项目业主单位名称）：</w:t>
            </w:r>
          </w:p>
          <w:p w14:paraId="2DD5AF5C">
            <w:pPr>
              <w:pageBreakBefore w:val="0"/>
              <w:widowControl/>
              <w:kinsoku/>
              <w:wordWrap/>
              <w:overflowPunct/>
              <w:topLinePunct w:val="0"/>
              <w:autoSpaceDE/>
              <w:autoSpaceDN/>
              <w:bidi w:val="0"/>
              <w:adjustRightInd/>
              <w:snapToGrid w:val="0"/>
              <w:spacing w:after="100" w:afterAutospacing="1" w:line="340" w:lineRule="exact"/>
              <w:textAlignment w:val="auto"/>
              <w:rPr>
                <w:rFonts w:hint="eastAsia" w:ascii="宋体" w:hAnsi="宋体" w:eastAsia="宋体" w:cs="宋体"/>
                <w:kern w:val="0"/>
                <w:sz w:val="24"/>
                <w:szCs w:val="24"/>
              </w:rPr>
            </w:pPr>
            <w:r>
              <w:rPr>
                <w:rFonts w:hint="eastAsia" w:ascii="宋体" w:hAnsi="宋体" w:eastAsia="宋体" w:cs="宋体"/>
                <w:kern w:val="0"/>
                <w:sz w:val="24"/>
                <w:szCs w:val="24"/>
              </w:rPr>
              <w:t xml:space="preserve">    我单位负责承建的（工程名称）无拖欠农民工资的情况，贵单位先期支付我单位的工程款已优先用于支付了农民工工资，农民工工资全部按时足额进行了发放，请贵单位予以审核。</w:t>
            </w:r>
          </w:p>
          <w:p w14:paraId="68A11826">
            <w:pPr>
              <w:pStyle w:val="5"/>
              <w:pageBreakBefore w:val="0"/>
              <w:kinsoku/>
              <w:wordWrap/>
              <w:overflowPunct/>
              <w:topLinePunct w:val="0"/>
              <w:autoSpaceDE/>
              <w:autoSpaceDN/>
              <w:bidi w:val="0"/>
              <w:adjustRightInd/>
              <w:spacing w:line="340" w:lineRule="exact"/>
              <w:textAlignment w:val="auto"/>
              <w:rPr>
                <w:rFonts w:hint="eastAsia" w:ascii="宋体" w:hAnsi="宋体" w:eastAsia="宋体" w:cs="宋体"/>
                <w:sz w:val="24"/>
                <w:szCs w:val="24"/>
              </w:rPr>
            </w:pPr>
          </w:p>
          <w:p w14:paraId="3DFAD320">
            <w:pPr>
              <w:pageBreakBefore w:val="0"/>
              <w:widowControl/>
              <w:kinsoku/>
              <w:wordWrap/>
              <w:overflowPunct/>
              <w:topLinePunct w:val="0"/>
              <w:autoSpaceDE/>
              <w:autoSpaceDN/>
              <w:bidi w:val="0"/>
              <w:adjustRightInd/>
              <w:snapToGrid w:val="0"/>
              <w:spacing w:after="100" w:afterAutospacing="1" w:line="340" w:lineRule="exact"/>
              <w:ind w:firstLine="1440" w:firstLineChars="600"/>
              <w:textAlignment w:val="auto"/>
              <w:rPr>
                <w:rFonts w:hint="eastAsia" w:ascii="宋体" w:hAnsi="宋体" w:eastAsia="宋体" w:cs="宋体"/>
                <w:kern w:val="0"/>
                <w:sz w:val="24"/>
                <w:szCs w:val="24"/>
                <w:u w:val="single"/>
              </w:rPr>
            </w:pPr>
            <w:r>
              <w:rPr>
                <w:rFonts w:hint="eastAsia" w:ascii="宋体" w:hAnsi="宋体" w:eastAsia="宋体" w:cs="宋体"/>
                <w:kern w:val="0"/>
                <w:sz w:val="24"/>
                <w:szCs w:val="24"/>
              </w:rPr>
              <w:t>施工单位项目负责人签名（加盖项目章）：</w:t>
            </w:r>
          </w:p>
        </w:tc>
      </w:tr>
      <w:tr w14:paraId="22A62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2510" w:type="dxa"/>
            <w:noWrap w:val="0"/>
            <w:vAlign w:val="center"/>
          </w:tcPr>
          <w:p w14:paraId="1E1EFF42">
            <w:pPr>
              <w:pageBreakBefore w:val="0"/>
              <w:widowControl/>
              <w:kinsoku/>
              <w:wordWrap/>
              <w:overflowPunct/>
              <w:topLinePunct w:val="0"/>
              <w:autoSpaceDE/>
              <w:autoSpaceDN/>
              <w:bidi w:val="0"/>
              <w:adjustRightInd/>
              <w:snapToGrid w:val="0"/>
              <w:spacing w:after="100" w:afterAutospacing="1" w:line="340" w:lineRule="exact"/>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监理单位意见：</w:t>
            </w:r>
          </w:p>
        </w:tc>
        <w:tc>
          <w:tcPr>
            <w:tcW w:w="5927" w:type="dxa"/>
            <w:noWrap w:val="0"/>
            <w:vAlign w:val="top"/>
          </w:tcPr>
          <w:p w14:paraId="311BB204">
            <w:pPr>
              <w:pageBreakBefore w:val="0"/>
              <w:widowControl/>
              <w:kinsoku/>
              <w:wordWrap/>
              <w:overflowPunct/>
              <w:topLinePunct w:val="0"/>
              <w:autoSpaceDE/>
              <w:autoSpaceDN/>
              <w:bidi w:val="0"/>
              <w:adjustRightInd/>
              <w:snapToGrid w:val="0"/>
              <w:spacing w:after="100" w:afterAutospacing="1" w:line="340" w:lineRule="exact"/>
              <w:textAlignment w:val="auto"/>
              <w:rPr>
                <w:rFonts w:hint="eastAsia" w:ascii="宋体" w:hAnsi="宋体" w:eastAsia="宋体" w:cs="宋体"/>
                <w:kern w:val="0"/>
                <w:sz w:val="24"/>
                <w:szCs w:val="24"/>
                <w:u w:val="single"/>
              </w:rPr>
            </w:pPr>
          </w:p>
          <w:p w14:paraId="0AB8A8E9">
            <w:pPr>
              <w:pageBreakBefore w:val="0"/>
              <w:widowControl/>
              <w:kinsoku/>
              <w:wordWrap/>
              <w:overflowPunct/>
              <w:topLinePunct w:val="0"/>
              <w:autoSpaceDE/>
              <w:autoSpaceDN/>
              <w:bidi w:val="0"/>
              <w:adjustRightInd/>
              <w:snapToGrid w:val="0"/>
              <w:spacing w:after="100" w:afterAutospacing="1" w:line="340" w:lineRule="exact"/>
              <w:textAlignment w:val="auto"/>
              <w:rPr>
                <w:rFonts w:hint="eastAsia" w:ascii="宋体" w:hAnsi="宋体" w:eastAsia="宋体" w:cs="宋体"/>
                <w:kern w:val="0"/>
                <w:sz w:val="24"/>
                <w:szCs w:val="24"/>
                <w:u w:val="single"/>
              </w:rPr>
            </w:pPr>
            <w:r>
              <w:rPr>
                <w:rFonts w:hint="eastAsia" w:ascii="宋体" w:hAnsi="宋体" w:eastAsia="宋体" w:cs="宋体"/>
                <w:kern w:val="0"/>
                <w:sz w:val="24"/>
                <w:szCs w:val="24"/>
              </w:rPr>
              <w:t xml:space="preserve">             总监签名并加盖项目章：</w:t>
            </w:r>
          </w:p>
        </w:tc>
      </w:tr>
      <w:tr w14:paraId="520DC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jc w:val="center"/>
        </w:trPr>
        <w:tc>
          <w:tcPr>
            <w:tcW w:w="2510" w:type="dxa"/>
            <w:noWrap w:val="0"/>
            <w:vAlign w:val="center"/>
          </w:tcPr>
          <w:p w14:paraId="3E524D6F">
            <w:pPr>
              <w:pageBreakBefore w:val="0"/>
              <w:widowControl/>
              <w:kinsoku/>
              <w:wordWrap/>
              <w:overflowPunct/>
              <w:topLinePunct w:val="0"/>
              <w:autoSpaceDE/>
              <w:autoSpaceDN/>
              <w:bidi w:val="0"/>
              <w:adjustRightInd/>
              <w:snapToGrid w:val="0"/>
              <w:spacing w:after="100" w:afterAutospacing="1" w:line="340" w:lineRule="exact"/>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工程部项目负责人意见：</w:t>
            </w:r>
          </w:p>
        </w:tc>
        <w:tc>
          <w:tcPr>
            <w:tcW w:w="5927" w:type="dxa"/>
            <w:noWrap w:val="0"/>
            <w:vAlign w:val="top"/>
          </w:tcPr>
          <w:p w14:paraId="643A0F94">
            <w:pPr>
              <w:pageBreakBefore w:val="0"/>
              <w:widowControl/>
              <w:kinsoku/>
              <w:wordWrap/>
              <w:overflowPunct/>
              <w:topLinePunct w:val="0"/>
              <w:autoSpaceDE/>
              <w:autoSpaceDN/>
              <w:bidi w:val="0"/>
              <w:adjustRightInd/>
              <w:snapToGrid w:val="0"/>
              <w:spacing w:after="100" w:afterAutospacing="1" w:line="340" w:lineRule="exact"/>
              <w:textAlignment w:val="auto"/>
              <w:rPr>
                <w:rFonts w:hint="eastAsia" w:ascii="宋体" w:hAnsi="宋体" w:eastAsia="宋体" w:cs="宋体"/>
                <w:kern w:val="0"/>
                <w:sz w:val="24"/>
                <w:szCs w:val="24"/>
                <w:u w:val="single"/>
              </w:rPr>
            </w:pPr>
          </w:p>
          <w:p w14:paraId="09A0609D">
            <w:pPr>
              <w:pageBreakBefore w:val="0"/>
              <w:widowControl/>
              <w:kinsoku/>
              <w:wordWrap/>
              <w:overflowPunct/>
              <w:topLinePunct w:val="0"/>
              <w:autoSpaceDE/>
              <w:autoSpaceDN/>
              <w:bidi w:val="0"/>
              <w:adjustRightInd/>
              <w:snapToGrid w:val="0"/>
              <w:spacing w:after="100" w:afterAutospacing="1" w:line="340" w:lineRule="exact"/>
              <w:textAlignment w:val="auto"/>
              <w:rPr>
                <w:rFonts w:hint="eastAsia" w:ascii="宋体" w:hAnsi="宋体" w:eastAsia="宋体" w:cs="宋体"/>
                <w:kern w:val="0"/>
                <w:sz w:val="24"/>
                <w:szCs w:val="24"/>
                <w:u w:val="single"/>
              </w:rPr>
            </w:pPr>
            <w:r>
              <w:rPr>
                <w:rFonts w:hint="eastAsia" w:ascii="宋体" w:hAnsi="宋体" w:eastAsia="宋体" w:cs="宋体"/>
                <w:kern w:val="0"/>
                <w:sz w:val="24"/>
                <w:szCs w:val="24"/>
              </w:rPr>
              <w:t xml:space="preserve">                   项目负责人签名：</w:t>
            </w:r>
          </w:p>
        </w:tc>
      </w:tr>
    </w:tbl>
    <w:p w14:paraId="4E752022">
      <w:pPr>
        <w:pageBreakBefore w:val="0"/>
        <w:kinsoku/>
        <w:wordWrap/>
        <w:overflowPunct/>
        <w:topLinePunct w:val="0"/>
        <w:autoSpaceDE/>
        <w:autoSpaceDN/>
        <w:bidi w:val="0"/>
        <w:adjustRightInd/>
        <w:spacing w:line="340" w:lineRule="exact"/>
        <w:ind w:firstLine="482" w:firstLineChars="200"/>
        <w:jc w:val="left"/>
        <w:textAlignment w:val="auto"/>
        <w:rPr>
          <w:rFonts w:hint="eastAsia" w:ascii="宋体" w:hAnsi="宋体" w:eastAsia="宋体" w:cs="宋体"/>
          <w:b/>
          <w:bCs/>
          <w:sz w:val="24"/>
          <w:szCs w:val="24"/>
        </w:rPr>
      </w:pPr>
    </w:p>
    <w:p w14:paraId="79E6BD9A">
      <w:pPr>
        <w:pageBreakBefore w:val="0"/>
        <w:kinsoku/>
        <w:wordWrap/>
        <w:overflowPunct/>
        <w:topLinePunct w:val="0"/>
        <w:autoSpaceDE/>
        <w:autoSpaceDN/>
        <w:bidi w:val="0"/>
        <w:adjustRightInd/>
        <w:spacing w:line="340" w:lineRule="exact"/>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 xml:space="preserve">发  包  人（公章）：                </w:t>
      </w:r>
    </w:p>
    <w:p w14:paraId="57957781">
      <w:pPr>
        <w:pageBreakBefore w:val="0"/>
        <w:kinsoku/>
        <w:wordWrap/>
        <w:overflowPunct/>
        <w:topLinePunct w:val="0"/>
        <w:autoSpaceDE/>
        <w:autoSpaceDN/>
        <w:bidi w:val="0"/>
        <w:adjustRightInd/>
        <w:spacing w:line="340" w:lineRule="exact"/>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 xml:space="preserve">法定代表人（签名）：               </w:t>
      </w:r>
    </w:p>
    <w:p w14:paraId="575203C4">
      <w:pPr>
        <w:pageBreakBefore w:val="0"/>
        <w:kinsoku/>
        <w:wordWrap/>
        <w:overflowPunct/>
        <w:topLinePunct w:val="0"/>
        <w:autoSpaceDE/>
        <w:autoSpaceDN/>
        <w:bidi w:val="0"/>
        <w:adjustRightInd/>
        <w:spacing w:line="340" w:lineRule="exact"/>
        <w:jc w:val="left"/>
        <w:textAlignment w:val="auto"/>
        <w:rPr>
          <w:rFonts w:hint="eastAsia" w:ascii="宋体" w:hAnsi="宋体" w:eastAsia="宋体" w:cs="宋体"/>
          <w:sz w:val="24"/>
          <w:szCs w:val="24"/>
        </w:rPr>
      </w:pPr>
      <w:r>
        <w:rPr>
          <w:rFonts w:hint="eastAsia" w:ascii="宋体" w:hAnsi="宋体" w:eastAsia="宋体" w:cs="宋体"/>
          <w:b/>
          <w:bCs/>
          <w:sz w:val="24"/>
          <w:szCs w:val="24"/>
        </w:rPr>
        <w:t xml:space="preserve">或其委托代理人（签名）          </w:t>
      </w:r>
    </w:p>
    <w:p w14:paraId="78DA02CF">
      <w:pPr>
        <w:pStyle w:val="50"/>
        <w:pageBreakBefore w:val="0"/>
        <w:widowControl/>
        <w:shd w:val="clear" w:color="auto" w:fill="FFFFFF"/>
        <w:kinsoku/>
        <w:wordWrap/>
        <w:overflowPunct/>
        <w:topLinePunct w:val="0"/>
        <w:autoSpaceDE/>
        <w:autoSpaceDN/>
        <w:bidi w:val="0"/>
        <w:adjustRightInd/>
        <w:spacing w:before="0" w:beforeAutospacing="0" w:after="0" w:afterAutospacing="0" w:line="340" w:lineRule="exact"/>
        <w:ind w:right="300"/>
        <w:jc w:val="both"/>
        <w:textAlignment w:val="auto"/>
        <w:rPr>
          <w:rFonts w:hint="eastAsia" w:ascii="宋体" w:hAnsi="宋体" w:eastAsia="宋体" w:cs="宋体"/>
          <w:sz w:val="24"/>
          <w:szCs w:val="24"/>
          <w:shd w:val="clear" w:color="auto" w:fill="FFFFFF"/>
        </w:rPr>
      </w:pPr>
    </w:p>
    <w:p w14:paraId="02B19FA5">
      <w:pPr>
        <w:pStyle w:val="50"/>
        <w:pageBreakBefore w:val="0"/>
        <w:widowControl/>
        <w:shd w:val="clear" w:color="auto" w:fill="FFFFFF"/>
        <w:kinsoku/>
        <w:wordWrap/>
        <w:overflowPunct/>
        <w:topLinePunct w:val="0"/>
        <w:autoSpaceDE/>
        <w:autoSpaceDN/>
        <w:bidi w:val="0"/>
        <w:adjustRightInd/>
        <w:spacing w:before="0" w:beforeAutospacing="0" w:after="0" w:afterAutospacing="0" w:line="340" w:lineRule="exact"/>
        <w:ind w:right="300"/>
        <w:jc w:val="both"/>
        <w:textAlignment w:val="auto"/>
        <w:rPr>
          <w:rFonts w:hint="eastAsia" w:ascii="宋体" w:hAnsi="宋体" w:eastAsia="宋体" w:cs="宋体"/>
          <w:sz w:val="24"/>
          <w:szCs w:val="24"/>
          <w:shd w:val="clear" w:color="auto" w:fill="FFFFFF"/>
        </w:rPr>
      </w:pPr>
    </w:p>
    <w:p w14:paraId="46EA0915">
      <w:pPr>
        <w:pageBreakBefore w:val="0"/>
        <w:kinsoku/>
        <w:wordWrap/>
        <w:overflowPunct/>
        <w:topLinePunct w:val="0"/>
        <w:autoSpaceDE/>
        <w:autoSpaceDN/>
        <w:bidi w:val="0"/>
        <w:adjustRightInd/>
        <w:spacing w:line="340" w:lineRule="exact"/>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承  包  人（公章）：</w:t>
      </w:r>
    </w:p>
    <w:p w14:paraId="75BEA1DA">
      <w:pPr>
        <w:pStyle w:val="2"/>
        <w:pageBreakBefore w:val="0"/>
        <w:kinsoku/>
        <w:wordWrap/>
        <w:overflowPunct/>
        <w:topLinePunct w:val="0"/>
        <w:autoSpaceDE/>
        <w:autoSpaceDN/>
        <w:bidi w:val="0"/>
        <w:adjustRightInd/>
        <w:spacing w:line="340" w:lineRule="exact"/>
        <w:textAlignment w:val="auto"/>
        <w:rPr>
          <w:rFonts w:hint="eastAsia" w:ascii="宋体" w:hAnsi="宋体" w:eastAsia="宋体" w:cs="宋体"/>
          <w:b/>
          <w:bCs/>
          <w:sz w:val="24"/>
          <w:szCs w:val="24"/>
        </w:rPr>
      </w:pPr>
      <w:r>
        <w:rPr>
          <w:rFonts w:hint="eastAsia" w:ascii="宋体" w:hAnsi="宋体" w:eastAsia="宋体" w:cs="宋体"/>
          <w:b/>
          <w:bCs/>
          <w:sz w:val="24"/>
          <w:szCs w:val="24"/>
        </w:rPr>
        <w:t>法定代表人（签名）：</w:t>
      </w:r>
    </w:p>
    <w:p w14:paraId="43635464">
      <w:pPr>
        <w:pStyle w:val="2"/>
        <w:pageBreakBefore w:val="0"/>
        <w:kinsoku/>
        <w:wordWrap/>
        <w:overflowPunct/>
        <w:topLinePunct w:val="0"/>
        <w:autoSpaceDE/>
        <w:autoSpaceDN/>
        <w:bidi w:val="0"/>
        <w:adjustRightInd/>
        <w:spacing w:line="340" w:lineRule="exact"/>
        <w:textAlignment w:val="auto"/>
        <w:rPr>
          <w:rFonts w:hint="eastAsia" w:ascii="宋体" w:hAnsi="宋体" w:eastAsia="宋体" w:cs="宋体"/>
          <w:b/>
          <w:bCs/>
          <w:sz w:val="24"/>
          <w:szCs w:val="24"/>
        </w:rPr>
      </w:pPr>
      <w:r>
        <w:rPr>
          <w:rFonts w:hint="eastAsia" w:ascii="宋体" w:hAnsi="宋体" w:eastAsia="宋体" w:cs="宋体"/>
          <w:b/>
          <w:bCs/>
          <w:sz w:val="24"/>
          <w:szCs w:val="24"/>
        </w:rPr>
        <w:t>或其委托代理人（签名）：</w:t>
      </w:r>
    </w:p>
    <w:p w14:paraId="619473B4">
      <w:pPr>
        <w:pStyle w:val="2"/>
        <w:pageBreakBefore w:val="0"/>
        <w:kinsoku/>
        <w:wordWrap/>
        <w:overflowPunct/>
        <w:topLinePunct w:val="0"/>
        <w:autoSpaceDE/>
        <w:autoSpaceDN/>
        <w:bidi w:val="0"/>
        <w:adjustRightInd/>
        <w:spacing w:line="320" w:lineRule="exact"/>
        <w:textAlignment w:val="auto"/>
        <w:rPr>
          <w:rFonts w:hint="eastAsia" w:ascii="宋体" w:hAnsi="宋体" w:eastAsia="宋体" w:cs="宋体"/>
          <w:b/>
          <w:bCs/>
          <w:sz w:val="24"/>
          <w:szCs w:val="24"/>
        </w:rPr>
      </w:pPr>
    </w:p>
    <w:p w14:paraId="03DC5AFA">
      <w:pPr>
        <w:pStyle w:val="2"/>
        <w:pageBreakBefore w:val="0"/>
        <w:kinsoku/>
        <w:wordWrap/>
        <w:overflowPunct/>
        <w:topLinePunct w:val="0"/>
        <w:autoSpaceDE/>
        <w:autoSpaceDN/>
        <w:bidi w:val="0"/>
        <w:adjustRightInd/>
        <w:spacing w:line="320" w:lineRule="exact"/>
        <w:textAlignment w:val="auto"/>
        <w:rPr>
          <w:rFonts w:hint="eastAsia" w:ascii="宋体" w:hAnsi="宋体" w:eastAsia="宋体" w:cs="宋体"/>
          <w:b/>
          <w:bCs/>
          <w:sz w:val="24"/>
          <w:szCs w:val="24"/>
        </w:rPr>
      </w:pPr>
    </w:p>
    <w:p w14:paraId="26C93828">
      <w:pPr>
        <w:pStyle w:val="2"/>
        <w:pageBreakBefore w:val="0"/>
        <w:kinsoku/>
        <w:wordWrap/>
        <w:overflowPunct/>
        <w:topLinePunct w:val="0"/>
        <w:autoSpaceDE/>
        <w:autoSpaceDN/>
        <w:bidi w:val="0"/>
        <w:adjustRightInd/>
        <w:spacing w:line="320" w:lineRule="exact"/>
        <w:textAlignment w:val="auto"/>
        <w:rPr>
          <w:rFonts w:hint="eastAsia" w:ascii="宋体" w:hAnsi="宋体" w:eastAsia="宋体" w:cs="宋体"/>
          <w:b/>
          <w:bCs/>
          <w:sz w:val="24"/>
          <w:szCs w:val="24"/>
        </w:rPr>
      </w:pPr>
    </w:p>
    <w:p w14:paraId="6ABFFF2E">
      <w:pPr>
        <w:pStyle w:val="2"/>
        <w:pageBreakBefore w:val="0"/>
        <w:kinsoku/>
        <w:wordWrap/>
        <w:overflowPunct/>
        <w:topLinePunct w:val="0"/>
        <w:autoSpaceDE/>
        <w:autoSpaceDN/>
        <w:bidi w:val="0"/>
        <w:adjustRightInd/>
        <w:spacing w:line="320" w:lineRule="exact"/>
        <w:textAlignment w:val="auto"/>
        <w:rPr>
          <w:rFonts w:hint="eastAsia" w:ascii="宋体" w:hAnsi="宋体" w:eastAsia="宋体" w:cs="宋体"/>
          <w:b/>
          <w:bCs/>
          <w:sz w:val="24"/>
          <w:szCs w:val="24"/>
        </w:rPr>
      </w:pPr>
    </w:p>
    <w:p w14:paraId="0A370E5D">
      <w:pPr>
        <w:pStyle w:val="2"/>
        <w:pageBreakBefore w:val="0"/>
        <w:kinsoku/>
        <w:wordWrap/>
        <w:overflowPunct/>
        <w:topLinePunct w:val="0"/>
        <w:autoSpaceDE/>
        <w:autoSpaceDN/>
        <w:bidi w:val="0"/>
        <w:adjustRightInd/>
        <w:spacing w:line="320" w:lineRule="exact"/>
        <w:textAlignment w:val="auto"/>
        <w:rPr>
          <w:rFonts w:hint="eastAsia" w:ascii="宋体" w:hAnsi="宋体" w:eastAsia="宋体" w:cs="宋体"/>
          <w:b/>
          <w:bCs/>
          <w:sz w:val="24"/>
          <w:szCs w:val="24"/>
        </w:rPr>
      </w:pPr>
    </w:p>
    <w:p w14:paraId="49ECE6C6">
      <w:pPr>
        <w:pStyle w:val="2"/>
        <w:pageBreakBefore w:val="0"/>
        <w:kinsoku/>
        <w:wordWrap/>
        <w:overflowPunct/>
        <w:topLinePunct w:val="0"/>
        <w:autoSpaceDE/>
        <w:autoSpaceDN/>
        <w:bidi w:val="0"/>
        <w:adjustRightInd/>
        <w:spacing w:line="320" w:lineRule="exact"/>
        <w:textAlignment w:val="auto"/>
        <w:rPr>
          <w:rFonts w:hint="eastAsia" w:ascii="宋体" w:hAnsi="宋体" w:eastAsia="宋体" w:cs="宋体"/>
          <w:b/>
          <w:bCs/>
          <w:sz w:val="24"/>
          <w:szCs w:val="24"/>
        </w:rPr>
      </w:pPr>
    </w:p>
    <w:p w14:paraId="082ACEBA">
      <w:pPr>
        <w:pStyle w:val="2"/>
        <w:pageBreakBefore w:val="0"/>
        <w:kinsoku/>
        <w:wordWrap/>
        <w:overflowPunct/>
        <w:topLinePunct w:val="0"/>
        <w:autoSpaceDE/>
        <w:autoSpaceDN/>
        <w:bidi w:val="0"/>
        <w:adjustRightInd/>
        <w:spacing w:line="320" w:lineRule="exact"/>
        <w:textAlignment w:val="auto"/>
        <w:rPr>
          <w:rFonts w:hint="eastAsia" w:ascii="宋体" w:hAnsi="宋体" w:eastAsia="宋体" w:cs="宋体"/>
          <w:b/>
          <w:bCs/>
          <w:sz w:val="24"/>
          <w:szCs w:val="24"/>
        </w:rPr>
      </w:pPr>
    </w:p>
    <w:p w14:paraId="6CFAB262">
      <w:pPr>
        <w:pStyle w:val="2"/>
        <w:pageBreakBefore w:val="0"/>
        <w:kinsoku/>
        <w:wordWrap/>
        <w:overflowPunct/>
        <w:topLinePunct w:val="0"/>
        <w:autoSpaceDE/>
        <w:autoSpaceDN/>
        <w:bidi w:val="0"/>
        <w:adjustRightInd/>
        <w:spacing w:line="320" w:lineRule="exact"/>
        <w:textAlignment w:val="auto"/>
        <w:rPr>
          <w:rFonts w:hint="eastAsia" w:ascii="宋体" w:hAnsi="宋体" w:eastAsia="宋体" w:cs="宋体"/>
          <w:b/>
          <w:bCs/>
          <w:sz w:val="24"/>
          <w:szCs w:val="24"/>
        </w:rPr>
      </w:pPr>
    </w:p>
    <w:p w14:paraId="4C1E9CB9">
      <w:pPr>
        <w:pStyle w:val="4"/>
        <w:spacing w:before="0" w:after="0" w:line="380" w:lineRule="exact"/>
        <w:jc w:val="center"/>
        <w:rPr>
          <w:rFonts w:hint="eastAsia" w:ascii="宋体" w:hAnsi="宋体" w:eastAsia="宋体" w:cs="宋体"/>
          <w:color w:val="000000"/>
          <w:sz w:val="36"/>
          <w:szCs w:val="36"/>
        </w:rPr>
      </w:pPr>
      <w:bookmarkStart w:id="198" w:name="_Toc27928"/>
      <w:r>
        <w:rPr>
          <w:rFonts w:hint="eastAsia" w:ascii="宋体" w:hAnsi="宋体" w:eastAsia="宋体" w:cs="宋体"/>
          <w:color w:val="000000"/>
          <w:sz w:val="36"/>
          <w:szCs w:val="36"/>
        </w:rPr>
        <w:t>第六篇 响应文件格式要求</w:t>
      </w:r>
      <w:bookmarkEnd w:id="109"/>
      <w:bookmarkEnd w:id="110"/>
      <w:bookmarkEnd w:id="198"/>
    </w:p>
    <w:p w14:paraId="74F6FA27">
      <w:pPr>
        <w:spacing w:line="400" w:lineRule="exact"/>
        <w:jc w:val="center"/>
        <w:rPr>
          <w:rFonts w:hint="eastAsia" w:ascii="宋体" w:hAnsi="宋体" w:eastAsia="宋体" w:cs="宋体"/>
          <w:b/>
          <w:color w:val="000000"/>
          <w:spacing w:val="-18"/>
          <w:sz w:val="24"/>
        </w:rPr>
      </w:pPr>
      <w:r>
        <w:rPr>
          <w:rFonts w:hint="eastAsia" w:ascii="宋体" w:hAnsi="宋体" w:eastAsia="宋体" w:cs="宋体"/>
          <w:b/>
          <w:color w:val="000000"/>
          <w:spacing w:val="-18"/>
          <w:sz w:val="24"/>
        </w:rPr>
        <w:t>（</w:t>
      </w:r>
      <w:r>
        <w:rPr>
          <w:rFonts w:hint="eastAsia" w:ascii="宋体" w:hAnsi="宋体" w:eastAsia="宋体" w:cs="宋体"/>
          <w:b/>
          <w:color w:val="000000"/>
          <w:spacing w:val="-10"/>
          <w:sz w:val="24"/>
          <w:u w:val="single"/>
        </w:rPr>
        <w:t>请响应供应商按以下顺序和格式制作响应文件并装订成册。</w:t>
      </w:r>
      <w:r>
        <w:rPr>
          <w:rFonts w:hint="eastAsia" w:ascii="宋体" w:hAnsi="宋体" w:eastAsia="宋体" w:cs="宋体"/>
          <w:b/>
          <w:color w:val="000000"/>
          <w:spacing w:val="-18"/>
          <w:sz w:val="24"/>
        </w:rPr>
        <w:t>）</w:t>
      </w:r>
    </w:p>
    <w:p w14:paraId="2F08840B">
      <w:pPr>
        <w:spacing w:line="400" w:lineRule="auto"/>
        <w:rPr>
          <w:rFonts w:hint="eastAsia" w:ascii="宋体" w:hAnsi="宋体" w:eastAsia="宋体" w:cs="宋体"/>
          <w:color w:val="000000"/>
          <w:spacing w:val="-18"/>
          <w:sz w:val="32"/>
        </w:rPr>
      </w:pPr>
    </w:p>
    <w:p w14:paraId="1B4CA5F4">
      <w:pPr>
        <w:spacing w:line="400" w:lineRule="auto"/>
        <w:rPr>
          <w:rFonts w:hint="eastAsia" w:ascii="宋体" w:hAnsi="宋体" w:eastAsia="宋体" w:cs="宋体"/>
          <w:color w:val="000000"/>
          <w:spacing w:val="-18"/>
          <w:sz w:val="32"/>
        </w:rPr>
      </w:pPr>
    </w:p>
    <w:p w14:paraId="53DA0BE1">
      <w:pPr>
        <w:spacing w:line="400" w:lineRule="auto"/>
        <w:rPr>
          <w:rFonts w:hint="eastAsia" w:ascii="宋体" w:hAnsi="宋体" w:eastAsia="宋体" w:cs="宋体"/>
          <w:color w:val="000000"/>
          <w:spacing w:val="-18"/>
          <w:sz w:val="32"/>
        </w:rPr>
      </w:pPr>
      <w:r>
        <w:rPr>
          <w:rFonts w:hint="eastAsia" w:ascii="宋体" w:hAnsi="宋体" w:eastAsia="宋体" w:cs="宋体"/>
          <w:color w:val="000000"/>
          <w:spacing w:val="-18"/>
          <w:sz w:val="32"/>
        </w:rPr>
        <w:t>项目名称：</w:t>
      </w:r>
    </w:p>
    <w:p w14:paraId="40EF43E5">
      <w:pPr>
        <w:spacing w:line="400" w:lineRule="auto"/>
        <w:rPr>
          <w:rFonts w:hint="eastAsia" w:ascii="宋体" w:hAnsi="宋体" w:eastAsia="宋体" w:cs="宋体"/>
          <w:color w:val="000000"/>
          <w:spacing w:val="-18"/>
          <w:sz w:val="32"/>
        </w:rPr>
      </w:pPr>
    </w:p>
    <w:p w14:paraId="15EB5A63">
      <w:pPr>
        <w:spacing w:line="400" w:lineRule="auto"/>
        <w:rPr>
          <w:rFonts w:hint="eastAsia" w:ascii="宋体" w:hAnsi="宋体" w:eastAsia="宋体" w:cs="宋体"/>
          <w:color w:val="000000"/>
          <w:spacing w:val="-18"/>
          <w:sz w:val="32"/>
        </w:rPr>
      </w:pPr>
    </w:p>
    <w:p w14:paraId="670090CE">
      <w:pPr>
        <w:spacing w:line="400" w:lineRule="auto"/>
        <w:rPr>
          <w:rFonts w:hint="eastAsia" w:ascii="宋体" w:hAnsi="宋体" w:eastAsia="宋体" w:cs="宋体"/>
          <w:color w:val="000000"/>
          <w:spacing w:val="-18"/>
          <w:sz w:val="32"/>
        </w:rPr>
      </w:pPr>
    </w:p>
    <w:p w14:paraId="6A7F5158">
      <w:pPr>
        <w:spacing w:line="860" w:lineRule="auto"/>
        <w:jc w:val="center"/>
        <w:rPr>
          <w:rFonts w:hint="eastAsia" w:ascii="宋体" w:hAnsi="宋体" w:eastAsia="宋体" w:cs="宋体"/>
          <w:color w:val="000000"/>
          <w:spacing w:val="-18"/>
          <w:sz w:val="84"/>
        </w:rPr>
      </w:pPr>
      <w:r>
        <w:rPr>
          <w:rFonts w:hint="eastAsia" w:ascii="宋体" w:hAnsi="宋体" w:eastAsia="宋体" w:cs="宋体"/>
          <w:color w:val="000000"/>
          <w:spacing w:val="-18"/>
          <w:sz w:val="84"/>
        </w:rPr>
        <w:t>响应文件</w:t>
      </w:r>
    </w:p>
    <w:p w14:paraId="57AB5DD0">
      <w:pPr>
        <w:spacing w:line="400" w:lineRule="auto"/>
        <w:ind w:firstLine="408"/>
        <w:rPr>
          <w:rFonts w:hint="eastAsia" w:ascii="宋体" w:hAnsi="宋体" w:eastAsia="宋体" w:cs="宋体"/>
          <w:color w:val="000000"/>
          <w:spacing w:val="-18"/>
          <w:sz w:val="24"/>
        </w:rPr>
      </w:pPr>
    </w:p>
    <w:p w14:paraId="7B9E74BE">
      <w:pPr>
        <w:spacing w:line="400" w:lineRule="auto"/>
        <w:ind w:firstLine="408"/>
        <w:rPr>
          <w:rFonts w:hint="eastAsia" w:ascii="宋体" w:hAnsi="宋体" w:eastAsia="宋体" w:cs="宋体"/>
          <w:color w:val="000000"/>
          <w:spacing w:val="-18"/>
          <w:sz w:val="24"/>
        </w:rPr>
      </w:pPr>
    </w:p>
    <w:p w14:paraId="2F2F5B9A">
      <w:pPr>
        <w:spacing w:line="400" w:lineRule="auto"/>
        <w:ind w:firstLine="408"/>
        <w:rPr>
          <w:rFonts w:hint="eastAsia" w:ascii="宋体" w:hAnsi="宋体" w:eastAsia="宋体" w:cs="宋体"/>
          <w:color w:val="000000"/>
          <w:spacing w:val="-18"/>
          <w:sz w:val="24"/>
        </w:rPr>
      </w:pPr>
    </w:p>
    <w:p w14:paraId="06B32A62">
      <w:pPr>
        <w:spacing w:line="400" w:lineRule="auto"/>
        <w:ind w:firstLine="568"/>
        <w:rPr>
          <w:rFonts w:hint="eastAsia" w:ascii="宋体" w:hAnsi="宋体" w:eastAsia="宋体" w:cs="宋体"/>
          <w:color w:val="000000"/>
          <w:spacing w:val="-18"/>
          <w:sz w:val="32"/>
        </w:rPr>
      </w:pPr>
      <w:r>
        <w:rPr>
          <w:rFonts w:hint="eastAsia" w:ascii="宋体" w:hAnsi="宋体" w:eastAsia="宋体" w:cs="宋体"/>
          <w:color w:val="000000"/>
          <w:spacing w:val="-18"/>
          <w:sz w:val="32"/>
        </w:rPr>
        <w:t>响应供应商：</w:t>
      </w:r>
      <w:r>
        <w:rPr>
          <w:rFonts w:hint="eastAsia" w:ascii="宋体" w:hAnsi="宋体" w:eastAsia="宋体" w:cs="宋体"/>
          <w:color w:val="000000"/>
          <w:spacing w:val="-18"/>
          <w:sz w:val="32"/>
          <w:u w:val="single"/>
          <w:lang w:val="en-US" w:eastAsia="zh-CN"/>
        </w:rPr>
        <w:t xml:space="preserve">                              </w:t>
      </w:r>
      <w:r>
        <w:rPr>
          <w:rFonts w:hint="eastAsia" w:ascii="宋体" w:hAnsi="宋体" w:eastAsia="宋体" w:cs="宋体"/>
          <w:color w:val="000000"/>
          <w:spacing w:val="-18"/>
          <w:sz w:val="32"/>
        </w:rPr>
        <w:t>（ 盖单位公章）</w:t>
      </w:r>
    </w:p>
    <w:p w14:paraId="66005232">
      <w:pPr>
        <w:spacing w:line="400" w:lineRule="auto"/>
        <w:ind w:firstLine="568"/>
        <w:rPr>
          <w:rFonts w:hint="eastAsia" w:ascii="宋体" w:hAnsi="宋体" w:eastAsia="宋体" w:cs="宋体"/>
          <w:color w:val="000000"/>
          <w:spacing w:val="-18"/>
          <w:sz w:val="32"/>
        </w:rPr>
      </w:pPr>
    </w:p>
    <w:p w14:paraId="55AD3109">
      <w:pPr>
        <w:spacing w:line="400" w:lineRule="auto"/>
        <w:ind w:firstLine="568"/>
        <w:rPr>
          <w:rFonts w:hint="eastAsia" w:ascii="宋体" w:hAnsi="宋体" w:eastAsia="宋体" w:cs="宋体"/>
          <w:color w:val="000000"/>
          <w:spacing w:val="-18"/>
          <w:sz w:val="32"/>
        </w:rPr>
      </w:pPr>
      <w:r>
        <w:rPr>
          <w:rFonts w:hint="eastAsia" w:ascii="宋体" w:hAnsi="宋体" w:eastAsia="宋体" w:cs="宋体"/>
          <w:color w:val="000000"/>
          <w:spacing w:val="-18"/>
          <w:sz w:val="32"/>
        </w:rPr>
        <w:t>法定代表人或其委托代理人：</w:t>
      </w:r>
      <w:r>
        <w:rPr>
          <w:rFonts w:hint="eastAsia" w:ascii="宋体" w:hAnsi="宋体" w:eastAsia="宋体" w:cs="宋体"/>
          <w:color w:val="000000"/>
          <w:spacing w:val="-18"/>
          <w:sz w:val="32"/>
          <w:u w:val="single"/>
        </w:rPr>
        <w:t xml:space="preserve">                      </w:t>
      </w:r>
      <w:r>
        <w:rPr>
          <w:rFonts w:hint="eastAsia" w:ascii="宋体" w:hAnsi="宋体" w:eastAsia="宋体" w:cs="宋体"/>
          <w:color w:val="000000"/>
          <w:spacing w:val="-18"/>
          <w:sz w:val="32"/>
        </w:rPr>
        <w:t>（ 签字）</w:t>
      </w:r>
    </w:p>
    <w:p w14:paraId="0D84542C">
      <w:pPr>
        <w:spacing w:line="400" w:lineRule="auto"/>
        <w:rPr>
          <w:rFonts w:hint="eastAsia" w:ascii="宋体" w:hAnsi="宋体" w:eastAsia="宋体" w:cs="宋体"/>
          <w:color w:val="000000"/>
          <w:spacing w:val="-18"/>
          <w:sz w:val="32"/>
        </w:rPr>
      </w:pPr>
    </w:p>
    <w:p w14:paraId="6C3269CC">
      <w:pPr>
        <w:spacing w:line="400" w:lineRule="auto"/>
        <w:ind w:firstLine="3550"/>
        <w:rPr>
          <w:rFonts w:hint="eastAsia" w:ascii="宋体" w:hAnsi="宋体" w:eastAsia="宋体" w:cs="宋体"/>
          <w:color w:val="000000"/>
          <w:spacing w:val="-18"/>
          <w:sz w:val="32"/>
        </w:rPr>
      </w:pPr>
      <w:r>
        <w:rPr>
          <w:rFonts w:hint="eastAsia" w:ascii="宋体" w:hAnsi="宋体" w:eastAsia="宋体" w:cs="宋体"/>
          <w:color w:val="000000"/>
          <w:spacing w:val="-18"/>
          <w:sz w:val="32"/>
        </w:rPr>
        <w:t>年      月     日</w:t>
      </w:r>
    </w:p>
    <w:p w14:paraId="353DB3F5">
      <w:pPr>
        <w:spacing w:line="380" w:lineRule="exact"/>
        <w:ind w:firstLine="723" w:firstLineChars="200"/>
        <w:jc w:val="center"/>
        <w:rPr>
          <w:rFonts w:hint="eastAsia" w:ascii="宋体" w:hAnsi="宋体" w:eastAsia="宋体" w:cs="宋体"/>
          <w:b/>
          <w:color w:val="000000"/>
          <w:sz w:val="36"/>
          <w:szCs w:val="36"/>
        </w:rPr>
      </w:pPr>
    </w:p>
    <w:p w14:paraId="39B82FE2">
      <w:pPr>
        <w:spacing w:line="380" w:lineRule="exact"/>
        <w:ind w:firstLine="723" w:firstLineChars="200"/>
        <w:jc w:val="center"/>
        <w:rPr>
          <w:rFonts w:hint="eastAsia" w:ascii="宋体" w:hAnsi="宋体" w:eastAsia="宋体" w:cs="宋体"/>
          <w:b/>
          <w:color w:val="000000"/>
          <w:sz w:val="36"/>
          <w:szCs w:val="36"/>
        </w:rPr>
      </w:pPr>
      <w:r>
        <w:rPr>
          <w:rFonts w:hint="eastAsia" w:ascii="宋体" w:hAnsi="宋体" w:eastAsia="宋体" w:cs="宋体"/>
          <w:b/>
          <w:color w:val="000000"/>
          <w:sz w:val="36"/>
          <w:szCs w:val="36"/>
        </w:rPr>
        <w:t>目  录</w:t>
      </w:r>
    </w:p>
    <w:p w14:paraId="606A0952">
      <w:pPr>
        <w:spacing w:line="38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一、经济部分</w:t>
      </w:r>
    </w:p>
    <w:p w14:paraId="589457E7">
      <w:pPr>
        <w:spacing w:line="38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（一）报价函</w:t>
      </w:r>
    </w:p>
    <w:p w14:paraId="13564530">
      <w:pPr>
        <w:spacing w:line="38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（二）明细报价表</w:t>
      </w:r>
    </w:p>
    <w:p w14:paraId="2F9A68D0">
      <w:pPr>
        <w:spacing w:line="38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二、技术部分</w:t>
      </w:r>
    </w:p>
    <w:p w14:paraId="2DB3BB5D">
      <w:pPr>
        <w:spacing w:line="38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（一）技术响应偏离表</w:t>
      </w:r>
    </w:p>
    <w:p w14:paraId="19234D09">
      <w:pPr>
        <w:spacing w:line="38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三、商务部分</w:t>
      </w:r>
    </w:p>
    <w:p w14:paraId="35585A9A">
      <w:pPr>
        <w:spacing w:line="38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（一）商务响应偏离表</w:t>
      </w:r>
    </w:p>
    <w:p w14:paraId="517140EA">
      <w:pPr>
        <w:spacing w:line="38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（二）其它优惠承诺</w:t>
      </w:r>
    </w:p>
    <w:p w14:paraId="38A14D4D">
      <w:pPr>
        <w:spacing w:line="38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四、资格条件及其他</w:t>
      </w:r>
    </w:p>
    <w:p w14:paraId="4C6D9BF1">
      <w:pPr>
        <w:snapToGrid w:val="0"/>
        <w:spacing w:line="44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（一）营业执照（副本）或事业单位法人证书（副本）复印件</w:t>
      </w:r>
    </w:p>
    <w:p w14:paraId="36AAB775">
      <w:pPr>
        <w:snapToGrid w:val="0"/>
        <w:spacing w:line="44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（二）法定代表人身份证明书（格式）</w:t>
      </w:r>
    </w:p>
    <w:p w14:paraId="1B9B2248">
      <w:pPr>
        <w:snapToGrid w:val="0"/>
        <w:spacing w:line="44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eastAsia="宋体" w:cs="宋体"/>
          <w:color w:val="000000"/>
          <w:sz w:val="24"/>
          <w:szCs w:val="24"/>
          <w:lang w:eastAsia="zh-CN"/>
        </w:rPr>
        <w:t>三</w:t>
      </w:r>
      <w:r>
        <w:rPr>
          <w:rFonts w:hint="eastAsia" w:ascii="宋体" w:hAnsi="宋体" w:eastAsia="宋体" w:cs="宋体"/>
          <w:color w:val="000000"/>
          <w:sz w:val="24"/>
          <w:szCs w:val="24"/>
        </w:rPr>
        <w:t>）法定代表人授权委托书（格式）</w:t>
      </w:r>
    </w:p>
    <w:p w14:paraId="6361B1F6">
      <w:pPr>
        <w:snapToGrid w:val="0"/>
        <w:spacing w:line="44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四</w:t>
      </w:r>
      <w:r>
        <w:rPr>
          <w:rFonts w:hint="eastAsia" w:ascii="宋体" w:hAnsi="宋体" w:eastAsia="宋体" w:cs="宋体"/>
          <w:color w:val="000000"/>
          <w:sz w:val="24"/>
          <w:szCs w:val="24"/>
        </w:rPr>
        <w:t>）</w:t>
      </w:r>
      <w:r>
        <w:rPr>
          <w:rFonts w:hint="eastAsia" w:ascii="宋体" w:hAnsi="宋体" w:eastAsia="宋体" w:cs="宋体"/>
          <w:color w:val="000000"/>
          <w:sz w:val="24"/>
          <w:szCs w:val="24"/>
          <w:lang w:eastAsia="zh-CN"/>
        </w:rPr>
        <w:t>基本资格条件承诺函</w:t>
      </w:r>
      <w:r>
        <w:rPr>
          <w:rFonts w:hint="eastAsia" w:ascii="宋体" w:hAnsi="宋体" w:eastAsia="宋体" w:cs="宋体"/>
          <w:color w:val="000000"/>
          <w:sz w:val="24"/>
          <w:szCs w:val="24"/>
        </w:rPr>
        <w:t>（格式）</w:t>
      </w:r>
    </w:p>
    <w:p w14:paraId="5E5FCEFD">
      <w:pPr>
        <w:snapToGrid w:val="0"/>
        <w:spacing w:line="44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五</w:t>
      </w:r>
      <w:r>
        <w:rPr>
          <w:rFonts w:hint="eastAsia" w:ascii="宋体" w:hAnsi="宋体" w:eastAsia="宋体" w:cs="宋体"/>
          <w:color w:val="000000"/>
          <w:sz w:val="24"/>
          <w:szCs w:val="24"/>
        </w:rPr>
        <w:t>）特定资格条件证书或证明文件（按询价通知书第一篇第三条第（二）项要求提供）</w:t>
      </w:r>
    </w:p>
    <w:p w14:paraId="739FFC3C">
      <w:pPr>
        <w:snapToGrid w:val="0"/>
        <w:spacing w:line="44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说明：1.供应商按“多证合一”登记制度办理营业执照的，以供应商所提供的法人营业执照（副本）复印件为准。</w:t>
      </w:r>
    </w:p>
    <w:p w14:paraId="234539AC">
      <w:pPr>
        <w:spacing w:line="38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五、其他应提供的资料</w:t>
      </w:r>
    </w:p>
    <w:p w14:paraId="100E8DD0">
      <w:pPr>
        <w:spacing w:line="38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（一）其他资料 </w:t>
      </w:r>
    </w:p>
    <w:p w14:paraId="6E4465EA">
      <w:pPr>
        <w:spacing w:line="38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1.其他与项目有关的资料</w:t>
      </w:r>
    </w:p>
    <w:p w14:paraId="08945AB7">
      <w:pPr>
        <w:widowControl/>
        <w:spacing w:line="380" w:lineRule="exact"/>
        <w:jc w:val="left"/>
        <w:rPr>
          <w:rFonts w:hint="eastAsia" w:ascii="宋体" w:hAnsi="宋体" w:eastAsia="宋体" w:cs="宋体"/>
          <w:color w:val="000000"/>
          <w:sz w:val="24"/>
          <w:szCs w:val="24"/>
          <w:bdr w:val="single" w:color="auto" w:sz="4" w:space="0"/>
        </w:rPr>
        <w:sectPr>
          <w:pgSz w:w="11907" w:h="16840"/>
          <w:pgMar w:top="1134" w:right="1191" w:bottom="1134" w:left="1304" w:header="851" w:footer="992" w:gutter="0"/>
          <w:pgNumType w:fmt="numberInDash"/>
          <w:cols w:space="720" w:num="1"/>
        </w:sectPr>
      </w:pPr>
    </w:p>
    <w:p w14:paraId="176A850A">
      <w:pPr>
        <w:pStyle w:val="5"/>
        <w:spacing w:before="0" w:after="0" w:line="380" w:lineRule="exact"/>
        <w:rPr>
          <w:rFonts w:hint="eastAsia" w:ascii="宋体" w:hAnsi="宋体" w:eastAsia="宋体" w:cs="宋体"/>
          <w:color w:val="000000"/>
          <w:sz w:val="24"/>
          <w:szCs w:val="24"/>
        </w:rPr>
      </w:pPr>
      <w:bookmarkStart w:id="199" w:name="_Toc24471"/>
      <w:bookmarkStart w:id="200" w:name="_Toc486608277"/>
      <w:bookmarkStart w:id="201" w:name="_Toc486585240"/>
      <w:bookmarkStart w:id="202" w:name="_Toc487204797"/>
      <w:r>
        <w:rPr>
          <w:rFonts w:hint="eastAsia" w:ascii="宋体" w:hAnsi="宋体" w:eastAsia="宋体" w:cs="宋体"/>
          <w:color w:val="000000"/>
          <w:sz w:val="24"/>
          <w:szCs w:val="24"/>
        </w:rPr>
        <w:t>一、经济部分</w:t>
      </w:r>
      <w:bookmarkEnd w:id="199"/>
      <w:bookmarkEnd w:id="200"/>
      <w:bookmarkEnd w:id="201"/>
      <w:bookmarkEnd w:id="202"/>
    </w:p>
    <w:p w14:paraId="7C7D7EF8">
      <w:pPr>
        <w:tabs>
          <w:tab w:val="left" w:pos="6300"/>
        </w:tabs>
        <w:snapToGrid w:val="0"/>
        <w:spacing w:line="38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（一）报价函</w:t>
      </w:r>
    </w:p>
    <w:p w14:paraId="417655C2">
      <w:pPr>
        <w:tabs>
          <w:tab w:val="left" w:pos="6300"/>
        </w:tabs>
        <w:snapToGrid w:val="0"/>
        <w:spacing w:line="380" w:lineRule="exact"/>
        <w:jc w:val="center"/>
        <w:outlineLvl w:val="0"/>
        <w:rPr>
          <w:rFonts w:hint="eastAsia" w:ascii="宋体" w:hAnsi="宋体" w:eastAsia="宋体" w:cs="宋体"/>
          <w:b/>
          <w:color w:val="000000"/>
          <w:sz w:val="24"/>
          <w:szCs w:val="24"/>
        </w:rPr>
      </w:pPr>
      <w:r>
        <w:rPr>
          <w:rFonts w:hint="eastAsia" w:ascii="宋体" w:hAnsi="宋体" w:eastAsia="宋体" w:cs="宋体"/>
          <w:b/>
          <w:color w:val="000000"/>
          <w:sz w:val="24"/>
          <w:szCs w:val="24"/>
        </w:rPr>
        <w:t>询价报价函（格式）</w:t>
      </w:r>
    </w:p>
    <w:p w14:paraId="7E14ADD7">
      <w:pPr>
        <w:tabs>
          <w:tab w:val="left" w:pos="6300"/>
        </w:tabs>
        <w:snapToGrid w:val="0"/>
        <w:spacing w:line="380" w:lineRule="exact"/>
        <w:rPr>
          <w:rFonts w:hint="eastAsia" w:ascii="宋体" w:hAnsi="宋体" w:eastAsia="宋体" w:cs="宋体"/>
          <w:color w:val="000000"/>
          <w:sz w:val="24"/>
          <w:szCs w:val="24"/>
        </w:rPr>
      </w:pPr>
      <w:r>
        <w:rPr>
          <w:rFonts w:hint="eastAsia" w:ascii="宋体" w:hAnsi="宋体" w:eastAsia="宋体" w:cs="宋体"/>
          <w:color w:val="000000"/>
          <w:sz w:val="24"/>
          <w:szCs w:val="24"/>
          <w:u w:val="single"/>
        </w:rPr>
        <w:t>（采购代理机构名称）</w:t>
      </w:r>
      <w:r>
        <w:rPr>
          <w:rFonts w:hint="eastAsia" w:ascii="宋体" w:hAnsi="宋体" w:eastAsia="宋体" w:cs="宋体"/>
          <w:color w:val="000000"/>
          <w:sz w:val="24"/>
          <w:szCs w:val="24"/>
        </w:rPr>
        <w:t>：</w:t>
      </w:r>
    </w:p>
    <w:p w14:paraId="444A5831">
      <w:pPr>
        <w:tabs>
          <w:tab w:val="left" w:pos="6300"/>
        </w:tabs>
        <w:snapToGrid w:val="0"/>
        <w:spacing w:line="38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我方收到____________________________（询价项目名称）的询价通知书，经详细研究，决定参加该项目的询价。</w:t>
      </w:r>
    </w:p>
    <w:p w14:paraId="58C696D0">
      <w:pPr>
        <w:tabs>
          <w:tab w:val="left" w:pos="6300"/>
        </w:tabs>
        <w:snapToGrid w:val="0"/>
        <w:spacing w:line="38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1.愿意按照询价通知书中的一切要求，提供本项目的交货及技术服务，报价为人民币大写：</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元整；人民币小写：</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元。</w:t>
      </w:r>
    </w:p>
    <w:p w14:paraId="4CA641D0">
      <w:pPr>
        <w:tabs>
          <w:tab w:val="left" w:pos="6300"/>
        </w:tabs>
        <w:snapToGrid w:val="0"/>
        <w:spacing w:line="38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2.我方现提交的响应文件为：响应文件正本</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份，副本</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份</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电子文档</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lang w:val="en-US" w:eastAsia="zh-CN"/>
        </w:rPr>
        <w:t>份</w:t>
      </w:r>
      <w:r>
        <w:rPr>
          <w:rFonts w:hint="eastAsia" w:ascii="宋体" w:hAnsi="宋体" w:eastAsia="宋体" w:cs="宋体"/>
          <w:color w:val="000000"/>
          <w:sz w:val="24"/>
          <w:szCs w:val="24"/>
        </w:rPr>
        <w:t>。</w:t>
      </w:r>
    </w:p>
    <w:p w14:paraId="3D2751F2">
      <w:pPr>
        <w:tabs>
          <w:tab w:val="left" w:pos="6300"/>
        </w:tabs>
        <w:snapToGrid w:val="0"/>
        <w:spacing w:line="38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3.我方承诺：本次询价的有效期为90天。</w:t>
      </w:r>
    </w:p>
    <w:p w14:paraId="45E70AE9">
      <w:pPr>
        <w:tabs>
          <w:tab w:val="left" w:pos="6300"/>
        </w:tabs>
        <w:snapToGrid w:val="0"/>
        <w:spacing w:line="38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4.我方完全理解和接受贵方询价通知书的一切规定和要求及询价评审办法。</w:t>
      </w:r>
    </w:p>
    <w:p w14:paraId="7852CBEF">
      <w:pPr>
        <w:tabs>
          <w:tab w:val="left" w:pos="6300"/>
        </w:tabs>
        <w:snapToGrid w:val="0"/>
        <w:spacing w:line="38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5.在整个询价过程中，我方若有违规行为，接受按照《中华人民共和国政府采购法》和《询价通知书》之规定给予惩罚。</w:t>
      </w:r>
    </w:p>
    <w:p w14:paraId="48C168B1">
      <w:pPr>
        <w:tabs>
          <w:tab w:val="left" w:pos="6300"/>
        </w:tabs>
        <w:snapToGrid w:val="0"/>
        <w:spacing w:line="38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6.我方若成为成交供应商，将按照最终询价结果签订合同，并且严格履行合同义务。本承诺函将成为合同不可分割的一部分，与合同具有同等的法律效力。</w:t>
      </w:r>
    </w:p>
    <w:p w14:paraId="30D6F6A2">
      <w:pPr>
        <w:tabs>
          <w:tab w:val="left" w:pos="6300"/>
        </w:tabs>
        <w:snapToGrid w:val="0"/>
        <w:spacing w:line="38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7.我方同意按询价通知书规定，交纳询价通知书要求的保证金。如果我方成为成交供应商，保证在接到成交通知书后，按照有关规定及询价通知书要求缴纳相关费用。</w:t>
      </w:r>
    </w:p>
    <w:p w14:paraId="642356EF">
      <w:pPr>
        <w:tabs>
          <w:tab w:val="left" w:pos="6300"/>
        </w:tabs>
        <w:snapToGrid w:val="0"/>
        <w:spacing w:line="380" w:lineRule="exact"/>
        <w:ind w:firstLine="570"/>
        <w:rPr>
          <w:rFonts w:hint="eastAsia" w:ascii="宋体" w:hAnsi="宋体" w:eastAsia="宋体" w:cs="宋体"/>
          <w:color w:val="000000"/>
          <w:sz w:val="24"/>
          <w:szCs w:val="24"/>
        </w:rPr>
      </w:pPr>
      <w:r>
        <w:rPr>
          <w:rFonts w:hint="eastAsia" w:ascii="宋体" w:hAnsi="宋体" w:eastAsia="宋体" w:cs="宋体"/>
          <w:color w:val="000000"/>
          <w:sz w:val="24"/>
          <w:szCs w:val="24"/>
        </w:rPr>
        <w:t>8.我方未为采购项目提供整体设计、规范编制或者项目管理、监理、检测等服务。</w:t>
      </w:r>
    </w:p>
    <w:p w14:paraId="527FA4A9">
      <w:pPr>
        <w:tabs>
          <w:tab w:val="left" w:pos="6300"/>
        </w:tabs>
        <w:snapToGrid w:val="0"/>
        <w:spacing w:line="380" w:lineRule="exact"/>
        <w:ind w:firstLine="570"/>
        <w:rPr>
          <w:rFonts w:hint="eastAsia" w:ascii="宋体" w:hAnsi="宋体" w:eastAsia="宋体" w:cs="宋体"/>
          <w:color w:val="000000"/>
          <w:sz w:val="24"/>
          <w:szCs w:val="24"/>
        </w:rPr>
      </w:pPr>
      <w:r>
        <w:rPr>
          <w:rFonts w:hint="eastAsia" w:ascii="宋体" w:hAnsi="宋体" w:eastAsia="宋体" w:cs="宋体"/>
          <w:color w:val="000000"/>
          <w:sz w:val="24"/>
          <w:szCs w:val="24"/>
        </w:rPr>
        <w:t>9.其它：</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 xml:space="preserve"> 。</w:t>
      </w:r>
    </w:p>
    <w:p w14:paraId="25DCA6B9">
      <w:pPr>
        <w:pStyle w:val="95"/>
        <w:rPr>
          <w:rFonts w:hint="eastAsia" w:ascii="宋体" w:hAnsi="宋体" w:eastAsia="宋体" w:cs="宋体"/>
          <w:color w:val="000000"/>
        </w:rPr>
      </w:pPr>
    </w:p>
    <w:p w14:paraId="4B121BF0">
      <w:pPr>
        <w:tabs>
          <w:tab w:val="left" w:pos="6300"/>
        </w:tabs>
        <w:snapToGrid w:val="0"/>
        <w:spacing w:line="380" w:lineRule="exact"/>
        <w:ind w:firstLine="570"/>
        <w:rPr>
          <w:rFonts w:hint="eastAsia" w:ascii="宋体" w:hAnsi="宋体" w:eastAsia="宋体" w:cs="宋体"/>
          <w:color w:val="000000"/>
          <w:sz w:val="24"/>
          <w:szCs w:val="24"/>
        </w:rPr>
      </w:pPr>
    </w:p>
    <w:p w14:paraId="44D4B63D">
      <w:pPr>
        <w:tabs>
          <w:tab w:val="left" w:pos="6300"/>
        </w:tabs>
        <w:snapToGrid w:val="0"/>
        <w:spacing w:line="380" w:lineRule="exact"/>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w:t>
      </w:r>
    </w:p>
    <w:p w14:paraId="77FBB4DE">
      <w:pPr>
        <w:tabs>
          <w:tab w:val="left" w:pos="6300"/>
        </w:tabs>
        <w:snapToGrid w:val="0"/>
        <w:spacing w:line="380" w:lineRule="exact"/>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w:t>
      </w:r>
    </w:p>
    <w:p w14:paraId="35F2C9FE">
      <w:pPr>
        <w:tabs>
          <w:tab w:val="left" w:pos="6300"/>
        </w:tabs>
        <w:snapToGrid w:val="0"/>
        <w:spacing w:line="380" w:lineRule="exact"/>
        <w:ind w:firstLine="570"/>
        <w:rPr>
          <w:rFonts w:hint="eastAsia" w:ascii="宋体" w:hAnsi="宋体" w:eastAsia="宋体" w:cs="宋体"/>
          <w:color w:val="000000"/>
          <w:sz w:val="24"/>
          <w:szCs w:val="24"/>
        </w:rPr>
      </w:pPr>
      <w:r>
        <w:rPr>
          <w:rFonts w:hint="eastAsia" w:ascii="宋体" w:hAnsi="宋体" w:eastAsia="宋体" w:cs="宋体"/>
          <w:color w:val="000000"/>
          <w:sz w:val="24"/>
          <w:szCs w:val="24"/>
        </w:rPr>
        <w:t>供应商（公章）：</w:t>
      </w:r>
    </w:p>
    <w:p w14:paraId="385D28A2">
      <w:pPr>
        <w:tabs>
          <w:tab w:val="left" w:pos="6300"/>
        </w:tabs>
        <w:snapToGrid w:val="0"/>
        <w:spacing w:line="380" w:lineRule="exact"/>
        <w:ind w:firstLine="570"/>
        <w:rPr>
          <w:rFonts w:hint="eastAsia" w:ascii="宋体" w:hAnsi="宋体" w:eastAsia="宋体" w:cs="宋体"/>
          <w:color w:val="000000"/>
          <w:sz w:val="24"/>
          <w:szCs w:val="24"/>
        </w:rPr>
      </w:pPr>
      <w:r>
        <w:rPr>
          <w:rFonts w:hint="eastAsia" w:ascii="宋体" w:hAnsi="宋体" w:eastAsia="宋体" w:cs="宋体"/>
          <w:color w:val="000000"/>
          <w:sz w:val="24"/>
          <w:szCs w:val="24"/>
        </w:rPr>
        <w:t>地址：</w:t>
      </w:r>
    </w:p>
    <w:p w14:paraId="24287EB8">
      <w:pPr>
        <w:tabs>
          <w:tab w:val="left" w:pos="6300"/>
        </w:tabs>
        <w:snapToGrid w:val="0"/>
        <w:spacing w:line="380" w:lineRule="exact"/>
        <w:ind w:firstLine="570"/>
        <w:rPr>
          <w:rFonts w:hint="eastAsia" w:ascii="宋体" w:hAnsi="宋体" w:eastAsia="宋体" w:cs="宋体"/>
          <w:color w:val="000000"/>
          <w:sz w:val="24"/>
          <w:szCs w:val="24"/>
        </w:rPr>
      </w:pPr>
      <w:r>
        <w:rPr>
          <w:rFonts w:hint="eastAsia" w:ascii="宋体" w:hAnsi="宋体" w:eastAsia="宋体" w:cs="宋体"/>
          <w:color w:val="000000"/>
          <w:sz w:val="24"/>
          <w:szCs w:val="24"/>
        </w:rPr>
        <w:t>电话：传真：</w:t>
      </w:r>
    </w:p>
    <w:p w14:paraId="1F8AC742">
      <w:pPr>
        <w:tabs>
          <w:tab w:val="left" w:pos="6300"/>
        </w:tabs>
        <w:snapToGrid w:val="0"/>
        <w:spacing w:line="380" w:lineRule="exact"/>
        <w:ind w:firstLine="570"/>
        <w:rPr>
          <w:rFonts w:hint="eastAsia" w:ascii="宋体" w:hAnsi="宋体" w:eastAsia="宋体" w:cs="宋体"/>
          <w:color w:val="000000"/>
          <w:sz w:val="24"/>
          <w:szCs w:val="24"/>
        </w:rPr>
      </w:pPr>
      <w:r>
        <w:rPr>
          <w:rFonts w:hint="eastAsia" w:ascii="宋体" w:hAnsi="宋体" w:eastAsia="宋体" w:cs="宋体"/>
          <w:color w:val="000000"/>
          <w:sz w:val="24"/>
          <w:szCs w:val="24"/>
        </w:rPr>
        <w:t>网址：邮编：</w:t>
      </w:r>
    </w:p>
    <w:p w14:paraId="353F8C3D">
      <w:pPr>
        <w:tabs>
          <w:tab w:val="left" w:pos="6300"/>
        </w:tabs>
        <w:snapToGrid w:val="0"/>
        <w:spacing w:line="380" w:lineRule="exact"/>
        <w:ind w:firstLine="570"/>
        <w:rPr>
          <w:rFonts w:hint="eastAsia" w:ascii="宋体" w:hAnsi="宋体" w:eastAsia="宋体" w:cs="宋体"/>
          <w:color w:val="000000"/>
          <w:sz w:val="24"/>
          <w:szCs w:val="24"/>
        </w:rPr>
      </w:pPr>
      <w:r>
        <w:rPr>
          <w:rFonts w:hint="eastAsia" w:ascii="宋体" w:hAnsi="宋体" w:eastAsia="宋体" w:cs="宋体"/>
          <w:color w:val="000000"/>
          <w:sz w:val="24"/>
          <w:szCs w:val="24"/>
        </w:rPr>
        <w:t>联系人：</w:t>
      </w:r>
    </w:p>
    <w:p w14:paraId="7F272C17">
      <w:pPr>
        <w:snapToGrid w:val="0"/>
        <w:spacing w:line="38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年   月   日</w:t>
      </w:r>
    </w:p>
    <w:p w14:paraId="18F41D6E">
      <w:pPr>
        <w:widowControl/>
        <w:spacing w:line="380" w:lineRule="exact"/>
        <w:jc w:val="left"/>
        <w:rPr>
          <w:rFonts w:hint="eastAsia" w:ascii="宋体" w:hAnsi="宋体" w:eastAsia="宋体" w:cs="宋体"/>
          <w:color w:val="000000"/>
          <w:sz w:val="24"/>
          <w:szCs w:val="24"/>
        </w:rPr>
        <w:sectPr>
          <w:pgSz w:w="11907" w:h="16840"/>
          <w:pgMar w:top="1134" w:right="1191" w:bottom="1134" w:left="1304" w:header="851" w:footer="992" w:gutter="0"/>
          <w:pgNumType w:fmt="numberInDash"/>
          <w:cols w:space="720" w:num="1"/>
        </w:sectPr>
      </w:pPr>
    </w:p>
    <w:p w14:paraId="7FDFAE1A">
      <w:pPr>
        <w:numPr>
          <w:ilvl w:val="0"/>
          <w:numId w:val="3"/>
        </w:numPr>
        <w:tabs>
          <w:tab w:val="left" w:pos="2895"/>
        </w:tabs>
        <w:spacing w:line="380" w:lineRule="exact"/>
        <w:ind w:firstLine="480" w:firstLineChars="200"/>
        <w:rPr>
          <w:rFonts w:hint="eastAsia" w:ascii="宋体" w:hAnsi="宋体" w:eastAsia="宋体" w:cs="宋体"/>
          <w:color w:val="000000"/>
        </w:rPr>
      </w:pPr>
      <w:r>
        <w:rPr>
          <w:rFonts w:hint="eastAsia" w:ascii="宋体" w:hAnsi="宋体" w:eastAsia="宋体" w:cs="宋体"/>
          <w:color w:val="000000"/>
          <w:sz w:val="24"/>
          <w:szCs w:val="24"/>
        </w:rPr>
        <w:t>明细报价表</w:t>
      </w:r>
      <w:bookmarkStart w:id="219" w:name="_GoBack"/>
      <w:bookmarkEnd w:id="219"/>
    </w:p>
    <w:tbl>
      <w:tblPr>
        <w:tblStyle w:val="57"/>
        <w:tblpPr w:leftFromText="180" w:rightFromText="180" w:vertAnchor="text" w:horzAnchor="page" w:tblpX="1045" w:tblpY="377"/>
        <w:tblOverlap w:val="never"/>
        <w:tblW w:w="102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0"/>
        <w:gridCol w:w="1230"/>
        <w:gridCol w:w="3975"/>
        <w:gridCol w:w="750"/>
        <w:gridCol w:w="900"/>
        <w:gridCol w:w="1065"/>
        <w:gridCol w:w="915"/>
        <w:gridCol w:w="810"/>
      </w:tblGrid>
      <w:tr w14:paraId="1DFBB7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405" w:type="dxa"/>
            <w:gridSpan w:val="7"/>
            <w:tcBorders>
              <w:top w:val="nil"/>
              <w:left w:val="nil"/>
              <w:bottom w:val="nil"/>
              <w:right w:val="nil"/>
            </w:tcBorders>
            <w:shd w:val="clear" w:color="FFFFFF" w:fill="FFFFFF"/>
            <w:noWrap w:val="0"/>
            <w:vAlign w:val="center"/>
          </w:tcPr>
          <w:p w14:paraId="07650EB2">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bookmarkStart w:id="203" w:name="_Toc486585241"/>
            <w:bookmarkStart w:id="204" w:name="_Toc486608278"/>
            <w:bookmarkStart w:id="205" w:name="_Toc487204798"/>
            <w:r>
              <w:rPr>
                <w:rFonts w:hint="eastAsia" w:ascii="宋体" w:hAnsi="宋体" w:eastAsia="宋体" w:cs="宋体"/>
                <w:b/>
                <w:bCs/>
                <w:i w:val="0"/>
                <w:iCs w:val="0"/>
                <w:color w:val="000000"/>
                <w:kern w:val="0"/>
                <w:sz w:val="24"/>
                <w:szCs w:val="24"/>
                <w:u w:val="none"/>
                <w:lang w:val="en-US" w:eastAsia="zh-CN" w:bidi="ar"/>
              </w:rPr>
              <w:t xml:space="preserve"> 室外党建文化墙建设项目（第二次）清单报价表</w:t>
            </w:r>
          </w:p>
        </w:tc>
        <w:tc>
          <w:tcPr>
            <w:tcW w:w="810" w:type="dxa"/>
            <w:tcBorders>
              <w:top w:val="nil"/>
              <w:left w:val="nil"/>
              <w:bottom w:val="nil"/>
              <w:right w:val="nil"/>
            </w:tcBorders>
            <w:noWrap/>
            <w:vAlign w:val="center"/>
          </w:tcPr>
          <w:p w14:paraId="0E9D8150">
            <w:pPr>
              <w:rPr>
                <w:rFonts w:hint="eastAsia" w:ascii="宋体" w:hAnsi="宋体" w:eastAsia="宋体" w:cs="宋体"/>
                <w:i w:val="0"/>
                <w:iCs w:val="0"/>
                <w:color w:val="000000"/>
                <w:sz w:val="24"/>
                <w:szCs w:val="24"/>
                <w:u w:val="none"/>
              </w:rPr>
            </w:pPr>
          </w:p>
        </w:tc>
      </w:tr>
      <w:tr w14:paraId="0D4020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70" w:type="dxa"/>
            <w:vMerge w:val="restart"/>
            <w:tcBorders>
              <w:top w:val="single" w:color="000000" w:sz="8" w:space="0"/>
              <w:left w:val="single" w:color="000000" w:sz="8" w:space="0"/>
              <w:bottom w:val="single" w:color="000000" w:sz="4" w:space="0"/>
              <w:right w:val="single" w:color="000000" w:sz="4" w:space="0"/>
            </w:tcBorders>
            <w:shd w:val="clear" w:color="FFFFFF" w:fill="FFFFFF"/>
            <w:noWrap w:val="0"/>
            <w:vAlign w:val="center"/>
          </w:tcPr>
          <w:p w14:paraId="37686B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1230" w:type="dxa"/>
            <w:vMerge w:val="restart"/>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14:paraId="6FDDA5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项目名称</w:t>
            </w:r>
          </w:p>
        </w:tc>
        <w:tc>
          <w:tcPr>
            <w:tcW w:w="3975" w:type="dxa"/>
            <w:vMerge w:val="restart"/>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14:paraId="5A8710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项目特征</w:t>
            </w:r>
          </w:p>
        </w:tc>
        <w:tc>
          <w:tcPr>
            <w:tcW w:w="750" w:type="dxa"/>
            <w:vMerge w:val="restart"/>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14:paraId="746DB4B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计量单位</w:t>
            </w:r>
          </w:p>
        </w:tc>
        <w:tc>
          <w:tcPr>
            <w:tcW w:w="900" w:type="dxa"/>
            <w:vMerge w:val="restart"/>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14:paraId="11B623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工程量</w:t>
            </w:r>
          </w:p>
        </w:tc>
        <w:tc>
          <w:tcPr>
            <w:tcW w:w="1980" w:type="dxa"/>
            <w:gridSpan w:val="2"/>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14:paraId="4A9DB1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金额（元）</w:t>
            </w:r>
          </w:p>
        </w:tc>
        <w:tc>
          <w:tcPr>
            <w:tcW w:w="810" w:type="dxa"/>
            <w:vMerge w:val="restart"/>
            <w:tcBorders>
              <w:top w:val="single" w:color="000000" w:sz="4" w:space="0"/>
              <w:left w:val="single" w:color="000000" w:sz="4" w:space="0"/>
              <w:bottom w:val="single" w:color="000000" w:sz="4" w:space="0"/>
              <w:right w:val="single" w:color="000000" w:sz="4" w:space="0"/>
            </w:tcBorders>
            <w:noWrap/>
            <w:vAlign w:val="center"/>
          </w:tcPr>
          <w:p w14:paraId="2F2498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备注</w:t>
            </w:r>
          </w:p>
        </w:tc>
      </w:tr>
      <w:tr w14:paraId="0616CF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3" w:hRule="atLeast"/>
        </w:trPr>
        <w:tc>
          <w:tcPr>
            <w:tcW w:w="570" w:type="dxa"/>
            <w:vMerge w:val="continue"/>
            <w:tcBorders>
              <w:top w:val="single" w:color="000000" w:sz="8" w:space="0"/>
              <w:left w:val="single" w:color="000000" w:sz="8" w:space="0"/>
              <w:bottom w:val="single" w:color="000000" w:sz="4" w:space="0"/>
              <w:right w:val="single" w:color="000000" w:sz="4" w:space="0"/>
            </w:tcBorders>
            <w:shd w:val="clear" w:color="FFFFFF" w:fill="FFFFFF"/>
            <w:noWrap w:val="0"/>
            <w:vAlign w:val="center"/>
          </w:tcPr>
          <w:p w14:paraId="67AF2AD9">
            <w:pPr>
              <w:jc w:val="center"/>
              <w:rPr>
                <w:rFonts w:hint="eastAsia" w:ascii="宋体" w:hAnsi="宋体" w:eastAsia="宋体" w:cs="宋体"/>
                <w:i w:val="0"/>
                <w:iCs w:val="0"/>
                <w:color w:val="000000"/>
                <w:sz w:val="24"/>
                <w:szCs w:val="24"/>
                <w:u w:val="none"/>
              </w:rPr>
            </w:pPr>
          </w:p>
        </w:tc>
        <w:tc>
          <w:tcPr>
            <w:tcW w:w="1230"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14:paraId="2F6D28D1">
            <w:pPr>
              <w:jc w:val="center"/>
              <w:rPr>
                <w:rFonts w:hint="eastAsia" w:ascii="宋体" w:hAnsi="宋体" w:eastAsia="宋体" w:cs="宋体"/>
                <w:i w:val="0"/>
                <w:iCs w:val="0"/>
                <w:color w:val="000000"/>
                <w:sz w:val="24"/>
                <w:szCs w:val="24"/>
                <w:u w:val="none"/>
              </w:rPr>
            </w:pPr>
          </w:p>
        </w:tc>
        <w:tc>
          <w:tcPr>
            <w:tcW w:w="3975"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14:paraId="48A040E3">
            <w:pPr>
              <w:jc w:val="center"/>
              <w:rPr>
                <w:rFonts w:hint="eastAsia" w:ascii="宋体" w:hAnsi="宋体" w:eastAsia="宋体" w:cs="宋体"/>
                <w:i w:val="0"/>
                <w:iCs w:val="0"/>
                <w:color w:val="000000"/>
                <w:sz w:val="24"/>
                <w:szCs w:val="24"/>
                <w:u w:val="none"/>
              </w:rPr>
            </w:pPr>
          </w:p>
        </w:tc>
        <w:tc>
          <w:tcPr>
            <w:tcW w:w="750"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14:paraId="02217B89">
            <w:pPr>
              <w:jc w:val="center"/>
              <w:rPr>
                <w:rFonts w:hint="eastAsia" w:ascii="宋体" w:hAnsi="宋体" w:eastAsia="宋体" w:cs="宋体"/>
                <w:i w:val="0"/>
                <w:iCs w:val="0"/>
                <w:color w:val="000000"/>
                <w:sz w:val="24"/>
                <w:szCs w:val="24"/>
                <w:u w:val="none"/>
              </w:rPr>
            </w:pPr>
          </w:p>
        </w:tc>
        <w:tc>
          <w:tcPr>
            <w:tcW w:w="900"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14:paraId="0BD4E48C">
            <w:pPr>
              <w:jc w:val="center"/>
              <w:rPr>
                <w:rFonts w:hint="eastAsia" w:ascii="宋体" w:hAnsi="宋体" w:eastAsia="宋体" w:cs="宋体"/>
                <w:i w:val="0"/>
                <w:iCs w:val="0"/>
                <w:color w:val="000000"/>
                <w:sz w:val="24"/>
                <w:szCs w:val="24"/>
                <w:u w:val="none"/>
              </w:rPr>
            </w:pPr>
          </w:p>
        </w:tc>
        <w:tc>
          <w:tcPr>
            <w:tcW w:w="1065" w:type="dxa"/>
            <w:tcBorders>
              <w:top w:val="single" w:color="000000" w:sz="4" w:space="0"/>
              <w:left w:val="single" w:color="000000" w:sz="4" w:space="0"/>
              <w:bottom w:val="nil"/>
              <w:right w:val="single" w:color="000000" w:sz="4" w:space="0"/>
            </w:tcBorders>
            <w:shd w:val="clear" w:color="FFFFFF" w:fill="FFFFFF"/>
            <w:noWrap w:val="0"/>
            <w:vAlign w:val="center"/>
          </w:tcPr>
          <w:p w14:paraId="4B3396C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综合单价</w:t>
            </w:r>
          </w:p>
        </w:tc>
        <w:tc>
          <w:tcPr>
            <w:tcW w:w="915" w:type="dxa"/>
            <w:tcBorders>
              <w:top w:val="single" w:color="000000" w:sz="4" w:space="0"/>
              <w:left w:val="single" w:color="000000" w:sz="4" w:space="0"/>
              <w:bottom w:val="nil"/>
              <w:right w:val="single" w:color="000000" w:sz="4" w:space="0"/>
            </w:tcBorders>
            <w:shd w:val="clear" w:color="FFFFFF" w:fill="FFFFFF"/>
            <w:noWrap w:val="0"/>
            <w:vAlign w:val="center"/>
          </w:tcPr>
          <w:p w14:paraId="0663F3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合价</w:t>
            </w:r>
          </w:p>
        </w:tc>
        <w:tc>
          <w:tcPr>
            <w:tcW w:w="810" w:type="dxa"/>
            <w:vMerge w:val="continue"/>
            <w:tcBorders>
              <w:top w:val="single" w:color="000000" w:sz="4" w:space="0"/>
              <w:left w:val="single" w:color="000000" w:sz="4" w:space="0"/>
              <w:bottom w:val="single" w:color="000000" w:sz="4" w:space="0"/>
              <w:right w:val="single" w:color="000000" w:sz="4" w:space="0"/>
            </w:tcBorders>
            <w:noWrap/>
            <w:vAlign w:val="center"/>
          </w:tcPr>
          <w:p w14:paraId="742952B7">
            <w:pPr>
              <w:jc w:val="center"/>
              <w:rPr>
                <w:rFonts w:hint="eastAsia" w:ascii="宋体" w:hAnsi="宋体" w:eastAsia="宋体" w:cs="宋体"/>
                <w:i w:val="0"/>
                <w:iCs w:val="0"/>
                <w:color w:val="000000"/>
                <w:sz w:val="24"/>
                <w:szCs w:val="24"/>
                <w:u w:val="none"/>
              </w:rPr>
            </w:pPr>
          </w:p>
        </w:tc>
      </w:tr>
      <w:tr w14:paraId="1FB9A7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81" w:hRule="atLeast"/>
        </w:trPr>
        <w:tc>
          <w:tcPr>
            <w:tcW w:w="57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06486C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73DEA54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基础人工挖方</w:t>
            </w:r>
          </w:p>
        </w:tc>
        <w:tc>
          <w:tcPr>
            <w:tcW w:w="397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588E6C5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[项目特征]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1.土壤类别：回填土</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2.挖土深度：详设计图纸，最终土石方量按实际收方为准。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3.弃土位置及运距：甲方指定位置，弃土位置距离施工位置不超过3KM。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4.基础类型：详设计图纸和规范要求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5.基层垫层：详设计图纸和规范要求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[工作内容]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1.土方清表、碾压，边坡及平整</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2.沟槽、基坑、边坡开挖</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3.土石方转运（3公里内）、渣场需按甲方要求平整</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4.平整场地及边坡</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5.回填碾压找坡精平至设计标高</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2532A9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m3</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2790808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16.11</w:t>
            </w:r>
          </w:p>
        </w:tc>
        <w:tc>
          <w:tcPr>
            <w:tcW w:w="106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1D2F45CA">
            <w:pPr>
              <w:jc w:val="center"/>
              <w:rPr>
                <w:rFonts w:hint="eastAsia" w:ascii="宋体" w:hAnsi="宋体" w:eastAsia="宋体" w:cs="宋体"/>
                <w:i w:val="0"/>
                <w:iCs w:val="0"/>
                <w:color w:val="000000"/>
                <w:sz w:val="24"/>
                <w:szCs w:val="24"/>
                <w:u w:val="none"/>
              </w:rPr>
            </w:pPr>
          </w:p>
        </w:tc>
        <w:tc>
          <w:tcPr>
            <w:tcW w:w="91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29A4444B">
            <w:pPr>
              <w:jc w:val="center"/>
              <w:rPr>
                <w:rFonts w:hint="eastAsia" w:ascii="宋体" w:hAnsi="宋体" w:eastAsia="宋体" w:cs="宋体"/>
                <w:i w:val="0"/>
                <w:iCs w:val="0"/>
                <w:color w:val="000000"/>
                <w:sz w:val="24"/>
                <w:szCs w:val="24"/>
                <w:u w:val="none"/>
              </w:rPr>
            </w:pPr>
          </w:p>
        </w:tc>
        <w:tc>
          <w:tcPr>
            <w:tcW w:w="810" w:type="dxa"/>
            <w:tcBorders>
              <w:top w:val="single" w:color="000000" w:sz="4" w:space="0"/>
              <w:left w:val="single" w:color="000000" w:sz="4" w:space="0"/>
              <w:bottom w:val="single" w:color="000000" w:sz="4" w:space="0"/>
              <w:right w:val="single" w:color="000000" w:sz="4" w:space="0"/>
            </w:tcBorders>
            <w:noWrap/>
            <w:vAlign w:val="center"/>
          </w:tcPr>
          <w:p w14:paraId="5397E153">
            <w:pPr>
              <w:rPr>
                <w:rFonts w:hint="eastAsia" w:ascii="宋体" w:hAnsi="宋体" w:eastAsia="宋体" w:cs="宋体"/>
                <w:i w:val="0"/>
                <w:iCs w:val="0"/>
                <w:color w:val="000000"/>
                <w:sz w:val="24"/>
                <w:szCs w:val="24"/>
                <w:u w:val="none"/>
              </w:rPr>
            </w:pPr>
          </w:p>
        </w:tc>
      </w:tr>
      <w:tr w14:paraId="53D46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40" w:hRule="atLeast"/>
        </w:trPr>
        <w:tc>
          <w:tcPr>
            <w:tcW w:w="57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1FA618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23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5FB847A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基座钢筋混凝土</w:t>
            </w:r>
          </w:p>
        </w:tc>
        <w:tc>
          <w:tcPr>
            <w:tcW w:w="397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03503B9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[项目特征]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1.钢筋类型、规格：详设计图纸和规范要求。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2.钢筋布置：详设计图纸和规范要求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3.混凝土强度：C20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4.含钢筋、模版、混凝土</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[工作内容]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1.钢筋制作加工、安装</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2.模版制作加工及安装</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3.材料运输及转运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4.混凝土浇筑</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6066E35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m3</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312388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16.11</w:t>
            </w:r>
          </w:p>
        </w:tc>
        <w:tc>
          <w:tcPr>
            <w:tcW w:w="106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7366309E">
            <w:pPr>
              <w:jc w:val="center"/>
              <w:rPr>
                <w:rFonts w:hint="eastAsia" w:ascii="宋体" w:hAnsi="宋体" w:eastAsia="宋体" w:cs="宋体"/>
                <w:i w:val="0"/>
                <w:iCs w:val="0"/>
                <w:color w:val="000000"/>
                <w:sz w:val="24"/>
                <w:szCs w:val="24"/>
                <w:u w:val="none"/>
              </w:rPr>
            </w:pPr>
          </w:p>
        </w:tc>
        <w:tc>
          <w:tcPr>
            <w:tcW w:w="91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1336AE1E">
            <w:pPr>
              <w:jc w:val="center"/>
              <w:rPr>
                <w:rFonts w:hint="eastAsia" w:ascii="宋体" w:hAnsi="宋体" w:eastAsia="宋体" w:cs="宋体"/>
                <w:i w:val="0"/>
                <w:iCs w:val="0"/>
                <w:color w:val="000000"/>
                <w:sz w:val="24"/>
                <w:szCs w:val="24"/>
                <w:u w:val="none"/>
              </w:rPr>
            </w:pPr>
          </w:p>
        </w:tc>
        <w:tc>
          <w:tcPr>
            <w:tcW w:w="810" w:type="dxa"/>
            <w:tcBorders>
              <w:top w:val="single" w:color="000000" w:sz="4" w:space="0"/>
              <w:left w:val="single" w:color="000000" w:sz="4" w:space="0"/>
              <w:bottom w:val="single" w:color="000000" w:sz="4" w:space="0"/>
              <w:right w:val="single" w:color="000000" w:sz="4" w:space="0"/>
            </w:tcBorders>
            <w:noWrap/>
            <w:vAlign w:val="center"/>
          </w:tcPr>
          <w:p w14:paraId="1B8BE677">
            <w:pPr>
              <w:rPr>
                <w:rFonts w:hint="eastAsia" w:ascii="宋体" w:hAnsi="宋体" w:eastAsia="宋体" w:cs="宋体"/>
                <w:i w:val="0"/>
                <w:iCs w:val="0"/>
                <w:color w:val="000000"/>
                <w:sz w:val="24"/>
                <w:szCs w:val="24"/>
                <w:u w:val="none"/>
              </w:rPr>
            </w:pPr>
          </w:p>
        </w:tc>
      </w:tr>
      <w:tr w14:paraId="452A1A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80" w:hRule="atLeast"/>
        </w:trPr>
        <w:tc>
          <w:tcPr>
            <w:tcW w:w="57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326CFE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23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23060E3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地梁加主立柱加顶板钢筋混凝土</w:t>
            </w:r>
          </w:p>
        </w:tc>
        <w:tc>
          <w:tcPr>
            <w:tcW w:w="397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122D9FD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[项目特征]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1.钢筋类型、规格：详设计图纸和规范要求。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2.钢筋布置：详设计图纸和规范要求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3.混凝土强度：C20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4.含钢筋、模版、混凝土</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[工作内容]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1.钢筋制作加工、安装</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2.模版制作加工及安装</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3.材料运输及转运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4.混凝土浇筑</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1D692C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m3</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0E1BA5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11.69</w:t>
            </w:r>
          </w:p>
        </w:tc>
        <w:tc>
          <w:tcPr>
            <w:tcW w:w="106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6A0D78B5">
            <w:pPr>
              <w:jc w:val="center"/>
              <w:rPr>
                <w:rFonts w:hint="eastAsia" w:ascii="宋体" w:hAnsi="宋体" w:eastAsia="宋体" w:cs="宋体"/>
                <w:i w:val="0"/>
                <w:iCs w:val="0"/>
                <w:color w:val="000000"/>
                <w:sz w:val="24"/>
                <w:szCs w:val="24"/>
                <w:u w:val="none"/>
              </w:rPr>
            </w:pPr>
          </w:p>
        </w:tc>
        <w:tc>
          <w:tcPr>
            <w:tcW w:w="91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5A08760E">
            <w:pPr>
              <w:jc w:val="center"/>
              <w:rPr>
                <w:rFonts w:hint="eastAsia" w:ascii="宋体" w:hAnsi="宋体" w:eastAsia="宋体" w:cs="宋体"/>
                <w:i w:val="0"/>
                <w:iCs w:val="0"/>
                <w:color w:val="000000"/>
                <w:sz w:val="24"/>
                <w:szCs w:val="24"/>
                <w:u w:val="none"/>
              </w:rPr>
            </w:pPr>
          </w:p>
        </w:tc>
        <w:tc>
          <w:tcPr>
            <w:tcW w:w="810" w:type="dxa"/>
            <w:tcBorders>
              <w:top w:val="single" w:color="000000" w:sz="4" w:space="0"/>
              <w:left w:val="single" w:color="000000" w:sz="4" w:space="0"/>
              <w:bottom w:val="single" w:color="000000" w:sz="4" w:space="0"/>
              <w:right w:val="single" w:color="000000" w:sz="4" w:space="0"/>
            </w:tcBorders>
            <w:noWrap/>
            <w:vAlign w:val="center"/>
          </w:tcPr>
          <w:p w14:paraId="42FAE007">
            <w:pPr>
              <w:rPr>
                <w:rFonts w:hint="eastAsia" w:ascii="宋体" w:hAnsi="宋体" w:eastAsia="宋体" w:cs="宋体"/>
                <w:i w:val="0"/>
                <w:iCs w:val="0"/>
                <w:color w:val="000000"/>
                <w:sz w:val="24"/>
                <w:szCs w:val="24"/>
                <w:u w:val="none"/>
              </w:rPr>
            </w:pPr>
          </w:p>
        </w:tc>
      </w:tr>
      <w:tr w14:paraId="4BBDFE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80" w:hRule="atLeast"/>
        </w:trPr>
        <w:tc>
          <w:tcPr>
            <w:tcW w:w="57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3ACBE01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23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5AD7549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装饰构架钢筋混凝土</w:t>
            </w:r>
          </w:p>
        </w:tc>
        <w:tc>
          <w:tcPr>
            <w:tcW w:w="397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2B58F95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[项目特征]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1.钢筋类型、规格：详设计图纸和规范要求。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2.钢筋布置：详设计图纸和规范要求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3.混凝土强度：C20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4.含钢筋、模版、混凝土</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[工作内容]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1.钢筋制作加工、安装</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2.模版制作加工及安装</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3.材料运输及转运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4.混凝土浇筑</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6A75820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m3</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3D8E8E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2.93</w:t>
            </w:r>
          </w:p>
        </w:tc>
        <w:tc>
          <w:tcPr>
            <w:tcW w:w="106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216E6A39">
            <w:pPr>
              <w:jc w:val="center"/>
              <w:rPr>
                <w:rFonts w:hint="eastAsia" w:ascii="宋体" w:hAnsi="宋体" w:eastAsia="宋体" w:cs="宋体"/>
                <w:i w:val="0"/>
                <w:iCs w:val="0"/>
                <w:color w:val="000000"/>
                <w:sz w:val="24"/>
                <w:szCs w:val="24"/>
                <w:u w:val="none"/>
              </w:rPr>
            </w:pPr>
          </w:p>
        </w:tc>
        <w:tc>
          <w:tcPr>
            <w:tcW w:w="91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74500DDB">
            <w:pPr>
              <w:jc w:val="center"/>
              <w:rPr>
                <w:rFonts w:hint="eastAsia" w:ascii="宋体" w:hAnsi="宋体" w:eastAsia="宋体" w:cs="宋体"/>
                <w:i w:val="0"/>
                <w:iCs w:val="0"/>
                <w:color w:val="000000"/>
                <w:sz w:val="24"/>
                <w:szCs w:val="24"/>
                <w:u w:val="none"/>
              </w:rPr>
            </w:pPr>
          </w:p>
        </w:tc>
        <w:tc>
          <w:tcPr>
            <w:tcW w:w="810" w:type="dxa"/>
            <w:tcBorders>
              <w:top w:val="single" w:color="000000" w:sz="4" w:space="0"/>
              <w:left w:val="single" w:color="000000" w:sz="4" w:space="0"/>
              <w:bottom w:val="single" w:color="000000" w:sz="4" w:space="0"/>
              <w:right w:val="single" w:color="000000" w:sz="4" w:space="0"/>
            </w:tcBorders>
            <w:noWrap/>
            <w:vAlign w:val="center"/>
          </w:tcPr>
          <w:p w14:paraId="1D531D73">
            <w:pPr>
              <w:rPr>
                <w:rFonts w:hint="eastAsia" w:ascii="宋体" w:hAnsi="宋体" w:eastAsia="宋体" w:cs="宋体"/>
                <w:i w:val="0"/>
                <w:iCs w:val="0"/>
                <w:color w:val="000000"/>
                <w:sz w:val="24"/>
                <w:szCs w:val="24"/>
                <w:u w:val="none"/>
              </w:rPr>
            </w:pPr>
          </w:p>
        </w:tc>
      </w:tr>
      <w:tr w14:paraId="08E154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0" w:hRule="atLeast"/>
        </w:trPr>
        <w:tc>
          <w:tcPr>
            <w:tcW w:w="57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1E6C8FD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23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2BF6EBA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墙体砌筑</w:t>
            </w:r>
          </w:p>
        </w:tc>
        <w:tc>
          <w:tcPr>
            <w:tcW w:w="397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37ED77C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[项目特征]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1.砖品种、规格、强度等级:页岩砖，标准实心砖墙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2.墙体类型:详设计图纸</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3.砂浆强度等级、配合比:M5混合砂浆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4.满足设计及规范要求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[工作内容]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1.砂浆制作、运输</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2.砌砖</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3.刮缝</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4.砖压顶砌筑</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5.材料运输</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543A6E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m3</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1A5692AD">
            <w:pPr>
              <w:keepNext w:val="0"/>
              <w:keepLines w:val="0"/>
              <w:widowControl/>
              <w:suppressLineNumbers w:val="0"/>
              <w:jc w:val="center"/>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12</w:t>
            </w:r>
          </w:p>
        </w:tc>
        <w:tc>
          <w:tcPr>
            <w:tcW w:w="106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4801D78C">
            <w:pPr>
              <w:jc w:val="center"/>
              <w:rPr>
                <w:rFonts w:hint="eastAsia" w:ascii="宋体" w:hAnsi="宋体" w:eastAsia="宋体" w:cs="宋体"/>
                <w:i w:val="0"/>
                <w:iCs w:val="0"/>
                <w:color w:val="000000"/>
                <w:sz w:val="24"/>
                <w:szCs w:val="24"/>
                <w:u w:val="none"/>
              </w:rPr>
            </w:pPr>
          </w:p>
        </w:tc>
        <w:tc>
          <w:tcPr>
            <w:tcW w:w="91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4065EFAC">
            <w:pPr>
              <w:jc w:val="center"/>
              <w:rPr>
                <w:rFonts w:hint="eastAsia" w:ascii="宋体" w:hAnsi="宋体" w:eastAsia="宋体" w:cs="宋体"/>
                <w:i w:val="0"/>
                <w:iCs w:val="0"/>
                <w:color w:val="000000"/>
                <w:sz w:val="24"/>
                <w:szCs w:val="24"/>
                <w:u w:val="none"/>
              </w:rPr>
            </w:pPr>
          </w:p>
        </w:tc>
        <w:tc>
          <w:tcPr>
            <w:tcW w:w="810" w:type="dxa"/>
            <w:tcBorders>
              <w:top w:val="single" w:color="000000" w:sz="4" w:space="0"/>
              <w:left w:val="single" w:color="000000" w:sz="4" w:space="0"/>
              <w:bottom w:val="single" w:color="000000" w:sz="4" w:space="0"/>
              <w:right w:val="single" w:color="000000" w:sz="4" w:space="0"/>
            </w:tcBorders>
            <w:noWrap/>
            <w:vAlign w:val="center"/>
          </w:tcPr>
          <w:p w14:paraId="6DE591BE">
            <w:pPr>
              <w:rPr>
                <w:rFonts w:hint="eastAsia" w:ascii="宋体" w:hAnsi="宋体" w:eastAsia="宋体" w:cs="宋体"/>
                <w:i w:val="0"/>
                <w:iCs w:val="0"/>
                <w:color w:val="000000"/>
                <w:sz w:val="24"/>
                <w:szCs w:val="24"/>
                <w:u w:val="none"/>
              </w:rPr>
            </w:pPr>
          </w:p>
        </w:tc>
      </w:tr>
      <w:tr w14:paraId="7D3490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0" w:hRule="atLeast"/>
        </w:trPr>
        <w:tc>
          <w:tcPr>
            <w:tcW w:w="57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6EE938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123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2419D3F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零星抹灰</w:t>
            </w:r>
          </w:p>
        </w:tc>
        <w:tc>
          <w:tcPr>
            <w:tcW w:w="397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35B563E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[项目特征]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1.墙体类型:砼墙、砖墙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2.面层厚度、砂浆配合比:20mm，满足设计及规范要求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[工作内容]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1.基层清理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2.砂浆制作、运输</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3.底层抹灰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4.抹面层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5.抹装饰面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6.勾分格缝</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DA5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3EA9333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70</w:t>
            </w:r>
          </w:p>
        </w:tc>
        <w:tc>
          <w:tcPr>
            <w:tcW w:w="106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6E1F7394">
            <w:pPr>
              <w:jc w:val="center"/>
              <w:rPr>
                <w:rFonts w:hint="eastAsia" w:ascii="宋体" w:hAnsi="宋体" w:eastAsia="宋体" w:cs="宋体"/>
                <w:i w:val="0"/>
                <w:iCs w:val="0"/>
                <w:color w:val="000000"/>
                <w:sz w:val="24"/>
                <w:szCs w:val="24"/>
                <w:u w:val="none"/>
              </w:rPr>
            </w:pPr>
          </w:p>
        </w:tc>
        <w:tc>
          <w:tcPr>
            <w:tcW w:w="91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53B64C6C">
            <w:pPr>
              <w:jc w:val="center"/>
              <w:rPr>
                <w:rFonts w:hint="eastAsia" w:ascii="宋体" w:hAnsi="宋体" w:eastAsia="宋体" w:cs="宋体"/>
                <w:i w:val="0"/>
                <w:iCs w:val="0"/>
                <w:color w:val="000000"/>
                <w:sz w:val="24"/>
                <w:szCs w:val="24"/>
                <w:u w:val="none"/>
              </w:rPr>
            </w:pPr>
          </w:p>
        </w:tc>
        <w:tc>
          <w:tcPr>
            <w:tcW w:w="810" w:type="dxa"/>
            <w:tcBorders>
              <w:top w:val="single" w:color="000000" w:sz="4" w:space="0"/>
              <w:left w:val="single" w:color="000000" w:sz="4" w:space="0"/>
              <w:bottom w:val="single" w:color="000000" w:sz="4" w:space="0"/>
              <w:right w:val="single" w:color="000000" w:sz="4" w:space="0"/>
            </w:tcBorders>
            <w:noWrap/>
            <w:vAlign w:val="center"/>
          </w:tcPr>
          <w:p w14:paraId="407130A5">
            <w:pPr>
              <w:rPr>
                <w:rFonts w:hint="eastAsia" w:ascii="宋体" w:hAnsi="宋体" w:eastAsia="宋体" w:cs="宋体"/>
                <w:i w:val="0"/>
                <w:iCs w:val="0"/>
                <w:color w:val="000000"/>
                <w:sz w:val="24"/>
                <w:szCs w:val="24"/>
                <w:u w:val="none"/>
              </w:rPr>
            </w:pPr>
          </w:p>
        </w:tc>
      </w:tr>
      <w:tr w14:paraId="3FA8DB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0" w:hRule="atLeast"/>
        </w:trPr>
        <w:tc>
          <w:tcPr>
            <w:tcW w:w="57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0C8DE5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123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71D8359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墙面及顶板瓷砖装饰挂贴</w:t>
            </w:r>
          </w:p>
        </w:tc>
        <w:tc>
          <w:tcPr>
            <w:tcW w:w="397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0CAC2B5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[项目特征]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1.根据施工图及效果图完成所有工序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2.满足设计及规范要求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[工作内容]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1.根据施工图及效果图完成所有工序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2.成品保护</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5AC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093DAF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51.58</w:t>
            </w:r>
          </w:p>
        </w:tc>
        <w:tc>
          <w:tcPr>
            <w:tcW w:w="106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5C1A7CA4">
            <w:pPr>
              <w:jc w:val="center"/>
              <w:rPr>
                <w:rFonts w:hint="eastAsia" w:ascii="宋体" w:hAnsi="宋体" w:eastAsia="宋体" w:cs="宋体"/>
                <w:i w:val="0"/>
                <w:iCs w:val="0"/>
                <w:color w:val="000000"/>
                <w:sz w:val="24"/>
                <w:szCs w:val="24"/>
                <w:u w:val="none"/>
              </w:rPr>
            </w:pPr>
          </w:p>
        </w:tc>
        <w:tc>
          <w:tcPr>
            <w:tcW w:w="91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7A381996">
            <w:pPr>
              <w:jc w:val="center"/>
              <w:rPr>
                <w:rFonts w:hint="eastAsia" w:ascii="宋体" w:hAnsi="宋体" w:eastAsia="宋体" w:cs="宋体"/>
                <w:i w:val="0"/>
                <w:iCs w:val="0"/>
                <w:color w:val="000000"/>
                <w:sz w:val="24"/>
                <w:szCs w:val="24"/>
                <w:u w:val="none"/>
              </w:rPr>
            </w:pPr>
          </w:p>
        </w:tc>
        <w:tc>
          <w:tcPr>
            <w:tcW w:w="810" w:type="dxa"/>
            <w:tcBorders>
              <w:top w:val="single" w:color="000000" w:sz="4" w:space="0"/>
              <w:left w:val="single" w:color="000000" w:sz="4" w:space="0"/>
              <w:bottom w:val="single" w:color="000000" w:sz="4" w:space="0"/>
              <w:right w:val="single" w:color="000000" w:sz="4" w:space="0"/>
            </w:tcBorders>
            <w:noWrap/>
            <w:vAlign w:val="center"/>
          </w:tcPr>
          <w:p w14:paraId="0AD6E5B7">
            <w:pPr>
              <w:rPr>
                <w:rFonts w:hint="eastAsia" w:ascii="宋体" w:hAnsi="宋体" w:eastAsia="宋体" w:cs="宋体"/>
                <w:i w:val="0"/>
                <w:iCs w:val="0"/>
                <w:color w:val="000000"/>
                <w:sz w:val="24"/>
                <w:szCs w:val="24"/>
                <w:u w:val="none"/>
              </w:rPr>
            </w:pPr>
          </w:p>
        </w:tc>
      </w:tr>
      <w:tr w14:paraId="38E07A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7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148441A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123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60EE6B9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装饰构架瓷砖工艺</w:t>
            </w:r>
          </w:p>
        </w:tc>
        <w:tc>
          <w:tcPr>
            <w:tcW w:w="397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20A8D8F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[项目特征]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1.根据施工图及效果图完成所有工序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2.满足设计及规范要求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[工作内容]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1.根据施工图及效果图完成所有工序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2.成品保护</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B5A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189A75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36.4</w:t>
            </w:r>
          </w:p>
        </w:tc>
        <w:tc>
          <w:tcPr>
            <w:tcW w:w="106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2EF7C092">
            <w:pPr>
              <w:jc w:val="center"/>
              <w:rPr>
                <w:rFonts w:hint="eastAsia" w:ascii="宋体" w:hAnsi="宋体" w:eastAsia="宋体" w:cs="宋体"/>
                <w:i w:val="0"/>
                <w:iCs w:val="0"/>
                <w:color w:val="000000"/>
                <w:sz w:val="24"/>
                <w:szCs w:val="24"/>
                <w:u w:val="none"/>
              </w:rPr>
            </w:pPr>
          </w:p>
        </w:tc>
        <w:tc>
          <w:tcPr>
            <w:tcW w:w="91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0DF1F347">
            <w:pPr>
              <w:jc w:val="center"/>
              <w:rPr>
                <w:rFonts w:hint="eastAsia" w:ascii="宋体" w:hAnsi="宋体" w:eastAsia="宋体" w:cs="宋体"/>
                <w:i w:val="0"/>
                <w:iCs w:val="0"/>
                <w:color w:val="000000"/>
                <w:sz w:val="24"/>
                <w:szCs w:val="24"/>
                <w:u w:val="none"/>
              </w:rPr>
            </w:pPr>
          </w:p>
        </w:tc>
        <w:tc>
          <w:tcPr>
            <w:tcW w:w="810" w:type="dxa"/>
            <w:tcBorders>
              <w:top w:val="single" w:color="000000" w:sz="4" w:space="0"/>
              <w:left w:val="single" w:color="000000" w:sz="4" w:space="0"/>
              <w:bottom w:val="single" w:color="000000" w:sz="4" w:space="0"/>
              <w:right w:val="single" w:color="000000" w:sz="4" w:space="0"/>
            </w:tcBorders>
            <w:noWrap/>
            <w:vAlign w:val="center"/>
          </w:tcPr>
          <w:p w14:paraId="39B1EDC8">
            <w:pPr>
              <w:rPr>
                <w:rFonts w:hint="eastAsia" w:ascii="宋体" w:hAnsi="宋体" w:eastAsia="宋体" w:cs="宋体"/>
                <w:i w:val="0"/>
                <w:iCs w:val="0"/>
                <w:color w:val="000000"/>
                <w:sz w:val="24"/>
                <w:szCs w:val="24"/>
                <w:u w:val="none"/>
              </w:rPr>
            </w:pPr>
          </w:p>
        </w:tc>
      </w:tr>
      <w:tr w14:paraId="1BDDE7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7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126E8B1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123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42173E5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文化石饰面</w:t>
            </w:r>
          </w:p>
        </w:tc>
        <w:tc>
          <w:tcPr>
            <w:tcW w:w="397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224EEC2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[项目特征]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1.根据施工图及效果图完成所有工序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2.满足设计及规范要求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[工作内容]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1.根据施工图及效果图完成所有工序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2.成品保护</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EF8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0B2EC30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39.5</w:t>
            </w:r>
          </w:p>
        </w:tc>
        <w:tc>
          <w:tcPr>
            <w:tcW w:w="106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3D587D92">
            <w:pPr>
              <w:jc w:val="center"/>
              <w:rPr>
                <w:rFonts w:hint="eastAsia" w:ascii="宋体" w:hAnsi="宋体" w:eastAsia="宋体" w:cs="宋体"/>
                <w:i w:val="0"/>
                <w:iCs w:val="0"/>
                <w:color w:val="000000"/>
                <w:sz w:val="24"/>
                <w:szCs w:val="24"/>
                <w:u w:val="none"/>
              </w:rPr>
            </w:pPr>
          </w:p>
        </w:tc>
        <w:tc>
          <w:tcPr>
            <w:tcW w:w="91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2D473E08">
            <w:pPr>
              <w:jc w:val="center"/>
              <w:rPr>
                <w:rFonts w:hint="eastAsia" w:ascii="宋体" w:hAnsi="宋体" w:eastAsia="宋体" w:cs="宋体"/>
                <w:i w:val="0"/>
                <w:iCs w:val="0"/>
                <w:color w:val="000000"/>
                <w:sz w:val="24"/>
                <w:szCs w:val="24"/>
                <w:u w:val="none"/>
              </w:rPr>
            </w:pPr>
          </w:p>
        </w:tc>
        <w:tc>
          <w:tcPr>
            <w:tcW w:w="810" w:type="dxa"/>
            <w:tcBorders>
              <w:top w:val="single" w:color="000000" w:sz="4" w:space="0"/>
              <w:left w:val="single" w:color="000000" w:sz="4" w:space="0"/>
              <w:bottom w:val="single" w:color="000000" w:sz="4" w:space="0"/>
              <w:right w:val="single" w:color="000000" w:sz="4" w:space="0"/>
            </w:tcBorders>
            <w:noWrap/>
            <w:vAlign w:val="center"/>
          </w:tcPr>
          <w:p w14:paraId="2DA8624C">
            <w:pPr>
              <w:rPr>
                <w:rFonts w:hint="eastAsia" w:ascii="宋体" w:hAnsi="宋体" w:eastAsia="宋体" w:cs="宋体"/>
                <w:i w:val="0"/>
                <w:iCs w:val="0"/>
                <w:color w:val="000000"/>
                <w:sz w:val="24"/>
                <w:szCs w:val="24"/>
                <w:u w:val="none"/>
              </w:rPr>
            </w:pPr>
          </w:p>
        </w:tc>
      </w:tr>
      <w:tr w14:paraId="3E0A84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0" w:hRule="atLeast"/>
        </w:trPr>
        <w:tc>
          <w:tcPr>
            <w:tcW w:w="57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76FCFB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23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3A6A534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仿石山（展开面积）</w:t>
            </w:r>
          </w:p>
        </w:tc>
        <w:tc>
          <w:tcPr>
            <w:tcW w:w="397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21A71AB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[项目特征]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1.根据施工图及效果图完成所有工序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2.满足设计及规范要求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[工作内容]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1.根据施工图及效果图完成所有工序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2.成品保护</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FD0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0E22A5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w:t>
            </w:r>
          </w:p>
        </w:tc>
        <w:tc>
          <w:tcPr>
            <w:tcW w:w="106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58762593">
            <w:pPr>
              <w:jc w:val="center"/>
              <w:rPr>
                <w:rFonts w:hint="eastAsia" w:ascii="宋体" w:hAnsi="宋体" w:eastAsia="宋体" w:cs="宋体"/>
                <w:i w:val="0"/>
                <w:iCs w:val="0"/>
                <w:color w:val="000000"/>
                <w:sz w:val="24"/>
                <w:szCs w:val="24"/>
                <w:u w:val="none"/>
              </w:rPr>
            </w:pPr>
          </w:p>
        </w:tc>
        <w:tc>
          <w:tcPr>
            <w:tcW w:w="91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62E3D396">
            <w:pPr>
              <w:jc w:val="center"/>
              <w:rPr>
                <w:rFonts w:hint="eastAsia" w:ascii="宋体" w:hAnsi="宋体" w:eastAsia="宋体" w:cs="宋体"/>
                <w:i w:val="0"/>
                <w:iCs w:val="0"/>
                <w:color w:val="000000"/>
                <w:sz w:val="24"/>
                <w:szCs w:val="24"/>
                <w:u w:val="none"/>
              </w:rPr>
            </w:pPr>
          </w:p>
        </w:tc>
        <w:tc>
          <w:tcPr>
            <w:tcW w:w="810" w:type="dxa"/>
            <w:tcBorders>
              <w:top w:val="single" w:color="000000" w:sz="4" w:space="0"/>
              <w:left w:val="single" w:color="000000" w:sz="4" w:space="0"/>
              <w:bottom w:val="single" w:color="000000" w:sz="4" w:space="0"/>
              <w:right w:val="single" w:color="000000" w:sz="4" w:space="0"/>
            </w:tcBorders>
            <w:noWrap/>
            <w:vAlign w:val="center"/>
          </w:tcPr>
          <w:p w14:paraId="5DBA56B8">
            <w:pPr>
              <w:rPr>
                <w:rFonts w:hint="eastAsia" w:ascii="宋体" w:hAnsi="宋体" w:eastAsia="宋体" w:cs="宋体"/>
                <w:i w:val="0"/>
                <w:iCs w:val="0"/>
                <w:color w:val="000000"/>
                <w:sz w:val="24"/>
                <w:szCs w:val="24"/>
                <w:u w:val="none"/>
              </w:rPr>
            </w:pPr>
          </w:p>
        </w:tc>
      </w:tr>
      <w:tr w14:paraId="12DAD8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57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3A254C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123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1751437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青石文化墙（含雕刻工艺）</w:t>
            </w:r>
          </w:p>
        </w:tc>
        <w:tc>
          <w:tcPr>
            <w:tcW w:w="397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355EA35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[项目特征]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1.根据施工图及效果图完成所有工序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2.满足设计及规范要求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[工作内容]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1.根据施工图及效果图完成所有工序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2.成品保护</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C0B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7BBECDD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2.56</w:t>
            </w:r>
          </w:p>
        </w:tc>
        <w:tc>
          <w:tcPr>
            <w:tcW w:w="106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366F85F0">
            <w:pPr>
              <w:jc w:val="center"/>
              <w:rPr>
                <w:rFonts w:hint="eastAsia" w:ascii="宋体" w:hAnsi="宋体" w:eastAsia="宋体" w:cs="宋体"/>
                <w:i w:val="0"/>
                <w:iCs w:val="0"/>
                <w:color w:val="000000"/>
                <w:sz w:val="24"/>
                <w:szCs w:val="24"/>
                <w:u w:val="none"/>
              </w:rPr>
            </w:pPr>
          </w:p>
        </w:tc>
        <w:tc>
          <w:tcPr>
            <w:tcW w:w="91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21389617">
            <w:pPr>
              <w:jc w:val="center"/>
              <w:rPr>
                <w:rFonts w:hint="eastAsia" w:ascii="宋体" w:hAnsi="宋体" w:eastAsia="宋体" w:cs="宋体"/>
                <w:i w:val="0"/>
                <w:iCs w:val="0"/>
                <w:color w:val="000000"/>
                <w:sz w:val="24"/>
                <w:szCs w:val="24"/>
                <w:u w:val="none"/>
              </w:rPr>
            </w:pPr>
          </w:p>
        </w:tc>
        <w:tc>
          <w:tcPr>
            <w:tcW w:w="810" w:type="dxa"/>
            <w:tcBorders>
              <w:top w:val="single" w:color="000000" w:sz="4" w:space="0"/>
              <w:left w:val="single" w:color="000000" w:sz="4" w:space="0"/>
              <w:bottom w:val="single" w:color="000000" w:sz="4" w:space="0"/>
              <w:right w:val="single" w:color="000000" w:sz="4" w:space="0"/>
            </w:tcBorders>
            <w:noWrap/>
            <w:vAlign w:val="center"/>
          </w:tcPr>
          <w:p w14:paraId="429217CD">
            <w:pPr>
              <w:rPr>
                <w:rFonts w:hint="eastAsia" w:ascii="宋体" w:hAnsi="宋体" w:eastAsia="宋体" w:cs="宋体"/>
                <w:i w:val="0"/>
                <w:iCs w:val="0"/>
                <w:color w:val="000000"/>
                <w:sz w:val="24"/>
                <w:szCs w:val="24"/>
                <w:u w:val="none"/>
              </w:rPr>
            </w:pPr>
          </w:p>
        </w:tc>
      </w:tr>
      <w:tr w14:paraId="00852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0" w:hRule="atLeast"/>
        </w:trPr>
        <w:tc>
          <w:tcPr>
            <w:tcW w:w="57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461E869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123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2CB81D1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入党誓言牌(含刻字工艺)</w:t>
            </w:r>
          </w:p>
        </w:tc>
        <w:tc>
          <w:tcPr>
            <w:tcW w:w="397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7B991CA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[项目特征]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1.根据施工图及效果图完成所有工序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2.满足设计及规范要求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[工作内容]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1.根据施工图及效果图完成所有工序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2.成品保护</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7F0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65FD94D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2.162</w:t>
            </w:r>
          </w:p>
        </w:tc>
        <w:tc>
          <w:tcPr>
            <w:tcW w:w="106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4E9D7558">
            <w:pPr>
              <w:jc w:val="center"/>
              <w:rPr>
                <w:rFonts w:hint="eastAsia" w:ascii="宋体" w:hAnsi="宋体" w:eastAsia="宋体" w:cs="宋体"/>
                <w:i w:val="0"/>
                <w:iCs w:val="0"/>
                <w:color w:val="000000"/>
                <w:sz w:val="24"/>
                <w:szCs w:val="24"/>
                <w:u w:val="none"/>
              </w:rPr>
            </w:pPr>
          </w:p>
        </w:tc>
        <w:tc>
          <w:tcPr>
            <w:tcW w:w="91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2588E04D">
            <w:pPr>
              <w:jc w:val="center"/>
              <w:rPr>
                <w:rFonts w:hint="eastAsia" w:ascii="宋体" w:hAnsi="宋体" w:eastAsia="宋体" w:cs="宋体"/>
                <w:i w:val="0"/>
                <w:iCs w:val="0"/>
                <w:color w:val="000000"/>
                <w:sz w:val="24"/>
                <w:szCs w:val="24"/>
                <w:u w:val="none"/>
              </w:rPr>
            </w:pPr>
          </w:p>
        </w:tc>
        <w:tc>
          <w:tcPr>
            <w:tcW w:w="810" w:type="dxa"/>
            <w:tcBorders>
              <w:top w:val="single" w:color="000000" w:sz="4" w:space="0"/>
              <w:left w:val="single" w:color="000000" w:sz="4" w:space="0"/>
              <w:bottom w:val="single" w:color="000000" w:sz="4" w:space="0"/>
              <w:right w:val="single" w:color="000000" w:sz="4" w:space="0"/>
            </w:tcBorders>
            <w:noWrap/>
            <w:vAlign w:val="center"/>
          </w:tcPr>
          <w:p w14:paraId="604B9495">
            <w:pPr>
              <w:rPr>
                <w:rFonts w:hint="eastAsia" w:ascii="宋体" w:hAnsi="宋体" w:eastAsia="宋体" w:cs="宋体"/>
                <w:i w:val="0"/>
                <w:iCs w:val="0"/>
                <w:color w:val="000000"/>
                <w:sz w:val="24"/>
                <w:szCs w:val="24"/>
                <w:u w:val="none"/>
              </w:rPr>
            </w:pPr>
          </w:p>
        </w:tc>
      </w:tr>
      <w:tr w14:paraId="748DBB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7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7A8119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123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049A963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花岗石影雕山水画</w:t>
            </w:r>
          </w:p>
        </w:tc>
        <w:tc>
          <w:tcPr>
            <w:tcW w:w="397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0FC883B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[项目特征]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1.根据施工图及效果图完成所有工序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2.满足设计及规范要求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[工作内容]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1.根据施工图及效果图完成所有工序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2.成品保护</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7C8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0CCBDE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06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35430F19">
            <w:pPr>
              <w:jc w:val="center"/>
              <w:rPr>
                <w:rFonts w:hint="eastAsia" w:ascii="宋体" w:hAnsi="宋体" w:eastAsia="宋体" w:cs="宋体"/>
                <w:i w:val="0"/>
                <w:iCs w:val="0"/>
                <w:color w:val="000000"/>
                <w:sz w:val="24"/>
                <w:szCs w:val="24"/>
                <w:u w:val="none"/>
              </w:rPr>
            </w:pPr>
          </w:p>
        </w:tc>
        <w:tc>
          <w:tcPr>
            <w:tcW w:w="91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010092A3">
            <w:pPr>
              <w:jc w:val="center"/>
              <w:rPr>
                <w:rFonts w:hint="eastAsia" w:ascii="宋体" w:hAnsi="宋体" w:eastAsia="宋体" w:cs="宋体"/>
                <w:i w:val="0"/>
                <w:iCs w:val="0"/>
                <w:color w:val="000000"/>
                <w:sz w:val="24"/>
                <w:szCs w:val="24"/>
                <w:u w:val="none"/>
              </w:rPr>
            </w:pPr>
          </w:p>
        </w:tc>
        <w:tc>
          <w:tcPr>
            <w:tcW w:w="810" w:type="dxa"/>
            <w:tcBorders>
              <w:top w:val="single" w:color="000000" w:sz="4" w:space="0"/>
              <w:left w:val="single" w:color="000000" w:sz="4" w:space="0"/>
              <w:bottom w:val="single" w:color="000000" w:sz="4" w:space="0"/>
              <w:right w:val="single" w:color="000000" w:sz="4" w:space="0"/>
            </w:tcBorders>
            <w:noWrap/>
            <w:vAlign w:val="center"/>
          </w:tcPr>
          <w:p w14:paraId="1192F890">
            <w:pPr>
              <w:rPr>
                <w:rFonts w:hint="eastAsia" w:ascii="宋体" w:hAnsi="宋体" w:eastAsia="宋体" w:cs="宋体"/>
                <w:i w:val="0"/>
                <w:iCs w:val="0"/>
                <w:color w:val="000000"/>
                <w:sz w:val="24"/>
                <w:szCs w:val="24"/>
                <w:u w:val="none"/>
              </w:rPr>
            </w:pPr>
          </w:p>
        </w:tc>
      </w:tr>
      <w:tr w14:paraId="24D2BD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0" w:hRule="atLeast"/>
        </w:trPr>
        <w:tc>
          <w:tcPr>
            <w:tcW w:w="57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5F89D8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123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6EF3F37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玉白瓷砖切字工艺（含安装）</w:t>
            </w:r>
          </w:p>
        </w:tc>
        <w:tc>
          <w:tcPr>
            <w:tcW w:w="397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2255C1C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[项目特征]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1.根据施工图及效果图完成所有工序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2.满足设计及规范要求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[工作内容]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1.根据施工图及效果图完成所有工序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2.成品保护</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6CF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cm</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031D0A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360</w:t>
            </w:r>
          </w:p>
        </w:tc>
        <w:tc>
          <w:tcPr>
            <w:tcW w:w="106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62CB3677">
            <w:pPr>
              <w:jc w:val="center"/>
              <w:rPr>
                <w:rFonts w:hint="eastAsia" w:ascii="宋体" w:hAnsi="宋体" w:eastAsia="宋体" w:cs="宋体"/>
                <w:i w:val="0"/>
                <w:iCs w:val="0"/>
                <w:color w:val="000000"/>
                <w:sz w:val="24"/>
                <w:szCs w:val="24"/>
                <w:u w:val="none"/>
              </w:rPr>
            </w:pPr>
          </w:p>
        </w:tc>
        <w:tc>
          <w:tcPr>
            <w:tcW w:w="91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672B0390">
            <w:pPr>
              <w:jc w:val="center"/>
              <w:rPr>
                <w:rFonts w:hint="eastAsia" w:ascii="宋体" w:hAnsi="宋体" w:eastAsia="宋体" w:cs="宋体"/>
                <w:i w:val="0"/>
                <w:iCs w:val="0"/>
                <w:color w:val="000000"/>
                <w:sz w:val="24"/>
                <w:szCs w:val="24"/>
                <w:u w:val="none"/>
              </w:rPr>
            </w:pPr>
          </w:p>
        </w:tc>
        <w:tc>
          <w:tcPr>
            <w:tcW w:w="810" w:type="dxa"/>
            <w:tcBorders>
              <w:top w:val="single" w:color="000000" w:sz="4" w:space="0"/>
              <w:left w:val="single" w:color="000000" w:sz="4" w:space="0"/>
              <w:bottom w:val="single" w:color="000000" w:sz="4" w:space="0"/>
              <w:right w:val="single" w:color="000000" w:sz="4" w:space="0"/>
            </w:tcBorders>
            <w:noWrap/>
            <w:vAlign w:val="center"/>
          </w:tcPr>
          <w:p w14:paraId="3AAA609D">
            <w:pPr>
              <w:rPr>
                <w:rFonts w:hint="eastAsia" w:ascii="宋体" w:hAnsi="宋体" w:eastAsia="宋体" w:cs="宋体"/>
                <w:i w:val="0"/>
                <w:iCs w:val="0"/>
                <w:color w:val="000000"/>
                <w:sz w:val="24"/>
                <w:szCs w:val="24"/>
                <w:u w:val="none"/>
              </w:rPr>
            </w:pPr>
          </w:p>
        </w:tc>
      </w:tr>
      <w:tr w14:paraId="20693A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0" w:hRule="atLeast"/>
        </w:trPr>
        <w:tc>
          <w:tcPr>
            <w:tcW w:w="57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214CB9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123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3A46260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红旗及党徽造型制作（展开面积）</w:t>
            </w:r>
          </w:p>
        </w:tc>
        <w:tc>
          <w:tcPr>
            <w:tcW w:w="397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4B6625F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[项目特征]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1.根据施工图及效果图完成所有工序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2.满足设计及规范要求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[工作内容]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1.根据施工图及效果图完成所有工序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2.成品保护</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3C1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2FAAE9FB">
            <w:pPr>
              <w:keepNext w:val="0"/>
              <w:keepLines w:val="0"/>
              <w:widowControl/>
              <w:suppressLineNumbers w:val="0"/>
              <w:jc w:val="center"/>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110</w:t>
            </w:r>
          </w:p>
        </w:tc>
        <w:tc>
          <w:tcPr>
            <w:tcW w:w="106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183C9A88">
            <w:pPr>
              <w:jc w:val="center"/>
              <w:rPr>
                <w:rFonts w:hint="eastAsia" w:ascii="宋体" w:hAnsi="宋体" w:eastAsia="宋体" w:cs="宋体"/>
                <w:i w:val="0"/>
                <w:iCs w:val="0"/>
                <w:color w:val="000000"/>
                <w:sz w:val="24"/>
                <w:szCs w:val="24"/>
                <w:u w:val="none"/>
              </w:rPr>
            </w:pPr>
          </w:p>
        </w:tc>
        <w:tc>
          <w:tcPr>
            <w:tcW w:w="91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31DF0216">
            <w:pPr>
              <w:jc w:val="center"/>
              <w:rPr>
                <w:rFonts w:hint="eastAsia" w:ascii="宋体" w:hAnsi="宋体" w:eastAsia="宋体" w:cs="宋体"/>
                <w:i w:val="0"/>
                <w:iCs w:val="0"/>
                <w:color w:val="000000"/>
                <w:sz w:val="24"/>
                <w:szCs w:val="24"/>
                <w:u w:val="none"/>
              </w:rPr>
            </w:pPr>
          </w:p>
        </w:tc>
        <w:tc>
          <w:tcPr>
            <w:tcW w:w="810" w:type="dxa"/>
            <w:tcBorders>
              <w:top w:val="single" w:color="000000" w:sz="4" w:space="0"/>
              <w:left w:val="single" w:color="000000" w:sz="4" w:space="0"/>
              <w:bottom w:val="single" w:color="000000" w:sz="4" w:space="0"/>
              <w:right w:val="single" w:color="000000" w:sz="4" w:space="0"/>
            </w:tcBorders>
            <w:noWrap/>
            <w:vAlign w:val="center"/>
          </w:tcPr>
          <w:p w14:paraId="5CEA2CAF">
            <w:pPr>
              <w:rPr>
                <w:rFonts w:hint="eastAsia" w:ascii="宋体" w:hAnsi="宋体" w:eastAsia="宋体" w:cs="宋体"/>
                <w:i w:val="0"/>
                <w:iCs w:val="0"/>
                <w:color w:val="000000"/>
                <w:sz w:val="24"/>
                <w:szCs w:val="24"/>
                <w:u w:val="none"/>
              </w:rPr>
            </w:pPr>
          </w:p>
        </w:tc>
      </w:tr>
      <w:tr w14:paraId="18FC44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65" w:hRule="atLeast"/>
        </w:trPr>
        <w:tc>
          <w:tcPr>
            <w:tcW w:w="57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371EB0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123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567A2C1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室外梯步</w:t>
            </w:r>
          </w:p>
        </w:tc>
        <w:tc>
          <w:tcPr>
            <w:tcW w:w="397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0FDA80A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[项目特征]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1.根据现场勘查确定位置安装梯步、宽度3米，踏面400mm，立面160mm。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2.页岩实心砖基层、石材面层（石材送样由甲方确定）</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[工作内容]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1.根据施工现场放线梯步部位、高度、坡度、步数等。</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2.人工挖填平整土石方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3.梯步基层土方平整硬化，页岩实心砖基层砌筑。</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4.石材贴面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5.成品保护</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6.清洁及除渣</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7.材料转运</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4F927BD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65A7BE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75</w:t>
            </w:r>
          </w:p>
        </w:tc>
        <w:tc>
          <w:tcPr>
            <w:tcW w:w="106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01067EA7">
            <w:pPr>
              <w:jc w:val="center"/>
              <w:rPr>
                <w:rFonts w:hint="eastAsia" w:ascii="宋体" w:hAnsi="宋体" w:eastAsia="宋体" w:cs="宋体"/>
                <w:i w:val="0"/>
                <w:iCs w:val="0"/>
                <w:color w:val="000000"/>
                <w:sz w:val="24"/>
                <w:szCs w:val="24"/>
                <w:u w:val="none"/>
              </w:rPr>
            </w:pPr>
          </w:p>
        </w:tc>
        <w:tc>
          <w:tcPr>
            <w:tcW w:w="91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70A1EB62">
            <w:pPr>
              <w:jc w:val="center"/>
              <w:rPr>
                <w:rFonts w:hint="eastAsia" w:ascii="宋体" w:hAnsi="宋体" w:eastAsia="宋体" w:cs="宋体"/>
                <w:i w:val="0"/>
                <w:iCs w:val="0"/>
                <w:color w:val="000000"/>
                <w:sz w:val="24"/>
                <w:szCs w:val="24"/>
                <w:u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76266DE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（投影面积）</w:t>
            </w:r>
          </w:p>
        </w:tc>
      </w:tr>
      <w:tr w14:paraId="49CC4F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79" w:hRule="atLeast"/>
        </w:trPr>
        <w:tc>
          <w:tcPr>
            <w:tcW w:w="57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77D1F8A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123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2F88C6A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灯具</w:t>
            </w:r>
          </w:p>
        </w:tc>
        <w:tc>
          <w:tcPr>
            <w:tcW w:w="397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66F31D4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[项目特征]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1.名称：LED射灯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2.光源形式：LED</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3.型号规格：LED，暖白，20W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4.安装方式:室外明装，支架角度可调</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5.其他：符合设计及相应规范要求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[工作内容]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1.灯具安装及接线</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2.包含灯具安装所需螺丝等配件</w:t>
            </w:r>
          </w:p>
        </w:tc>
        <w:tc>
          <w:tcPr>
            <w:tcW w:w="750" w:type="dxa"/>
            <w:tcBorders>
              <w:top w:val="single" w:color="000000" w:sz="4" w:space="0"/>
              <w:left w:val="single" w:color="000000" w:sz="4" w:space="0"/>
              <w:bottom w:val="single" w:color="000000" w:sz="4" w:space="0"/>
              <w:right w:val="single" w:color="000000" w:sz="4" w:space="0"/>
            </w:tcBorders>
            <w:noWrap/>
            <w:vAlign w:val="center"/>
          </w:tcPr>
          <w:p w14:paraId="6AFF1C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900" w:type="dxa"/>
            <w:tcBorders>
              <w:top w:val="single" w:color="000000" w:sz="4" w:space="0"/>
              <w:left w:val="single" w:color="000000" w:sz="4" w:space="0"/>
              <w:bottom w:val="single" w:color="000000" w:sz="4" w:space="0"/>
              <w:right w:val="nil"/>
            </w:tcBorders>
            <w:noWrap/>
            <w:vAlign w:val="center"/>
          </w:tcPr>
          <w:p w14:paraId="0C8FFAB3">
            <w:pPr>
              <w:keepNext w:val="0"/>
              <w:keepLines w:val="0"/>
              <w:widowControl/>
              <w:suppressLineNumbers w:val="0"/>
              <w:jc w:val="center"/>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12</w:t>
            </w:r>
          </w:p>
        </w:tc>
        <w:tc>
          <w:tcPr>
            <w:tcW w:w="1065" w:type="dxa"/>
            <w:tcBorders>
              <w:top w:val="single" w:color="000000" w:sz="4" w:space="0"/>
              <w:left w:val="single" w:color="000000" w:sz="4" w:space="0"/>
              <w:bottom w:val="single" w:color="000000" w:sz="4" w:space="0"/>
              <w:right w:val="single" w:color="000000" w:sz="4" w:space="0"/>
            </w:tcBorders>
            <w:noWrap/>
            <w:vAlign w:val="center"/>
          </w:tcPr>
          <w:p w14:paraId="5196C5CA">
            <w:pPr>
              <w:jc w:val="center"/>
              <w:rPr>
                <w:rFonts w:hint="eastAsia" w:ascii="宋体" w:hAnsi="宋体" w:eastAsia="宋体" w:cs="宋体"/>
                <w:i w:val="0"/>
                <w:iCs w:val="0"/>
                <w:color w:val="000000"/>
                <w:sz w:val="24"/>
                <w:szCs w:val="24"/>
                <w:u w:val="none"/>
              </w:rPr>
            </w:pPr>
          </w:p>
        </w:tc>
        <w:tc>
          <w:tcPr>
            <w:tcW w:w="915" w:type="dxa"/>
            <w:tcBorders>
              <w:top w:val="single" w:color="000000" w:sz="4" w:space="0"/>
              <w:left w:val="single" w:color="000000" w:sz="4" w:space="0"/>
              <w:bottom w:val="single" w:color="000000" w:sz="4" w:space="0"/>
              <w:right w:val="single" w:color="000000" w:sz="4" w:space="0"/>
            </w:tcBorders>
            <w:noWrap/>
            <w:vAlign w:val="center"/>
          </w:tcPr>
          <w:p w14:paraId="5601E530">
            <w:pPr>
              <w:jc w:val="center"/>
              <w:rPr>
                <w:rFonts w:hint="eastAsia" w:ascii="宋体" w:hAnsi="宋体" w:eastAsia="宋体" w:cs="宋体"/>
                <w:i w:val="0"/>
                <w:iCs w:val="0"/>
                <w:color w:val="000000"/>
                <w:sz w:val="24"/>
                <w:szCs w:val="24"/>
                <w:u w:val="none"/>
              </w:rPr>
            </w:pPr>
          </w:p>
        </w:tc>
        <w:tc>
          <w:tcPr>
            <w:tcW w:w="810" w:type="dxa"/>
            <w:tcBorders>
              <w:top w:val="single" w:color="000000" w:sz="4" w:space="0"/>
              <w:left w:val="single" w:color="000000" w:sz="4" w:space="0"/>
              <w:bottom w:val="single" w:color="000000" w:sz="4" w:space="0"/>
              <w:right w:val="single" w:color="000000" w:sz="4" w:space="0"/>
            </w:tcBorders>
            <w:noWrap/>
            <w:vAlign w:val="center"/>
          </w:tcPr>
          <w:p w14:paraId="1053B613">
            <w:pPr>
              <w:rPr>
                <w:rFonts w:hint="eastAsia" w:ascii="宋体" w:hAnsi="宋体" w:eastAsia="宋体" w:cs="宋体"/>
                <w:i w:val="0"/>
                <w:iCs w:val="0"/>
                <w:color w:val="000000"/>
                <w:sz w:val="24"/>
                <w:szCs w:val="24"/>
                <w:u w:val="none"/>
              </w:rPr>
            </w:pPr>
          </w:p>
        </w:tc>
      </w:tr>
      <w:tr w14:paraId="05294E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2" w:hRule="atLeast"/>
        </w:trPr>
        <w:tc>
          <w:tcPr>
            <w:tcW w:w="57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121471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123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3E61F42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灯具</w:t>
            </w:r>
          </w:p>
        </w:tc>
        <w:tc>
          <w:tcPr>
            <w:tcW w:w="397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392C8E2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[项目特征]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1.名称：LED嵌入式射灯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2.光源形式：LED</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3.型号规格：LED，暖白，20W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4.安装方式:室外埋地，光源角度可调</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5.其他：符合设计及相应规范要求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[工作内容]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1.灯具安装及接线</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2.包含灯具安装所需螺丝等配件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3.灯具开孔</w:t>
            </w:r>
          </w:p>
        </w:tc>
        <w:tc>
          <w:tcPr>
            <w:tcW w:w="750" w:type="dxa"/>
            <w:tcBorders>
              <w:top w:val="single" w:color="000000" w:sz="4" w:space="0"/>
              <w:left w:val="single" w:color="000000" w:sz="4" w:space="0"/>
              <w:bottom w:val="single" w:color="000000" w:sz="4" w:space="0"/>
              <w:right w:val="single" w:color="000000" w:sz="4" w:space="0"/>
            </w:tcBorders>
            <w:noWrap/>
            <w:vAlign w:val="center"/>
          </w:tcPr>
          <w:p w14:paraId="199AC4C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900" w:type="dxa"/>
            <w:tcBorders>
              <w:top w:val="single" w:color="000000" w:sz="4" w:space="0"/>
              <w:left w:val="single" w:color="000000" w:sz="4" w:space="0"/>
              <w:bottom w:val="single" w:color="000000" w:sz="4" w:space="0"/>
              <w:right w:val="nil"/>
            </w:tcBorders>
            <w:noWrap/>
            <w:vAlign w:val="center"/>
          </w:tcPr>
          <w:p w14:paraId="109928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1065" w:type="dxa"/>
            <w:tcBorders>
              <w:top w:val="single" w:color="000000" w:sz="4" w:space="0"/>
              <w:left w:val="single" w:color="000000" w:sz="4" w:space="0"/>
              <w:bottom w:val="single" w:color="000000" w:sz="4" w:space="0"/>
              <w:right w:val="single" w:color="000000" w:sz="4" w:space="0"/>
            </w:tcBorders>
            <w:noWrap/>
            <w:vAlign w:val="center"/>
          </w:tcPr>
          <w:p w14:paraId="6C58146E">
            <w:pPr>
              <w:jc w:val="center"/>
              <w:rPr>
                <w:rFonts w:hint="eastAsia" w:ascii="宋体" w:hAnsi="宋体" w:eastAsia="宋体" w:cs="宋体"/>
                <w:i w:val="0"/>
                <w:iCs w:val="0"/>
                <w:color w:val="000000"/>
                <w:sz w:val="24"/>
                <w:szCs w:val="24"/>
                <w:u w:val="none"/>
              </w:rPr>
            </w:pPr>
          </w:p>
        </w:tc>
        <w:tc>
          <w:tcPr>
            <w:tcW w:w="915" w:type="dxa"/>
            <w:tcBorders>
              <w:top w:val="single" w:color="000000" w:sz="4" w:space="0"/>
              <w:left w:val="single" w:color="000000" w:sz="4" w:space="0"/>
              <w:bottom w:val="single" w:color="000000" w:sz="4" w:space="0"/>
              <w:right w:val="single" w:color="000000" w:sz="4" w:space="0"/>
            </w:tcBorders>
            <w:noWrap/>
            <w:vAlign w:val="center"/>
          </w:tcPr>
          <w:p w14:paraId="7EB5B19B">
            <w:pPr>
              <w:jc w:val="center"/>
              <w:rPr>
                <w:rFonts w:hint="eastAsia" w:ascii="宋体" w:hAnsi="宋体" w:eastAsia="宋体" w:cs="宋体"/>
                <w:i w:val="0"/>
                <w:iCs w:val="0"/>
                <w:color w:val="000000"/>
                <w:sz w:val="24"/>
                <w:szCs w:val="24"/>
                <w:u w:val="none"/>
              </w:rPr>
            </w:pPr>
          </w:p>
        </w:tc>
        <w:tc>
          <w:tcPr>
            <w:tcW w:w="810" w:type="dxa"/>
            <w:tcBorders>
              <w:top w:val="single" w:color="000000" w:sz="4" w:space="0"/>
              <w:left w:val="single" w:color="000000" w:sz="4" w:space="0"/>
              <w:bottom w:val="single" w:color="000000" w:sz="4" w:space="0"/>
              <w:right w:val="single" w:color="000000" w:sz="4" w:space="0"/>
            </w:tcBorders>
            <w:noWrap/>
            <w:vAlign w:val="center"/>
          </w:tcPr>
          <w:p w14:paraId="01B275C4">
            <w:pPr>
              <w:rPr>
                <w:rFonts w:hint="eastAsia" w:ascii="宋体" w:hAnsi="宋体" w:eastAsia="宋体" w:cs="宋体"/>
                <w:i w:val="0"/>
                <w:iCs w:val="0"/>
                <w:color w:val="000000"/>
                <w:sz w:val="24"/>
                <w:szCs w:val="24"/>
                <w:u w:val="none"/>
              </w:rPr>
            </w:pPr>
          </w:p>
        </w:tc>
      </w:tr>
      <w:tr w14:paraId="50546E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0" w:hRule="atLeast"/>
        </w:trPr>
        <w:tc>
          <w:tcPr>
            <w:tcW w:w="57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4CC0581B">
            <w:pPr>
              <w:keepNext w:val="0"/>
              <w:keepLines w:val="0"/>
              <w:widowControl/>
              <w:suppressLineNumbers w:val="0"/>
              <w:jc w:val="center"/>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19</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09D2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电缆</w:t>
            </w:r>
          </w:p>
        </w:tc>
        <w:tc>
          <w:tcPr>
            <w:tcW w:w="39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416F32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[项目特征]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1.名称：电缆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2.敷设方式：沿原路灯路由敷设</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3.型号规格：WDZC-YJV-3*4</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4.材质:铜芯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5.配线线制：多芯电缆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6.其他：符合设计及相应规范要求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[工作内容]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1.电缆敷设</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2.与各用电器具的连接</w:t>
            </w:r>
          </w:p>
        </w:tc>
        <w:tc>
          <w:tcPr>
            <w:tcW w:w="750" w:type="dxa"/>
            <w:tcBorders>
              <w:top w:val="single" w:color="000000" w:sz="4" w:space="0"/>
              <w:left w:val="single" w:color="000000" w:sz="4" w:space="0"/>
              <w:bottom w:val="single" w:color="000000" w:sz="4" w:space="0"/>
              <w:right w:val="single" w:color="000000" w:sz="4" w:space="0"/>
            </w:tcBorders>
            <w:noWrap/>
            <w:vAlign w:val="center"/>
          </w:tcPr>
          <w:p w14:paraId="513E60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w:t>
            </w:r>
          </w:p>
        </w:tc>
        <w:tc>
          <w:tcPr>
            <w:tcW w:w="900" w:type="dxa"/>
            <w:tcBorders>
              <w:top w:val="single" w:color="000000" w:sz="4" w:space="0"/>
              <w:left w:val="single" w:color="000000" w:sz="4" w:space="0"/>
              <w:bottom w:val="single" w:color="000000" w:sz="4" w:space="0"/>
              <w:right w:val="nil"/>
            </w:tcBorders>
            <w:noWrap/>
            <w:vAlign w:val="center"/>
          </w:tcPr>
          <w:p w14:paraId="4E58D1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w:t>
            </w:r>
          </w:p>
        </w:tc>
        <w:tc>
          <w:tcPr>
            <w:tcW w:w="1065" w:type="dxa"/>
            <w:tcBorders>
              <w:top w:val="single" w:color="000000" w:sz="4" w:space="0"/>
              <w:left w:val="single" w:color="000000" w:sz="4" w:space="0"/>
              <w:bottom w:val="single" w:color="000000" w:sz="4" w:space="0"/>
              <w:right w:val="single" w:color="000000" w:sz="4" w:space="0"/>
            </w:tcBorders>
            <w:noWrap/>
            <w:vAlign w:val="center"/>
          </w:tcPr>
          <w:p w14:paraId="717A63AE">
            <w:pPr>
              <w:jc w:val="center"/>
              <w:rPr>
                <w:rFonts w:hint="eastAsia" w:ascii="宋体" w:hAnsi="宋体" w:eastAsia="宋体" w:cs="宋体"/>
                <w:i w:val="0"/>
                <w:iCs w:val="0"/>
                <w:color w:val="000000"/>
                <w:sz w:val="24"/>
                <w:szCs w:val="24"/>
                <w:u w:val="none"/>
              </w:rPr>
            </w:pPr>
          </w:p>
        </w:tc>
        <w:tc>
          <w:tcPr>
            <w:tcW w:w="915" w:type="dxa"/>
            <w:tcBorders>
              <w:top w:val="single" w:color="000000" w:sz="4" w:space="0"/>
              <w:left w:val="single" w:color="000000" w:sz="4" w:space="0"/>
              <w:bottom w:val="single" w:color="000000" w:sz="4" w:space="0"/>
              <w:right w:val="single" w:color="000000" w:sz="4" w:space="0"/>
            </w:tcBorders>
            <w:noWrap/>
            <w:vAlign w:val="center"/>
          </w:tcPr>
          <w:p w14:paraId="5D6CEED7">
            <w:pPr>
              <w:jc w:val="center"/>
              <w:rPr>
                <w:rFonts w:hint="eastAsia" w:ascii="宋体" w:hAnsi="宋体" w:eastAsia="宋体" w:cs="宋体"/>
                <w:i w:val="0"/>
                <w:iCs w:val="0"/>
                <w:color w:val="000000"/>
                <w:sz w:val="24"/>
                <w:szCs w:val="24"/>
                <w:u w:val="none"/>
              </w:rPr>
            </w:pPr>
          </w:p>
        </w:tc>
        <w:tc>
          <w:tcPr>
            <w:tcW w:w="810" w:type="dxa"/>
            <w:tcBorders>
              <w:top w:val="single" w:color="000000" w:sz="4" w:space="0"/>
              <w:left w:val="single" w:color="000000" w:sz="4" w:space="0"/>
              <w:bottom w:val="single" w:color="000000" w:sz="4" w:space="0"/>
              <w:right w:val="single" w:color="000000" w:sz="4" w:space="0"/>
            </w:tcBorders>
            <w:noWrap/>
            <w:vAlign w:val="center"/>
          </w:tcPr>
          <w:p w14:paraId="69C254F9">
            <w:pPr>
              <w:rPr>
                <w:rFonts w:hint="eastAsia" w:ascii="宋体" w:hAnsi="宋体" w:eastAsia="宋体" w:cs="宋体"/>
                <w:i w:val="0"/>
                <w:iCs w:val="0"/>
                <w:color w:val="000000"/>
                <w:sz w:val="24"/>
                <w:szCs w:val="24"/>
                <w:u w:val="none"/>
              </w:rPr>
            </w:pPr>
          </w:p>
        </w:tc>
      </w:tr>
      <w:tr w14:paraId="5A24C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40" w:hRule="atLeast"/>
        </w:trPr>
        <w:tc>
          <w:tcPr>
            <w:tcW w:w="57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5B4B3C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0F12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配管</w:t>
            </w:r>
          </w:p>
        </w:tc>
        <w:tc>
          <w:tcPr>
            <w:tcW w:w="39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622DD0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[项目特征]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1.名称：配管</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2.材质：PVC塑料管</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3.规格：P20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4.敷设方式:暗敷</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5.其他：符合设计及相应规范要求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[工作内容]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1.电线管路敷设</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2.包含配管所需线盒、管卡等配件</w:t>
            </w:r>
          </w:p>
        </w:tc>
        <w:tc>
          <w:tcPr>
            <w:tcW w:w="750" w:type="dxa"/>
            <w:tcBorders>
              <w:top w:val="single" w:color="000000" w:sz="4" w:space="0"/>
              <w:left w:val="single" w:color="000000" w:sz="4" w:space="0"/>
              <w:bottom w:val="single" w:color="000000" w:sz="4" w:space="0"/>
              <w:right w:val="single" w:color="000000" w:sz="4" w:space="0"/>
            </w:tcBorders>
            <w:noWrap/>
            <w:vAlign w:val="center"/>
          </w:tcPr>
          <w:p w14:paraId="56BC461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w:t>
            </w:r>
          </w:p>
        </w:tc>
        <w:tc>
          <w:tcPr>
            <w:tcW w:w="900" w:type="dxa"/>
            <w:tcBorders>
              <w:top w:val="single" w:color="000000" w:sz="4" w:space="0"/>
              <w:left w:val="single" w:color="000000" w:sz="4" w:space="0"/>
              <w:bottom w:val="single" w:color="000000" w:sz="4" w:space="0"/>
              <w:right w:val="nil"/>
            </w:tcBorders>
            <w:noWrap/>
            <w:vAlign w:val="center"/>
          </w:tcPr>
          <w:p w14:paraId="353B2B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w:t>
            </w:r>
          </w:p>
        </w:tc>
        <w:tc>
          <w:tcPr>
            <w:tcW w:w="1065" w:type="dxa"/>
            <w:tcBorders>
              <w:top w:val="single" w:color="000000" w:sz="4" w:space="0"/>
              <w:left w:val="single" w:color="000000" w:sz="4" w:space="0"/>
              <w:bottom w:val="single" w:color="000000" w:sz="4" w:space="0"/>
              <w:right w:val="single" w:color="000000" w:sz="4" w:space="0"/>
            </w:tcBorders>
            <w:noWrap/>
            <w:vAlign w:val="center"/>
          </w:tcPr>
          <w:p w14:paraId="25CCCBB0">
            <w:pPr>
              <w:jc w:val="center"/>
              <w:rPr>
                <w:rFonts w:hint="eastAsia" w:ascii="宋体" w:hAnsi="宋体" w:eastAsia="宋体" w:cs="宋体"/>
                <w:i w:val="0"/>
                <w:iCs w:val="0"/>
                <w:color w:val="000000"/>
                <w:sz w:val="24"/>
                <w:szCs w:val="24"/>
                <w:u w:val="none"/>
              </w:rPr>
            </w:pPr>
          </w:p>
        </w:tc>
        <w:tc>
          <w:tcPr>
            <w:tcW w:w="915" w:type="dxa"/>
            <w:tcBorders>
              <w:top w:val="single" w:color="000000" w:sz="4" w:space="0"/>
              <w:left w:val="single" w:color="000000" w:sz="4" w:space="0"/>
              <w:bottom w:val="single" w:color="000000" w:sz="4" w:space="0"/>
              <w:right w:val="single" w:color="000000" w:sz="4" w:space="0"/>
            </w:tcBorders>
            <w:noWrap/>
            <w:vAlign w:val="center"/>
          </w:tcPr>
          <w:p w14:paraId="3926159C">
            <w:pPr>
              <w:jc w:val="center"/>
              <w:rPr>
                <w:rFonts w:hint="eastAsia" w:ascii="宋体" w:hAnsi="宋体" w:eastAsia="宋体" w:cs="宋体"/>
                <w:i w:val="0"/>
                <w:iCs w:val="0"/>
                <w:color w:val="000000"/>
                <w:sz w:val="24"/>
                <w:szCs w:val="24"/>
                <w:u w:val="none"/>
              </w:rPr>
            </w:pPr>
          </w:p>
        </w:tc>
        <w:tc>
          <w:tcPr>
            <w:tcW w:w="810" w:type="dxa"/>
            <w:tcBorders>
              <w:top w:val="single" w:color="000000" w:sz="4" w:space="0"/>
              <w:left w:val="single" w:color="000000" w:sz="4" w:space="0"/>
              <w:bottom w:val="single" w:color="000000" w:sz="4" w:space="0"/>
              <w:right w:val="single" w:color="000000" w:sz="4" w:space="0"/>
            </w:tcBorders>
            <w:noWrap/>
            <w:vAlign w:val="center"/>
          </w:tcPr>
          <w:p w14:paraId="6F9ABDBD">
            <w:pPr>
              <w:rPr>
                <w:rFonts w:hint="eastAsia" w:ascii="宋体" w:hAnsi="宋体" w:eastAsia="宋体" w:cs="宋体"/>
                <w:i w:val="0"/>
                <w:iCs w:val="0"/>
                <w:color w:val="000000"/>
                <w:sz w:val="24"/>
                <w:szCs w:val="24"/>
                <w:u w:val="none"/>
              </w:rPr>
            </w:pPr>
          </w:p>
        </w:tc>
      </w:tr>
      <w:tr w14:paraId="0E1D48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60" w:hRule="atLeast"/>
        </w:trPr>
        <w:tc>
          <w:tcPr>
            <w:tcW w:w="57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1ACDDF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7BCB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配线</w:t>
            </w:r>
          </w:p>
        </w:tc>
        <w:tc>
          <w:tcPr>
            <w:tcW w:w="39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751234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[项目特征]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1.名称：配线</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2.配线形式：穿管</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3.型号规格：WDZC-BYJ-2.5</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4.材质:铜芯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5.配线线制：单芯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6.其他：符合设计及相应规范要求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[工作内容]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1.配线</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2.与各用电器具的连接</w:t>
            </w:r>
          </w:p>
        </w:tc>
        <w:tc>
          <w:tcPr>
            <w:tcW w:w="750" w:type="dxa"/>
            <w:tcBorders>
              <w:top w:val="single" w:color="000000" w:sz="4" w:space="0"/>
              <w:left w:val="single" w:color="000000" w:sz="4" w:space="0"/>
              <w:bottom w:val="single" w:color="000000" w:sz="4" w:space="0"/>
              <w:right w:val="single" w:color="000000" w:sz="4" w:space="0"/>
            </w:tcBorders>
            <w:noWrap/>
            <w:vAlign w:val="center"/>
          </w:tcPr>
          <w:p w14:paraId="12FE4B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w:t>
            </w:r>
          </w:p>
        </w:tc>
        <w:tc>
          <w:tcPr>
            <w:tcW w:w="900" w:type="dxa"/>
            <w:tcBorders>
              <w:top w:val="single" w:color="000000" w:sz="4" w:space="0"/>
              <w:left w:val="single" w:color="000000" w:sz="4" w:space="0"/>
              <w:bottom w:val="single" w:color="000000" w:sz="4" w:space="0"/>
              <w:right w:val="nil"/>
            </w:tcBorders>
            <w:noWrap/>
            <w:vAlign w:val="center"/>
          </w:tcPr>
          <w:p w14:paraId="313823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144</w:t>
            </w:r>
          </w:p>
        </w:tc>
        <w:tc>
          <w:tcPr>
            <w:tcW w:w="1065" w:type="dxa"/>
            <w:tcBorders>
              <w:top w:val="single" w:color="000000" w:sz="4" w:space="0"/>
              <w:left w:val="single" w:color="000000" w:sz="4" w:space="0"/>
              <w:bottom w:val="single" w:color="000000" w:sz="4" w:space="0"/>
              <w:right w:val="single" w:color="000000" w:sz="4" w:space="0"/>
            </w:tcBorders>
            <w:noWrap/>
            <w:vAlign w:val="center"/>
          </w:tcPr>
          <w:p w14:paraId="1EA24DC4">
            <w:pPr>
              <w:jc w:val="center"/>
              <w:rPr>
                <w:rFonts w:hint="eastAsia" w:ascii="宋体" w:hAnsi="宋体" w:eastAsia="宋体" w:cs="宋体"/>
                <w:i w:val="0"/>
                <w:iCs w:val="0"/>
                <w:color w:val="000000"/>
                <w:sz w:val="24"/>
                <w:szCs w:val="24"/>
                <w:u w:val="none"/>
              </w:rPr>
            </w:pPr>
          </w:p>
        </w:tc>
        <w:tc>
          <w:tcPr>
            <w:tcW w:w="915" w:type="dxa"/>
            <w:tcBorders>
              <w:top w:val="single" w:color="000000" w:sz="4" w:space="0"/>
              <w:left w:val="single" w:color="000000" w:sz="4" w:space="0"/>
              <w:bottom w:val="single" w:color="000000" w:sz="4" w:space="0"/>
              <w:right w:val="single" w:color="000000" w:sz="4" w:space="0"/>
            </w:tcBorders>
            <w:noWrap/>
            <w:vAlign w:val="center"/>
          </w:tcPr>
          <w:p w14:paraId="3D348B6E">
            <w:pPr>
              <w:jc w:val="center"/>
              <w:rPr>
                <w:rFonts w:hint="eastAsia" w:ascii="宋体" w:hAnsi="宋体" w:eastAsia="宋体" w:cs="宋体"/>
                <w:i w:val="0"/>
                <w:iCs w:val="0"/>
                <w:color w:val="000000"/>
                <w:sz w:val="24"/>
                <w:szCs w:val="24"/>
                <w:u w:val="none"/>
              </w:rPr>
            </w:pPr>
          </w:p>
        </w:tc>
        <w:tc>
          <w:tcPr>
            <w:tcW w:w="810" w:type="dxa"/>
            <w:tcBorders>
              <w:top w:val="single" w:color="000000" w:sz="4" w:space="0"/>
              <w:left w:val="single" w:color="000000" w:sz="4" w:space="0"/>
              <w:bottom w:val="single" w:color="000000" w:sz="4" w:space="0"/>
              <w:right w:val="single" w:color="000000" w:sz="4" w:space="0"/>
            </w:tcBorders>
            <w:noWrap/>
            <w:vAlign w:val="center"/>
          </w:tcPr>
          <w:p w14:paraId="2A9D0F22">
            <w:pPr>
              <w:rPr>
                <w:rFonts w:hint="eastAsia" w:ascii="宋体" w:hAnsi="宋体" w:eastAsia="宋体" w:cs="宋体"/>
                <w:i w:val="0"/>
                <w:iCs w:val="0"/>
                <w:color w:val="000000"/>
                <w:sz w:val="24"/>
                <w:szCs w:val="24"/>
                <w:u w:val="none"/>
              </w:rPr>
            </w:pPr>
          </w:p>
        </w:tc>
      </w:tr>
      <w:tr w14:paraId="025216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62" w:hRule="atLeast"/>
        </w:trPr>
        <w:tc>
          <w:tcPr>
            <w:tcW w:w="57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6A882A3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266B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时控器</w:t>
            </w:r>
          </w:p>
        </w:tc>
        <w:tc>
          <w:tcPr>
            <w:tcW w:w="397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3AC98AE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[项目特征]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1.名称：时控器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2.型号规格：AC220V</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3.安装方式:配电箱内导轨安装</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4.其他：符合设计及相应规范要求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[工作内容]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1.时控器安装及接线</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2.包含安装所需螺丝等配件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3.箱内配线</w:t>
            </w:r>
          </w:p>
        </w:tc>
        <w:tc>
          <w:tcPr>
            <w:tcW w:w="750" w:type="dxa"/>
            <w:tcBorders>
              <w:top w:val="single" w:color="000000" w:sz="4" w:space="0"/>
              <w:left w:val="single" w:color="000000" w:sz="4" w:space="0"/>
              <w:bottom w:val="single" w:color="000000" w:sz="4" w:space="0"/>
              <w:right w:val="single" w:color="000000" w:sz="4" w:space="0"/>
            </w:tcBorders>
            <w:noWrap/>
            <w:vAlign w:val="center"/>
          </w:tcPr>
          <w:p w14:paraId="30E517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900" w:type="dxa"/>
            <w:tcBorders>
              <w:top w:val="single" w:color="000000" w:sz="4" w:space="0"/>
              <w:left w:val="single" w:color="000000" w:sz="4" w:space="0"/>
              <w:bottom w:val="single" w:color="000000" w:sz="4" w:space="0"/>
              <w:right w:val="nil"/>
            </w:tcBorders>
            <w:noWrap/>
            <w:vAlign w:val="center"/>
          </w:tcPr>
          <w:p w14:paraId="431FB0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065" w:type="dxa"/>
            <w:tcBorders>
              <w:top w:val="single" w:color="000000" w:sz="4" w:space="0"/>
              <w:left w:val="single" w:color="000000" w:sz="4" w:space="0"/>
              <w:bottom w:val="single" w:color="000000" w:sz="4" w:space="0"/>
              <w:right w:val="single" w:color="000000" w:sz="4" w:space="0"/>
            </w:tcBorders>
            <w:noWrap/>
            <w:vAlign w:val="center"/>
          </w:tcPr>
          <w:p w14:paraId="0D713FEE">
            <w:pPr>
              <w:jc w:val="center"/>
              <w:rPr>
                <w:rFonts w:hint="eastAsia" w:ascii="宋体" w:hAnsi="宋体" w:eastAsia="宋体" w:cs="宋体"/>
                <w:i w:val="0"/>
                <w:iCs w:val="0"/>
                <w:color w:val="000000"/>
                <w:sz w:val="24"/>
                <w:szCs w:val="24"/>
                <w:u w:val="none"/>
              </w:rPr>
            </w:pPr>
          </w:p>
        </w:tc>
        <w:tc>
          <w:tcPr>
            <w:tcW w:w="915" w:type="dxa"/>
            <w:tcBorders>
              <w:top w:val="single" w:color="000000" w:sz="4" w:space="0"/>
              <w:left w:val="single" w:color="000000" w:sz="4" w:space="0"/>
              <w:bottom w:val="single" w:color="000000" w:sz="4" w:space="0"/>
              <w:right w:val="single" w:color="000000" w:sz="4" w:space="0"/>
            </w:tcBorders>
            <w:noWrap/>
            <w:vAlign w:val="center"/>
          </w:tcPr>
          <w:p w14:paraId="05101C17">
            <w:pPr>
              <w:jc w:val="center"/>
              <w:rPr>
                <w:rFonts w:hint="eastAsia" w:ascii="宋体" w:hAnsi="宋体" w:eastAsia="宋体" w:cs="宋体"/>
                <w:i w:val="0"/>
                <w:iCs w:val="0"/>
                <w:color w:val="000000"/>
                <w:sz w:val="24"/>
                <w:szCs w:val="24"/>
                <w:u w:val="none"/>
              </w:rPr>
            </w:pPr>
          </w:p>
        </w:tc>
        <w:tc>
          <w:tcPr>
            <w:tcW w:w="810" w:type="dxa"/>
            <w:tcBorders>
              <w:top w:val="single" w:color="000000" w:sz="4" w:space="0"/>
              <w:left w:val="single" w:color="000000" w:sz="4" w:space="0"/>
              <w:bottom w:val="single" w:color="000000" w:sz="4" w:space="0"/>
              <w:right w:val="single" w:color="000000" w:sz="4" w:space="0"/>
            </w:tcBorders>
            <w:noWrap/>
            <w:vAlign w:val="center"/>
          </w:tcPr>
          <w:p w14:paraId="55F4545F">
            <w:pPr>
              <w:rPr>
                <w:rFonts w:hint="eastAsia" w:ascii="宋体" w:hAnsi="宋体" w:eastAsia="宋体" w:cs="宋体"/>
                <w:i w:val="0"/>
                <w:iCs w:val="0"/>
                <w:color w:val="000000"/>
                <w:sz w:val="24"/>
                <w:szCs w:val="24"/>
                <w:u w:val="none"/>
              </w:rPr>
            </w:pPr>
          </w:p>
        </w:tc>
      </w:tr>
      <w:tr w14:paraId="5E58EA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8490" w:type="dxa"/>
            <w:gridSpan w:val="6"/>
            <w:tcBorders>
              <w:top w:val="single" w:color="000000" w:sz="4" w:space="0"/>
              <w:left w:val="single" w:color="000000" w:sz="4" w:space="0"/>
              <w:bottom w:val="single" w:color="000000" w:sz="4" w:space="0"/>
              <w:right w:val="single" w:color="000000" w:sz="4" w:space="0"/>
            </w:tcBorders>
            <w:noWrap/>
            <w:vAlign w:val="center"/>
          </w:tcPr>
          <w:p w14:paraId="765FAD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合计</w:t>
            </w:r>
          </w:p>
        </w:tc>
        <w:tc>
          <w:tcPr>
            <w:tcW w:w="915" w:type="dxa"/>
            <w:tcBorders>
              <w:top w:val="single" w:color="000000" w:sz="4" w:space="0"/>
              <w:left w:val="single" w:color="000000" w:sz="4" w:space="0"/>
              <w:bottom w:val="single" w:color="000000" w:sz="4" w:space="0"/>
              <w:right w:val="single" w:color="000000" w:sz="4" w:space="0"/>
            </w:tcBorders>
            <w:noWrap/>
            <w:vAlign w:val="center"/>
          </w:tcPr>
          <w:p w14:paraId="63880B1F">
            <w:pPr>
              <w:rPr>
                <w:rFonts w:hint="eastAsia" w:ascii="宋体" w:hAnsi="宋体" w:eastAsia="宋体" w:cs="宋体"/>
                <w:i w:val="0"/>
                <w:iCs w:val="0"/>
                <w:color w:val="000000"/>
                <w:sz w:val="24"/>
                <w:szCs w:val="24"/>
                <w:u w:val="none"/>
              </w:rPr>
            </w:pPr>
          </w:p>
        </w:tc>
        <w:tc>
          <w:tcPr>
            <w:tcW w:w="810" w:type="dxa"/>
            <w:tcBorders>
              <w:top w:val="single" w:color="000000" w:sz="4" w:space="0"/>
              <w:left w:val="single" w:color="000000" w:sz="4" w:space="0"/>
              <w:bottom w:val="single" w:color="000000" w:sz="4" w:space="0"/>
              <w:right w:val="single" w:color="000000" w:sz="4" w:space="0"/>
            </w:tcBorders>
            <w:noWrap/>
            <w:vAlign w:val="center"/>
          </w:tcPr>
          <w:p w14:paraId="31C248E1">
            <w:pPr>
              <w:rPr>
                <w:rFonts w:hint="eastAsia" w:ascii="宋体" w:hAnsi="宋体" w:eastAsia="宋体" w:cs="宋体"/>
                <w:i w:val="0"/>
                <w:iCs w:val="0"/>
                <w:color w:val="000000"/>
                <w:sz w:val="24"/>
                <w:szCs w:val="24"/>
                <w:u w:val="none"/>
              </w:rPr>
            </w:pPr>
          </w:p>
        </w:tc>
      </w:tr>
    </w:tbl>
    <w:p w14:paraId="75DEAE9C">
      <w:pPr>
        <w:rPr>
          <w:rFonts w:hint="eastAsia"/>
          <w:lang w:val="en-US" w:eastAsia="zh-CN"/>
        </w:rPr>
      </w:pPr>
    </w:p>
    <w:p w14:paraId="461AF40D">
      <w:pPr>
        <w:pStyle w:val="5"/>
        <w:spacing w:before="0" w:after="0" w:line="380" w:lineRule="exact"/>
        <w:rPr>
          <w:rFonts w:hint="eastAsia" w:ascii="宋体" w:hAnsi="宋体" w:eastAsia="宋体" w:cs="宋体"/>
          <w:color w:val="000000"/>
          <w:sz w:val="24"/>
          <w:szCs w:val="24"/>
        </w:rPr>
      </w:pPr>
    </w:p>
    <w:p w14:paraId="6B309368">
      <w:pPr>
        <w:rPr>
          <w:rFonts w:hint="eastAsia" w:ascii="宋体" w:hAnsi="宋体" w:eastAsia="宋体" w:cs="宋体"/>
          <w:color w:val="000000"/>
          <w:sz w:val="24"/>
          <w:szCs w:val="24"/>
        </w:rPr>
      </w:pPr>
    </w:p>
    <w:p w14:paraId="3977D284">
      <w:pPr>
        <w:pStyle w:val="2"/>
        <w:rPr>
          <w:rFonts w:hint="eastAsia" w:ascii="宋体" w:hAnsi="宋体" w:eastAsia="宋体" w:cs="宋体"/>
          <w:color w:val="000000"/>
          <w:sz w:val="24"/>
          <w:szCs w:val="24"/>
        </w:rPr>
      </w:pPr>
    </w:p>
    <w:p w14:paraId="013B6AF2">
      <w:pPr>
        <w:pStyle w:val="2"/>
        <w:rPr>
          <w:rFonts w:hint="eastAsia" w:ascii="宋体" w:hAnsi="宋体" w:eastAsia="宋体" w:cs="宋体"/>
          <w:color w:val="000000"/>
          <w:sz w:val="24"/>
          <w:szCs w:val="24"/>
        </w:rPr>
      </w:pPr>
    </w:p>
    <w:p w14:paraId="4A33050E">
      <w:pPr>
        <w:pStyle w:val="2"/>
        <w:rPr>
          <w:rFonts w:hint="eastAsia" w:ascii="宋体" w:hAnsi="宋体" w:eastAsia="宋体" w:cs="宋体"/>
          <w:color w:val="000000"/>
          <w:sz w:val="24"/>
          <w:szCs w:val="24"/>
        </w:rPr>
      </w:pPr>
    </w:p>
    <w:p w14:paraId="143A9818">
      <w:pPr>
        <w:pStyle w:val="2"/>
        <w:rPr>
          <w:rFonts w:hint="eastAsia" w:ascii="宋体" w:hAnsi="宋体" w:eastAsia="宋体" w:cs="宋体"/>
          <w:color w:val="000000"/>
          <w:sz w:val="24"/>
          <w:szCs w:val="24"/>
        </w:rPr>
      </w:pPr>
    </w:p>
    <w:p w14:paraId="2FC526B5">
      <w:pPr>
        <w:pStyle w:val="2"/>
        <w:rPr>
          <w:rFonts w:hint="eastAsia" w:ascii="宋体" w:hAnsi="宋体" w:eastAsia="宋体" w:cs="宋体"/>
          <w:color w:val="000000"/>
          <w:sz w:val="24"/>
          <w:szCs w:val="24"/>
        </w:rPr>
      </w:pPr>
    </w:p>
    <w:p w14:paraId="7F591645">
      <w:pPr>
        <w:pStyle w:val="2"/>
        <w:rPr>
          <w:rFonts w:hint="eastAsia" w:ascii="宋体" w:hAnsi="宋体" w:eastAsia="宋体" w:cs="宋体"/>
          <w:color w:val="000000"/>
          <w:sz w:val="24"/>
          <w:szCs w:val="24"/>
        </w:rPr>
      </w:pPr>
    </w:p>
    <w:p w14:paraId="1A4A8299">
      <w:pPr>
        <w:pStyle w:val="2"/>
        <w:rPr>
          <w:rFonts w:hint="eastAsia" w:ascii="宋体" w:hAnsi="宋体" w:eastAsia="宋体" w:cs="宋体"/>
          <w:color w:val="000000"/>
          <w:sz w:val="24"/>
          <w:szCs w:val="24"/>
        </w:rPr>
      </w:pPr>
    </w:p>
    <w:p w14:paraId="29E4B383">
      <w:pPr>
        <w:pStyle w:val="2"/>
        <w:rPr>
          <w:rFonts w:hint="eastAsia" w:ascii="宋体" w:hAnsi="宋体" w:eastAsia="宋体" w:cs="宋体"/>
          <w:color w:val="000000"/>
          <w:sz w:val="24"/>
          <w:szCs w:val="24"/>
        </w:rPr>
      </w:pPr>
    </w:p>
    <w:p w14:paraId="3D325DB0">
      <w:pPr>
        <w:pStyle w:val="2"/>
        <w:rPr>
          <w:rFonts w:hint="eastAsia" w:ascii="宋体" w:hAnsi="宋体" w:eastAsia="宋体" w:cs="宋体"/>
          <w:color w:val="000000"/>
          <w:sz w:val="24"/>
          <w:szCs w:val="24"/>
        </w:rPr>
      </w:pPr>
    </w:p>
    <w:p w14:paraId="7EE1ABA3">
      <w:pPr>
        <w:pStyle w:val="2"/>
        <w:rPr>
          <w:rFonts w:hint="eastAsia" w:ascii="宋体" w:hAnsi="宋体" w:eastAsia="宋体" w:cs="宋体"/>
          <w:color w:val="000000"/>
          <w:sz w:val="24"/>
          <w:szCs w:val="24"/>
        </w:rPr>
      </w:pPr>
    </w:p>
    <w:p w14:paraId="40D90BD8">
      <w:pPr>
        <w:pStyle w:val="2"/>
        <w:rPr>
          <w:rFonts w:hint="eastAsia" w:ascii="宋体" w:hAnsi="宋体" w:eastAsia="宋体" w:cs="宋体"/>
          <w:color w:val="000000"/>
          <w:sz w:val="24"/>
          <w:szCs w:val="24"/>
        </w:rPr>
      </w:pPr>
    </w:p>
    <w:p w14:paraId="63277561">
      <w:pPr>
        <w:pStyle w:val="2"/>
        <w:rPr>
          <w:rFonts w:hint="eastAsia" w:ascii="宋体" w:hAnsi="宋体" w:eastAsia="宋体" w:cs="宋体"/>
          <w:color w:val="000000"/>
          <w:sz w:val="24"/>
          <w:szCs w:val="24"/>
        </w:rPr>
      </w:pPr>
    </w:p>
    <w:p w14:paraId="63E00627">
      <w:pPr>
        <w:pStyle w:val="2"/>
        <w:rPr>
          <w:rFonts w:hint="eastAsia" w:ascii="宋体" w:hAnsi="宋体" w:eastAsia="宋体" w:cs="宋体"/>
          <w:color w:val="000000"/>
          <w:sz w:val="24"/>
          <w:szCs w:val="24"/>
        </w:rPr>
      </w:pPr>
    </w:p>
    <w:p w14:paraId="5070A4B3">
      <w:pPr>
        <w:pStyle w:val="5"/>
        <w:spacing w:before="0" w:after="0" w:line="380" w:lineRule="exact"/>
        <w:rPr>
          <w:rFonts w:hint="eastAsia" w:ascii="宋体" w:hAnsi="宋体" w:eastAsia="宋体" w:cs="宋体"/>
          <w:color w:val="000000"/>
          <w:sz w:val="24"/>
          <w:szCs w:val="24"/>
        </w:rPr>
      </w:pPr>
      <w:bookmarkStart w:id="206" w:name="_Toc3553"/>
      <w:r>
        <w:rPr>
          <w:rFonts w:hint="eastAsia" w:ascii="宋体" w:hAnsi="宋体" w:eastAsia="宋体" w:cs="宋体"/>
          <w:color w:val="000000"/>
          <w:sz w:val="24"/>
          <w:szCs w:val="24"/>
        </w:rPr>
        <w:t>二、技术部分</w:t>
      </w:r>
      <w:bookmarkEnd w:id="203"/>
      <w:bookmarkEnd w:id="204"/>
      <w:bookmarkEnd w:id="205"/>
      <w:bookmarkEnd w:id="206"/>
    </w:p>
    <w:p w14:paraId="2454CDA5">
      <w:pPr>
        <w:snapToGrid w:val="0"/>
        <w:spacing w:line="38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（一）技术响应偏离表</w:t>
      </w:r>
    </w:p>
    <w:p w14:paraId="64C72FB4">
      <w:pPr>
        <w:pStyle w:val="32"/>
        <w:tabs>
          <w:tab w:val="left" w:pos="6300"/>
        </w:tabs>
        <w:snapToGrid w:val="0"/>
        <w:spacing w:line="380" w:lineRule="exact"/>
        <w:ind w:firstLine="360" w:firstLineChars="150"/>
        <w:outlineLvl w:val="0"/>
        <w:rPr>
          <w:rFonts w:hint="eastAsia" w:ascii="宋体" w:hAnsi="宋体" w:eastAsia="宋体" w:cs="宋体"/>
          <w:color w:val="000000"/>
          <w:sz w:val="24"/>
          <w:szCs w:val="24"/>
        </w:rPr>
      </w:pPr>
      <w:r>
        <w:rPr>
          <w:rFonts w:hint="eastAsia" w:ascii="宋体" w:hAnsi="宋体" w:eastAsia="宋体" w:cs="宋体"/>
          <w:color w:val="000000"/>
          <w:sz w:val="24"/>
          <w:szCs w:val="24"/>
        </w:rPr>
        <w:t>项目名称：</w:t>
      </w:r>
    </w:p>
    <w:tbl>
      <w:tblPr>
        <w:tblStyle w:val="5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395BF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tcBorders>
              <w:top w:val="single" w:color="auto" w:sz="4" w:space="0"/>
              <w:left w:val="single" w:color="auto" w:sz="4" w:space="0"/>
              <w:bottom w:val="single" w:color="auto" w:sz="4" w:space="0"/>
              <w:right w:val="single" w:color="auto" w:sz="4" w:space="0"/>
            </w:tcBorders>
            <w:noWrap w:val="0"/>
            <w:vAlign w:val="center"/>
          </w:tcPr>
          <w:p w14:paraId="79D5FC91">
            <w:pPr>
              <w:tabs>
                <w:tab w:val="left" w:pos="6300"/>
              </w:tabs>
              <w:snapToGrid w:val="0"/>
              <w:spacing w:line="380" w:lineRule="exact"/>
              <w:jc w:val="center"/>
              <w:outlineLvl w:val="0"/>
              <w:rPr>
                <w:rFonts w:hint="eastAsia" w:ascii="宋体" w:hAnsi="宋体" w:eastAsia="宋体" w:cs="宋体"/>
                <w:color w:val="000000"/>
                <w:sz w:val="24"/>
                <w:szCs w:val="24"/>
              </w:rPr>
            </w:pPr>
            <w:r>
              <w:rPr>
                <w:rFonts w:hint="eastAsia" w:ascii="宋体" w:hAnsi="宋体" w:eastAsia="宋体" w:cs="宋体"/>
                <w:color w:val="000000"/>
                <w:sz w:val="24"/>
                <w:szCs w:val="24"/>
              </w:rPr>
              <w:t>序号</w:t>
            </w:r>
          </w:p>
        </w:tc>
        <w:tc>
          <w:tcPr>
            <w:tcW w:w="2658" w:type="dxa"/>
            <w:tcBorders>
              <w:top w:val="single" w:color="auto" w:sz="4" w:space="0"/>
              <w:left w:val="single" w:color="auto" w:sz="4" w:space="0"/>
              <w:bottom w:val="single" w:color="auto" w:sz="4" w:space="0"/>
              <w:right w:val="single" w:color="auto" w:sz="4" w:space="0"/>
            </w:tcBorders>
            <w:noWrap w:val="0"/>
            <w:vAlign w:val="center"/>
          </w:tcPr>
          <w:p w14:paraId="1544305B">
            <w:pPr>
              <w:tabs>
                <w:tab w:val="left" w:pos="6300"/>
              </w:tabs>
              <w:snapToGrid w:val="0"/>
              <w:spacing w:line="380" w:lineRule="exact"/>
              <w:jc w:val="center"/>
              <w:outlineLvl w:val="0"/>
              <w:rPr>
                <w:rFonts w:hint="eastAsia" w:ascii="宋体" w:hAnsi="宋体" w:eastAsia="宋体" w:cs="宋体"/>
                <w:color w:val="000000"/>
                <w:sz w:val="24"/>
                <w:szCs w:val="24"/>
              </w:rPr>
            </w:pPr>
            <w:r>
              <w:rPr>
                <w:rFonts w:hint="eastAsia" w:ascii="宋体" w:hAnsi="宋体" w:eastAsia="宋体" w:cs="宋体"/>
                <w:color w:val="000000"/>
                <w:sz w:val="24"/>
                <w:szCs w:val="24"/>
              </w:rPr>
              <w:t>项目技术需求</w:t>
            </w:r>
          </w:p>
        </w:tc>
        <w:tc>
          <w:tcPr>
            <w:tcW w:w="2759" w:type="dxa"/>
            <w:tcBorders>
              <w:top w:val="single" w:color="auto" w:sz="4" w:space="0"/>
              <w:left w:val="single" w:color="auto" w:sz="4" w:space="0"/>
              <w:bottom w:val="single" w:color="auto" w:sz="4" w:space="0"/>
              <w:right w:val="single" w:color="auto" w:sz="4" w:space="0"/>
            </w:tcBorders>
            <w:noWrap w:val="0"/>
            <w:vAlign w:val="center"/>
          </w:tcPr>
          <w:p w14:paraId="6306697D">
            <w:pPr>
              <w:tabs>
                <w:tab w:val="left" w:pos="6300"/>
              </w:tabs>
              <w:snapToGrid w:val="0"/>
              <w:spacing w:line="380" w:lineRule="exact"/>
              <w:jc w:val="center"/>
              <w:outlineLvl w:val="0"/>
              <w:rPr>
                <w:rFonts w:hint="eastAsia" w:ascii="宋体" w:hAnsi="宋体" w:eastAsia="宋体" w:cs="宋体"/>
                <w:color w:val="000000"/>
                <w:sz w:val="24"/>
                <w:szCs w:val="24"/>
              </w:rPr>
            </w:pPr>
            <w:r>
              <w:rPr>
                <w:rFonts w:hint="eastAsia" w:ascii="宋体" w:hAnsi="宋体" w:eastAsia="宋体" w:cs="宋体"/>
                <w:color w:val="000000"/>
                <w:sz w:val="24"/>
                <w:szCs w:val="24"/>
              </w:rPr>
              <w:t>响应情况</w:t>
            </w:r>
          </w:p>
        </w:tc>
        <w:tc>
          <w:tcPr>
            <w:tcW w:w="2067" w:type="dxa"/>
            <w:tcBorders>
              <w:top w:val="single" w:color="auto" w:sz="4" w:space="0"/>
              <w:left w:val="single" w:color="auto" w:sz="4" w:space="0"/>
              <w:bottom w:val="single" w:color="auto" w:sz="4" w:space="0"/>
              <w:right w:val="single" w:color="auto" w:sz="4" w:space="0"/>
            </w:tcBorders>
            <w:noWrap w:val="0"/>
            <w:vAlign w:val="center"/>
          </w:tcPr>
          <w:p w14:paraId="3CF27DA3">
            <w:pPr>
              <w:tabs>
                <w:tab w:val="left" w:pos="6300"/>
              </w:tabs>
              <w:snapToGrid w:val="0"/>
              <w:spacing w:line="380" w:lineRule="exact"/>
              <w:jc w:val="center"/>
              <w:outlineLvl w:val="0"/>
              <w:rPr>
                <w:rFonts w:hint="eastAsia" w:ascii="宋体" w:hAnsi="宋体" w:eastAsia="宋体" w:cs="宋体"/>
                <w:color w:val="000000"/>
                <w:sz w:val="24"/>
                <w:szCs w:val="24"/>
              </w:rPr>
            </w:pPr>
            <w:r>
              <w:rPr>
                <w:rFonts w:hint="eastAsia" w:ascii="宋体" w:hAnsi="宋体" w:eastAsia="宋体" w:cs="宋体"/>
                <w:color w:val="000000"/>
                <w:sz w:val="24"/>
                <w:szCs w:val="24"/>
              </w:rPr>
              <w:t>差异说明</w:t>
            </w:r>
          </w:p>
        </w:tc>
      </w:tr>
      <w:tr w14:paraId="7D261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tcBorders>
              <w:top w:val="single" w:color="auto" w:sz="4" w:space="0"/>
              <w:left w:val="single" w:color="auto" w:sz="4" w:space="0"/>
              <w:bottom w:val="single" w:color="auto" w:sz="4" w:space="0"/>
              <w:right w:val="single" w:color="auto" w:sz="4" w:space="0"/>
            </w:tcBorders>
            <w:noWrap w:val="0"/>
            <w:vAlign w:val="center"/>
          </w:tcPr>
          <w:p w14:paraId="09D80CC8">
            <w:pPr>
              <w:keepNext/>
              <w:tabs>
                <w:tab w:val="left" w:pos="6300"/>
              </w:tabs>
              <w:snapToGrid w:val="0"/>
              <w:spacing w:line="380" w:lineRule="exact"/>
              <w:jc w:val="center"/>
              <w:outlineLvl w:val="0"/>
              <w:rPr>
                <w:rFonts w:hint="eastAsia" w:ascii="宋体" w:hAnsi="宋体" w:eastAsia="宋体" w:cs="宋体"/>
                <w:color w:val="000000"/>
                <w:sz w:val="24"/>
                <w:szCs w:val="24"/>
              </w:rPr>
            </w:pPr>
          </w:p>
        </w:tc>
        <w:tc>
          <w:tcPr>
            <w:tcW w:w="2658" w:type="dxa"/>
            <w:tcBorders>
              <w:top w:val="single" w:color="auto" w:sz="4" w:space="0"/>
              <w:left w:val="single" w:color="auto" w:sz="4" w:space="0"/>
              <w:bottom w:val="single" w:color="auto" w:sz="4" w:space="0"/>
              <w:right w:val="single" w:color="auto" w:sz="4" w:space="0"/>
            </w:tcBorders>
            <w:noWrap w:val="0"/>
            <w:vAlign w:val="center"/>
          </w:tcPr>
          <w:p w14:paraId="2135143D">
            <w:pPr>
              <w:keepNext/>
              <w:tabs>
                <w:tab w:val="left" w:pos="6300"/>
              </w:tabs>
              <w:snapToGrid w:val="0"/>
              <w:spacing w:line="380" w:lineRule="exact"/>
              <w:jc w:val="center"/>
              <w:outlineLvl w:val="0"/>
              <w:rPr>
                <w:rFonts w:hint="eastAsia" w:ascii="宋体" w:hAnsi="宋体" w:eastAsia="宋体" w:cs="宋体"/>
                <w:color w:val="000000"/>
                <w:sz w:val="24"/>
                <w:szCs w:val="24"/>
              </w:rPr>
            </w:pPr>
          </w:p>
        </w:tc>
        <w:tc>
          <w:tcPr>
            <w:tcW w:w="2759" w:type="dxa"/>
            <w:tcBorders>
              <w:top w:val="single" w:color="auto" w:sz="4" w:space="0"/>
              <w:left w:val="single" w:color="auto" w:sz="4" w:space="0"/>
              <w:bottom w:val="single" w:color="auto" w:sz="4" w:space="0"/>
              <w:right w:val="single" w:color="auto" w:sz="4" w:space="0"/>
            </w:tcBorders>
            <w:noWrap w:val="0"/>
            <w:vAlign w:val="center"/>
          </w:tcPr>
          <w:p w14:paraId="7C62D779">
            <w:pPr>
              <w:keepNext/>
              <w:tabs>
                <w:tab w:val="left" w:pos="6300"/>
              </w:tabs>
              <w:snapToGrid w:val="0"/>
              <w:spacing w:line="380" w:lineRule="exact"/>
              <w:jc w:val="center"/>
              <w:outlineLvl w:val="0"/>
              <w:rPr>
                <w:rFonts w:hint="eastAsia" w:ascii="宋体" w:hAnsi="宋体" w:eastAsia="宋体" w:cs="宋体"/>
                <w:color w:val="000000"/>
                <w:sz w:val="24"/>
                <w:szCs w:val="24"/>
              </w:rPr>
            </w:pPr>
          </w:p>
        </w:tc>
        <w:tc>
          <w:tcPr>
            <w:tcW w:w="2067" w:type="dxa"/>
            <w:tcBorders>
              <w:top w:val="single" w:color="auto" w:sz="4" w:space="0"/>
              <w:left w:val="single" w:color="auto" w:sz="4" w:space="0"/>
              <w:bottom w:val="single" w:color="auto" w:sz="4" w:space="0"/>
              <w:right w:val="single" w:color="auto" w:sz="4" w:space="0"/>
            </w:tcBorders>
            <w:noWrap w:val="0"/>
            <w:vAlign w:val="center"/>
          </w:tcPr>
          <w:p w14:paraId="7B5018BA">
            <w:pPr>
              <w:keepNext/>
              <w:tabs>
                <w:tab w:val="left" w:pos="6300"/>
              </w:tabs>
              <w:snapToGrid w:val="0"/>
              <w:spacing w:line="380" w:lineRule="exact"/>
              <w:jc w:val="center"/>
              <w:outlineLvl w:val="0"/>
              <w:rPr>
                <w:rFonts w:hint="eastAsia" w:ascii="宋体" w:hAnsi="宋体" w:eastAsia="宋体" w:cs="宋体"/>
                <w:color w:val="000000"/>
                <w:sz w:val="24"/>
                <w:szCs w:val="24"/>
              </w:rPr>
            </w:pPr>
          </w:p>
        </w:tc>
      </w:tr>
      <w:tr w14:paraId="2FD6A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tcBorders>
              <w:top w:val="single" w:color="auto" w:sz="4" w:space="0"/>
              <w:left w:val="single" w:color="auto" w:sz="4" w:space="0"/>
              <w:bottom w:val="single" w:color="auto" w:sz="4" w:space="0"/>
              <w:right w:val="single" w:color="auto" w:sz="4" w:space="0"/>
            </w:tcBorders>
            <w:noWrap w:val="0"/>
            <w:vAlign w:val="center"/>
          </w:tcPr>
          <w:p w14:paraId="51256E62">
            <w:pPr>
              <w:keepNext/>
              <w:tabs>
                <w:tab w:val="left" w:pos="6300"/>
              </w:tabs>
              <w:snapToGrid w:val="0"/>
              <w:spacing w:line="380" w:lineRule="exact"/>
              <w:jc w:val="center"/>
              <w:outlineLvl w:val="0"/>
              <w:rPr>
                <w:rFonts w:hint="eastAsia" w:ascii="宋体" w:hAnsi="宋体" w:eastAsia="宋体" w:cs="宋体"/>
                <w:color w:val="000000"/>
                <w:sz w:val="24"/>
                <w:szCs w:val="24"/>
              </w:rPr>
            </w:pPr>
          </w:p>
        </w:tc>
        <w:tc>
          <w:tcPr>
            <w:tcW w:w="2658" w:type="dxa"/>
            <w:tcBorders>
              <w:top w:val="single" w:color="auto" w:sz="4" w:space="0"/>
              <w:left w:val="single" w:color="auto" w:sz="4" w:space="0"/>
              <w:bottom w:val="single" w:color="auto" w:sz="4" w:space="0"/>
              <w:right w:val="single" w:color="auto" w:sz="4" w:space="0"/>
            </w:tcBorders>
            <w:noWrap w:val="0"/>
            <w:vAlign w:val="center"/>
          </w:tcPr>
          <w:p w14:paraId="36BD9270">
            <w:pPr>
              <w:keepNext/>
              <w:tabs>
                <w:tab w:val="left" w:pos="6300"/>
              </w:tabs>
              <w:snapToGrid w:val="0"/>
              <w:spacing w:line="380" w:lineRule="exact"/>
              <w:jc w:val="center"/>
              <w:outlineLvl w:val="0"/>
              <w:rPr>
                <w:rFonts w:hint="eastAsia" w:ascii="宋体" w:hAnsi="宋体" w:eastAsia="宋体" w:cs="宋体"/>
                <w:color w:val="000000"/>
                <w:sz w:val="24"/>
                <w:szCs w:val="24"/>
              </w:rPr>
            </w:pPr>
          </w:p>
        </w:tc>
        <w:tc>
          <w:tcPr>
            <w:tcW w:w="2759" w:type="dxa"/>
            <w:tcBorders>
              <w:top w:val="single" w:color="auto" w:sz="4" w:space="0"/>
              <w:left w:val="single" w:color="auto" w:sz="4" w:space="0"/>
              <w:bottom w:val="single" w:color="auto" w:sz="4" w:space="0"/>
              <w:right w:val="single" w:color="auto" w:sz="4" w:space="0"/>
            </w:tcBorders>
            <w:noWrap w:val="0"/>
            <w:vAlign w:val="center"/>
          </w:tcPr>
          <w:p w14:paraId="1905DEFA">
            <w:pPr>
              <w:keepNext/>
              <w:tabs>
                <w:tab w:val="left" w:pos="6300"/>
              </w:tabs>
              <w:snapToGrid w:val="0"/>
              <w:spacing w:line="380" w:lineRule="exact"/>
              <w:jc w:val="center"/>
              <w:outlineLvl w:val="0"/>
              <w:rPr>
                <w:rFonts w:hint="eastAsia" w:ascii="宋体" w:hAnsi="宋体" w:eastAsia="宋体" w:cs="宋体"/>
                <w:color w:val="000000"/>
                <w:sz w:val="24"/>
                <w:szCs w:val="24"/>
              </w:rPr>
            </w:pPr>
          </w:p>
        </w:tc>
        <w:tc>
          <w:tcPr>
            <w:tcW w:w="2067" w:type="dxa"/>
            <w:tcBorders>
              <w:top w:val="single" w:color="auto" w:sz="4" w:space="0"/>
              <w:left w:val="single" w:color="auto" w:sz="4" w:space="0"/>
              <w:bottom w:val="single" w:color="auto" w:sz="4" w:space="0"/>
              <w:right w:val="single" w:color="auto" w:sz="4" w:space="0"/>
            </w:tcBorders>
            <w:noWrap w:val="0"/>
            <w:vAlign w:val="center"/>
          </w:tcPr>
          <w:p w14:paraId="46440F7E">
            <w:pPr>
              <w:keepNext/>
              <w:tabs>
                <w:tab w:val="left" w:pos="6300"/>
              </w:tabs>
              <w:snapToGrid w:val="0"/>
              <w:spacing w:line="380" w:lineRule="exact"/>
              <w:jc w:val="center"/>
              <w:outlineLvl w:val="0"/>
              <w:rPr>
                <w:rFonts w:hint="eastAsia" w:ascii="宋体" w:hAnsi="宋体" w:eastAsia="宋体" w:cs="宋体"/>
                <w:color w:val="000000"/>
                <w:sz w:val="24"/>
                <w:szCs w:val="24"/>
              </w:rPr>
            </w:pPr>
          </w:p>
        </w:tc>
      </w:tr>
      <w:tr w14:paraId="55621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tcBorders>
              <w:top w:val="single" w:color="auto" w:sz="4" w:space="0"/>
              <w:left w:val="single" w:color="auto" w:sz="4" w:space="0"/>
              <w:bottom w:val="single" w:color="auto" w:sz="4" w:space="0"/>
              <w:right w:val="single" w:color="auto" w:sz="4" w:space="0"/>
            </w:tcBorders>
            <w:noWrap w:val="0"/>
            <w:vAlign w:val="center"/>
          </w:tcPr>
          <w:p w14:paraId="3E5B9BD9">
            <w:pPr>
              <w:keepNext/>
              <w:tabs>
                <w:tab w:val="left" w:pos="6300"/>
              </w:tabs>
              <w:snapToGrid w:val="0"/>
              <w:spacing w:line="380" w:lineRule="exact"/>
              <w:jc w:val="center"/>
              <w:outlineLvl w:val="0"/>
              <w:rPr>
                <w:rFonts w:hint="eastAsia" w:ascii="宋体" w:hAnsi="宋体" w:eastAsia="宋体" w:cs="宋体"/>
                <w:color w:val="000000"/>
                <w:sz w:val="24"/>
                <w:szCs w:val="24"/>
              </w:rPr>
            </w:pPr>
          </w:p>
        </w:tc>
        <w:tc>
          <w:tcPr>
            <w:tcW w:w="2658" w:type="dxa"/>
            <w:tcBorders>
              <w:top w:val="single" w:color="auto" w:sz="4" w:space="0"/>
              <w:left w:val="single" w:color="auto" w:sz="4" w:space="0"/>
              <w:bottom w:val="single" w:color="auto" w:sz="4" w:space="0"/>
              <w:right w:val="single" w:color="auto" w:sz="4" w:space="0"/>
            </w:tcBorders>
            <w:noWrap w:val="0"/>
            <w:vAlign w:val="center"/>
          </w:tcPr>
          <w:p w14:paraId="75C41EBA">
            <w:pPr>
              <w:keepNext/>
              <w:tabs>
                <w:tab w:val="left" w:pos="6300"/>
              </w:tabs>
              <w:snapToGrid w:val="0"/>
              <w:spacing w:line="380" w:lineRule="exact"/>
              <w:jc w:val="center"/>
              <w:outlineLvl w:val="0"/>
              <w:rPr>
                <w:rFonts w:hint="eastAsia" w:ascii="宋体" w:hAnsi="宋体" w:eastAsia="宋体" w:cs="宋体"/>
                <w:color w:val="000000"/>
                <w:sz w:val="24"/>
                <w:szCs w:val="24"/>
              </w:rPr>
            </w:pPr>
          </w:p>
        </w:tc>
        <w:tc>
          <w:tcPr>
            <w:tcW w:w="2759" w:type="dxa"/>
            <w:tcBorders>
              <w:top w:val="single" w:color="auto" w:sz="4" w:space="0"/>
              <w:left w:val="single" w:color="auto" w:sz="4" w:space="0"/>
              <w:bottom w:val="single" w:color="auto" w:sz="4" w:space="0"/>
              <w:right w:val="single" w:color="auto" w:sz="4" w:space="0"/>
            </w:tcBorders>
            <w:noWrap w:val="0"/>
            <w:vAlign w:val="center"/>
          </w:tcPr>
          <w:p w14:paraId="1C7B95F8">
            <w:pPr>
              <w:keepNext/>
              <w:tabs>
                <w:tab w:val="left" w:pos="6300"/>
              </w:tabs>
              <w:snapToGrid w:val="0"/>
              <w:spacing w:line="380" w:lineRule="exact"/>
              <w:jc w:val="center"/>
              <w:outlineLvl w:val="0"/>
              <w:rPr>
                <w:rFonts w:hint="eastAsia" w:ascii="宋体" w:hAnsi="宋体" w:eastAsia="宋体" w:cs="宋体"/>
                <w:color w:val="000000"/>
                <w:sz w:val="24"/>
                <w:szCs w:val="24"/>
              </w:rPr>
            </w:pPr>
          </w:p>
        </w:tc>
        <w:tc>
          <w:tcPr>
            <w:tcW w:w="2067" w:type="dxa"/>
            <w:tcBorders>
              <w:top w:val="single" w:color="auto" w:sz="4" w:space="0"/>
              <w:left w:val="single" w:color="auto" w:sz="4" w:space="0"/>
              <w:bottom w:val="single" w:color="auto" w:sz="4" w:space="0"/>
              <w:right w:val="single" w:color="auto" w:sz="4" w:space="0"/>
            </w:tcBorders>
            <w:noWrap w:val="0"/>
            <w:vAlign w:val="center"/>
          </w:tcPr>
          <w:p w14:paraId="6780E6B3">
            <w:pPr>
              <w:keepNext/>
              <w:tabs>
                <w:tab w:val="left" w:pos="6300"/>
              </w:tabs>
              <w:snapToGrid w:val="0"/>
              <w:spacing w:line="380" w:lineRule="exact"/>
              <w:jc w:val="center"/>
              <w:outlineLvl w:val="0"/>
              <w:rPr>
                <w:rFonts w:hint="eastAsia" w:ascii="宋体" w:hAnsi="宋体" w:eastAsia="宋体" w:cs="宋体"/>
                <w:color w:val="000000"/>
                <w:sz w:val="24"/>
                <w:szCs w:val="24"/>
              </w:rPr>
            </w:pPr>
          </w:p>
        </w:tc>
      </w:tr>
      <w:tr w14:paraId="6DCB7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tcBorders>
              <w:top w:val="single" w:color="auto" w:sz="4" w:space="0"/>
              <w:left w:val="single" w:color="auto" w:sz="4" w:space="0"/>
              <w:bottom w:val="single" w:color="auto" w:sz="4" w:space="0"/>
              <w:right w:val="single" w:color="auto" w:sz="4" w:space="0"/>
            </w:tcBorders>
            <w:noWrap w:val="0"/>
            <w:vAlign w:val="center"/>
          </w:tcPr>
          <w:p w14:paraId="557C3662">
            <w:pPr>
              <w:keepNext/>
              <w:tabs>
                <w:tab w:val="left" w:pos="6300"/>
              </w:tabs>
              <w:snapToGrid w:val="0"/>
              <w:spacing w:line="380" w:lineRule="exact"/>
              <w:jc w:val="center"/>
              <w:outlineLvl w:val="0"/>
              <w:rPr>
                <w:rFonts w:hint="eastAsia" w:ascii="宋体" w:hAnsi="宋体" w:eastAsia="宋体" w:cs="宋体"/>
                <w:color w:val="000000"/>
                <w:sz w:val="24"/>
                <w:szCs w:val="24"/>
              </w:rPr>
            </w:pPr>
          </w:p>
        </w:tc>
        <w:tc>
          <w:tcPr>
            <w:tcW w:w="2658" w:type="dxa"/>
            <w:tcBorders>
              <w:top w:val="single" w:color="auto" w:sz="4" w:space="0"/>
              <w:left w:val="single" w:color="auto" w:sz="4" w:space="0"/>
              <w:bottom w:val="single" w:color="auto" w:sz="4" w:space="0"/>
              <w:right w:val="single" w:color="auto" w:sz="4" w:space="0"/>
            </w:tcBorders>
            <w:noWrap w:val="0"/>
            <w:vAlign w:val="center"/>
          </w:tcPr>
          <w:p w14:paraId="38715E10">
            <w:pPr>
              <w:keepNext/>
              <w:tabs>
                <w:tab w:val="left" w:pos="6300"/>
              </w:tabs>
              <w:snapToGrid w:val="0"/>
              <w:spacing w:line="380" w:lineRule="exact"/>
              <w:jc w:val="center"/>
              <w:outlineLvl w:val="0"/>
              <w:rPr>
                <w:rFonts w:hint="eastAsia" w:ascii="宋体" w:hAnsi="宋体" w:eastAsia="宋体" w:cs="宋体"/>
                <w:color w:val="000000"/>
                <w:sz w:val="24"/>
                <w:szCs w:val="24"/>
              </w:rPr>
            </w:pPr>
          </w:p>
        </w:tc>
        <w:tc>
          <w:tcPr>
            <w:tcW w:w="2759" w:type="dxa"/>
            <w:tcBorders>
              <w:top w:val="single" w:color="auto" w:sz="4" w:space="0"/>
              <w:left w:val="single" w:color="auto" w:sz="4" w:space="0"/>
              <w:bottom w:val="single" w:color="auto" w:sz="4" w:space="0"/>
              <w:right w:val="single" w:color="auto" w:sz="4" w:space="0"/>
            </w:tcBorders>
            <w:noWrap w:val="0"/>
            <w:vAlign w:val="center"/>
          </w:tcPr>
          <w:p w14:paraId="00CB660C">
            <w:pPr>
              <w:keepNext/>
              <w:tabs>
                <w:tab w:val="left" w:pos="6300"/>
              </w:tabs>
              <w:snapToGrid w:val="0"/>
              <w:spacing w:line="380" w:lineRule="exact"/>
              <w:jc w:val="center"/>
              <w:outlineLvl w:val="0"/>
              <w:rPr>
                <w:rFonts w:hint="eastAsia" w:ascii="宋体" w:hAnsi="宋体" w:eastAsia="宋体" w:cs="宋体"/>
                <w:color w:val="000000"/>
                <w:sz w:val="24"/>
                <w:szCs w:val="24"/>
              </w:rPr>
            </w:pPr>
          </w:p>
        </w:tc>
        <w:tc>
          <w:tcPr>
            <w:tcW w:w="2067" w:type="dxa"/>
            <w:tcBorders>
              <w:top w:val="single" w:color="auto" w:sz="4" w:space="0"/>
              <w:left w:val="single" w:color="auto" w:sz="4" w:space="0"/>
              <w:bottom w:val="single" w:color="auto" w:sz="4" w:space="0"/>
              <w:right w:val="single" w:color="auto" w:sz="4" w:space="0"/>
            </w:tcBorders>
            <w:noWrap w:val="0"/>
            <w:vAlign w:val="center"/>
          </w:tcPr>
          <w:p w14:paraId="5DA196BE">
            <w:pPr>
              <w:keepNext/>
              <w:tabs>
                <w:tab w:val="left" w:pos="6300"/>
              </w:tabs>
              <w:snapToGrid w:val="0"/>
              <w:spacing w:line="380" w:lineRule="exact"/>
              <w:jc w:val="center"/>
              <w:outlineLvl w:val="0"/>
              <w:rPr>
                <w:rFonts w:hint="eastAsia" w:ascii="宋体" w:hAnsi="宋体" w:eastAsia="宋体" w:cs="宋体"/>
                <w:color w:val="000000"/>
                <w:sz w:val="24"/>
                <w:szCs w:val="24"/>
              </w:rPr>
            </w:pPr>
          </w:p>
        </w:tc>
      </w:tr>
      <w:tr w14:paraId="65B4D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tcBorders>
              <w:top w:val="single" w:color="auto" w:sz="4" w:space="0"/>
              <w:left w:val="single" w:color="auto" w:sz="4" w:space="0"/>
              <w:bottom w:val="single" w:color="auto" w:sz="4" w:space="0"/>
              <w:right w:val="single" w:color="auto" w:sz="4" w:space="0"/>
            </w:tcBorders>
            <w:noWrap w:val="0"/>
            <w:vAlign w:val="center"/>
          </w:tcPr>
          <w:p w14:paraId="726FD055">
            <w:pPr>
              <w:keepNext/>
              <w:tabs>
                <w:tab w:val="left" w:pos="6300"/>
              </w:tabs>
              <w:snapToGrid w:val="0"/>
              <w:spacing w:line="380" w:lineRule="exact"/>
              <w:jc w:val="center"/>
              <w:outlineLvl w:val="0"/>
              <w:rPr>
                <w:rFonts w:hint="eastAsia" w:ascii="宋体" w:hAnsi="宋体" w:eastAsia="宋体" w:cs="宋体"/>
                <w:color w:val="000000"/>
                <w:sz w:val="24"/>
                <w:szCs w:val="24"/>
              </w:rPr>
            </w:pPr>
          </w:p>
        </w:tc>
        <w:tc>
          <w:tcPr>
            <w:tcW w:w="2658" w:type="dxa"/>
            <w:tcBorders>
              <w:top w:val="single" w:color="auto" w:sz="4" w:space="0"/>
              <w:left w:val="single" w:color="auto" w:sz="4" w:space="0"/>
              <w:bottom w:val="single" w:color="auto" w:sz="4" w:space="0"/>
              <w:right w:val="single" w:color="auto" w:sz="4" w:space="0"/>
            </w:tcBorders>
            <w:noWrap w:val="0"/>
            <w:vAlign w:val="center"/>
          </w:tcPr>
          <w:p w14:paraId="350A8F68">
            <w:pPr>
              <w:keepNext/>
              <w:tabs>
                <w:tab w:val="left" w:pos="6300"/>
              </w:tabs>
              <w:snapToGrid w:val="0"/>
              <w:spacing w:line="380" w:lineRule="exact"/>
              <w:jc w:val="center"/>
              <w:outlineLvl w:val="0"/>
              <w:rPr>
                <w:rFonts w:hint="eastAsia" w:ascii="宋体" w:hAnsi="宋体" w:eastAsia="宋体" w:cs="宋体"/>
                <w:color w:val="000000"/>
                <w:sz w:val="24"/>
                <w:szCs w:val="24"/>
              </w:rPr>
            </w:pPr>
          </w:p>
        </w:tc>
        <w:tc>
          <w:tcPr>
            <w:tcW w:w="2759" w:type="dxa"/>
            <w:tcBorders>
              <w:top w:val="single" w:color="auto" w:sz="4" w:space="0"/>
              <w:left w:val="single" w:color="auto" w:sz="4" w:space="0"/>
              <w:bottom w:val="single" w:color="auto" w:sz="4" w:space="0"/>
              <w:right w:val="single" w:color="auto" w:sz="4" w:space="0"/>
            </w:tcBorders>
            <w:noWrap w:val="0"/>
            <w:vAlign w:val="center"/>
          </w:tcPr>
          <w:p w14:paraId="2E2EF8DC">
            <w:pPr>
              <w:keepNext/>
              <w:tabs>
                <w:tab w:val="left" w:pos="6300"/>
              </w:tabs>
              <w:snapToGrid w:val="0"/>
              <w:spacing w:line="380" w:lineRule="exact"/>
              <w:jc w:val="center"/>
              <w:outlineLvl w:val="0"/>
              <w:rPr>
                <w:rFonts w:hint="eastAsia" w:ascii="宋体" w:hAnsi="宋体" w:eastAsia="宋体" w:cs="宋体"/>
                <w:color w:val="000000"/>
                <w:sz w:val="24"/>
                <w:szCs w:val="24"/>
              </w:rPr>
            </w:pPr>
          </w:p>
        </w:tc>
        <w:tc>
          <w:tcPr>
            <w:tcW w:w="2067" w:type="dxa"/>
            <w:tcBorders>
              <w:top w:val="single" w:color="auto" w:sz="4" w:space="0"/>
              <w:left w:val="single" w:color="auto" w:sz="4" w:space="0"/>
              <w:bottom w:val="single" w:color="auto" w:sz="4" w:space="0"/>
              <w:right w:val="single" w:color="auto" w:sz="4" w:space="0"/>
            </w:tcBorders>
            <w:noWrap w:val="0"/>
            <w:vAlign w:val="center"/>
          </w:tcPr>
          <w:p w14:paraId="461B44A4">
            <w:pPr>
              <w:keepNext/>
              <w:tabs>
                <w:tab w:val="left" w:pos="6300"/>
              </w:tabs>
              <w:snapToGrid w:val="0"/>
              <w:spacing w:line="380" w:lineRule="exact"/>
              <w:jc w:val="center"/>
              <w:outlineLvl w:val="0"/>
              <w:rPr>
                <w:rFonts w:hint="eastAsia" w:ascii="宋体" w:hAnsi="宋体" w:eastAsia="宋体" w:cs="宋体"/>
                <w:color w:val="000000"/>
                <w:sz w:val="24"/>
                <w:szCs w:val="24"/>
              </w:rPr>
            </w:pPr>
          </w:p>
        </w:tc>
      </w:tr>
      <w:tr w14:paraId="391CF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tcBorders>
              <w:top w:val="single" w:color="auto" w:sz="4" w:space="0"/>
              <w:left w:val="single" w:color="auto" w:sz="4" w:space="0"/>
              <w:bottom w:val="single" w:color="auto" w:sz="4" w:space="0"/>
              <w:right w:val="single" w:color="auto" w:sz="4" w:space="0"/>
            </w:tcBorders>
            <w:noWrap w:val="0"/>
            <w:vAlign w:val="center"/>
          </w:tcPr>
          <w:p w14:paraId="22E05D83">
            <w:pPr>
              <w:keepNext/>
              <w:tabs>
                <w:tab w:val="left" w:pos="6300"/>
              </w:tabs>
              <w:snapToGrid w:val="0"/>
              <w:spacing w:line="380" w:lineRule="exact"/>
              <w:jc w:val="center"/>
              <w:outlineLvl w:val="0"/>
              <w:rPr>
                <w:rFonts w:hint="eastAsia" w:ascii="宋体" w:hAnsi="宋体" w:eastAsia="宋体" w:cs="宋体"/>
                <w:color w:val="000000"/>
                <w:sz w:val="24"/>
                <w:szCs w:val="24"/>
              </w:rPr>
            </w:pPr>
          </w:p>
        </w:tc>
        <w:tc>
          <w:tcPr>
            <w:tcW w:w="2658" w:type="dxa"/>
            <w:tcBorders>
              <w:top w:val="single" w:color="auto" w:sz="4" w:space="0"/>
              <w:left w:val="single" w:color="auto" w:sz="4" w:space="0"/>
              <w:bottom w:val="single" w:color="auto" w:sz="4" w:space="0"/>
              <w:right w:val="single" w:color="auto" w:sz="4" w:space="0"/>
            </w:tcBorders>
            <w:noWrap w:val="0"/>
            <w:vAlign w:val="center"/>
          </w:tcPr>
          <w:p w14:paraId="291F2A86">
            <w:pPr>
              <w:keepNext/>
              <w:tabs>
                <w:tab w:val="left" w:pos="6300"/>
              </w:tabs>
              <w:snapToGrid w:val="0"/>
              <w:spacing w:line="380" w:lineRule="exact"/>
              <w:jc w:val="center"/>
              <w:outlineLvl w:val="0"/>
              <w:rPr>
                <w:rFonts w:hint="eastAsia" w:ascii="宋体" w:hAnsi="宋体" w:eastAsia="宋体" w:cs="宋体"/>
                <w:color w:val="000000"/>
                <w:sz w:val="24"/>
                <w:szCs w:val="24"/>
              </w:rPr>
            </w:pPr>
          </w:p>
        </w:tc>
        <w:tc>
          <w:tcPr>
            <w:tcW w:w="2759" w:type="dxa"/>
            <w:tcBorders>
              <w:top w:val="single" w:color="auto" w:sz="4" w:space="0"/>
              <w:left w:val="single" w:color="auto" w:sz="4" w:space="0"/>
              <w:bottom w:val="single" w:color="auto" w:sz="4" w:space="0"/>
              <w:right w:val="single" w:color="auto" w:sz="4" w:space="0"/>
            </w:tcBorders>
            <w:noWrap w:val="0"/>
            <w:vAlign w:val="center"/>
          </w:tcPr>
          <w:p w14:paraId="44694202">
            <w:pPr>
              <w:keepNext/>
              <w:tabs>
                <w:tab w:val="left" w:pos="6300"/>
              </w:tabs>
              <w:snapToGrid w:val="0"/>
              <w:spacing w:line="380" w:lineRule="exact"/>
              <w:jc w:val="center"/>
              <w:outlineLvl w:val="0"/>
              <w:rPr>
                <w:rFonts w:hint="eastAsia" w:ascii="宋体" w:hAnsi="宋体" w:eastAsia="宋体" w:cs="宋体"/>
                <w:color w:val="000000"/>
                <w:sz w:val="24"/>
                <w:szCs w:val="24"/>
              </w:rPr>
            </w:pPr>
          </w:p>
        </w:tc>
        <w:tc>
          <w:tcPr>
            <w:tcW w:w="2067" w:type="dxa"/>
            <w:tcBorders>
              <w:top w:val="single" w:color="auto" w:sz="4" w:space="0"/>
              <w:left w:val="single" w:color="auto" w:sz="4" w:space="0"/>
              <w:bottom w:val="single" w:color="auto" w:sz="4" w:space="0"/>
              <w:right w:val="single" w:color="auto" w:sz="4" w:space="0"/>
            </w:tcBorders>
            <w:noWrap w:val="0"/>
            <w:vAlign w:val="center"/>
          </w:tcPr>
          <w:p w14:paraId="795CE100">
            <w:pPr>
              <w:keepNext/>
              <w:tabs>
                <w:tab w:val="left" w:pos="6300"/>
              </w:tabs>
              <w:snapToGrid w:val="0"/>
              <w:spacing w:line="380" w:lineRule="exact"/>
              <w:jc w:val="center"/>
              <w:outlineLvl w:val="0"/>
              <w:rPr>
                <w:rFonts w:hint="eastAsia" w:ascii="宋体" w:hAnsi="宋体" w:eastAsia="宋体" w:cs="宋体"/>
                <w:color w:val="000000"/>
                <w:sz w:val="24"/>
                <w:szCs w:val="24"/>
              </w:rPr>
            </w:pPr>
          </w:p>
        </w:tc>
      </w:tr>
      <w:tr w14:paraId="4871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tcBorders>
              <w:top w:val="single" w:color="auto" w:sz="4" w:space="0"/>
              <w:left w:val="single" w:color="auto" w:sz="4" w:space="0"/>
              <w:bottom w:val="single" w:color="auto" w:sz="4" w:space="0"/>
              <w:right w:val="single" w:color="auto" w:sz="4" w:space="0"/>
            </w:tcBorders>
            <w:noWrap w:val="0"/>
            <w:vAlign w:val="center"/>
          </w:tcPr>
          <w:p w14:paraId="7EBECBCC">
            <w:pPr>
              <w:keepNext/>
              <w:tabs>
                <w:tab w:val="left" w:pos="6300"/>
              </w:tabs>
              <w:snapToGrid w:val="0"/>
              <w:spacing w:line="380" w:lineRule="exact"/>
              <w:jc w:val="center"/>
              <w:outlineLvl w:val="0"/>
              <w:rPr>
                <w:rFonts w:hint="eastAsia" w:ascii="宋体" w:hAnsi="宋体" w:eastAsia="宋体" w:cs="宋体"/>
                <w:color w:val="000000"/>
                <w:sz w:val="24"/>
                <w:szCs w:val="24"/>
              </w:rPr>
            </w:pPr>
          </w:p>
        </w:tc>
        <w:tc>
          <w:tcPr>
            <w:tcW w:w="2658" w:type="dxa"/>
            <w:tcBorders>
              <w:top w:val="single" w:color="auto" w:sz="4" w:space="0"/>
              <w:left w:val="single" w:color="auto" w:sz="4" w:space="0"/>
              <w:bottom w:val="single" w:color="auto" w:sz="4" w:space="0"/>
              <w:right w:val="single" w:color="auto" w:sz="4" w:space="0"/>
            </w:tcBorders>
            <w:noWrap w:val="0"/>
            <w:vAlign w:val="center"/>
          </w:tcPr>
          <w:p w14:paraId="04EDDA79">
            <w:pPr>
              <w:keepNext/>
              <w:tabs>
                <w:tab w:val="left" w:pos="6300"/>
              </w:tabs>
              <w:snapToGrid w:val="0"/>
              <w:spacing w:line="380" w:lineRule="exact"/>
              <w:jc w:val="center"/>
              <w:outlineLvl w:val="0"/>
              <w:rPr>
                <w:rFonts w:hint="eastAsia" w:ascii="宋体" w:hAnsi="宋体" w:eastAsia="宋体" w:cs="宋体"/>
                <w:color w:val="000000"/>
                <w:sz w:val="24"/>
                <w:szCs w:val="24"/>
              </w:rPr>
            </w:pPr>
          </w:p>
        </w:tc>
        <w:tc>
          <w:tcPr>
            <w:tcW w:w="2759" w:type="dxa"/>
            <w:tcBorders>
              <w:top w:val="single" w:color="auto" w:sz="4" w:space="0"/>
              <w:left w:val="single" w:color="auto" w:sz="4" w:space="0"/>
              <w:bottom w:val="single" w:color="auto" w:sz="4" w:space="0"/>
              <w:right w:val="single" w:color="auto" w:sz="4" w:space="0"/>
            </w:tcBorders>
            <w:noWrap w:val="0"/>
            <w:vAlign w:val="center"/>
          </w:tcPr>
          <w:p w14:paraId="13ECD1ED">
            <w:pPr>
              <w:keepNext/>
              <w:tabs>
                <w:tab w:val="left" w:pos="6300"/>
              </w:tabs>
              <w:snapToGrid w:val="0"/>
              <w:spacing w:line="380" w:lineRule="exact"/>
              <w:jc w:val="center"/>
              <w:outlineLvl w:val="0"/>
              <w:rPr>
                <w:rFonts w:hint="eastAsia" w:ascii="宋体" w:hAnsi="宋体" w:eastAsia="宋体" w:cs="宋体"/>
                <w:color w:val="000000"/>
                <w:sz w:val="24"/>
                <w:szCs w:val="24"/>
              </w:rPr>
            </w:pPr>
          </w:p>
        </w:tc>
        <w:tc>
          <w:tcPr>
            <w:tcW w:w="2067" w:type="dxa"/>
            <w:tcBorders>
              <w:top w:val="single" w:color="auto" w:sz="4" w:space="0"/>
              <w:left w:val="single" w:color="auto" w:sz="4" w:space="0"/>
              <w:bottom w:val="single" w:color="auto" w:sz="4" w:space="0"/>
              <w:right w:val="single" w:color="auto" w:sz="4" w:space="0"/>
            </w:tcBorders>
            <w:noWrap w:val="0"/>
            <w:vAlign w:val="center"/>
          </w:tcPr>
          <w:p w14:paraId="5FDF320D">
            <w:pPr>
              <w:keepNext/>
              <w:tabs>
                <w:tab w:val="left" w:pos="6300"/>
              </w:tabs>
              <w:snapToGrid w:val="0"/>
              <w:spacing w:line="380" w:lineRule="exact"/>
              <w:jc w:val="center"/>
              <w:outlineLvl w:val="0"/>
              <w:rPr>
                <w:rFonts w:hint="eastAsia" w:ascii="宋体" w:hAnsi="宋体" w:eastAsia="宋体" w:cs="宋体"/>
                <w:color w:val="000000"/>
                <w:sz w:val="24"/>
                <w:szCs w:val="24"/>
              </w:rPr>
            </w:pPr>
          </w:p>
        </w:tc>
      </w:tr>
      <w:tr w14:paraId="1BA8B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tcBorders>
              <w:top w:val="single" w:color="auto" w:sz="4" w:space="0"/>
              <w:left w:val="single" w:color="auto" w:sz="4" w:space="0"/>
              <w:bottom w:val="single" w:color="auto" w:sz="4" w:space="0"/>
              <w:right w:val="single" w:color="auto" w:sz="4" w:space="0"/>
            </w:tcBorders>
            <w:noWrap w:val="0"/>
            <w:vAlign w:val="center"/>
          </w:tcPr>
          <w:p w14:paraId="2BFFE48A">
            <w:pPr>
              <w:keepNext/>
              <w:tabs>
                <w:tab w:val="left" w:pos="6300"/>
              </w:tabs>
              <w:snapToGrid w:val="0"/>
              <w:spacing w:line="380" w:lineRule="exact"/>
              <w:jc w:val="center"/>
              <w:outlineLvl w:val="0"/>
              <w:rPr>
                <w:rFonts w:hint="eastAsia" w:ascii="宋体" w:hAnsi="宋体" w:eastAsia="宋体" w:cs="宋体"/>
                <w:color w:val="000000"/>
                <w:sz w:val="24"/>
                <w:szCs w:val="24"/>
              </w:rPr>
            </w:pPr>
          </w:p>
        </w:tc>
        <w:tc>
          <w:tcPr>
            <w:tcW w:w="2658" w:type="dxa"/>
            <w:tcBorders>
              <w:top w:val="single" w:color="auto" w:sz="4" w:space="0"/>
              <w:left w:val="single" w:color="auto" w:sz="4" w:space="0"/>
              <w:bottom w:val="single" w:color="auto" w:sz="4" w:space="0"/>
              <w:right w:val="single" w:color="auto" w:sz="4" w:space="0"/>
            </w:tcBorders>
            <w:noWrap w:val="0"/>
            <w:vAlign w:val="center"/>
          </w:tcPr>
          <w:p w14:paraId="719F2CE9">
            <w:pPr>
              <w:keepNext/>
              <w:tabs>
                <w:tab w:val="left" w:pos="6300"/>
              </w:tabs>
              <w:snapToGrid w:val="0"/>
              <w:spacing w:line="380" w:lineRule="exact"/>
              <w:jc w:val="center"/>
              <w:outlineLvl w:val="0"/>
              <w:rPr>
                <w:rFonts w:hint="eastAsia" w:ascii="宋体" w:hAnsi="宋体" w:eastAsia="宋体" w:cs="宋体"/>
                <w:color w:val="000000"/>
                <w:sz w:val="24"/>
                <w:szCs w:val="24"/>
              </w:rPr>
            </w:pPr>
          </w:p>
        </w:tc>
        <w:tc>
          <w:tcPr>
            <w:tcW w:w="2759" w:type="dxa"/>
            <w:tcBorders>
              <w:top w:val="single" w:color="auto" w:sz="4" w:space="0"/>
              <w:left w:val="single" w:color="auto" w:sz="4" w:space="0"/>
              <w:bottom w:val="single" w:color="auto" w:sz="4" w:space="0"/>
              <w:right w:val="single" w:color="auto" w:sz="4" w:space="0"/>
            </w:tcBorders>
            <w:noWrap w:val="0"/>
            <w:vAlign w:val="center"/>
          </w:tcPr>
          <w:p w14:paraId="39D01BCA">
            <w:pPr>
              <w:keepNext/>
              <w:tabs>
                <w:tab w:val="left" w:pos="6300"/>
              </w:tabs>
              <w:snapToGrid w:val="0"/>
              <w:spacing w:line="380" w:lineRule="exact"/>
              <w:jc w:val="center"/>
              <w:outlineLvl w:val="0"/>
              <w:rPr>
                <w:rFonts w:hint="eastAsia" w:ascii="宋体" w:hAnsi="宋体" w:eastAsia="宋体" w:cs="宋体"/>
                <w:color w:val="000000"/>
                <w:sz w:val="24"/>
                <w:szCs w:val="24"/>
              </w:rPr>
            </w:pPr>
          </w:p>
        </w:tc>
        <w:tc>
          <w:tcPr>
            <w:tcW w:w="2067" w:type="dxa"/>
            <w:tcBorders>
              <w:top w:val="single" w:color="auto" w:sz="4" w:space="0"/>
              <w:left w:val="single" w:color="auto" w:sz="4" w:space="0"/>
              <w:bottom w:val="single" w:color="auto" w:sz="4" w:space="0"/>
              <w:right w:val="single" w:color="auto" w:sz="4" w:space="0"/>
            </w:tcBorders>
            <w:noWrap w:val="0"/>
            <w:vAlign w:val="center"/>
          </w:tcPr>
          <w:p w14:paraId="4B88874F">
            <w:pPr>
              <w:keepNext/>
              <w:tabs>
                <w:tab w:val="left" w:pos="6300"/>
              </w:tabs>
              <w:snapToGrid w:val="0"/>
              <w:spacing w:line="380" w:lineRule="exact"/>
              <w:jc w:val="center"/>
              <w:outlineLvl w:val="0"/>
              <w:rPr>
                <w:rFonts w:hint="eastAsia" w:ascii="宋体" w:hAnsi="宋体" w:eastAsia="宋体" w:cs="宋体"/>
                <w:color w:val="000000"/>
                <w:sz w:val="24"/>
                <w:szCs w:val="24"/>
              </w:rPr>
            </w:pPr>
          </w:p>
        </w:tc>
      </w:tr>
      <w:tr w14:paraId="6BAC0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tcBorders>
              <w:top w:val="single" w:color="auto" w:sz="4" w:space="0"/>
              <w:left w:val="single" w:color="auto" w:sz="4" w:space="0"/>
              <w:bottom w:val="single" w:color="auto" w:sz="4" w:space="0"/>
              <w:right w:val="single" w:color="auto" w:sz="4" w:space="0"/>
            </w:tcBorders>
            <w:noWrap w:val="0"/>
            <w:vAlign w:val="center"/>
          </w:tcPr>
          <w:p w14:paraId="0F458B08">
            <w:pPr>
              <w:keepNext/>
              <w:tabs>
                <w:tab w:val="left" w:pos="6300"/>
              </w:tabs>
              <w:snapToGrid w:val="0"/>
              <w:spacing w:line="380" w:lineRule="exact"/>
              <w:jc w:val="center"/>
              <w:outlineLvl w:val="0"/>
              <w:rPr>
                <w:rFonts w:hint="eastAsia" w:ascii="宋体" w:hAnsi="宋体" w:eastAsia="宋体" w:cs="宋体"/>
                <w:color w:val="000000"/>
                <w:sz w:val="24"/>
                <w:szCs w:val="24"/>
              </w:rPr>
            </w:pPr>
          </w:p>
        </w:tc>
        <w:tc>
          <w:tcPr>
            <w:tcW w:w="2658" w:type="dxa"/>
            <w:tcBorders>
              <w:top w:val="single" w:color="auto" w:sz="4" w:space="0"/>
              <w:left w:val="single" w:color="auto" w:sz="4" w:space="0"/>
              <w:bottom w:val="single" w:color="auto" w:sz="4" w:space="0"/>
              <w:right w:val="single" w:color="auto" w:sz="4" w:space="0"/>
            </w:tcBorders>
            <w:noWrap w:val="0"/>
            <w:vAlign w:val="center"/>
          </w:tcPr>
          <w:p w14:paraId="0831ED4E">
            <w:pPr>
              <w:keepNext/>
              <w:tabs>
                <w:tab w:val="left" w:pos="6300"/>
              </w:tabs>
              <w:snapToGrid w:val="0"/>
              <w:spacing w:line="380" w:lineRule="exact"/>
              <w:jc w:val="center"/>
              <w:outlineLvl w:val="0"/>
              <w:rPr>
                <w:rFonts w:hint="eastAsia" w:ascii="宋体" w:hAnsi="宋体" w:eastAsia="宋体" w:cs="宋体"/>
                <w:color w:val="000000"/>
                <w:sz w:val="24"/>
                <w:szCs w:val="24"/>
              </w:rPr>
            </w:pPr>
          </w:p>
        </w:tc>
        <w:tc>
          <w:tcPr>
            <w:tcW w:w="2759" w:type="dxa"/>
            <w:tcBorders>
              <w:top w:val="single" w:color="auto" w:sz="4" w:space="0"/>
              <w:left w:val="single" w:color="auto" w:sz="4" w:space="0"/>
              <w:bottom w:val="single" w:color="auto" w:sz="4" w:space="0"/>
              <w:right w:val="single" w:color="auto" w:sz="4" w:space="0"/>
            </w:tcBorders>
            <w:noWrap w:val="0"/>
            <w:vAlign w:val="center"/>
          </w:tcPr>
          <w:p w14:paraId="59BB2363">
            <w:pPr>
              <w:keepNext/>
              <w:tabs>
                <w:tab w:val="left" w:pos="6300"/>
              </w:tabs>
              <w:snapToGrid w:val="0"/>
              <w:spacing w:line="380" w:lineRule="exact"/>
              <w:jc w:val="center"/>
              <w:outlineLvl w:val="0"/>
              <w:rPr>
                <w:rFonts w:hint="eastAsia" w:ascii="宋体" w:hAnsi="宋体" w:eastAsia="宋体" w:cs="宋体"/>
                <w:color w:val="000000"/>
                <w:sz w:val="24"/>
                <w:szCs w:val="24"/>
              </w:rPr>
            </w:pPr>
          </w:p>
        </w:tc>
        <w:tc>
          <w:tcPr>
            <w:tcW w:w="2067" w:type="dxa"/>
            <w:tcBorders>
              <w:top w:val="single" w:color="auto" w:sz="4" w:space="0"/>
              <w:left w:val="single" w:color="auto" w:sz="4" w:space="0"/>
              <w:bottom w:val="single" w:color="auto" w:sz="4" w:space="0"/>
              <w:right w:val="single" w:color="auto" w:sz="4" w:space="0"/>
            </w:tcBorders>
            <w:noWrap w:val="0"/>
            <w:vAlign w:val="center"/>
          </w:tcPr>
          <w:p w14:paraId="53ACD9E8">
            <w:pPr>
              <w:keepNext/>
              <w:tabs>
                <w:tab w:val="left" w:pos="6300"/>
              </w:tabs>
              <w:snapToGrid w:val="0"/>
              <w:spacing w:line="380" w:lineRule="exact"/>
              <w:jc w:val="center"/>
              <w:outlineLvl w:val="0"/>
              <w:rPr>
                <w:rFonts w:hint="eastAsia" w:ascii="宋体" w:hAnsi="宋体" w:eastAsia="宋体" w:cs="宋体"/>
                <w:color w:val="000000"/>
                <w:sz w:val="24"/>
                <w:szCs w:val="24"/>
              </w:rPr>
            </w:pPr>
          </w:p>
        </w:tc>
      </w:tr>
      <w:tr w14:paraId="569F3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tcBorders>
              <w:top w:val="single" w:color="auto" w:sz="4" w:space="0"/>
              <w:left w:val="single" w:color="auto" w:sz="4" w:space="0"/>
              <w:bottom w:val="single" w:color="auto" w:sz="4" w:space="0"/>
              <w:right w:val="single" w:color="auto" w:sz="4" w:space="0"/>
            </w:tcBorders>
            <w:noWrap w:val="0"/>
            <w:vAlign w:val="center"/>
          </w:tcPr>
          <w:p w14:paraId="2DE83C2C">
            <w:pPr>
              <w:keepNext/>
              <w:tabs>
                <w:tab w:val="left" w:pos="6300"/>
              </w:tabs>
              <w:snapToGrid w:val="0"/>
              <w:spacing w:line="380" w:lineRule="exact"/>
              <w:jc w:val="center"/>
              <w:outlineLvl w:val="0"/>
              <w:rPr>
                <w:rFonts w:hint="eastAsia" w:ascii="宋体" w:hAnsi="宋体" w:eastAsia="宋体" w:cs="宋体"/>
                <w:color w:val="000000"/>
                <w:sz w:val="24"/>
                <w:szCs w:val="24"/>
              </w:rPr>
            </w:pPr>
          </w:p>
        </w:tc>
        <w:tc>
          <w:tcPr>
            <w:tcW w:w="2658" w:type="dxa"/>
            <w:tcBorders>
              <w:top w:val="single" w:color="auto" w:sz="4" w:space="0"/>
              <w:left w:val="single" w:color="auto" w:sz="4" w:space="0"/>
              <w:bottom w:val="single" w:color="auto" w:sz="4" w:space="0"/>
              <w:right w:val="single" w:color="auto" w:sz="4" w:space="0"/>
            </w:tcBorders>
            <w:noWrap w:val="0"/>
            <w:vAlign w:val="center"/>
          </w:tcPr>
          <w:p w14:paraId="5CBEEC3F">
            <w:pPr>
              <w:keepNext/>
              <w:tabs>
                <w:tab w:val="left" w:pos="6300"/>
              </w:tabs>
              <w:snapToGrid w:val="0"/>
              <w:spacing w:line="380" w:lineRule="exact"/>
              <w:jc w:val="center"/>
              <w:outlineLvl w:val="0"/>
              <w:rPr>
                <w:rFonts w:hint="eastAsia" w:ascii="宋体" w:hAnsi="宋体" w:eastAsia="宋体" w:cs="宋体"/>
                <w:color w:val="000000"/>
                <w:sz w:val="24"/>
                <w:szCs w:val="24"/>
              </w:rPr>
            </w:pPr>
          </w:p>
        </w:tc>
        <w:tc>
          <w:tcPr>
            <w:tcW w:w="2759" w:type="dxa"/>
            <w:tcBorders>
              <w:top w:val="single" w:color="auto" w:sz="4" w:space="0"/>
              <w:left w:val="single" w:color="auto" w:sz="4" w:space="0"/>
              <w:bottom w:val="single" w:color="auto" w:sz="4" w:space="0"/>
              <w:right w:val="single" w:color="auto" w:sz="4" w:space="0"/>
            </w:tcBorders>
            <w:noWrap w:val="0"/>
            <w:vAlign w:val="center"/>
          </w:tcPr>
          <w:p w14:paraId="7C9B1BA2">
            <w:pPr>
              <w:keepNext/>
              <w:tabs>
                <w:tab w:val="left" w:pos="6300"/>
              </w:tabs>
              <w:snapToGrid w:val="0"/>
              <w:spacing w:line="380" w:lineRule="exact"/>
              <w:jc w:val="center"/>
              <w:outlineLvl w:val="0"/>
              <w:rPr>
                <w:rFonts w:hint="eastAsia" w:ascii="宋体" w:hAnsi="宋体" w:eastAsia="宋体" w:cs="宋体"/>
                <w:color w:val="000000"/>
                <w:sz w:val="24"/>
                <w:szCs w:val="24"/>
              </w:rPr>
            </w:pPr>
          </w:p>
        </w:tc>
        <w:tc>
          <w:tcPr>
            <w:tcW w:w="2067" w:type="dxa"/>
            <w:tcBorders>
              <w:top w:val="single" w:color="auto" w:sz="4" w:space="0"/>
              <w:left w:val="single" w:color="auto" w:sz="4" w:space="0"/>
              <w:bottom w:val="single" w:color="auto" w:sz="4" w:space="0"/>
              <w:right w:val="single" w:color="auto" w:sz="4" w:space="0"/>
            </w:tcBorders>
            <w:noWrap w:val="0"/>
            <w:vAlign w:val="center"/>
          </w:tcPr>
          <w:p w14:paraId="582BE0E4">
            <w:pPr>
              <w:keepNext/>
              <w:tabs>
                <w:tab w:val="left" w:pos="6300"/>
              </w:tabs>
              <w:snapToGrid w:val="0"/>
              <w:spacing w:line="380" w:lineRule="exact"/>
              <w:jc w:val="center"/>
              <w:outlineLvl w:val="0"/>
              <w:rPr>
                <w:rFonts w:hint="eastAsia" w:ascii="宋体" w:hAnsi="宋体" w:eastAsia="宋体" w:cs="宋体"/>
                <w:color w:val="000000"/>
                <w:sz w:val="24"/>
                <w:szCs w:val="24"/>
              </w:rPr>
            </w:pPr>
          </w:p>
        </w:tc>
      </w:tr>
    </w:tbl>
    <w:p w14:paraId="1ABEB78D">
      <w:pPr>
        <w:spacing w:line="380" w:lineRule="exact"/>
        <w:ind w:firstLine="600" w:firstLineChars="250"/>
        <w:rPr>
          <w:rFonts w:hint="eastAsia" w:ascii="宋体" w:hAnsi="宋体" w:eastAsia="宋体" w:cs="宋体"/>
          <w:color w:val="000000"/>
          <w:sz w:val="24"/>
          <w:szCs w:val="24"/>
        </w:rPr>
      </w:pPr>
      <w:r>
        <w:rPr>
          <w:rFonts w:hint="eastAsia" w:ascii="宋体" w:hAnsi="宋体" w:eastAsia="宋体" w:cs="宋体"/>
          <w:color w:val="000000"/>
          <w:sz w:val="24"/>
          <w:szCs w:val="24"/>
        </w:rPr>
        <w:t>供应商：                               法定代表人授权代表：</w:t>
      </w:r>
    </w:p>
    <w:p w14:paraId="144A20CA">
      <w:pPr>
        <w:spacing w:line="380" w:lineRule="exact"/>
        <w:rPr>
          <w:rFonts w:hint="eastAsia" w:ascii="宋体" w:hAnsi="宋体" w:eastAsia="宋体" w:cs="宋体"/>
          <w:color w:val="000000"/>
          <w:sz w:val="24"/>
          <w:szCs w:val="24"/>
        </w:rPr>
      </w:pPr>
    </w:p>
    <w:p w14:paraId="777513E2">
      <w:pPr>
        <w:spacing w:line="380" w:lineRule="exact"/>
        <w:rPr>
          <w:rFonts w:hint="eastAsia" w:ascii="宋体" w:hAnsi="宋体" w:eastAsia="宋体" w:cs="宋体"/>
          <w:color w:val="000000"/>
          <w:sz w:val="24"/>
          <w:szCs w:val="24"/>
        </w:rPr>
      </w:pPr>
      <w:r>
        <w:rPr>
          <w:rFonts w:hint="eastAsia" w:ascii="宋体" w:hAnsi="宋体" w:eastAsia="宋体" w:cs="宋体"/>
          <w:color w:val="000000"/>
          <w:sz w:val="24"/>
          <w:szCs w:val="24"/>
        </w:rPr>
        <w:t>（供应商公章）                             （签字或盖章）</w:t>
      </w:r>
    </w:p>
    <w:p w14:paraId="312002F6">
      <w:pPr>
        <w:tabs>
          <w:tab w:val="left" w:pos="6300"/>
        </w:tabs>
        <w:snapToGrid w:val="0"/>
        <w:spacing w:line="380" w:lineRule="exact"/>
        <w:ind w:firstLine="57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年     月     日</w:t>
      </w:r>
    </w:p>
    <w:p w14:paraId="17821A1B">
      <w:pPr>
        <w:tabs>
          <w:tab w:val="left" w:pos="6300"/>
        </w:tabs>
        <w:snapToGrid w:val="0"/>
        <w:spacing w:line="38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注：</w:t>
      </w:r>
    </w:p>
    <w:p w14:paraId="031F18EE">
      <w:pPr>
        <w:tabs>
          <w:tab w:val="left" w:pos="6300"/>
        </w:tabs>
        <w:snapToGrid w:val="0"/>
        <w:spacing w:line="380" w:lineRule="exact"/>
        <w:ind w:firstLine="480" w:firstLineChars="200"/>
        <w:rPr>
          <w:rFonts w:hint="eastAsia" w:ascii="宋体" w:hAnsi="宋体" w:eastAsia="宋体" w:cs="宋体"/>
          <w:color w:val="000000"/>
          <w:sz w:val="24"/>
          <w:szCs w:val="24"/>
          <w:u w:val="single"/>
        </w:rPr>
      </w:pPr>
      <w:r>
        <w:rPr>
          <w:rFonts w:hint="eastAsia" w:ascii="宋体" w:hAnsi="宋体" w:eastAsia="宋体" w:cs="宋体"/>
          <w:color w:val="000000"/>
          <w:sz w:val="24"/>
          <w:szCs w:val="24"/>
        </w:rPr>
        <w:t>1.本表必须按照“第三篇  询价项目技术需求”中所列内容逐条进行比较和响应，根据响应情况在“差异说明”项填写正偏离或负偏离及原因，完全符合的填写“无差异”。</w:t>
      </w:r>
      <w:r>
        <w:rPr>
          <w:rFonts w:hint="eastAsia" w:ascii="宋体" w:hAnsi="宋体" w:eastAsia="宋体" w:cs="宋体"/>
          <w:color w:val="000000"/>
          <w:sz w:val="24"/>
          <w:szCs w:val="24"/>
          <w:u w:val="single"/>
        </w:rPr>
        <w:t>未按照规定要求填写的，视为无效响应。</w:t>
      </w:r>
    </w:p>
    <w:p w14:paraId="477AA4B0">
      <w:pPr>
        <w:tabs>
          <w:tab w:val="left" w:pos="6300"/>
        </w:tabs>
        <w:snapToGrid w:val="0"/>
        <w:spacing w:line="38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.供应商应按询价通知书的要求（如有）提供相关技术支撑材料。（格式自定）</w:t>
      </w:r>
    </w:p>
    <w:p w14:paraId="51E0A31E">
      <w:pPr>
        <w:tabs>
          <w:tab w:val="left" w:pos="6300"/>
        </w:tabs>
        <w:snapToGrid w:val="0"/>
        <w:spacing w:line="380" w:lineRule="exact"/>
        <w:ind w:firstLine="480" w:firstLineChars="200"/>
        <w:rPr>
          <w:rFonts w:hint="eastAsia" w:ascii="宋体" w:hAnsi="宋体" w:eastAsia="宋体" w:cs="宋体"/>
          <w:color w:val="000000"/>
          <w:sz w:val="24"/>
          <w:szCs w:val="24"/>
          <w:u w:val="single"/>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 xml:space="preserve">. </w:t>
      </w:r>
      <w:r>
        <w:rPr>
          <w:rFonts w:hint="eastAsia" w:ascii="宋体" w:hAnsi="宋体" w:eastAsia="宋体" w:cs="宋体"/>
          <w:color w:val="000000"/>
          <w:sz w:val="24"/>
          <w:szCs w:val="24"/>
          <w:u w:val="single"/>
        </w:rPr>
        <w:t>供应商在“差异说明”项填写为“正偏离”的，必须提供相关技术支撑材料予以证明，否则不予认可。</w:t>
      </w:r>
    </w:p>
    <w:p w14:paraId="2E53E3F1">
      <w:pPr>
        <w:pStyle w:val="5"/>
        <w:spacing w:before="0" w:after="0" w:line="380" w:lineRule="exact"/>
        <w:rPr>
          <w:rFonts w:hint="eastAsia" w:ascii="宋体" w:hAnsi="宋体" w:eastAsia="宋体" w:cs="宋体"/>
          <w:color w:val="000000"/>
          <w:sz w:val="24"/>
          <w:szCs w:val="24"/>
        </w:rPr>
      </w:pPr>
      <w:r>
        <w:rPr>
          <w:rFonts w:hint="eastAsia" w:ascii="宋体" w:hAnsi="宋体" w:eastAsia="宋体" w:cs="宋体"/>
          <w:color w:val="000000"/>
          <w:sz w:val="24"/>
          <w:szCs w:val="24"/>
        </w:rPr>
        <w:br w:type="page"/>
      </w:r>
      <w:bookmarkStart w:id="207" w:name="_Toc487204799"/>
      <w:bookmarkStart w:id="208" w:name="_Toc486585242"/>
      <w:bookmarkStart w:id="209" w:name="_Toc21215"/>
      <w:bookmarkStart w:id="210" w:name="_Toc486608279"/>
      <w:r>
        <w:rPr>
          <w:rFonts w:hint="eastAsia" w:ascii="宋体" w:hAnsi="宋体" w:eastAsia="宋体" w:cs="宋体"/>
          <w:color w:val="000000"/>
          <w:sz w:val="24"/>
          <w:szCs w:val="24"/>
        </w:rPr>
        <w:t>三、商务部分</w:t>
      </w:r>
      <w:bookmarkEnd w:id="207"/>
      <w:bookmarkEnd w:id="208"/>
      <w:bookmarkEnd w:id="209"/>
      <w:bookmarkEnd w:id="210"/>
    </w:p>
    <w:p w14:paraId="73C16DF6">
      <w:pPr>
        <w:spacing w:line="380" w:lineRule="exact"/>
        <w:rPr>
          <w:rFonts w:hint="eastAsia" w:ascii="宋体" w:hAnsi="宋体" w:eastAsia="宋体" w:cs="宋体"/>
          <w:color w:val="000000"/>
          <w:sz w:val="24"/>
          <w:szCs w:val="24"/>
        </w:rPr>
      </w:pPr>
      <w:r>
        <w:rPr>
          <w:rFonts w:hint="eastAsia" w:ascii="宋体" w:hAnsi="宋体" w:eastAsia="宋体" w:cs="宋体"/>
          <w:color w:val="000000"/>
          <w:sz w:val="24"/>
          <w:szCs w:val="24"/>
        </w:rPr>
        <w:t>（一）商务响应偏离表</w:t>
      </w:r>
    </w:p>
    <w:p w14:paraId="2D4A86B2">
      <w:pPr>
        <w:snapToGrid w:val="0"/>
        <w:spacing w:line="380" w:lineRule="exact"/>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商务响应偏离表（格式）</w:t>
      </w:r>
    </w:p>
    <w:p w14:paraId="428394DA">
      <w:pPr>
        <w:snapToGrid w:val="0"/>
        <w:spacing w:line="380" w:lineRule="exact"/>
        <w:ind w:firstLine="465"/>
        <w:rPr>
          <w:rFonts w:hint="eastAsia" w:ascii="宋体" w:hAnsi="宋体" w:eastAsia="宋体" w:cs="宋体"/>
          <w:color w:val="000000"/>
          <w:sz w:val="24"/>
          <w:szCs w:val="24"/>
        </w:rPr>
      </w:pPr>
    </w:p>
    <w:p w14:paraId="3D834690">
      <w:pPr>
        <w:snapToGrid w:val="0"/>
        <w:spacing w:line="380" w:lineRule="exact"/>
        <w:ind w:firstLine="465"/>
        <w:rPr>
          <w:rFonts w:hint="eastAsia" w:ascii="宋体" w:hAnsi="宋体" w:eastAsia="宋体" w:cs="宋体"/>
          <w:color w:val="000000"/>
          <w:sz w:val="24"/>
          <w:szCs w:val="24"/>
        </w:rPr>
      </w:pPr>
      <w:r>
        <w:rPr>
          <w:rFonts w:hint="eastAsia" w:ascii="宋体" w:hAnsi="宋体" w:eastAsia="宋体" w:cs="宋体"/>
          <w:color w:val="000000"/>
          <w:sz w:val="24"/>
          <w:szCs w:val="24"/>
        </w:rPr>
        <w:t>对于询价通知书的商务要求，如有任何偏离请如实填写下表：</w:t>
      </w:r>
    </w:p>
    <w:tbl>
      <w:tblPr>
        <w:tblStyle w:val="5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2693"/>
        <w:gridCol w:w="2835"/>
        <w:gridCol w:w="2410"/>
      </w:tblGrid>
      <w:tr w14:paraId="037EB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14:paraId="48A68A5C">
            <w:pPr>
              <w:tabs>
                <w:tab w:val="left" w:pos="6300"/>
              </w:tabs>
              <w:snapToGrid w:val="0"/>
              <w:spacing w:line="380" w:lineRule="exact"/>
              <w:jc w:val="center"/>
              <w:outlineLvl w:val="0"/>
              <w:rPr>
                <w:rFonts w:hint="eastAsia" w:ascii="宋体" w:hAnsi="宋体" w:eastAsia="宋体" w:cs="宋体"/>
                <w:color w:val="000000"/>
                <w:sz w:val="24"/>
                <w:szCs w:val="24"/>
              </w:rPr>
            </w:pPr>
            <w:r>
              <w:rPr>
                <w:rFonts w:hint="eastAsia" w:ascii="宋体" w:hAnsi="宋体" w:eastAsia="宋体" w:cs="宋体"/>
                <w:color w:val="000000"/>
                <w:sz w:val="24"/>
                <w:szCs w:val="24"/>
              </w:rPr>
              <w:t>序号</w:t>
            </w:r>
          </w:p>
        </w:tc>
        <w:tc>
          <w:tcPr>
            <w:tcW w:w="2693" w:type="dxa"/>
            <w:tcBorders>
              <w:top w:val="single" w:color="auto" w:sz="4" w:space="0"/>
              <w:left w:val="single" w:color="auto" w:sz="4" w:space="0"/>
              <w:bottom w:val="single" w:color="auto" w:sz="4" w:space="0"/>
              <w:right w:val="single" w:color="auto" w:sz="4" w:space="0"/>
            </w:tcBorders>
            <w:noWrap w:val="0"/>
            <w:vAlign w:val="center"/>
          </w:tcPr>
          <w:p w14:paraId="6CB7D17E">
            <w:pPr>
              <w:tabs>
                <w:tab w:val="left" w:pos="6300"/>
              </w:tabs>
              <w:snapToGrid w:val="0"/>
              <w:spacing w:line="380" w:lineRule="exact"/>
              <w:jc w:val="center"/>
              <w:outlineLvl w:val="0"/>
              <w:rPr>
                <w:rFonts w:hint="eastAsia" w:ascii="宋体" w:hAnsi="宋体" w:eastAsia="宋体" w:cs="宋体"/>
                <w:color w:val="000000"/>
                <w:sz w:val="24"/>
                <w:szCs w:val="24"/>
              </w:rPr>
            </w:pPr>
            <w:r>
              <w:rPr>
                <w:rFonts w:hint="eastAsia" w:ascii="宋体" w:hAnsi="宋体" w:eastAsia="宋体" w:cs="宋体"/>
                <w:color w:val="000000"/>
                <w:sz w:val="24"/>
                <w:szCs w:val="24"/>
              </w:rPr>
              <w:t>项目商务需求</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12C6585A">
            <w:pPr>
              <w:tabs>
                <w:tab w:val="left" w:pos="6300"/>
              </w:tabs>
              <w:snapToGrid w:val="0"/>
              <w:spacing w:line="380" w:lineRule="exact"/>
              <w:jc w:val="center"/>
              <w:outlineLvl w:val="0"/>
              <w:rPr>
                <w:rFonts w:hint="eastAsia" w:ascii="宋体" w:hAnsi="宋体" w:eastAsia="宋体" w:cs="宋体"/>
                <w:color w:val="000000"/>
                <w:sz w:val="24"/>
                <w:szCs w:val="24"/>
              </w:rPr>
            </w:pPr>
            <w:r>
              <w:rPr>
                <w:rFonts w:hint="eastAsia" w:ascii="宋体" w:hAnsi="宋体" w:eastAsia="宋体" w:cs="宋体"/>
                <w:color w:val="000000"/>
                <w:sz w:val="24"/>
                <w:szCs w:val="24"/>
              </w:rPr>
              <w:t>响应情况</w:t>
            </w:r>
          </w:p>
        </w:tc>
        <w:tc>
          <w:tcPr>
            <w:tcW w:w="2410" w:type="dxa"/>
            <w:tcBorders>
              <w:top w:val="single" w:color="auto" w:sz="4" w:space="0"/>
              <w:left w:val="single" w:color="auto" w:sz="4" w:space="0"/>
              <w:bottom w:val="single" w:color="auto" w:sz="4" w:space="0"/>
              <w:right w:val="single" w:color="auto" w:sz="4" w:space="0"/>
            </w:tcBorders>
            <w:noWrap w:val="0"/>
            <w:vAlign w:val="center"/>
          </w:tcPr>
          <w:p w14:paraId="6AFEB0FF">
            <w:pPr>
              <w:tabs>
                <w:tab w:val="left" w:pos="6300"/>
              </w:tabs>
              <w:snapToGrid w:val="0"/>
              <w:spacing w:line="380" w:lineRule="exact"/>
              <w:jc w:val="center"/>
              <w:outlineLvl w:val="0"/>
              <w:rPr>
                <w:rFonts w:hint="eastAsia" w:ascii="宋体" w:hAnsi="宋体" w:eastAsia="宋体" w:cs="宋体"/>
                <w:color w:val="000000"/>
                <w:sz w:val="24"/>
                <w:szCs w:val="24"/>
              </w:rPr>
            </w:pPr>
            <w:r>
              <w:rPr>
                <w:rFonts w:hint="eastAsia" w:ascii="宋体" w:hAnsi="宋体" w:eastAsia="宋体" w:cs="宋体"/>
                <w:color w:val="000000"/>
                <w:sz w:val="24"/>
                <w:szCs w:val="24"/>
              </w:rPr>
              <w:t>偏离说明</w:t>
            </w:r>
          </w:p>
        </w:tc>
      </w:tr>
      <w:tr w14:paraId="4C657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14:paraId="3A9BA5D6">
            <w:pPr>
              <w:keepNext/>
              <w:tabs>
                <w:tab w:val="left" w:pos="6300"/>
              </w:tabs>
              <w:snapToGrid w:val="0"/>
              <w:spacing w:line="380" w:lineRule="exact"/>
              <w:jc w:val="center"/>
              <w:outlineLvl w:val="0"/>
              <w:rPr>
                <w:rFonts w:hint="eastAsia" w:ascii="宋体" w:hAnsi="宋体" w:eastAsia="宋体" w:cs="宋体"/>
                <w:color w:val="000000"/>
                <w:sz w:val="24"/>
                <w:szCs w:val="24"/>
              </w:rPr>
            </w:pPr>
          </w:p>
        </w:tc>
        <w:tc>
          <w:tcPr>
            <w:tcW w:w="2693" w:type="dxa"/>
            <w:tcBorders>
              <w:top w:val="single" w:color="auto" w:sz="4" w:space="0"/>
              <w:left w:val="single" w:color="auto" w:sz="4" w:space="0"/>
              <w:bottom w:val="single" w:color="auto" w:sz="4" w:space="0"/>
              <w:right w:val="single" w:color="auto" w:sz="4" w:space="0"/>
            </w:tcBorders>
            <w:noWrap w:val="0"/>
            <w:vAlign w:val="center"/>
          </w:tcPr>
          <w:p w14:paraId="08AEDE6E">
            <w:pPr>
              <w:keepNext/>
              <w:tabs>
                <w:tab w:val="left" w:pos="6300"/>
              </w:tabs>
              <w:snapToGrid w:val="0"/>
              <w:spacing w:line="380" w:lineRule="exact"/>
              <w:jc w:val="center"/>
              <w:outlineLvl w:val="0"/>
              <w:rPr>
                <w:rFonts w:hint="eastAsia" w:ascii="宋体" w:hAnsi="宋体" w:eastAsia="宋体" w:cs="宋体"/>
                <w:color w:val="000000"/>
                <w:sz w:val="24"/>
                <w:szCs w:val="24"/>
              </w:rPr>
            </w:pPr>
          </w:p>
        </w:tc>
        <w:tc>
          <w:tcPr>
            <w:tcW w:w="2835" w:type="dxa"/>
            <w:tcBorders>
              <w:top w:val="single" w:color="auto" w:sz="4" w:space="0"/>
              <w:left w:val="single" w:color="auto" w:sz="4" w:space="0"/>
              <w:bottom w:val="single" w:color="auto" w:sz="4" w:space="0"/>
              <w:right w:val="single" w:color="auto" w:sz="4" w:space="0"/>
            </w:tcBorders>
            <w:noWrap w:val="0"/>
            <w:vAlign w:val="center"/>
          </w:tcPr>
          <w:p w14:paraId="77295CA2">
            <w:pPr>
              <w:keepNext/>
              <w:tabs>
                <w:tab w:val="left" w:pos="6300"/>
              </w:tabs>
              <w:snapToGrid w:val="0"/>
              <w:spacing w:line="380" w:lineRule="exact"/>
              <w:jc w:val="center"/>
              <w:outlineLvl w:val="0"/>
              <w:rPr>
                <w:rFonts w:hint="eastAsia" w:ascii="宋体" w:hAnsi="宋体" w:eastAsia="宋体" w:cs="宋体"/>
                <w:color w:val="000000"/>
                <w:sz w:val="24"/>
                <w:szCs w:val="24"/>
              </w:rPr>
            </w:pPr>
          </w:p>
        </w:tc>
        <w:tc>
          <w:tcPr>
            <w:tcW w:w="2410" w:type="dxa"/>
            <w:tcBorders>
              <w:top w:val="single" w:color="auto" w:sz="4" w:space="0"/>
              <w:left w:val="single" w:color="auto" w:sz="4" w:space="0"/>
              <w:bottom w:val="single" w:color="auto" w:sz="4" w:space="0"/>
              <w:right w:val="single" w:color="auto" w:sz="4" w:space="0"/>
            </w:tcBorders>
            <w:noWrap w:val="0"/>
            <w:vAlign w:val="center"/>
          </w:tcPr>
          <w:p w14:paraId="69F571E3">
            <w:pPr>
              <w:keepNext/>
              <w:tabs>
                <w:tab w:val="left" w:pos="6300"/>
              </w:tabs>
              <w:snapToGrid w:val="0"/>
              <w:spacing w:line="380" w:lineRule="exact"/>
              <w:jc w:val="center"/>
              <w:outlineLvl w:val="0"/>
              <w:rPr>
                <w:rFonts w:hint="eastAsia" w:ascii="宋体" w:hAnsi="宋体" w:eastAsia="宋体" w:cs="宋体"/>
                <w:color w:val="000000"/>
                <w:sz w:val="24"/>
                <w:szCs w:val="24"/>
              </w:rPr>
            </w:pPr>
          </w:p>
        </w:tc>
      </w:tr>
      <w:tr w14:paraId="35573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14:paraId="507AEBEE">
            <w:pPr>
              <w:keepNext/>
              <w:tabs>
                <w:tab w:val="left" w:pos="6300"/>
              </w:tabs>
              <w:snapToGrid w:val="0"/>
              <w:spacing w:line="380" w:lineRule="exact"/>
              <w:jc w:val="center"/>
              <w:outlineLvl w:val="0"/>
              <w:rPr>
                <w:rFonts w:hint="eastAsia" w:ascii="宋体" w:hAnsi="宋体" w:eastAsia="宋体" w:cs="宋体"/>
                <w:color w:val="000000"/>
                <w:sz w:val="24"/>
                <w:szCs w:val="24"/>
              </w:rPr>
            </w:pPr>
          </w:p>
        </w:tc>
        <w:tc>
          <w:tcPr>
            <w:tcW w:w="2693" w:type="dxa"/>
            <w:tcBorders>
              <w:top w:val="single" w:color="auto" w:sz="4" w:space="0"/>
              <w:left w:val="single" w:color="auto" w:sz="4" w:space="0"/>
              <w:bottom w:val="single" w:color="auto" w:sz="4" w:space="0"/>
              <w:right w:val="single" w:color="auto" w:sz="4" w:space="0"/>
            </w:tcBorders>
            <w:noWrap w:val="0"/>
            <w:vAlign w:val="center"/>
          </w:tcPr>
          <w:p w14:paraId="4073ABBD">
            <w:pPr>
              <w:keepNext/>
              <w:tabs>
                <w:tab w:val="left" w:pos="6300"/>
              </w:tabs>
              <w:snapToGrid w:val="0"/>
              <w:spacing w:line="380" w:lineRule="exact"/>
              <w:jc w:val="center"/>
              <w:outlineLvl w:val="0"/>
              <w:rPr>
                <w:rFonts w:hint="eastAsia" w:ascii="宋体" w:hAnsi="宋体" w:eastAsia="宋体" w:cs="宋体"/>
                <w:color w:val="000000"/>
                <w:sz w:val="24"/>
                <w:szCs w:val="24"/>
              </w:rPr>
            </w:pPr>
          </w:p>
        </w:tc>
        <w:tc>
          <w:tcPr>
            <w:tcW w:w="2835" w:type="dxa"/>
            <w:tcBorders>
              <w:top w:val="single" w:color="auto" w:sz="4" w:space="0"/>
              <w:left w:val="single" w:color="auto" w:sz="4" w:space="0"/>
              <w:bottom w:val="single" w:color="auto" w:sz="4" w:space="0"/>
              <w:right w:val="single" w:color="auto" w:sz="4" w:space="0"/>
            </w:tcBorders>
            <w:noWrap w:val="0"/>
            <w:vAlign w:val="center"/>
          </w:tcPr>
          <w:p w14:paraId="458327C0">
            <w:pPr>
              <w:keepNext/>
              <w:tabs>
                <w:tab w:val="left" w:pos="6300"/>
              </w:tabs>
              <w:snapToGrid w:val="0"/>
              <w:spacing w:line="380" w:lineRule="exact"/>
              <w:jc w:val="center"/>
              <w:outlineLvl w:val="0"/>
              <w:rPr>
                <w:rFonts w:hint="eastAsia" w:ascii="宋体" w:hAnsi="宋体" w:eastAsia="宋体" w:cs="宋体"/>
                <w:color w:val="000000"/>
                <w:sz w:val="24"/>
                <w:szCs w:val="24"/>
              </w:rPr>
            </w:pPr>
          </w:p>
        </w:tc>
        <w:tc>
          <w:tcPr>
            <w:tcW w:w="2410" w:type="dxa"/>
            <w:tcBorders>
              <w:top w:val="single" w:color="auto" w:sz="4" w:space="0"/>
              <w:left w:val="single" w:color="auto" w:sz="4" w:space="0"/>
              <w:bottom w:val="single" w:color="auto" w:sz="4" w:space="0"/>
              <w:right w:val="single" w:color="auto" w:sz="4" w:space="0"/>
            </w:tcBorders>
            <w:noWrap w:val="0"/>
            <w:vAlign w:val="center"/>
          </w:tcPr>
          <w:p w14:paraId="5ADC8838">
            <w:pPr>
              <w:keepNext/>
              <w:tabs>
                <w:tab w:val="left" w:pos="6300"/>
              </w:tabs>
              <w:snapToGrid w:val="0"/>
              <w:spacing w:line="380" w:lineRule="exact"/>
              <w:jc w:val="center"/>
              <w:outlineLvl w:val="0"/>
              <w:rPr>
                <w:rFonts w:hint="eastAsia" w:ascii="宋体" w:hAnsi="宋体" w:eastAsia="宋体" w:cs="宋体"/>
                <w:color w:val="000000"/>
                <w:sz w:val="24"/>
                <w:szCs w:val="24"/>
              </w:rPr>
            </w:pPr>
          </w:p>
        </w:tc>
      </w:tr>
      <w:tr w14:paraId="52EFC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14:paraId="5BCC7C68">
            <w:pPr>
              <w:keepNext/>
              <w:tabs>
                <w:tab w:val="left" w:pos="6300"/>
              </w:tabs>
              <w:snapToGrid w:val="0"/>
              <w:spacing w:line="380" w:lineRule="exact"/>
              <w:jc w:val="center"/>
              <w:outlineLvl w:val="0"/>
              <w:rPr>
                <w:rFonts w:hint="eastAsia" w:ascii="宋体" w:hAnsi="宋体" w:eastAsia="宋体" w:cs="宋体"/>
                <w:color w:val="000000"/>
                <w:sz w:val="24"/>
                <w:szCs w:val="24"/>
              </w:rPr>
            </w:pPr>
          </w:p>
        </w:tc>
        <w:tc>
          <w:tcPr>
            <w:tcW w:w="2693" w:type="dxa"/>
            <w:tcBorders>
              <w:top w:val="single" w:color="auto" w:sz="4" w:space="0"/>
              <w:left w:val="single" w:color="auto" w:sz="4" w:space="0"/>
              <w:bottom w:val="single" w:color="auto" w:sz="4" w:space="0"/>
              <w:right w:val="single" w:color="auto" w:sz="4" w:space="0"/>
            </w:tcBorders>
            <w:noWrap w:val="0"/>
            <w:vAlign w:val="center"/>
          </w:tcPr>
          <w:p w14:paraId="249595C7">
            <w:pPr>
              <w:keepNext/>
              <w:tabs>
                <w:tab w:val="left" w:pos="6300"/>
              </w:tabs>
              <w:snapToGrid w:val="0"/>
              <w:spacing w:line="380" w:lineRule="exact"/>
              <w:jc w:val="center"/>
              <w:outlineLvl w:val="0"/>
              <w:rPr>
                <w:rFonts w:hint="eastAsia" w:ascii="宋体" w:hAnsi="宋体" w:eastAsia="宋体" w:cs="宋体"/>
                <w:color w:val="000000"/>
                <w:sz w:val="24"/>
                <w:szCs w:val="24"/>
              </w:rPr>
            </w:pPr>
          </w:p>
        </w:tc>
        <w:tc>
          <w:tcPr>
            <w:tcW w:w="2835" w:type="dxa"/>
            <w:tcBorders>
              <w:top w:val="single" w:color="auto" w:sz="4" w:space="0"/>
              <w:left w:val="single" w:color="auto" w:sz="4" w:space="0"/>
              <w:bottom w:val="single" w:color="auto" w:sz="4" w:space="0"/>
              <w:right w:val="single" w:color="auto" w:sz="4" w:space="0"/>
            </w:tcBorders>
            <w:noWrap w:val="0"/>
            <w:vAlign w:val="center"/>
          </w:tcPr>
          <w:p w14:paraId="3D55B3B7">
            <w:pPr>
              <w:keepNext/>
              <w:tabs>
                <w:tab w:val="left" w:pos="6300"/>
              </w:tabs>
              <w:snapToGrid w:val="0"/>
              <w:spacing w:line="380" w:lineRule="exact"/>
              <w:jc w:val="center"/>
              <w:outlineLvl w:val="0"/>
              <w:rPr>
                <w:rFonts w:hint="eastAsia" w:ascii="宋体" w:hAnsi="宋体" w:eastAsia="宋体" w:cs="宋体"/>
                <w:color w:val="000000"/>
                <w:sz w:val="24"/>
                <w:szCs w:val="24"/>
              </w:rPr>
            </w:pPr>
          </w:p>
        </w:tc>
        <w:tc>
          <w:tcPr>
            <w:tcW w:w="2410" w:type="dxa"/>
            <w:tcBorders>
              <w:top w:val="single" w:color="auto" w:sz="4" w:space="0"/>
              <w:left w:val="single" w:color="auto" w:sz="4" w:space="0"/>
              <w:bottom w:val="single" w:color="auto" w:sz="4" w:space="0"/>
              <w:right w:val="single" w:color="auto" w:sz="4" w:space="0"/>
            </w:tcBorders>
            <w:noWrap w:val="0"/>
            <w:vAlign w:val="center"/>
          </w:tcPr>
          <w:p w14:paraId="2ED90497">
            <w:pPr>
              <w:keepNext/>
              <w:tabs>
                <w:tab w:val="left" w:pos="6300"/>
              </w:tabs>
              <w:snapToGrid w:val="0"/>
              <w:spacing w:line="380" w:lineRule="exact"/>
              <w:jc w:val="center"/>
              <w:outlineLvl w:val="0"/>
              <w:rPr>
                <w:rFonts w:hint="eastAsia" w:ascii="宋体" w:hAnsi="宋体" w:eastAsia="宋体" w:cs="宋体"/>
                <w:color w:val="000000"/>
                <w:sz w:val="24"/>
                <w:szCs w:val="24"/>
              </w:rPr>
            </w:pPr>
          </w:p>
        </w:tc>
      </w:tr>
      <w:tr w14:paraId="359C8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14:paraId="00421341">
            <w:pPr>
              <w:keepNext/>
              <w:tabs>
                <w:tab w:val="left" w:pos="6300"/>
              </w:tabs>
              <w:snapToGrid w:val="0"/>
              <w:spacing w:line="380" w:lineRule="exact"/>
              <w:jc w:val="center"/>
              <w:outlineLvl w:val="0"/>
              <w:rPr>
                <w:rFonts w:hint="eastAsia" w:ascii="宋体" w:hAnsi="宋体" w:eastAsia="宋体" w:cs="宋体"/>
                <w:color w:val="000000"/>
                <w:sz w:val="24"/>
                <w:szCs w:val="24"/>
              </w:rPr>
            </w:pPr>
          </w:p>
        </w:tc>
        <w:tc>
          <w:tcPr>
            <w:tcW w:w="2693" w:type="dxa"/>
            <w:tcBorders>
              <w:top w:val="single" w:color="auto" w:sz="4" w:space="0"/>
              <w:left w:val="single" w:color="auto" w:sz="4" w:space="0"/>
              <w:bottom w:val="single" w:color="auto" w:sz="4" w:space="0"/>
              <w:right w:val="single" w:color="auto" w:sz="4" w:space="0"/>
            </w:tcBorders>
            <w:noWrap w:val="0"/>
            <w:vAlign w:val="center"/>
          </w:tcPr>
          <w:p w14:paraId="70586A66">
            <w:pPr>
              <w:keepNext/>
              <w:tabs>
                <w:tab w:val="left" w:pos="6300"/>
              </w:tabs>
              <w:snapToGrid w:val="0"/>
              <w:spacing w:line="380" w:lineRule="exact"/>
              <w:jc w:val="center"/>
              <w:outlineLvl w:val="0"/>
              <w:rPr>
                <w:rFonts w:hint="eastAsia" w:ascii="宋体" w:hAnsi="宋体" w:eastAsia="宋体" w:cs="宋体"/>
                <w:color w:val="000000"/>
                <w:sz w:val="24"/>
                <w:szCs w:val="24"/>
              </w:rPr>
            </w:pPr>
          </w:p>
        </w:tc>
        <w:tc>
          <w:tcPr>
            <w:tcW w:w="2835" w:type="dxa"/>
            <w:tcBorders>
              <w:top w:val="single" w:color="auto" w:sz="4" w:space="0"/>
              <w:left w:val="single" w:color="auto" w:sz="4" w:space="0"/>
              <w:bottom w:val="single" w:color="auto" w:sz="4" w:space="0"/>
              <w:right w:val="single" w:color="auto" w:sz="4" w:space="0"/>
            </w:tcBorders>
            <w:noWrap w:val="0"/>
            <w:vAlign w:val="center"/>
          </w:tcPr>
          <w:p w14:paraId="656F81BC">
            <w:pPr>
              <w:keepNext/>
              <w:tabs>
                <w:tab w:val="left" w:pos="6300"/>
              </w:tabs>
              <w:snapToGrid w:val="0"/>
              <w:spacing w:line="380" w:lineRule="exact"/>
              <w:jc w:val="center"/>
              <w:outlineLvl w:val="0"/>
              <w:rPr>
                <w:rFonts w:hint="eastAsia" w:ascii="宋体" w:hAnsi="宋体" w:eastAsia="宋体" w:cs="宋体"/>
                <w:color w:val="000000"/>
                <w:sz w:val="24"/>
                <w:szCs w:val="24"/>
              </w:rPr>
            </w:pPr>
          </w:p>
        </w:tc>
        <w:tc>
          <w:tcPr>
            <w:tcW w:w="2410" w:type="dxa"/>
            <w:tcBorders>
              <w:top w:val="single" w:color="auto" w:sz="4" w:space="0"/>
              <w:left w:val="single" w:color="auto" w:sz="4" w:space="0"/>
              <w:bottom w:val="single" w:color="auto" w:sz="4" w:space="0"/>
              <w:right w:val="single" w:color="auto" w:sz="4" w:space="0"/>
            </w:tcBorders>
            <w:noWrap w:val="0"/>
            <w:vAlign w:val="center"/>
          </w:tcPr>
          <w:p w14:paraId="49473EA9">
            <w:pPr>
              <w:keepNext/>
              <w:tabs>
                <w:tab w:val="left" w:pos="6300"/>
              </w:tabs>
              <w:snapToGrid w:val="0"/>
              <w:spacing w:line="380" w:lineRule="exact"/>
              <w:jc w:val="center"/>
              <w:outlineLvl w:val="0"/>
              <w:rPr>
                <w:rFonts w:hint="eastAsia" w:ascii="宋体" w:hAnsi="宋体" w:eastAsia="宋体" w:cs="宋体"/>
                <w:color w:val="000000"/>
                <w:sz w:val="24"/>
                <w:szCs w:val="24"/>
              </w:rPr>
            </w:pPr>
          </w:p>
        </w:tc>
      </w:tr>
      <w:tr w14:paraId="3138D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14:paraId="113017A5">
            <w:pPr>
              <w:keepNext/>
              <w:tabs>
                <w:tab w:val="left" w:pos="6300"/>
              </w:tabs>
              <w:snapToGrid w:val="0"/>
              <w:spacing w:line="380" w:lineRule="exact"/>
              <w:jc w:val="center"/>
              <w:outlineLvl w:val="0"/>
              <w:rPr>
                <w:rFonts w:hint="eastAsia" w:ascii="宋体" w:hAnsi="宋体" w:eastAsia="宋体" w:cs="宋体"/>
                <w:color w:val="000000"/>
                <w:sz w:val="24"/>
                <w:szCs w:val="24"/>
              </w:rPr>
            </w:pPr>
          </w:p>
        </w:tc>
        <w:tc>
          <w:tcPr>
            <w:tcW w:w="2693" w:type="dxa"/>
            <w:tcBorders>
              <w:top w:val="single" w:color="auto" w:sz="4" w:space="0"/>
              <w:left w:val="single" w:color="auto" w:sz="4" w:space="0"/>
              <w:bottom w:val="single" w:color="auto" w:sz="4" w:space="0"/>
              <w:right w:val="single" w:color="auto" w:sz="4" w:space="0"/>
            </w:tcBorders>
            <w:noWrap w:val="0"/>
            <w:vAlign w:val="center"/>
          </w:tcPr>
          <w:p w14:paraId="2A2693D6">
            <w:pPr>
              <w:keepNext/>
              <w:tabs>
                <w:tab w:val="left" w:pos="6300"/>
              </w:tabs>
              <w:snapToGrid w:val="0"/>
              <w:spacing w:line="380" w:lineRule="exact"/>
              <w:jc w:val="center"/>
              <w:outlineLvl w:val="0"/>
              <w:rPr>
                <w:rFonts w:hint="eastAsia" w:ascii="宋体" w:hAnsi="宋体" w:eastAsia="宋体" w:cs="宋体"/>
                <w:color w:val="000000"/>
                <w:sz w:val="24"/>
                <w:szCs w:val="24"/>
              </w:rPr>
            </w:pPr>
          </w:p>
        </w:tc>
        <w:tc>
          <w:tcPr>
            <w:tcW w:w="2835" w:type="dxa"/>
            <w:tcBorders>
              <w:top w:val="single" w:color="auto" w:sz="4" w:space="0"/>
              <w:left w:val="single" w:color="auto" w:sz="4" w:space="0"/>
              <w:bottom w:val="single" w:color="auto" w:sz="4" w:space="0"/>
              <w:right w:val="single" w:color="auto" w:sz="4" w:space="0"/>
            </w:tcBorders>
            <w:noWrap w:val="0"/>
            <w:vAlign w:val="center"/>
          </w:tcPr>
          <w:p w14:paraId="6CB18CCB">
            <w:pPr>
              <w:keepNext/>
              <w:tabs>
                <w:tab w:val="left" w:pos="6300"/>
              </w:tabs>
              <w:snapToGrid w:val="0"/>
              <w:spacing w:line="380" w:lineRule="exact"/>
              <w:jc w:val="center"/>
              <w:outlineLvl w:val="0"/>
              <w:rPr>
                <w:rFonts w:hint="eastAsia" w:ascii="宋体" w:hAnsi="宋体" w:eastAsia="宋体" w:cs="宋体"/>
                <w:color w:val="000000"/>
                <w:sz w:val="24"/>
                <w:szCs w:val="24"/>
              </w:rPr>
            </w:pPr>
          </w:p>
        </w:tc>
        <w:tc>
          <w:tcPr>
            <w:tcW w:w="2410" w:type="dxa"/>
            <w:tcBorders>
              <w:top w:val="single" w:color="auto" w:sz="4" w:space="0"/>
              <w:left w:val="single" w:color="auto" w:sz="4" w:space="0"/>
              <w:bottom w:val="single" w:color="auto" w:sz="4" w:space="0"/>
              <w:right w:val="single" w:color="auto" w:sz="4" w:space="0"/>
            </w:tcBorders>
            <w:noWrap w:val="0"/>
            <w:vAlign w:val="center"/>
          </w:tcPr>
          <w:p w14:paraId="76206F0C">
            <w:pPr>
              <w:keepNext/>
              <w:tabs>
                <w:tab w:val="left" w:pos="6300"/>
              </w:tabs>
              <w:snapToGrid w:val="0"/>
              <w:spacing w:line="380" w:lineRule="exact"/>
              <w:jc w:val="center"/>
              <w:outlineLvl w:val="0"/>
              <w:rPr>
                <w:rFonts w:hint="eastAsia" w:ascii="宋体" w:hAnsi="宋体" w:eastAsia="宋体" w:cs="宋体"/>
                <w:color w:val="000000"/>
                <w:sz w:val="24"/>
                <w:szCs w:val="24"/>
              </w:rPr>
            </w:pPr>
          </w:p>
        </w:tc>
      </w:tr>
      <w:tr w14:paraId="127B3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14:paraId="63C51917">
            <w:pPr>
              <w:keepNext/>
              <w:tabs>
                <w:tab w:val="left" w:pos="6300"/>
              </w:tabs>
              <w:snapToGrid w:val="0"/>
              <w:spacing w:line="380" w:lineRule="exact"/>
              <w:jc w:val="center"/>
              <w:outlineLvl w:val="0"/>
              <w:rPr>
                <w:rFonts w:hint="eastAsia" w:ascii="宋体" w:hAnsi="宋体" w:eastAsia="宋体" w:cs="宋体"/>
                <w:color w:val="000000"/>
                <w:sz w:val="24"/>
                <w:szCs w:val="24"/>
              </w:rPr>
            </w:pPr>
          </w:p>
        </w:tc>
        <w:tc>
          <w:tcPr>
            <w:tcW w:w="2693" w:type="dxa"/>
            <w:tcBorders>
              <w:top w:val="single" w:color="auto" w:sz="4" w:space="0"/>
              <w:left w:val="single" w:color="auto" w:sz="4" w:space="0"/>
              <w:bottom w:val="single" w:color="auto" w:sz="4" w:space="0"/>
              <w:right w:val="single" w:color="auto" w:sz="4" w:space="0"/>
            </w:tcBorders>
            <w:noWrap w:val="0"/>
            <w:vAlign w:val="center"/>
          </w:tcPr>
          <w:p w14:paraId="07BF0603">
            <w:pPr>
              <w:keepNext/>
              <w:tabs>
                <w:tab w:val="left" w:pos="6300"/>
              </w:tabs>
              <w:snapToGrid w:val="0"/>
              <w:spacing w:line="380" w:lineRule="exact"/>
              <w:jc w:val="center"/>
              <w:outlineLvl w:val="0"/>
              <w:rPr>
                <w:rFonts w:hint="eastAsia" w:ascii="宋体" w:hAnsi="宋体" w:eastAsia="宋体" w:cs="宋体"/>
                <w:color w:val="000000"/>
                <w:sz w:val="24"/>
                <w:szCs w:val="24"/>
              </w:rPr>
            </w:pPr>
          </w:p>
        </w:tc>
        <w:tc>
          <w:tcPr>
            <w:tcW w:w="2835" w:type="dxa"/>
            <w:tcBorders>
              <w:top w:val="single" w:color="auto" w:sz="4" w:space="0"/>
              <w:left w:val="single" w:color="auto" w:sz="4" w:space="0"/>
              <w:bottom w:val="single" w:color="auto" w:sz="4" w:space="0"/>
              <w:right w:val="single" w:color="auto" w:sz="4" w:space="0"/>
            </w:tcBorders>
            <w:noWrap w:val="0"/>
            <w:vAlign w:val="center"/>
          </w:tcPr>
          <w:p w14:paraId="71D60B6B">
            <w:pPr>
              <w:keepNext/>
              <w:tabs>
                <w:tab w:val="left" w:pos="6300"/>
              </w:tabs>
              <w:snapToGrid w:val="0"/>
              <w:spacing w:line="380" w:lineRule="exact"/>
              <w:jc w:val="center"/>
              <w:outlineLvl w:val="0"/>
              <w:rPr>
                <w:rFonts w:hint="eastAsia" w:ascii="宋体" w:hAnsi="宋体" w:eastAsia="宋体" w:cs="宋体"/>
                <w:color w:val="000000"/>
                <w:sz w:val="24"/>
                <w:szCs w:val="24"/>
              </w:rPr>
            </w:pPr>
          </w:p>
        </w:tc>
        <w:tc>
          <w:tcPr>
            <w:tcW w:w="2410" w:type="dxa"/>
            <w:tcBorders>
              <w:top w:val="single" w:color="auto" w:sz="4" w:space="0"/>
              <w:left w:val="single" w:color="auto" w:sz="4" w:space="0"/>
              <w:bottom w:val="single" w:color="auto" w:sz="4" w:space="0"/>
              <w:right w:val="single" w:color="auto" w:sz="4" w:space="0"/>
            </w:tcBorders>
            <w:noWrap w:val="0"/>
            <w:vAlign w:val="center"/>
          </w:tcPr>
          <w:p w14:paraId="1584A091">
            <w:pPr>
              <w:keepNext/>
              <w:tabs>
                <w:tab w:val="left" w:pos="6300"/>
              </w:tabs>
              <w:snapToGrid w:val="0"/>
              <w:spacing w:line="380" w:lineRule="exact"/>
              <w:jc w:val="center"/>
              <w:outlineLvl w:val="0"/>
              <w:rPr>
                <w:rFonts w:hint="eastAsia" w:ascii="宋体" w:hAnsi="宋体" w:eastAsia="宋体" w:cs="宋体"/>
                <w:color w:val="000000"/>
                <w:sz w:val="24"/>
                <w:szCs w:val="24"/>
              </w:rPr>
            </w:pPr>
          </w:p>
        </w:tc>
      </w:tr>
    </w:tbl>
    <w:p w14:paraId="6C7E5672">
      <w:pPr>
        <w:snapToGrid w:val="0"/>
        <w:spacing w:line="380" w:lineRule="exact"/>
        <w:ind w:firstLine="465"/>
        <w:rPr>
          <w:rFonts w:hint="eastAsia" w:ascii="宋体" w:hAnsi="宋体" w:eastAsia="宋体" w:cs="宋体"/>
          <w:color w:val="000000"/>
          <w:sz w:val="24"/>
          <w:szCs w:val="24"/>
        </w:rPr>
      </w:pPr>
    </w:p>
    <w:p w14:paraId="29FB3360">
      <w:pPr>
        <w:spacing w:line="380" w:lineRule="exact"/>
        <w:ind w:firstLine="600" w:firstLineChars="250"/>
        <w:rPr>
          <w:rFonts w:hint="eastAsia" w:ascii="宋体" w:hAnsi="宋体" w:eastAsia="宋体" w:cs="宋体"/>
          <w:color w:val="000000"/>
          <w:sz w:val="24"/>
          <w:szCs w:val="24"/>
        </w:rPr>
      </w:pPr>
      <w:r>
        <w:rPr>
          <w:rFonts w:hint="eastAsia" w:ascii="宋体" w:hAnsi="宋体" w:eastAsia="宋体" w:cs="宋体"/>
          <w:color w:val="000000"/>
          <w:sz w:val="24"/>
          <w:szCs w:val="24"/>
        </w:rPr>
        <w:t>供应商：                              法定代表人授权代表：</w:t>
      </w:r>
    </w:p>
    <w:p w14:paraId="773AEA13">
      <w:pPr>
        <w:spacing w:line="380" w:lineRule="exact"/>
        <w:rPr>
          <w:rFonts w:hint="eastAsia" w:ascii="宋体" w:hAnsi="宋体" w:eastAsia="宋体" w:cs="宋体"/>
          <w:color w:val="000000"/>
          <w:sz w:val="24"/>
          <w:szCs w:val="24"/>
        </w:rPr>
      </w:pPr>
      <w:r>
        <w:rPr>
          <w:rFonts w:hint="eastAsia" w:ascii="宋体" w:hAnsi="宋体" w:eastAsia="宋体" w:cs="宋体"/>
          <w:color w:val="000000"/>
          <w:sz w:val="24"/>
          <w:szCs w:val="24"/>
        </w:rPr>
        <w:t>（供应商公章）                                （签字或盖章）</w:t>
      </w:r>
    </w:p>
    <w:p w14:paraId="5CFD945D">
      <w:pPr>
        <w:spacing w:line="380" w:lineRule="exact"/>
        <w:rPr>
          <w:rFonts w:hint="eastAsia" w:ascii="宋体" w:hAnsi="宋体" w:eastAsia="宋体" w:cs="宋体"/>
          <w:color w:val="000000"/>
          <w:sz w:val="24"/>
          <w:szCs w:val="24"/>
        </w:rPr>
      </w:pPr>
    </w:p>
    <w:p w14:paraId="70569E2A">
      <w:pPr>
        <w:spacing w:line="380" w:lineRule="exact"/>
        <w:rPr>
          <w:rFonts w:hint="eastAsia" w:ascii="宋体" w:hAnsi="宋体" w:eastAsia="宋体" w:cs="宋体"/>
          <w:color w:val="000000"/>
          <w:sz w:val="24"/>
          <w:szCs w:val="24"/>
        </w:rPr>
      </w:pPr>
    </w:p>
    <w:p w14:paraId="3FE6A061">
      <w:pPr>
        <w:tabs>
          <w:tab w:val="left" w:pos="6300"/>
        </w:tabs>
        <w:snapToGrid w:val="0"/>
        <w:spacing w:line="380" w:lineRule="exact"/>
        <w:ind w:firstLine="57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年     月     日</w:t>
      </w:r>
    </w:p>
    <w:p w14:paraId="7A771EAD">
      <w:pPr>
        <w:tabs>
          <w:tab w:val="left" w:pos="6300"/>
        </w:tabs>
        <w:snapToGrid w:val="0"/>
        <w:spacing w:line="38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注：</w:t>
      </w:r>
    </w:p>
    <w:p w14:paraId="117BBAB2">
      <w:pPr>
        <w:tabs>
          <w:tab w:val="left" w:pos="6300"/>
        </w:tabs>
        <w:snapToGrid w:val="0"/>
        <w:spacing w:line="380" w:lineRule="exact"/>
        <w:ind w:firstLine="480" w:firstLineChars="200"/>
        <w:rPr>
          <w:rFonts w:hint="eastAsia" w:ascii="宋体" w:hAnsi="宋体" w:eastAsia="宋体" w:cs="宋体"/>
          <w:color w:val="000000"/>
          <w:sz w:val="24"/>
          <w:szCs w:val="24"/>
          <w:u w:val="single"/>
        </w:rPr>
      </w:pPr>
      <w:r>
        <w:rPr>
          <w:rFonts w:hint="eastAsia" w:ascii="宋体" w:hAnsi="宋体" w:eastAsia="宋体" w:cs="宋体"/>
          <w:color w:val="000000"/>
          <w:sz w:val="24"/>
          <w:szCs w:val="24"/>
        </w:rPr>
        <w:t>1.本表必须按照“第四篇 询价项目商务需求”中所列内容逐条进行比较和响应，根据响应情况在“差异说明”项填写正偏离或负偏离及原因，完全符合的填写“无差异”</w:t>
      </w:r>
      <w:r>
        <w:rPr>
          <w:rFonts w:hint="eastAsia" w:ascii="宋体" w:hAnsi="宋体" w:eastAsia="宋体" w:cs="宋体"/>
          <w:color w:val="000000"/>
          <w:sz w:val="24"/>
          <w:szCs w:val="24"/>
          <w:u w:val="single"/>
        </w:rPr>
        <w:t>。未按照规定要求填写的，视为无效响应。</w:t>
      </w:r>
    </w:p>
    <w:p w14:paraId="5F922899">
      <w:pPr>
        <w:spacing w:line="38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br w:type="page"/>
      </w:r>
      <w:r>
        <w:rPr>
          <w:rFonts w:hint="eastAsia" w:ascii="宋体" w:hAnsi="宋体" w:eastAsia="宋体" w:cs="宋体"/>
          <w:color w:val="000000"/>
          <w:sz w:val="24"/>
          <w:szCs w:val="24"/>
        </w:rPr>
        <w:t>（二）其它优惠承诺（格式自定）</w:t>
      </w:r>
    </w:p>
    <w:p w14:paraId="15A26DF8">
      <w:pPr>
        <w:spacing w:line="380" w:lineRule="exact"/>
        <w:ind w:firstLine="480" w:firstLineChars="200"/>
        <w:rPr>
          <w:rFonts w:hint="eastAsia" w:ascii="宋体" w:hAnsi="宋体" w:eastAsia="宋体" w:cs="宋体"/>
          <w:color w:val="000000"/>
          <w:sz w:val="24"/>
          <w:szCs w:val="24"/>
        </w:rPr>
      </w:pPr>
    </w:p>
    <w:p w14:paraId="6DFF9644">
      <w:pPr>
        <w:spacing w:line="38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注：</w:t>
      </w:r>
    </w:p>
    <w:p w14:paraId="7A8D3F17">
      <w:pPr>
        <w:spacing w:line="38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1.若无其他优惠承诺，可不提供此项。</w:t>
      </w:r>
    </w:p>
    <w:p w14:paraId="0A12AA71">
      <w:pPr>
        <w:pStyle w:val="5"/>
        <w:spacing w:before="0" w:after="0" w:line="380" w:lineRule="exact"/>
        <w:rPr>
          <w:rFonts w:hint="eastAsia" w:ascii="宋体" w:hAnsi="宋体" w:eastAsia="宋体" w:cs="宋体"/>
          <w:color w:val="000000"/>
          <w:sz w:val="24"/>
          <w:szCs w:val="24"/>
        </w:rPr>
      </w:pPr>
      <w:r>
        <w:rPr>
          <w:rFonts w:hint="eastAsia" w:ascii="宋体" w:hAnsi="宋体" w:eastAsia="宋体" w:cs="宋体"/>
          <w:b w:val="0"/>
          <w:color w:val="000000"/>
          <w:sz w:val="24"/>
          <w:szCs w:val="24"/>
        </w:rPr>
        <w:br w:type="page"/>
      </w:r>
      <w:bookmarkStart w:id="211" w:name="_Toc486608280"/>
      <w:bookmarkStart w:id="212" w:name="_Toc487204800"/>
      <w:bookmarkStart w:id="213" w:name="_Toc486585243"/>
      <w:bookmarkStart w:id="214" w:name="_Toc12481"/>
      <w:r>
        <w:rPr>
          <w:rFonts w:hint="eastAsia" w:ascii="宋体" w:hAnsi="宋体" w:eastAsia="宋体" w:cs="宋体"/>
          <w:color w:val="000000"/>
          <w:sz w:val="24"/>
          <w:szCs w:val="24"/>
        </w:rPr>
        <w:t>四、资格</w:t>
      </w:r>
      <w:bookmarkEnd w:id="211"/>
      <w:bookmarkEnd w:id="212"/>
      <w:bookmarkEnd w:id="213"/>
      <w:r>
        <w:rPr>
          <w:rFonts w:hint="eastAsia" w:ascii="宋体" w:hAnsi="宋体" w:eastAsia="宋体" w:cs="宋体"/>
          <w:color w:val="000000"/>
          <w:sz w:val="24"/>
          <w:szCs w:val="24"/>
        </w:rPr>
        <w:t>文件</w:t>
      </w:r>
      <w:bookmarkEnd w:id="214"/>
    </w:p>
    <w:p w14:paraId="7A04E2D3">
      <w:pPr>
        <w:snapToGrid w:val="0"/>
        <w:spacing w:line="44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（一）营业执照（副本）或事业单位法人证书（副本）复印件</w:t>
      </w:r>
    </w:p>
    <w:p w14:paraId="413F6770">
      <w:pPr>
        <w:tabs>
          <w:tab w:val="left" w:pos="6300"/>
        </w:tabs>
        <w:snapToGrid w:val="0"/>
        <w:spacing w:line="380" w:lineRule="exact"/>
        <w:ind w:firstLine="570"/>
        <w:rPr>
          <w:rFonts w:hint="eastAsia" w:ascii="宋体" w:hAnsi="宋体" w:eastAsia="宋体" w:cs="宋体"/>
          <w:color w:val="000000"/>
          <w:sz w:val="24"/>
          <w:szCs w:val="24"/>
        </w:rPr>
      </w:pPr>
    </w:p>
    <w:p w14:paraId="3150DC60">
      <w:pPr>
        <w:tabs>
          <w:tab w:val="left" w:pos="6300"/>
        </w:tabs>
        <w:snapToGrid w:val="0"/>
        <w:spacing w:line="380" w:lineRule="exact"/>
        <w:ind w:firstLine="570"/>
        <w:rPr>
          <w:rFonts w:hint="eastAsia" w:ascii="宋体" w:hAnsi="宋体" w:eastAsia="宋体" w:cs="宋体"/>
          <w:color w:val="000000"/>
          <w:sz w:val="24"/>
          <w:szCs w:val="24"/>
        </w:rPr>
      </w:pPr>
      <w:r>
        <w:rPr>
          <w:rFonts w:hint="eastAsia" w:ascii="宋体" w:hAnsi="宋体" w:eastAsia="宋体" w:cs="宋体"/>
          <w:color w:val="000000"/>
          <w:sz w:val="24"/>
          <w:szCs w:val="24"/>
        </w:rPr>
        <w:t>说明：1.供应商按“多证合一”登记制度办理营业执照的，以供应商所提供的法人营业执照（副本）复印件为准。</w:t>
      </w:r>
    </w:p>
    <w:p w14:paraId="0AC579F6">
      <w:pPr>
        <w:tabs>
          <w:tab w:val="left" w:pos="6300"/>
        </w:tabs>
        <w:snapToGrid w:val="0"/>
        <w:spacing w:line="380" w:lineRule="exact"/>
        <w:ind w:firstLine="570"/>
        <w:rPr>
          <w:rFonts w:hint="eastAsia" w:ascii="宋体" w:hAnsi="宋体" w:eastAsia="宋体" w:cs="宋体"/>
          <w:color w:val="000000"/>
          <w:sz w:val="24"/>
          <w:szCs w:val="24"/>
        </w:rPr>
      </w:pPr>
    </w:p>
    <w:p w14:paraId="26EF7227">
      <w:pPr>
        <w:widowControl/>
        <w:spacing w:line="380" w:lineRule="exact"/>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br w:type="page"/>
      </w:r>
      <w:r>
        <w:rPr>
          <w:rFonts w:hint="eastAsia" w:ascii="宋体" w:hAnsi="宋体" w:eastAsia="宋体" w:cs="宋体"/>
          <w:color w:val="000000"/>
          <w:sz w:val="24"/>
          <w:szCs w:val="24"/>
        </w:rPr>
        <w:t>（</w:t>
      </w:r>
      <w:r>
        <w:rPr>
          <w:rFonts w:hint="eastAsia" w:ascii="宋体" w:hAnsi="宋体" w:eastAsia="宋体" w:cs="宋体"/>
          <w:color w:val="000000"/>
          <w:sz w:val="24"/>
          <w:szCs w:val="24"/>
          <w:lang w:eastAsia="zh-CN"/>
        </w:rPr>
        <w:t>二</w:t>
      </w:r>
      <w:r>
        <w:rPr>
          <w:rFonts w:hint="eastAsia" w:ascii="宋体" w:hAnsi="宋体" w:eastAsia="宋体" w:cs="宋体"/>
          <w:color w:val="000000"/>
          <w:sz w:val="24"/>
          <w:szCs w:val="24"/>
        </w:rPr>
        <w:t>）法定代表人身份证明书（格式）</w:t>
      </w:r>
    </w:p>
    <w:p w14:paraId="5D934A85">
      <w:pPr>
        <w:tabs>
          <w:tab w:val="left" w:pos="6300"/>
        </w:tabs>
        <w:snapToGrid w:val="0"/>
        <w:spacing w:line="380" w:lineRule="exact"/>
        <w:ind w:firstLine="570"/>
        <w:rPr>
          <w:rFonts w:hint="eastAsia" w:ascii="宋体" w:hAnsi="宋体" w:eastAsia="宋体" w:cs="宋体"/>
          <w:color w:val="000000"/>
          <w:sz w:val="24"/>
          <w:szCs w:val="24"/>
        </w:rPr>
      </w:pPr>
    </w:p>
    <w:p w14:paraId="3E5DCC79">
      <w:pPr>
        <w:tabs>
          <w:tab w:val="left" w:pos="6300"/>
        </w:tabs>
        <w:snapToGrid w:val="0"/>
        <w:spacing w:line="380" w:lineRule="exact"/>
        <w:ind w:firstLine="570"/>
        <w:rPr>
          <w:rFonts w:hint="eastAsia" w:ascii="宋体" w:hAnsi="宋体" w:eastAsia="宋体" w:cs="宋体"/>
          <w:color w:val="000000"/>
          <w:sz w:val="24"/>
          <w:szCs w:val="24"/>
        </w:rPr>
      </w:pPr>
      <w:r>
        <w:rPr>
          <w:rFonts w:hint="eastAsia" w:ascii="宋体" w:hAnsi="宋体" w:eastAsia="宋体" w:cs="宋体"/>
          <w:color w:val="000000"/>
          <w:sz w:val="24"/>
          <w:szCs w:val="24"/>
        </w:rPr>
        <w:t>项目名称：</w:t>
      </w:r>
      <w:r>
        <w:rPr>
          <w:rFonts w:hint="eastAsia" w:ascii="宋体" w:hAnsi="宋体" w:eastAsia="宋体" w:cs="宋体"/>
          <w:color w:val="000000"/>
          <w:sz w:val="24"/>
          <w:szCs w:val="24"/>
          <w:u w:val="single"/>
        </w:rPr>
        <w:t xml:space="preserve">           </w:t>
      </w:r>
    </w:p>
    <w:p w14:paraId="7F15F8E1">
      <w:pPr>
        <w:tabs>
          <w:tab w:val="left" w:pos="6300"/>
        </w:tabs>
        <w:snapToGrid w:val="0"/>
        <w:spacing w:line="380" w:lineRule="exact"/>
        <w:ind w:firstLine="570"/>
        <w:rPr>
          <w:rFonts w:hint="eastAsia" w:ascii="宋体" w:hAnsi="宋体" w:eastAsia="宋体" w:cs="宋体"/>
          <w:color w:val="000000"/>
          <w:sz w:val="24"/>
          <w:szCs w:val="24"/>
        </w:rPr>
      </w:pPr>
    </w:p>
    <w:p w14:paraId="6BF158EC">
      <w:pPr>
        <w:tabs>
          <w:tab w:val="left" w:pos="6300"/>
        </w:tabs>
        <w:snapToGrid w:val="0"/>
        <w:spacing w:line="380" w:lineRule="exact"/>
        <w:ind w:firstLine="570"/>
        <w:rPr>
          <w:rFonts w:hint="eastAsia" w:ascii="宋体" w:hAnsi="宋体" w:eastAsia="宋体" w:cs="宋体"/>
          <w:color w:val="000000"/>
          <w:sz w:val="24"/>
          <w:szCs w:val="24"/>
        </w:rPr>
      </w:pPr>
      <w:r>
        <w:rPr>
          <w:rFonts w:hint="eastAsia" w:ascii="宋体" w:hAnsi="宋体" w:eastAsia="宋体" w:cs="宋体"/>
          <w:color w:val="000000"/>
          <w:sz w:val="24"/>
          <w:szCs w:val="24"/>
        </w:rPr>
        <w:t>致：</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（采购代理机构名称）：</w:t>
      </w:r>
    </w:p>
    <w:p w14:paraId="6F8B35FB">
      <w:pPr>
        <w:tabs>
          <w:tab w:val="left" w:pos="6300"/>
        </w:tabs>
        <w:snapToGrid w:val="0"/>
        <w:spacing w:line="380" w:lineRule="exact"/>
        <w:ind w:firstLine="727" w:firstLineChars="303"/>
        <w:rPr>
          <w:rFonts w:hint="eastAsia" w:ascii="宋体" w:hAnsi="宋体" w:eastAsia="宋体" w:cs="宋体"/>
          <w:color w:val="000000"/>
          <w:sz w:val="24"/>
          <w:szCs w:val="24"/>
        </w:rPr>
      </w:pP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（法定代表人姓名）在</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（供应商名称）任</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（职务名称）职务，是</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（供应商名称）的法定代表人。</w:t>
      </w:r>
    </w:p>
    <w:p w14:paraId="32FF31BF">
      <w:pPr>
        <w:tabs>
          <w:tab w:val="left" w:pos="6300"/>
        </w:tabs>
        <w:snapToGrid w:val="0"/>
        <w:spacing w:line="380" w:lineRule="exact"/>
        <w:ind w:firstLine="570"/>
        <w:rPr>
          <w:rFonts w:hint="eastAsia" w:ascii="宋体" w:hAnsi="宋体" w:eastAsia="宋体" w:cs="宋体"/>
          <w:color w:val="000000"/>
          <w:sz w:val="24"/>
          <w:szCs w:val="24"/>
        </w:rPr>
      </w:pPr>
    </w:p>
    <w:p w14:paraId="42C27ACF">
      <w:pPr>
        <w:tabs>
          <w:tab w:val="left" w:pos="6300"/>
        </w:tabs>
        <w:snapToGrid w:val="0"/>
        <w:spacing w:line="380" w:lineRule="exact"/>
        <w:ind w:firstLine="570"/>
        <w:rPr>
          <w:rFonts w:hint="eastAsia" w:ascii="宋体" w:hAnsi="宋体" w:eastAsia="宋体" w:cs="宋体"/>
          <w:color w:val="000000"/>
          <w:sz w:val="24"/>
          <w:szCs w:val="24"/>
        </w:rPr>
      </w:pPr>
      <w:r>
        <w:rPr>
          <w:rFonts w:hint="eastAsia" w:ascii="宋体" w:hAnsi="宋体" w:eastAsia="宋体" w:cs="宋体"/>
          <w:color w:val="000000"/>
          <w:sz w:val="24"/>
          <w:szCs w:val="24"/>
        </w:rPr>
        <w:t>特此证明。</w:t>
      </w:r>
    </w:p>
    <w:p w14:paraId="2EC7A3B8">
      <w:pPr>
        <w:tabs>
          <w:tab w:val="left" w:pos="6300"/>
        </w:tabs>
        <w:snapToGrid w:val="0"/>
        <w:spacing w:line="380" w:lineRule="exact"/>
        <w:ind w:firstLine="570"/>
        <w:rPr>
          <w:rFonts w:hint="eastAsia" w:ascii="宋体" w:hAnsi="宋体" w:eastAsia="宋体" w:cs="宋体"/>
          <w:color w:val="000000"/>
          <w:sz w:val="24"/>
          <w:szCs w:val="24"/>
        </w:rPr>
      </w:pPr>
    </w:p>
    <w:p w14:paraId="0059010B">
      <w:pPr>
        <w:tabs>
          <w:tab w:val="left" w:pos="6300"/>
        </w:tabs>
        <w:snapToGrid w:val="0"/>
        <w:spacing w:line="380" w:lineRule="exact"/>
        <w:ind w:firstLine="570"/>
        <w:rPr>
          <w:rFonts w:hint="eastAsia" w:ascii="宋体" w:hAnsi="宋体" w:eastAsia="宋体" w:cs="宋体"/>
          <w:color w:val="000000"/>
          <w:sz w:val="24"/>
          <w:szCs w:val="24"/>
        </w:rPr>
      </w:pPr>
    </w:p>
    <w:p w14:paraId="402D2804">
      <w:pPr>
        <w:tabs>
          <w:tab w:val="left" w:pos="6300"/>
        </w:tabs>
        <w:snapToGrid w:val="0"/>
        <w:spacing w:line="380" w:lineRule="exact"/>
        <w:ind w:firstLine="570"/>
        <w:rPr>
          <w:rFonts w:hint="eastAsia" w:ascii="宋体" w:hAnsi="宋体" w:eastAsia="宋体" w:cs="宋体"/>
          <w:color w:val="000000"/>
          <w:sz w:val="24"/>
          <w:szCs w:val="24"/>
        </w:rPr>
      </w:pPr>
    </w:p>
    <w:p w14:paraId="0A7C0D5D">
      <w:pPr>
        <w:tabs>
          <w:tab w:val="left" w:pos="6300"/>
        </w:tabs>
        <w:snapToGrid w:val="0"/>
        <w:spacing w:line="380" w:lineRule="exact"/>
        <w:ind w:firstLine="57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（供应商公章）</w:t>
      </w:r>
    </w:p>
    <w:p w14:paraId="52AA1D3B">
      <w:pPr>
        <w:tabs>
          <w:tab w:val="left" w:pos="6300"/>
        </w:tabs>
        <w:snapToGrid w:val="0"/>
        <w:spacing w:line="380" w:lineRule="exact"/>
        <w:ind w:firstLine="570"/>
        <w:rPr>
          <w:rFonts w:hint="eastAsia" w:ascii="宋体" w:hAnsi="宋体" w:eastAsia="宋体" w:cs="宋体"/>
          <w:color w:val="000000"/>
          <w:sz w:val="24"/>
          <w:szCs w:val="24"/>
        </w:rPr>
      </w:pPr>
    </w:p>
    <w:p w14:paraId="0E4884A4">
      <w:pPr>
        <w:tabs>
          <w:tab w:val="left" w:pos="6300"/>
        </w:tabs>
        <w:snapToGrid w:val="0"/>
        <w:spacing w:line="380" w:lineRule="exact"/>
        <w:ind w:firstLine="57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年   月   日</w:t>
      </w:r>
    </w:p>
    <w:p w14:paraId="5E94249C">
      <w:pPr>
        <w:tabs>
          <w:tab w:val="left" w:pos="6300"/>
        </w:tabs>
        <w:snapToGrid w:val="0"/>
        <w:spacing w:line="380" w:lineRule="exact"/>
        <w:ind w:firstLine="570"/>
        <w:rPr>
          <w:rFonts w:hint="eastAsia" w:ascii="宋体" w:hAnsi="宋体" w:eastAsia="宋体" w:cs="宋体"/>
          <w:color w:val="000000"/>
          <w:sz w:val="24"/>
          <w:szCs w:val="24"/>
        </w:rPr>
      </w:pPr>
    </w:p>
    <w:p w14:paraId="0061863A">
      <w:pPr>
        <w:tabs>
          <w:tab w:val="left" w:pos="6300"/>
        </w:tabs>
        <w:snapToGrid w:val="0"/>
        <w:spacing w:line="380" w:lineRule="exact"/>
        <w:ind w:firstLine="570"/>
        <w:rPr>
          <w:rFonts w:hint="eastAsia" w:ascii="宋体" w:hAnsi="宋体" w:eastAsia="宋体" w:cs="宋体"/>
          <w:color w:val="000000"/>
          <w:sz w:val="24"/>
          <w:szCs w:val="24"/>
        </w:rPr>
      </w:pPr>
      <w:r>
        <w:rPr>
          <w:rFonts w:hint="eastAsia" w:ascii="宋体" w:hAnsi="宋体" w:eastAsia="宋体" w:cs="宋体"/>
          <w:color w:val="000000"/>
          <w:sz w:val="24"/>
          <w:szCs w:val="24"/>
        </w:rPr>
        <w:t>（附：法定代表人身份证正反面复印件）</w:t>
      </w:r>
    </w:p>
    <w:p w14:paraId="3DAF93C4">
      <w:pPr>
        <w:tabs>
          <w:tab w:val="left" w:pos="6300"/>
        </w:tabs>
        <w:snapToGrid w:val="0"/>
        <w:spacing w:line="380" w:lineRule="exact"/>
        <w:ind w:firstLine="570"/>
        <w:rPr>
          <w:rFonts w:hint="eastAsia" w:ascii="宋体" w:hAnsi="宋体" w:eastAsia="宋体" w:cs="宋体"/>
          <w:color w:val="000000"/>
          <w:sz w:val="24"/>
          <w:szCs w:val="24"/>
        </w:rPr>
      </w:pPr>
    </w:p>
    <w:p w14:paraId="347777F8">
      <w:pPr>
        <w:tabs>
          <w:tab w:val="left" w:pos="6300"/>
        </w:tabs>
        <w:snapToGrid w:val="0"/>
        <w:spacing w:line="380" w:lineRule="exact"/>
        <w:ind w:firstLine="570"/>
        <w:rPr>
          <w:rFonts w:hint="eastAsia" w:ascii="宋体" w:hAnsi="宋体" w:eastAsia="宋体" w:cs="宋体"/>
          <w:color w:val="000000"/>
          <w:sz w:val="24"/>
          <w:szCs w:val="24"/>
        </w:rPr>
      </w:pPr>
    </w:p>
    <w:p w14:paraId="4912B237">
      <w:pPr>
        <w:tabs>
          <w:tab w:val="left" w:pos="6300"/>
        </w:tabs>
        <w:snapToGrid w:val="0"/>
        <w:spacing w:line="380" w:lineRule="exact"/>
        <w:ind w:firstLine="570"/>
        <w:rPr>
          <w:rFonts w:hint="eastAsia" w:ascii="宋体" w:hAnsi="宋体" w:eastAsia="宋体" w:cs="宋体"/>
          <w:color w:val="000000"/>
          <w:sz w:val="24"/>
          <w:szCs w:val="24"/>
        </w:rPr>
      </w:pPr>
    </w:p>
    <w:p w14:paraId="546DC0F8">
      <w:pPr>
        <w:tabs>
          <w:tab w:val="left" w:pos="6300"/>
        </w:tabs>
        <w:snapToGrid w:val="0"/>
        <w:spacing w:line="380" w:lineRule="exact"/>
        <w:ind w:firstLine="570"/>
        <w:rPr>
          <w:rFonts w:hint="eastAsia" w:ascii="宋体" w:hAnsi="宋体" w:eastAsia="宋体" w:cs="宋体"/>
          <w:color w:val="000000"/>
          <w:sz w:val="24"/>
          <w:szCs w:val="24"/>
        </w:rPr>
      </w:pPr>
    </w:p>
    <w:p w14:paraId="20AA129B">
      <w:pPr>
        <w:tabs>
          <w:tab w:val="left" w:pos="6300"/>
        </w:tabs>
        <w:snapToGrid w:val="0"/>
        <w:spacing w:line="380" w:lineRule="exact"/>
        <w:ind w:firstLine="570"/>
        <w:rPr>
          <w:rFonts w:hint="eastAsia" w:ascii="宋体" w:hAnsi="宋体" w:eastAsia="宋体" w:cs="宋体"/>
          <w:color w:val="000000"/>
          <w:sz w:val="24"/>
          <w:szCs w:val="24"/>
        </w:rPr>
      </w:pPr>
    </w:p>
    <w:p w14:paraId="6E881280">
      <w:pPr>
        <w:tabs>
          <w:tab w:val="left" w:pos="6300"/>
        </w:tabs>
        <w:snapToGrid w:val="0"/>
        <w:spacing w:line="380" w:lineRule="exact"/>
        <w:ind w:firstLine="570"/>
        <w:rPr>
          <w:rFonts w:hint="eastAsia" w:ascii="宋体" w:hAnsi="宋体" w:eastAsia="宋体" w:cs="宋体"/>
          <w:color w:val="000000"/>
          <w:sz w:val="24"/>
          <w:szCs w:val="24"/>
        </w:rPr>
      </w:pPr>
    </w:p>
    <w:p w14:paraId="57754863">
      <w:pPr>
        <w:tabs>
          <w:tab w:val="left" w:pos="6300"/>
        </w:tabs>
        <w:snapToGrid w:val="0"/>
        <w:spacing w:line="380" w:lineRule="exact"/>
        <w:ind w:firstLine="570"/>
        <w:rPr>
          <w:rFonts w:hint="eastAsia" w:ascii="宋体" w:hAnsi="宋体" w:eastAsia="宋体" w:cs="宋体"/>
          <w:color w:val="000000"/>
          <w:sz w:val="24"/>
          <w:szCs w:val="24"/>
        </w:rPr>
      </w:pPr>
      <w:r>
        <w:rPr>
          <w:rFonts w:hint="eastAsia" w:ascii="宋体" w:hAnsi="宋体" w:eastAsia="宋体" w:cs="宋体"/>
          <w:color w:val="000000"/>
          <w:sz w:val="24"/>
          <w:szCs w:val="24"/>
        </w:rPr>
        <w:br w:type="column"/>
      </w:r>
      <w:r>
        <w:rPr>
          <w:rFonts w:hint="eastAsia" w:ascii="宋体" w:hAnsi="宋体" w:eastAsia="宋体" w:cs="宋体"/>
          <w:color w:val="000000"/>
          <w:sz w:val="24"/>
          <w:szCs w:val="24"/>
        </w:rPr>
        <w:t>（</w:t>
      </w:r>
      <w:r>
        <w:rPr>
          <w:rFonts w:hint="eastAsia" w:ascii="宋体" w:hAnsi="宋体" w:eastAsia="宋体" w:cs="宋体"/>
          <w:color w:val="000000"/>
          <w:sz w:val="24"/>
          <w:szCs w:val="24"/>
          <w:lang w:eastAsia="zh-CN"/>
        </w:rPr>
        <w:t>三</w:t>
      </w:r>
      <w:r>
        <w:rPr>
          <w:rFonts w:hint="eastAsia" w:ascii="宋体" w:hAnsi="宋体" w:eastAsia="宋体" w:cs="宋体"/>
          <w:color w:val="000000"/>
          <w:sz w:val="24"/>
          <w:szCs w:val="24"/>
        </w:rPr>
        <w:t>）法定代表人授权委托书（格式）</w:t>
      </w:r>
    </w:p>
    <w:p w14:paraId="3A5BAE52">
      <w:pPr>
        <w:tabs>
          <w:tab w:val="left" w:pos="6300"/>
        </w:tabs>
        <w:snapToGrid w:val="0"/>
        <w:spacing w:line="380" w:lineRule="exact"/>
        <w:ind w:firstLine="570"/>
        <w:rPr>
          <w:rFonts w:hint="eastAsia" w:ascii="宋体" w:hAnsi="宋体" w:eastAsia="宋体" w:cs="宋体"/>
          <w:color w:val="000000"/>
          <w:sz w:val="24"/>
          <w:szCs w:val="24"/>
        </w:rPr>
      </w:pPr>
    </w:p>
    <w:p w14:paraId="18C094B4">
      <w:pPr>
        <w:tabs>
          <w:tab w:val="left" w:pos="6300"/>
        </w:tabs>
        <w:snapToGrid w:val="0"/>
        <w:spacing w:line="38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项目名称：</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 xml:space="preserve"> </w:t>
      </w:r>
    </w:p>
    <w:p w14:paraId="22B88563">
      <w:pPr>
        <w:tabs>
          <w:tab w:val="left" w:pos="6300"/>
        </w:tabs>
        <w:snapToGrid w:val="0"/>
        <w:spacing w:line="380" w:lineRule="exact"/>
        <w:ind w:firstLine="570"/>
        <w:rPr>
          <w:rFonts w:hint="eastAsia" w:ascii="宋体" w:hAnsi="宋体" w:eastAsia="宋体" w:cs="宋体"/>
          <w:color w:val="000000"/>
          <w:sz w:val="24"/>
          <w:szCs w:val="24"/>
        </w:rPr>
      </w:pPr>
    </w:p>
    <w:p w14:paraId="2EAB81ED">
      <w:pPr>
        <w:tabs>
          <w:tab w:val="left" w:pos="6300"/>
        </w:tabs>
        <w:snapToGrid w:val="0"/>
        <w:spacing w:line="38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致：</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 xml:space="preserve">（采购代理机构名称）： </w:t>
      </w:r>
    </w:p>
    <w:p w14:paraId="0DF2EBCE">
      <w:pPr>
        <w:tabs>
          <w:tab w:val="left" w:pos="6300"/>
        </w:tabs>
        <w:snapToGrid w:val="0"/>
        <w:spacing w:line="38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（供应商法定代表人名称）是（供应商名称）的法定代表人，特授权</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（被授权人姓名及身份证</w:t>
      </w:r>
      <w:r>
        <w:rPr>
          <w:rFonts w:hint="eastAsia" w:ascii="宋体" w:hAnsi="宋体" w:eastAsia="宋体" w:cs="宋体"/>
          <w:color w:val="000000"/>
          <w:sz w:val="24"/>
          <w:szCs w:val="24"/>
          <w:lang w:eastAsia="zh-CN"/>
        </w:rPr>
        <w:t>号</w:t>
      </w:r>
      <w:r>
        <w:rPr>
          <w:rFonts w:hint="eastAsia" w:ascii="宋体" w:hAnsi="宋体" w:eastAsia="宋体" w:cs="宋体"/>
          <w:color w:val="000000"/>
          <w:sz w:val="24"/>
          <w:szCs w:val="24"/>
        </w:rPr>
        <w:t>码）代表我单位全权办理上述项目的询价、签约等具体工作，并签署全部有关文件、协议及合同。</w:t>
      </w:r>
    </w:p>
    <w:p w14:paraId="46C07E01">
      <w:pPr>
        <w:tabs>
          <w:tab w:val="left" w:pos="6300"/>
        </w:tabs>
        <w:snapToGrid w:val="0"/>
        <w:spacing w:line="38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我单位对被授权人的签字负全部责任。</w:t>
      </w:r>
    </w:p>
    <w:p w14:paraId="11CFB898">
      <w:pPr>
        <w:tabs>
          <w:tab w:val="left" w:pos="6300"/>
        </w:tabs>
        <w:snapToGrid w:val="0"/>
        <w:spacing w:line="38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在撤消授权的书面通知以前，本授权书一直有效。被授权人在授权书有效期内签署的所有文件不因授权的撤消而失效。</w:t>
      </w:r>
    </w:p>
    <w:p w14:paraId="79828B25">
      <w:pPr>
        <w:tabs>
          <w:tab w:val="left" w:pos="6300"/>
        </w:tabs>
        <w:snapToGrid w:val="0"/>
        <w:spacing w:line="380" w:lineRule="exact"/>
        <w:ind w:firstLine="570"/>
        <w:rPr>
          <w:rFonts w:hint="eastAsia" w:ascii="宋体" w:hAnsi="宋体" w:eastAsia="宋体" w:cs="宋体"/>
          <w:color w:val="000000"/>
          <w:sz w:val="24"/>
          <w:szCs w:val="24"/>
        </w:rPr>
      </w:pPr>
    </w:p>
    <w:p w14:paraId="6AA62AEF">
      <w:pPr>
        <w:tabs>
          <w:tab w:val="left" w:pos="6300"/>
        </w:tabs>
        <w:snapToGrid w:val="0"/>
        <w:spacing w:line="380" w:lineRule="exact"/>
        <w:ind w:firstLine="570"/>
        <w:rPr>
          <w:rFonts w:hint="eastAsia" w:ascii="宋体" w:hAnsi="宋体" w:eastAsia="宋体" w:cs="宋体"/>
          <w:color w:val="000000"/>
          <w:sz w:val="24"/>
          <w:szCs w:val="24"/>
        </w:rPr>
      </w:pPr>
    </w:p>
    <w:p w14:paraId="37538106">
      <w:pPr>
        <w:tabs>
          <w:tab w:val="left" w:pos="6300"/>
        </w:tabs>
        <w:snapToGrid w:val="0"/>
        <w:spacing w:line="380" w:lineRule="exact"/>
        <w:ind w:firstLine="570"/>
        <w:rPr>
          <w:rFonts w:hint="eastAsia" w:ascii="宋体" w:hAnsi="宋体" w:eastAsia="宋体" w:cs="宋体"/>
          <w:color w:val="000000"/>
          <w:sz w:val="24"/>
          <w:szCs w:val="24"/>
        </w:rPr>
      </w:pPr>
      <w:r>
        <w:rPr>
          <w:rFonts w:hint="eastAsia" w:ascii="宋体" w:hAnsi="宋体" w:eastAsia="宋体" w:cs="宋体"/>
          <w:color w:val="000000"/>
          <w:sz w:val="24"/>
          <w:szCs w:val="24"/>
        </w:rPr>
        <w:t>被授权人：</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 xml:space="preserve">   供应商法定代表人：</w:t>
      </w:r>
      <w:r>
        <w:rPr>
          <w:rFonts w:hint="eastAsia" w:ascii="宋体" w:hAnsi="宋体" w:eastAsia="宋体" w:cs="宋体"/>
          <w:color w:val="000000"/>
          <w:sz w:val="24"/>
          <w:szCs w:val="24"/>
          <w:u w:val="single"/>
        </w:rPr>
        <w:t xml:space="preserve">              </w:t>
      </w:r>
    </w:p>
    <w:p w14:paraId="2E517AFA">
      <w:pPr>
        <w:tabs>
          <w:tab w:val="left" w:pos="6300"/>
        </w:tabs>
        <w:snapToGrid w:val="0"/>
        <w:spacing w:line="380" w:lineRule="exact"/>
        <w:ind w:firstLine="1682" w:firstLineChars="701"/>
        <w:rPr>
          <w:rFonts w:hint="eastAsia" w:ascii="宋体" w:hAnsi="宋体" w:eastAsia="宋体" w:cs="宋体"/>
          <w:color w:val="000000"/>
          <w:sz w:val="24"/>
          <w:szCs w:val="24"/>
        </w:rPr>
      </w:pPr>
      <w:r>
        <w:rPr>
          <w:rFonts w:hint="eastAsia" w:ascii="宋体" w:hAnsi="宋体" w:eastAsia="宋体" w:cs="宋体"/>
          <w:color w:val="000000"/>
          <w:sz w:val="24"/>
          <w:szCs w:val="24"/>
        </w:rPr>
        <w:t>（签字或盖章）                     （签字或盖章）</w:t>
      </w:r>
    </w:p>
    <w:p w14:paraId="1395239D">
      <w:pPr>
        <w:tabs>
          <w:tab w:val="left" w:pos="6300"/>
        </w:tabs>
        <w:snapToGrid w:val="0"/>
        <w:spacing w:line="380" w:lineRule="exact"/>
        <w:ind w:firstLine="570"/>
        <w:rPr>
          <w:rFonts w:hint="eastAsia" w:ascii="宋体" w:hAnsi="宋体" w:eastAsia="宋体" w:cs="宋体"/>
          <w:color w:val="000000"/>
          <w:sz w:val="24"/>
          <w:szCs w:val="24"/>
        </w:rPr>
      </w:pPr>
    </w:p>
    <w:p w14:paraId="25E2E6B8">
      <w:pPr>
        <w:tabs>
          <w:tab w:val="left" w:pos="6300"/>
        </w:tabs>
        <w:snapToGrid w:val="0"/>
        <w:spacing w:line="380" w:lineRule="exact"/>
        <w:ind w:firstLine="570"/>
        <w:rPr>
          <w:rFonts w:hint="eastAsia" w:ascii="宋体" w:hAnsi="宋体" w:eastAsia="宋体" w:cs="宋体"/>
          <w:color w:val="000000"/>
          <w:sz w:val="24"/>
          <w:szCs w:val="24"/>
        </w:rPr>
      </w:pPr>
    </w:p>
    <w:p w14:paraId="662919DB">
      <w:pPr>
        <w:tabs>
          <w:tab w:val="left" w:pos="6300"/>
        </w:tabs>
        <w:snapToGrid w:val="0"/>
        <w:spacing w:line="380" w:lineRule="exact"/>
        <w:ind w:firstLine="570"/>
        <w:rPr>
          <w:rFonts w:hint="eastAsia" w:ascii="宋体" w:hAnsi="宋体" w:eastAsia="宋体" w:cs="宋体"/>
          <w:color w:val="000000"/>
          <w:sz w:val="24"/>
          <w:szCs w:val="24"/>
        </w:rPr>
      </w:pPr>
      <w:r>
        <w:rPr>
          <w:rFonts w:hint="eastAsia" w:ascii="宋体" w:hAnsi="宋体" w:eastAsia="宋体" w:cs="宋体"/>
          <w:color w:val="000000"/>
          <w:sz w:val="24"/>
          <w:szCs w:val="24"/>
        </w:rPr>
        <w:t>（附：被授权人身份证正反面复印件）</w:t>
      </w:r>
    </w:p>
    <w:p w14:paraId="48B63502">
      <w:pPr>
        <w:tabs>
          <w:tab w:val="left" w:pos="6300"/>
        </w:tabs>
        <w:snapToGrid w:val="0"/>
        <w:spacing w:line="380" w:lineRule="exact"/>
        <w:ind w:firstLine="570"/>
        <w:rPr>
          <w:rFonts w:hint="eastAsia" w:ascii="宋体" w:hAnsi="宋体" w:eastAsia="宋体" w:cs="宋体"/>
          <w:color w:val="000000"/>
          <w:sz w:val="24"/>
          <w:szCs w:val="24"/>
        </w:rPr>
      </w:pPr>
    </w:p>
    <w:p w14:paraId="5E7ABA54">
      <w:pPr>
        <w:tabs>
          <w:tab w:val="left" w:pos="6300"/>
        </w:tabs>
        <w:snapToGrid w:val="0"/>
        <w:spacing w:line="380" w:lineRule="exact"/>
        <w:ind w:firstLine="570"/>
        <w:rPr>
          <w:rFonts w:hint="eastAsia" w:ascii="宋体" w:hAnsi="宋体" w:eastAsia="宋体" w:cs="宋体"/>
          <w:color w:val="000000"/>
          <w:sz w:val="24"/>
          <w:szCs w:val="24"/>
        </w:rPr>
      </w:pPr>
    </w:p>
    <w:p w14:paraId="04B033ED">
      <w:pPr>
        <w:tabs>
          <w:tab w:val="left" w:pos="6300"/>
        </w:tabs>
        <w:snapToGrid w:val="0"/>
        <w:spacing w:line="380" w:lineRule="exact"/>
        <w:ind w:firstLine="570"/>
        <w:rPr>
          <w:rFonts w:hint="eastAsia" w:ascii="宋体" w:hAnsi="宋体" w:eastAsia="宋体" w:cs="宋体"/>
          <w:color w:val="000000"/>
          <w:sz w:val="24"/>
          <w:szCs w:val="24"/>
        </w:rPr>
      </w:pPr>
    </w:p>
    <w:p w14:paraId="1ADB70F3">
      <w:pPr>
        <w:tabs>
          <w:tab w:val="left" w:pos="6300"/>
        </w:tabs>
        <w:snapToGrid w:val="0"/>
        <w:spacing w:line="380" w:lineRule="exact"/>
        <w:ind w:right="480" w:firstLine="570"/>
        <w:jc w:val="right"/>
        <w:rPr>
          <w:rFonts w:hint="eastAsia" w:ascii="宋体" w:hAnsi="宋体" w:eastAsia="宋体" w:cs="宋体"/>
          <w:color w:val="000000"/>
          <w:sz w:val="24"/>
          <w:szCs w:val="24"/>
        </w:rPr>
      </w:pPr>
      <w:r>
        <w:rPr>
          <w:rFonts w:hint="eastAsia" w:ascii="宋体" w:hAnsi="宋体" w:eastAsia="宋体" w:cs="宋体"/>
          <w:color w:val="000000"/>
          <w:sz w:val="24"/>
          <w:szCs w:val="24"/>
        </w:rPr>
        <w:t>（供应商公章）</w:t>
      </w:r>
    </w:p>
    <w:p w14:paraId="15E30857">
      <w:pPr>
        <w:tabs>
          <w:tab w:val="left" w:pos="6300"/>
        </w:tabs>
        <w:snapToGrid w:val="0"/>
        <w:spacing w:line="380" w:lineRule="exact"/>
        <w:ind w:right="480" w:firstLine="570"/>
        <w:jc w:val="right"/>
        <w:rPr>
          <w:rFonts w:hint="eastAsia" w:ascii="宋体" w:hAnsi="宋体" w:eastAsia="宋体" w:cs="宋体"/>
          <w:color w:val="000000"/>
          <w:sz w:val="24"/>
          <w:szCs w:val="24"/>
        </w:rPr>
      </w:pPr>
      <w:r>
        <w:rPr>
          <w:rFonts w:hint="eastAsia" w:ascii="宋体" w:hAnsi="宋体" w:eastAsia="宋体" w:cs="宋体"/>
          <w:color w:val="000000"/>
          <w:sz w:val="24"/>
          <w:szCs w:val="24"/>
        </w:rPr>
        <w:t>年  月  日</w:t>
      </w:r>
    </w:p>
    <w:p w14:paraId="50A944A7">
      <w:pPr>
        <w:spacing w:line="400" w:lineRule="auto"/>
        <w:ind w:firstLine="408"/>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br w:type="column"/>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四</w:t>
      </w:r>
      <w:r>
        <w:rPr>
          <w:rFonts w:hint="eastAsia" w:ascii="宋体" w:hAnsi="宋体" w:eastAsia="宋体" w:cs="宋体"/>
          <w:color w:val="000000"/>
          <w:sz w:val="24"/>
          <w:szCs w:val="24"/>
        </w:rPr>
        <w:t>）</w:t>
      </w:r>
      <w:r>
        <w:rPr>
          <w:rFonts w:hint="eastAsia" w:ascii="宋体" w:hAnsi="宋体" w:eastAsia="宋体" w:cs="宋体"/>
          <w:color w:val="000000"/>
          <w:sz w:val="24"/>
          <w:szCs w:val="24"/>
          <w:lang w:eastAsia="zh-CN"/>
        </w:rPr>
        <w:t>基本资格条件承诺函</w:t>
      </w:r>
    </w:p>
    <w:p w14:paraId="66D200BA">
      <w:pPr>
        <w:tabs>
          <w:tab w:val="left" w:pos="6300"/>
        </w:tabs>
        <w:snapToGrid w:val="0"/>
        <w:spacing w:line="380" w:lineRule="exact"/>
        <w:ind w:firstLine="570"/>
        <w:rPr>
          <w:rFonts w:hint="eastAsia" w:ascii="宋体" w:hAnsi="宋体" w:eastAsia="宋体" w:cs="宋体"/>
          <w:color w:val="000000"/>
          <w:sz w:val="24"/>
          <w:szCs w:val="24"/>
        </w:rPr>
      </w:pPr>
    </w:p>
    <w:p w14:paraId="73EDB57E">
      <w:pPr>
        <w:tabs>
          <w:tab w:val="left" w:pos="6300"/>
        </w:tabs>
        <w:snapToGrid w:val="0"/>
        <w:spacing w:line="38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项目名称：</w:t>
      </w:r>
      <w:r>
        <w:rPr>
          <w:rFonts w:hint="eastAsia" w:ascii="宋体" w:hAnsi="宋体" w:eastAsia="宋体" w:cs="宋体"/>
          <w:color w:val="000000"/>
          <w:sz w:val="24"/>
          <w:szCs w:val="24"/>
          <w:u w:val="single"/>
        </w:rPr>
        <w:t xml:space="preserve">                  </w:t>
      </w:r>
    </w:p>
    <w:p w14:paraId="196AFD2A">
      <w:pPr>
        <w:tabs>
          <w:tab w:val="left" w:pos="6300"/>
        </w:tabs>
        <w:snapToGrid w:val="0"/>
        <w:spacing w:line="380" w:lineRule="exact"/>
        <w:ind w:firstLine="570"/>
        <w:rPr>
          <w:rFonts w:hint="eastAsia" w:ascii="宋体" w:hAnsi="宋体" w:eastAsia="宋体" w:cs="宋体"/>
          <w:color w:val="000000"/>
          <w:sz w:val="24"/>
          <w:szCs w:val="24"/>
        </w:rPr>
      </w:pPr>
    </w:p>
    <w:p w14:paraId="78AF9853">
      <w:pPr>
        <w:tabs>
          <w:tab w:val="left" w:pos="6300"/>
        </w:tabs>
        <w:snapToGrid w:val="0"/>
        <w:spacing w:line="38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致：</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（采购代理机构名称）：</w:t>
      </w:r>
    </w:p>
    <w:p w14:paraId="35DE8689">
      <w:pPr>
        <w:tabs>
          <w:tab w:val="left" w:pos="6300"/>
        </w:tabs>
        <w:snapToGrid w:val="0"/>
        <w:spacing w:line="5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u w:val="single"/>
        </w:rPr>
        <w:t xml:space="preserve">        （供应商名称）</w:t>
      </w:r>
      <w:r>
        <w:rPr>
          <w:rFonts w:hint="eastAsia" w:ascii="宋体" w:hAnsi="宋体" w:eastAsia="宋体" w:cs="宋体"/>
          <w:color w:val="000000"/>
          <w:sz w:val="24"/>
          <w:szCs w:val="24"/>
        </w:rPr>
        <w:t>郑重承诺：</w:t>
      </w:r>
    </w:p>
    <w:p w14:paraId="571FE4E2">
      <w:pPr>
        <w:tabs>
          <w:tab w:val="left" w:pos="6300"/>
        </w:tabs>
        <w:snapToGrid w:val="0"/>
        <w:spacing w:line="5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1.我方具有良好的商业信誉和健全的财务会计制度，具有履行合同所必需的设备和专业技术能力，具有依法缴纳税收和社会保障金的良好记录，参加本项目采购活动前三年内无重大违法活动记录。</w:t>
      </w:r>
    </w:p>
    <w:p w14:paraId="61E039B5">
      <w:pPr>
        <w:tabs>
          <w:tab w:val="left" w:pos="6300"/>
        </w:tabs>
        <w:snapToGrid w:val="0"/>
        <w:spacing w:line="5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2.我方未列入在信用中国网站（www.creditchina.gov.cn）“失信被执行人”、“重大税收违法案件当事人名单”中，也未列入中国政府采购网（www.ccgp.gov.cn）“政府采购严重违法失信行为记录名单”中。</w:t>
      </w:r>
    </w:p>
    <w:p w14:paraId="54819FEB">
      <w:pPr>
        <w:tabs>
          <w:tab w:val="left" w:pos="6300"/>
        </w:tabs>
        <w:snapToGrid w:val="0"/>
        <w:spacing w:line="5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3.我方在采购项目评审（评标）环节结束后，随时接受采购人、采购代理机构的检查验证，配合提供相关证明材料，证明符合《中华人民共和国政府采购法》规定的供应商基本资格条件。</w:t>
      </w:r>
    </w:p>
    <w:p w14:paraId="3C8D10A2">
      <w:pPr>
        <w:tabs>
          <w:tab w:val="left" w:pos="6300"/>
        </w:tabs>
        <w:snapToGrid w:val="0"/>
        <w:spacing w:line="5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我方对以上承诺负全部法律责任。</w:t>
      </w:r>
    </w:p>
    <w:p w14:paraId="1BFAA3BA">
      <w:pPr>
        <w:tabs>
          <w:tab w:val="left" w:pos="6300"/>
        </w:tabs>
        <w:snapToGrid w:val="0"/>
        <w:spacing w:line="5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特此承诺。</w:t>
      </w:r>
    </w:p>
    <w:p w14:paraId="14077043">
      <w:pPr>
        <w:pStyle w:val="96"/>
        <w:spacing w:line="380" w:lineRule="exact"/>
        <w:ind w:firstLine="480" w:firstLineChars="200"/>
        <w:rPr>
          <w:rFonts w:hint="eastAsia" w:ascii="宋体" w:hAnsi="宋体" w:eastAsia="宋体" w:cs="宋体"/>
          <w:color w:val="000000"/>
          <w:sz w:val="24"/>
          <w:szCs w:val="24"/>
        </w:rPr>
      </w:pPr>
    </w:p>
    <w:p w14:paraId="2EC0BA6B">
      <w:pPr>
        <w:tabs>
          <w:tab w:val="left" w:pos="6300"/>
        </w:tabs>
        <w:snapToGrid w:val="0"/>
        <w:spacing w:line="380" w:lineRule="exact"/>
        <w:rPr>
          <w:rFonts w:hint="eastAsia" w:ascii="宋体" w:hAnsi="宋体" w:eastAsia="宋体" w:cs="宋体"/>
          <w:color w:val="000000"/>
          <w:sz w:val="24"/>
          <w:szCs w:val="24"/>
        </w:rPr>
      </w:pPr>
    </w:p>
    <w:p w14:paraId="2688AF15">
      <w:pPr>
        <w:tabs>
          <w:tab w:val="left" w:pos="6300"/>
        </w:tabs>
        <w:snapToGrid w:val="0"/>
        <w:spacing w:line="380" w:lineRule="exact"/>
        <w:ind w:right="424" w:firstLine="570"/>
        <w:jc w:val="right"/>
        <w:rPr>
          <w:rFonts w:hint="eastAsia" w:ascii="宋体" w:hAnsi="宋体" w:eastAsia="宋体" w:cs="宋体"/>
          <w:color w:val="000000"/>
          <w:sz w:val="24"/>
          <w:szCs w:val="24"/>
        </w:rPr>
      </w:pPr>
      <w:r>
        <w:rPr>
          <w:rFonts w:hint="eastAsia" w:ascii="宋体" w:hAnsi="宋体" w:eastAsia="宋体" w:cs="宋体"/>
          <w:color w:val="000000"/>
          <w:sz w:val="24"/>
          <w:szCs w:val="24"/>
        </w:rPr>
        <w:t>（供应商公章）</w:t>
      </w:r>
    </w:p>
    <w:p w14:paraId="467B1157">
      <w:pPr>
        <w:tabs>
          <w:tab w:val="left" w:pos="6300"/>
        </w:tabs>
        <w:snapToGrid w:val="0"/>
        <w:spacing w:line="380" w:lineRule="exact"/>
        <w:ind w:right="480" w:firstLine="570"/>
        <w:jc w:val="right"/>
        <w:rPr>
          <w:rFonts w:hint="eastAsia" w:ascii="宋体" w:hAnsi="宋体" w:eastAsia="宋体" w:cs="宋体"/>
          <w:color w:val="000000"/>
          <w:sz w:val="24"/>
          <w:szCs w:val="24"/>
        </w:rPr>
      </w:pPr>
      <w:r>
        <w:rPr>
          <w:rFonts w:hint="eastAsia" w:ascii="宋体" w:hAnsi="宋体" w:eastAsia="宋体" w:cs="宋体"/>
          <w:color w:val="000000"/>
          <w:sz w:val="24"/>
          <w:szCs w:val="24"/>
        </w:rPr>
        <w:t>年  月  日</w:t>
      </w:r>
    </w:p>
    <w:p w14:paraId="62B91ABF">
      <w:pPr>
        <w:spacing w:line="400" w:lineRule="auto"/>
        <w:ind w:firstLine="408"/>
        <w:rPr>
          <w:rFonts w:hint="eastAsia" w:ascii="宋体" w:hAnsi="宋体" w:eastAsia="宋体" w:cs="宋体"/>
          <w:color w:val="000000"/>
          <w:sz w:val="24"/>
          <w:szCs w:val="24"/>
        </w:rPr>
      </w:pPr>
    </w:p>
    <w:p w14:paraId="3B8D2EA3">
      <w:pPr>
        <w:spacing w:line="400" w:lineRule="auto"/>
        <w:ind w:firstLine="408"/>
        <w:rPr>
          <w:rFonts w:hint="eastAsia" w:ascii="宋体" w:hAnsi="宋体" w:eastAsia="宋体" w:cs="宋体"/>
          <w:color w:val="000000"/>
          <w:sz w:val="24"/>
          <w:szCs w:val="24"/>
        </w:rPr>
      </w:pPr>
      <w:r>
        <w:rPr>
          <w:rFonts w:hint="eastAsia" w:ascii="宋体" w:hAnsi="宋体" w:eastAsia="宋体" w:cs="宋体"/>
          <w:color w:val="000000"/>
          <w:sz w:val="24"/>
          <w:szCs w:val="24"/>
        </w:rPr>
        <w:br w:type="page"/>
      </w:r>
    </w:p>
    <w:p w14:paraId="3202CC2E">
      <w:pPr>
        <w:spacing w:line="400" w:lineRule="auto"/>
        <w:ind w:firstLine="408"/>
        <w:rPr>
          <w:rFonts w:hint="eastAsia" w:ascii="宋体" w:hAnsi="宋体" w:eastAsia="宋体" w:cs="宋体"/>
          <w:color w:val="000000"/>
          <w:spacing w:val="-18"/>
          <w:sz w:val="24"/>
        </w:rPr>
      </w:pP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五</w:t>
      </w:r>
      <w:r>
        <w:rPr>
          <w:rFonts w:hint="eastAsia" w:ascii="宋体" w:hAnsi="宋体" w:eastAsia="宋体" w:cs="宋体"/>
          <w:color w:val="000000"/>
          <w:sz w:val="24"/>
          <w:szCs w:val="24"/>
        </w:rPr>
        <w:t>）特定资格条件证明文件（按询价通知书第一篇第三条第（二）项要求提供）</w:t>
      </w:r>
    </w:p>
    <w:p w14:paraId="3E1758D6">
      <w:pPr>
        <w:tabs>
          <w:tab w:val="left" w:pos="6300"/>
        </w:tabs>
        <w:snapToGrid w:val="0"/>
        <w:spacing w:line="380" w:lineRule="exact"/>
        <w:ind w:firstLine="480" w:firstLineChars="200"/>
        <w:rPr>
          <w:rFonts w:hint="eastAsia" w:ascii="宋体" w:hAnsi="宋体" w:eastAsia="宋体" w:cs="宋体"/>
          <w:color w:val="000000"/>
          <w:sz w:val="24"/>
          <w:szCs w:val="24"/>
        </w:rPr>
      </w:pPr>
    </w:p>
    <w:p w14:paraId="3E03E96A">
      <w:pPr>
        <w:tabs>
          <w:tab w:val="left" w:pos="6300"/>
        </w:tabs>
        <w:snapToGrid w:val="0"/>
        <w:spacing w:line="380" w:lineRule="exact"/>
        <w:ind w:firstLine="480" w:firstLineChars="200"/>
        <w:rPr>
          <w:rFonts w:hint="eastAsia" w:ascii="宋体" w:hAnsi="宋体" w:eastAsia="宋体" w:cs="宋体"/>
          <w:color w:val="000000"/>
          <w:sz w:val="24"/>
          <w:szCs w:val="24"/>
        </w:rPr>
      </w:pPr>
    </w:p>
    <w:p w14:paraId="61A69AB2">
      <w:pPr>
        <w:pStyle w:val="5"/>
        <w:spacing w:before="0" w:after="0" w:line="380" w:lineRule="exact"/>
        <w:rPr>
          <w:rFonts w:hint="eastAsia" w:ascii="宋体" w:hAnsi="宋体" w:eastAsia="宋体" w:cs="宋体"/>
          <w:color w:val="000000"/>
          <w:sz w:val="24"/>
          <w:szCs w:val="24"/>
        </w:rPr>
      </w:pPr>
      <w:r>
        <w:rPr>
          <w:rFonts w:hint="eastAsia" w:ascii="宋体" w:hAnsi="宋体" w:eastAsia="宋体" w:cs="宋体"/>
          <w:b w:val="0"/>
          <w:color w:val="000000"/>
          <w:sz w:val="24"/>
          <w:szCs w:val="24"/>
        </w:rPr>
        <w:br w:type="page"/>
      </w:r>
      <w:bookmarkStart w:id="215" w:name="_Toc487204801"/>
      <w:bookmarkStart w:id="216" w:name="_Toc486585244"/>
      <w:bookmarkStart w:id="217" w:name="_Toc486608281"/>
      <w:bookmarkStart w:id="218" w:name="_Toc31547"/>
      <w:r>
        <w:rPr>
          <w:rFonts w:hint="eastAsia" w:ascii="宋体" w:hAnsi="宋体" w:eastAsia="宋体" w:cs="宋体"/>
          <w:color w:val="000000"/>
          <w:sz w:val="24"/>
          <w:szCs w:val="24"/>
        </w:rPr>
        <w:t>五、</w:t>
      </w:r>
      <w:bookmarkEnd w:id="215"/>
      <w:bookmarkEnd w:id="216"/>
      <w:bookmarkEnd w:id="217"/>
      <w:r>
        <w:rPr>
          <w:rFonts w:hint="eastAsia" w:ascii="宋体" w:hAnsi="宋体" w:eastAsia="宋体" w:cs="宋体"/>
          <w:color w:val="000000"/>
          <w:spacing w:val="-18"/>
          <w:sz w:val="24"/>
        </w:rPr>
        <w:t>其他应提供的资料</w:t>
      </w:r>
      <w:bookmarkEnd w:id="218"/>
    </w:p>
    <w:p w14:paraId="13F9E0EA">
      <w:pPr>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（一）</w:t>
      </w:r>
      <w:r>
        <w:rPr>
          <w:rFonts w:hint="eastAsia" w:ascii="宋体" w:hAnsi="宋体" w:eastAsia="宋体" w:cs="宋体"/>
          <w:color w:val="000000"/>
          <w:sz w:val="24"/>
          <w:szCs w:val="24"/>
        </w:rPr>
        <w:t>其他资料</w:t>
      </w:r>
    </w:p>
    <w:p w14:paraId="16E1755F">
      <w:pPr>
        <w:spacing w:line="380" w:lineRule="exact"/>
        <w:ind w:firstLine="480" w:firstLineChars="20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其他与项目有关的资料（自附）：供应商总体情况介绍、其他与本项目有关的资料等。</w:t>
      </w:r>
    </w:p>
    <w:p w14:paraId="53FFC495">
      <w:pPr>
        <w:spacing w:line="380" w:lineRule="exact"/>
        <w:ind w:firstLine="480" w:firstLineChars="200"/>
        <w:jc w:val="center"/>
        <w:rPr>
          <w:rFonts w:hint="eastAsia" w:ascii="宋体" w:hAnsi="宋体" w:eastAsia="宋体" w:cs="宋体"/>
          <w:color w:val="000000"/>
          <w:sz w:val="24"/>
          <w:szCs w:val="24"/>
        </w:rPr>
      </w:pPr>
    </w:p>
    <w:p w14:paraId="61F724B6">
      <w:pPr>
        <w:spacing w:line="380" w:lineRule="exact"/>
        <w:ind w:firstLine="480" w:firstLineChars="200"/>
        <w:jc w:val="center"/>
        <w:rPr>
          <w:rFonts w:hint="eastAsia" w:ascii="宋体" w:hAnsi="宋体" w:eastAsia="宋体" w:cs="宋体"/>
          <w:color w:val="000000"/>
          <w:sz w:val="24"/>
          <w:szCs w:val="24"/>
        </w:rPr>
      </w:pPr>
    </w:p>
    <w:p w14:paraId="03D0FF9E">
      <w:pPr>
        <w:spacing w:line="380" w:lineRule="exact"/>
        <w:ind w:firstLine="480" w:firstLineChars="200"/>
        <w:jc w:val="center"/>
        <w:rPr>
          <w:rFonts w:hint="eastAsia" w:ascii="宋体" w:hAnsi="宋体" w:eastAsia="宋体" w:cs="宋体"/>
          <w:color w:val="000000"/>
          <w:sz w:val="24"/>
          <w:szCs w:val="24"/>
        </w:rPr>
      </w:pPr>
    </w:p>
    <w:p w14:paraId="29836BC4">
      <w:pPr>
        <w:spacing w:line="380" w:lineRule="exact"/>
        <w:ind w:firstLine="480" w:firstLineChars="200"/>
        <w:jc w:val="center"/>
        <w:rPr>
          <w:rFonts w:hint="eastAsia" w:ascii="宋体" w:hAnsi="宋体" w:eastAsia="宋体" w:cs="宋体"/>
          <w:color w:val="000000"/>
          <w:sz w:val="24"/>
          <w:szCs w:val="24"/>
        </w:rPr>
      </w:pPr>
    </w:p>
    <w:p w14:paraId="63BB39FC">
      <w:pPr>
        <w:spacing w:line="380" w:lineRule="exact"/>
        <w:ind w:firstLine="480" w:firstLineChars="200"/>
        <w:jc w:val="center"/>
        <w:rPr>
          <w:rFonts w:hint="eastAsia" w:ascii="宋体" w:hAnsi="宋体" w:eastAsia="宋体" w:cs="宋体"/>
          <w:color w:val="000000"/>
          <w:sz w:val="24"/>
          <w:szCs w:val="24"/>
        </w:rPr>
      </w:pPr>
    </w:p>
    <w:p w14:paraId="42F667B1">
      <w:pPr>
        <w:spacing w:line="380" w:lineRule="exact"/>
        <w:ind w:firstLine="480" w:firstLineChars="200"/>
        <w:jc w:val="center"/>
        <w:rPr>
          <w:rFonts w:hint="eastAsia" w:ascii="宋体" w:hAnsi="宋体" w:eastAsia="宋体" w:cs="宋体"/>
          <w:color w:val="000000"/>
          <w:sz w:val="24"/>
          <w:szCs w:val="24"/>
        </w:rPr>
      </w:pPr>
    </w:p>
    <w:p w14:paraId="7B1385F6">
      <w:pPr>
        <w:spacing w:line="380" w:lineRule="exact"/>
        <w:ind w:firstLine="480" w:firstLineChars="200"/>
        <w:jc w:val="center"/>
        <w:rPr>
          <w:rFonts w:hint="eastAsia" w:ascii="宋体" w:hAnsi="宋体" w:eastAsia="宋体" w:cs="宋体"/>
          <w:color w:val="000000"/>
          <w:sz w:val="24"/>
          <w:szCs w:val="24"/>
        </w:rPr>
      </w:pPr>
    </w:p>
    <w:p w14:paraId="57797C8B">
      <w:pPr>
        <w:spacing w:line="380" w:lineRule="exact"/>
        <w:ind w:firstLine="480" w:firstLineChars="200"/>
        <w:jc w:val="center"/>
        <w:rPr>
          <w:rFonts w:hint="eastAsia" w:ascii="宋体" w:hAnsi="宋体" w:eastAsia="宋体" w:cs="宋体"/>
          <w:color w:val="000000"/>
          <w:sz w:val="24"/>
          <w:szCs w:val="24"/>
        </w:rPr>
      </w:pPr>
    </w:p>
    <w:p w14:paraId="0C0EDB78">
      <w:pPr>
        <w:spacing w:line="380" w:lineRule="exact"/>
        <w:ind w:firstLine="480" w:firstLineChars="200"/>
        <w:jc w:val="center"/>
        <w:rPr>
          <w:rFonts w:hint="eastAsia" w:ascii="宋体" w:hAnsi="宋体" w:eastAsia="宋体" w:cs="宋体"/>
          <w:color w:val="000000"/>
          <w:sz w:val="24"/>
          <w:szCs w:val="24"/>
        </w:rPr>
      </w:pPr>
    </w:p>
    <w:p w14:paraId="313243F1">
      <w:pPr>
        <w:spacing w:line="380" w:lineRule="exact"/>
        <w:ind w:firstLine="480" w:firstLineChars="200"/>
        <w:jc w:val="center"/>
        <w:rPr>
          <w:rFonts w:hint="eastAsia" w:ascii="宋体" w:hAnsi="宋体" w:eastAsia="宋体" w:cs="宋体"/>
          <w:color w:val="000000"/>
          <w:sz w:val="24"/>
          <w:szCs w:val="24"/>
        </w:rPr>
      </w:pPr>
    </w:p>
    <w:p w14:paraId="08CC90C6">
      <w:pPr>
        <w:spacing w:line="380" w:lineRule="exact"/>
        <w:ind w:firstLine="480" w:firstLineChars="200"/>
        <w:jc w:val="center"/>
        <w:rPr>
          <w:rFonts w:hint="eastAsia" w:ascii="宋体" w:hAnsi="宋体" w:eastAsia="宋体" w:cs="宋体"/>
          <w:color w:val="000000"/>
          <w:sz w:val="24"/>
          <w:szCs w:val="24"/>
        </w:rPr>
      </w:pPr>
    </w:p>
    <w:p w14:paraId="496DAEF2">
      <w:pPr>
        <w:spacing w:line="380" w:lineRule="exact"/>
        <w:ind w:firstLine="480" w:firstLineChars="200"/>
        <w:jc w:val="center"/>
        <w:rPr>
          <w:rFonts w:hint="eastAsia" w:ascii="宋体" w:hAnsi="宋体" w:eastAsia="宋体" w:cs="宋体"/>
          <w:color w:val="000000"/>
          <w:sz w:val="24"/>
          <w:szCs w:val="24"/>
        </w:rPr>
      </w:pPr>
    </w:p>
    <w:p w14:paraId="7A7E24D5">
      <w:pPr>
        <w:spacing w:line="380" w:lineRule="exact"/>
        <w:ind w:firstLine="480" w:firstLineChars="200"/>
        <w:jc w:val="center"/>
        <w:rPr>
          <w:rFonts w:hint="eastAsia" w:ascii="宋体" w:hAnsi="宋体" w:eastAsia="宋体" w:cs="宋体"/>
          <w:color w:val="000000"/>
          <w:sz w:val="24"/>
          <w:szCs w:val="24"/>
        </w:rPr>
      </w:pPr>
    </w:p>
    <w:p w14:paraId="644EF8F0">
      <w:pPr>
        <w:spacing w:line="380" w:lineRule="exact"/>
        <w:ind w:firstLine="480" w:firstLineChars="200"/>
        <w:jc w:val="center"/>
        <w:rPr>
          <w:rFonts w:hint="eastAsia" w:ascii="宋体" w:hAnsi="宋体" w:eastAsia="宋体" w:cs="宋体"/>
          <w:color w:val="000000"/>
          <w:sz w:val="24"/>
          <w:szCs w:val="24"/>
        </w:rPr>
      </w:pPr>
    </w:p>
    <w:p w14:paraId="318FCC90">
      <w:pPr>
        <w:spacing w:line="380" w:lineRule="exact"/>
        <w:ind w:firstLine="480" w:firstLineChars="200"/>
        <w:jc w:val="center"/>
        <w:rPr>
          <w:rFonts w:hint="eastAsia" w:ascii="宋体" w:hAnsi="宋体" w:eastAsia="宋体" w:cs="宋体"/>
          <w:color w:val="000000"/>
          <w:sz w:val="24"/>
          <w:szCs w:val="24"/>
        </w:rPr>
      </w:pPr>
    </w:p>
    <w:p w14:paraId="72AC1C47">
      <w:pPr>
        <w:spacing w:line="380" w:lineRule="exact"/>
        <w:ind w:firstLine="480" w:firstLineChars="200"/>
        <w:jc w:val="center"/>
        <w:rPr>
          <w:rFonts w:hint="eastAsia" w:ascii="宋体" w:hAnsi="宋体" w:eastAsia="宋体" w:cs="宋体"/>
          <w:color w:val="000000"/>
          <w:sz w:val="24"/>
          <w:szCs w:val="24"/>
        </w:rPr>
      </w:pPr>
    </w:p>
    <w:p w14:paraId="382711F0">
      <w:pPr>
        <w:spacing w:line="380" w:lineRule="exact"/>
        <w:ind w:firstLine="480" w:firstLineChars="200"/>
        <w:jc w:val="center"/>
        <w:rPr>
          <w:rFonts w:hint="eastAsia" w:ascii="宋体" w:hAnsi="宋体" w:eastAsia="宋体" w:cs="宋体"/>
          <w:color w:val="000000"/>
          <w:sz w:val="24"/>
          <w:szCs w:val="24"/>
        </w:rPr>
      </w:pPr>
    </w:p>
    <w:p w14:paraId="25B15A30">
      <w:pPr>
        <w:spacing w:line="380" w:lineRule="exact"/>
        <w:ind w:firstLine="480" w:firstLineChars="200"/>
        <w:jc w:val="center"/>
        <w:rPr>
          <w:rFonts w:hint="eastAsia" w:ascii="宋体" w:hAnsi="宋体" w:eastAsia="宋体" w:cs="宋体"/>
          <w:color w:val="000000"/>
          <w:sz w:val="24"/>
          <w:szCs w:val="24"/>
        </w:rPr>
      </w:pPr>
    </w:p>
    <w:p w14:paraId="24DC125C">
      <w:pPr>
        <w:spacing w:line="380" w:lineRule="exact"/>
        <w:ind w:firstLine="480" w:firstLineChars="200"/>
        <w:jc w:val="center"/>
        <w:rPr>
          <w:rFonts w:hint="eastAsia" w:ascii="宋体" w:hAnsi="宋体" w:eastAsia="宋体" w:cs="宋体"/>
          <w:color w:val="000000"/>
          <w:sz w:val="24"/>
          <w:szCs w:val="24"/>
        </w:rPr>
      </w:pPr>
    </w:p>
    <w:p w14:paraId="68F01BA9">
      <w:pPr>
        <w:spacing w:line="380" w:lineRule="exact"/>
        <w:ind w:firstLine="480" w:firstLineChars="200"/>
        <w:jc w:val="center"/>
        <w:rPr>
          <w:rFonts w:hint="eastAsia" w:ascii="宋体" w:hAnsi="宋体" w:eastAsia="宋体" w:cs="宋体"/>
          <w:color w:val="000000"/>
          <w:sz w:val="24"/>
          <w:szCs w:val="24"/>
        </w:rPr>
      </w:pPr>
    </w:p>
    <w:p w14:paraId="2EA08B0F">
      <w:pPr>
        <w:spacing w:line="380" w:lineRule="exact"/>
        <w:ind w:firstLine="480" w:firstLineChars="200"/>
        <w:jc w:val="center"/>
        <w:rPr>
          <w:rFonts w:hint="eastAsia" w:ascii="宋体" w:hAnsi="宋体" w:eastAsia="宋体" w:cs="宋体"/>
          <w:color w:val="000000"/>
          <w:sz w:val="24"/>
          <w:szCs w:val="24"/>
        </w:rPr>
      </w:pPr>
    </w:p>
    <w:p w14:paraId="26A33368">
      <w:pPr>
        <w:spacing w:line="380" w:lineRule="exact"/>
        <w:ind w:firstLine="480" w:firstLineChars="200"/>
        <w:jc w:val="center"/>
        <w:rPr>
          <w:rFonts w:hint="eastAsia" w:ascii="宋体" w:hAnsi="宋体" w:eastAsia="宋体" w:cs="宋体"/>
          <w:color w:val="000000"/>
          <w:sz w:val="24"/>
          <w:szCs w:val="24"/>
        </w:rPr>
      </w:pPr>
    </w:p>
    <w:p w14:paraId="5C7EDD63">
      <w:pPr>
        <w:spacing w:line="380" w:lineRule="exact"/>
        <w:ind w:firstLine="480" w:firstLineChars="200"/>
        <w:jc w:val="center"/>
        <w:rPr>
          <w:rFonts w:hint="eastAsia" w:ascii="宋体" w:hAnsi="宋体" w:eastAsia="宋体" w:cs="宋体"/>
          <w:color w:val="000000"/>
          <w:sz w:val="24"/>
          <w:szCs w:val="24"/>
        </w:rPr>
      </w:pPr>
    </w:p>
    <w:p w14:paraId="25D4E947">
      <w:pPr>
        <w:spacing w:line="380" w:lineRule="exact"/>
        <w:ind w:firstLine="480" w:firstLineChars="200"/>
        <w:jc w:val="center"/>
        <w:rPr>
          <w:rFonts w:hint="eastAsia" w:ascii="宋体" w:hAnsi="宋体" w:eastAsia="宋体" w:cs="宋体"/>
          <w:color w:val="000000"/>
          <w:sz w:val="24"/>
          <w:szCs w:val="24"/>
        </w:rPr>
      </w:pPr>
    </w:p>
    <w:p w14:paraId="72198FDD">
      <w:pPr>
        <w:spacing w:line="380" w:lineRule="exact"/>
        <w:ind w:firstLine="480" w:firstLineChars="200"/>
        <w:jc w:val="center"/>
        <w:rPr>
          <w:rFonts w:hint="eastAsia" w:ascii="宋体" w:hAnsi="宋体" w:eastAsia="宋体" w:cs="宋体"/>
          <w:color w:val="000000"/>
          <w:sz w:val="24"/>
          <w:szCs w:val="24"/>
        </w:rPr>
      </w:pPr>
    </w:p>
    <w:p w14:paraId="01B82185">
      <w:pPr>
        <w:spacing w:line="380" w:lineRule="exact"/>
        <w:ind w:firstLine="480" w:firstLineChars="200"/>
        <w:jc w:val="center"/>
        <w:rPr>
          <w:rFonts w:hint="eastAsia" w:ascii="宋体" w:hAnsi="宋体" w:eastAsia="宋体" w:cs="宋体"/>
          <w:color w:val="000000"/>
          <w:sz w:val="24"/>
          <w:szCs w:val="24"/>
        </w:rPr>
      </w:pPr>
    </w:p>
    <w:p w14:paraId="4F53C6E0">
      <w:pPr>
        <w:spacing w:line="380" w:lineRule="exact"/>
        <w:ind w:firstLine="480" w:firstLineChars="200"/>
        <w:jc w:val="center"/>
        <w:rPr>
          <w:rFonts w:hint="eastAsia" w:ascii="宋体" w:hAnsi="宋体" w:eastAsia="宋体" w:cs="宋体"/>
          <w:color w:val="000000"/>
          <w:sz w:val="24"/>
          <w:szCs w:val="24"/>
        </w:rPr>
      </w:pPr>
    </w:p>
    <w:p w14:paraId="2FD74ABA">
      <w:pPr>
        <w:spacing w:line="380" w:lineRule="exact"/>
        <w:ind w:firstLine="480" w:firstLineChars="200"/>
        <w:jc w:val="center"/>
        <w:rPr>
          <w:rFonts w:hint="eastAsia" w:ascii="宋体" w:hAnsi="宋体" w:eastAsia="宋体" w:cs="宋体"/>
          <w:color w:val="000000"/>
          <w:sz w:val="24"/>
          <w:szCs w:val="24"/>
        </w:rPr>
      </w:pPr>
    </w:p>
    <w:p w14:paraId="7010D805">
      <w:pPr>
        <w:spacing w:line="380" w:lineRule="exact"/>
        <w:ind w:firstLine="480" w:firstLineChars="200"/>
        <w:jc w:val="center"/>
        <w:rPr>
          <w:rFonts w:hint="eastAsia" w:ascii="宋体" w:hAnsi="宋体" w:eastAsia="宋体" w:cs="宋体"/>
          <w:color w:val="000000"/>
          <w:sz w:val="24"/>
          <w:szCs w:val="24"/>
        </w:rPr>
      </w:pPr>
    </w:p>
    <w:p w14:paraId="3FEDE127">
      <w:pPr>
        <w:spacing w:line="380" w:lineRule="exact"/>
        <w:ind w:firstLine="480" w:firstLineChars="200"/>
        <w:jc w:val="center"/>
        <w:rPr>
          <w:rFonts w:hint="eastAsia" w:ascii="宋体" w:hAnsi="宋体" w:eastAsia="宋体" w:cs="宋体"/>
          <w:color w:val="000000"/>
          <w:sz w:val="24"/>
          <w:szCs w:val="24"/>
        </w:rPr>
      </w:pPr>
    </w:p>
    <w:p w14:paraId="03D32FFD">
      <w:pPr>
        <w:spacing w:line="380" w:lineRule="exact"/>
        <w:ind w:firstLine="480" w:firstLineChars="200"/>
        <w:jc w:val="center"/>
        <w:rPr>
          <w:rFonts w:hint="eastAsia" w:ascii="宋体" w:hAnsi="宋体" w:eastAsia="宋体" w:cs="宋体"/>
          <w:color w:val="000000"/>
          <w:sz w:val="24"/>
          <w:szCs w:val="24"/>
        </w:rPr>
      </w:pPr>
    </w:p>
    <w:p w14:paraId="094457B5">
      <w:pPr>
        <w:spacing w:line="380" w:lineRule="exact"/>
        <w:ind w:firstLine="480" w:firstLineChars="200"/>
        <w:jc w:val="center"/>
        <w:rPr>
          <w:rFonts w:hint="eastAsia" w:ascii="宋体" w:hAnsi="宋体" w:eastAsia="宋体" w:cs="宋体"/>
          <w:color w:val="000000"/>
          <w:sz w:val="24"/>
          <w:szCs w:val="24"/>
        </w:rPr>
      </w:pPr>
    </w:p>
    <w:p w14:paraId="7A116444">
      <w:pPr>
        <w:spacing w:line="380" w:lineRule="exact"/>
        <w:ind w:firstLine="480" w:firstLineChars="20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（结束）</w:t>
      </w:r>
    </w:p>
    <w:sectPr>
      <w:pgSz w:w="11906" w:h="16838"/>
      <w:pgMar w:top="1134" w:right="1191" w:bottom="1134" w:left="1304" w:header="851" w:footer="992" w:gutter="0"/>
      <w:pgNumType w:fmt="numberInDash"/>
      <w:cols w:space="720" w:num="1"/>
      <w:docGrid w:type="lines" w:linePitch="38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63CE900-827C-4357-A410-8472686E3945}"/>
  </w:font>
  <w:font w:name="Arial">
    <w:panose1 w:val="020B0604020202020204"/>
    <w:charset w:val="01"/>
    <w:family w:val="swiss"/>
    <w:pitch w:val="default"/>
    <w:sig w:usb0="E0002EFF" w:usb1="C000785B" w:usb2="00000009" w:usb3="00000000" w:csb0="400001FF" w:csb1="FFFF0000"/>
    <w:embedRegular r:id="rId2" w:fontKey="{B28BD770-D96A-41F4-A422-0566864B6C6A}"/>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E760EC13-8766-4E5F-BB6C-82E100D4F79A}"/>
  </w:font>
  <w:font w:name="Symbol">
    <w:panose1 w:val="05050102010706020507"/>
    <w:charset w:val="02"/>
    <w:family w:val="roman"/>
    <w:pitch w:val="default"/>
    <w:sig w:usb0="00000000" w:usb1="00000000" w:usb2="00000000" w:usb3="00000000" w:csb0="80000000" w:csb1="00000000"/>
    <w:embedRegular r:id="rId4" w:fontKey="{AE0893E0-653D-4A1A-A338-811AC50F3519}"/>
  </w:font>
  <w:font w:name="Calibri">
    <w:panose1 w:val="020F0502020204030204"/>
    <w:charset w:val="00"/>
    <w:family w:val="swiss"/>
    <w:pitch w:val="default"/>
    <w:sig w:usb0="E4002EFF" w:usb1="C000247B" w:usb2="00000009" w:usb3="00000000" w:csb0="200001FF" w:csb1="00000000"/>
    <w:embedRegular r:id="rId5" w:fontKey="{E2913BEA-EB09-489D-B509-9C3E7D5FF483}"/>
  </w:font>
  <w:font w:name="Cambria">
    <w:panose1 w:val="02040503050406030204"/>
    <w:charset w:val="00"/>
    <w:family w:val="roman"/>
    <w:pitch w:val="default"/>
    <w:sig w:usb0="E00006FF" w:usb1="420024FF" w:usb2="02000000" w:usb3="00000000" w:csb0="2000019F" w:csb1="00000000"/>
    <w:embedRegular r:id="rId6" w:fontKey="{34F25485-E93D-48C0-9EB1-1EF17904924E}"/>
  </w:font>
  <w:font w:name="PMingLiUfalt">
    <w:altName w:val="MingLiU-ExtB"/>
    <w:panose1 w:val="00000000000000000000"/>
    <w:charset w:val="88"/>
    <w:family w:val="auto"/>
    <w:pitch w:val="default"/>
    <w:sig w:usb0="00000000" w:usb1="00000000" w:usb2="00000010" w:usb3="00000000" w:csb0="00100000" w:csb1="00000000"/>
  </w:font>
  <w:font w:name="MingLiU-ExtB">
    <w:panose1 w:val="02020500000000000000"/>
    <w:charset w:val="88"/>
    <w:family w:val="auto"/>
    <w:pitch w:val="default"/>
    <w:sig w:usb0="8000002F" w:usb1="02000008" w:usb2="00000000" w:usb3="00000000" w:csb0="00100001" w:csb1="00000000"/>
  </w:font>
  <w:font w:name="FangSong_GB2312">
    <w:altName w:val="仿宋"/>
    <w:panose1 w:val="02010609060001010101"/>
    <w:charset w:val="7A"/>
    <w:family w:val="modern"/>
    <w:pitch w:val="default"/>
    <w:sig w:usb0="00000000" w:usb1="00000000" w:usb2="00000016" w:usb3="00000000" w:csb0="00040001" w:csb1="00000000"/>
  </w:font>
  <w:font w:name="仿宋">
    <w:panose1 w:val="02010609060101010101"/>
    <w:charset w:val="7A"/>
    <w:family w:val="modern"/>
    <w:pitch w:val="default"/>
    <w:sig w:usb0="800002BF" w:usb1="38CF7CFA" w:usb2="00000016" w:usb3="00000000" w:csb0="00040001" w:csb1="00000000"/>
    <w:embedRegular r:id="rId7" w:fontKey="{22EA260B-8083-490F-919A-9F613CD957DB}"/>
  </w:font>
  <w:font w:name="Futura Bk">
    <w:altName w:val="Courier New"/>
    <w:panose1 w:val="00000000000000000000"/>
    <w:charset w:val="00"/>
    <w:family w:val="swiss"/>
    <w:pitch w:val="default"/>
    <w:sig w:usb0="00000000" w:usb1="00000000" w:usb2="00000000" w:usb3="00000000" w:csb0="00000001" w:csb1="00000000"/>
  </w:font>
  <w:font w:name="Verdana">
    <w:panose1 w:val="020B0604030504040204"/>
    <w:charset w:val="00"/>
    <w:family w:val="swiss"/>
    <w:pitch w:val="default"/>
    <w:sig w:usb0="A00006FF" w:usb1="4000205B" w:usb2="00000010" w:usb3="00000000" w:csb0="2000019F" w:csb1="00000000"/>
    <w:embedRegular r:id="rId8" w:fontKey="{8DCFA52B-C031-49CA-A4ED-C7B158FFDD41}"/>
  </w:font>
  <w:font w:name="Tahoma">
    <w:panose1 w:val="020B0604030504040204"/>
    <w:charset w:val="00"/>
    <w:family w:val="swiss"/>
    <w:pitch w:val="default"/>
    <w:sig w:usb0="E1002EFF" w:usb1="C000605B" w:usb2="00000029" w:usb3="00000000" w:csb0="200101FF" w:csb1="20280000"/>
    <w:embedRegular r:id="rId9" w:fontKey="{57D240C6-0C49-466F-B8E1-B1FB8A64B305}"/>
  </w:font>
  <w:font w:name="Arial Narrow">
    <w:panose1 w:val="020B0606020202030204"/>
    <w:charset w:val="00"/>
    <w:family w:val="swiss"/>
    <w:pitch w:val="default"/>
    <w:sig w:usb0="00000287" w:usb1="00000800" w:usb2="00000000" w:usb3="00000000" w:csb0="2000009F" w:csb1="DFD70000"/>
    <w:embedRegular r:id="rId10" w:fontKey="{326CC3BE-796A-48B7-867C-16E31850D2A9}"/>
  </w:font>
  <w:font w:name="文鼎粗黑">
    <w:altName w:val="黑体"/>
    <w:panose1 w:val="00000000000000000000"/>
    <w:charset w:val="86"/>
    <w:family w:val="swiss"/>
    <w:pitch w:val="default"/>
    <w:sig w:usb0="00000000" w:usb1="00000000" w:usb2="00000010" w:usb3="00000000" w:csb0="00040000" w:csb1="00000000"/>
  </w:font>
  <w:font w:name="昆仑楷体">
    <w:altName w:val="宋体"/>
    <w:panose1 w:val="00000000000000000000"/>
    <w:charset w:val="86"/>
    <w:family w:val="swiss"/>
    <w:pitch w:val="default"/>
    <w:sig w:usb0="00000000" w:usb1="00000000" w:usb2="00000010" w:usb3="00000000" w:csb0="00040000" w:csb1="00000000"/>
  </w:font>
  <w:font w:name="楷体_GB2312">
    <w:altName w:val="楷体"/>
    <w:panose1 w:val="02010609030101010101"/>
    <w:charset w:val="86"/>
    <w:family w:val="swiss"/>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方正小标宋_GBK">
    <w:panose1 w:val="03000509000000000000"/>
    <w:charset w:val="86"/>
    <w:family w:val="script"/>
    <w:pitch w:val="default"/>
    <w:sig w:usb0="00000001" w:usb1="080E0000" w:usb2="00000000" w:usb3="00000000" w:csb0="00040000" w:csb1="00000000"/>
    <w:embedRegular r:id="rId11" w:fontKey="{C3670A46-4B1E-4F43-A4B7-186A7F3473E5}"/>
  </w:font>
  <w:font w:name="微软雅黑">
    <w:panose1 w:val="020B0503020204020204"/>
    <w:charset w:val="86"/>
    <w:family w:val="swiss"/>
    <w:pitch w:val="default"/>
    <w:sig w:usb0="80000287" w:usb1="2ACF3C50" w:usb2="00000016" w:usb3="00000000" w:csb0="0004001F" w:csb1="00000000"/>
    <w:embedRegular r:id="rId12" w:fontKey="{E55257CA-5305-4347-9B5F-F8A312666EC8}"/>
  </w:font>
  <w:font w:name="宋体-18030">
    <w:altName w:val="微软雅黑"/>
    <w:panose1 w:val="02010609060101010101"/>
    <w:charset w:val="86"/>
    <w:family w:val="modern"/>
    <w:pitch w:val="default"/>
    <w:sig w:usb0="00000000" w:usb1="00000000" w:usb2="000A005E" w:usb3="00000000" w:csb0="00040001" w:csb1="00000000"/>
    <w:embedRegular r:id="rId13" w:fontKey="{D368E2A4-3720-499B-8927-69A072EAC0DF}"/>
  </w:font>
  <w:font w:name="方正仿宋_GBK">
    <w:panose1 w:val="03000509000000000000"/>
    <w:charset w:val="86"/>
    <w:family w:val="script"/>
    <w:pitch w:val="default"/>
    <w:sig w:usb0="00000001" w:usb1="080E0000" w:usb2="00000000" w:usb3="00000000" w:csb0="00040000" w:csb1="00000000"/>
    <w:embedRegular r:id="rId14" w:fontKey="{8F15DFA8-B227-45CB-8F2C-3FFCF8F96AC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49EA83">
    <w:pPr>
      <w:pStyle w:val="3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CF815BC">
                          <w:pPr>
                            <w:pStyle w:val="35"/>
                            <w:rPr>
                              <w:rStyle w:val="61"/>
                              <w:sz w:val="28"/>
                              <w:szCs w:val="28"/>
                            </w:rPr>
                          </w:pPr>
                          <w:r>
                            <w:rPr>
                              <w:sz w:val="28"/>
                              <w:szCs w:val="28"/>
                            </w:rPr>
                            <w:fldChar w:fldCharType="begin"/>
                          </w:r>
                          <w:r>
                            <w:rPr>
                              <w:rStyle w:val="61"/>
                              <w:sz w:val="28"/>
                              <w:szCs w:val="28"/>
                            </w:rPr>
                            <w:instrText xml:space="preserve">PAGE  </w:instrText>
                          </w:r>
                          <w:r>
                            <w:rPr>
                              <w:sz w:val="28"/>
                              <w:szCs w:val="28"/>
                            </w:rPr>
                            <w:fldChar w:fldCharType="separate"/>
                          </w:r>
                          <w:r>
                            <w:rPr>
                              <w:rStyle w:val="61"/>
                              <w:sz w:val="28"/>
                              <w:szCs w:val="28"/>
                            </w:rPr>
                            <w:t>- 13 -</w:t>
                          </w:r>
                          <w:r>
                            <w:rPr>
                              <w:sz w:val="28"/>
                              <w:szCs w:val="28"/>
                            </w:rPr>
                            <w:fldChar w:fldCharType="end"/>
                          </w:r>
                          <w:r>
                            <w:rPr>
                              <w:rStyle w:val="61"/>
                              <w:sz w:val="28"/>
                              <w:szCs w:val="28"/>
                            </w:rPr>
                            <w:t xml:space="preserve"> </w:t>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Bp2gcnIAQAAmQMAAA4AAAAAAAAAAQAgAAAAHgEAAGRycy9lMm9Eb2Mu&#10;eG1sUEsFBgAAAAAGAAYAWQEAAFgFAAAAAA==&#10;">
              <v:fill on="f" focussize="0,0"/>
              <v:stroke on="f"/>
              <v:imagedata o:title=""/>
              <o:lock v:ext="edit" aspectratio="f"/>
              <v:textbox inset="0mm,0mm,0mm,0mm" style="mso-fit-shape-to-text:t;">
                <w:txbxContent>
                  <w:p w14:paraId="6CF815BC">
                    <w:pPr>
                      <w:pStyle w:val="35"/>
                      <w:rPr>
                        <w:rStyle w:val="61"/>
                        <w:sz w:val="28"/>
                        <w:szCs w:val="28"/>
                      </w:rPr>
                    </w:pPr>
                    <w:r>
                      <w:rPr>
                        <w:sz w:val="28"/>
                        <w:szCs w:val="28"/>
                      </w:rPr>
                      <w:fldChar w:fldCharType="begin"/>
                    </w:r>
                    <w:r>
                      <w:rPr>
                        <w:rStyle w:val="61"/>
                        <w:sz w:val="28"/>
                        <w:szCs w:val="28"/>
                      </w:rPr>
                      <w:instrText xml:space="preserve">PAGE  </w:instrText>
                    </w:r>
                    <w:r>
                      <w:rPr>
                        <w:sz w:val="28"/>
                        <w:szCs w:val="28"/>
                      </w:rPr>
                      <w:fldChar w:fldCharType="separate"/>
                    </w:r>
                    <w:r>
                      <w:rPr>
                        <w:rStyle w:val="61"/>
                        <w:sz w:val="28"/>
                        <w:szCs w:val="28"/>
                      </w:rPr>
                      <w:t>- 13 -</w:t>
                    </w:r>
                    <w:r>
                      <w:rPr>
                        <w:sz w:val="28"/>
                        <w:szCs w:val="28"/>
                      </w:rPr>
                      <w:fldChar w:fldCharType="end"/>
                    </w:r>
                    <w:r>
                      <w:rPr>
                        <w:rStyle w:val="61"/>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30A192">
    <w:pPr>
      <w:pStyle w:val="36"/>
      <w:pBdr>
        <w:bottom w:val="none" w:color="auto" w:sz="0" w:space="1"/>
      </w:pBdr>
      <w:jc w:val="both"/>
      <w:rPr>
        <w:rFonts w:hint="eastAsia" w:ascii="仿宋" w:hAnsi="仿宋" w:eastAsia="仿宋"/>
        <w:sz w:val="21"/>
        <w:szCs w:val="21"/>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7E755B"/>
    <w:multiLevelType w:val="singleLevel"/>
    <w:tmpl w:val="A37E755B"/>
    <w:lvl w:ilvl="0" w:tentative="0">
      <w:start w:val="2"/>
      <w:numFmt w:val="chineseCounting"/>
      <w:suff w:val="nothing"/>
      <w:lvlText w:val="（%1）"/>
      <w:lvlJc w:val="left"/>
      <w:rPr>
        <w:rFonts w:hint="eastAsia"/>
      </w:rPr>
    </w:lvl>
  </w:abstractNum>
  <w:abstractNum w:abstractNumId="1">
    <w:nsid w:val="00000002"/>
    <w:multiLevelType w:val="singleLevel"/>
    <w:tmpl w:val="00000002"/>
    <w:lvl w:ilvl="0" w:tentative="0">
      <w:start w:val="2"/>
      <w:numFmt w:val="chineseCounting"/>
      <w:suff w:val="nothing"/>
      <w:lvlText w:val="（%1）"/>
      <w:lvlJc w:val="left"/>
      <w:rPr>
        <w:rFonts w:hint="eastAsia"/>
      </w:rPr>
    </w:lvl>
  </w:abstractNum>
  <w:abstractNum w:abstractNumId="2">
    <w:nsid w:val="00000003"/>
    <w:multiLevelType w:val="singleLevel"/>
    <w:tmpl w:val="00000003"/>
    <w:lvl w:ilvl="0" w:tentative="0">
      <w:start w:val="4"/>
      <w:numFmt w:val="chineseCounting"/>
      <w:suff w:val="space"/>
      <w:lvlText w:val="第%1篇"/>
      <w:lvlJc w:val="left"/>
      <w:rPr>
        <w:rFonts w:hint="eastAsi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embedTrueType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40"/>
  <w:drawingGridVerticalSpacing w:val="381"/>
  <w:displayHorizontalDrawingGridEvery w:val="1"/>
  <w:displayVerticalDrawingGridEvery w:val="1"/>
  <w:doNotShadeFormData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Y5N2M1NWY1ZGZkODQ1ZDU5YzY0M2NiNDcwOGY1ZDEifQ=="/>
    <w:docVar w:name="KSO_WPS_MARK_KEY" w:val="c5221253-28d7-4b5f-b36a-ff66a52dcfc0"/>
  </w:docVars>
  <w:rsids>
    <w:rsidRoot w:val="00172A27"/>
    <w:rsid w:val="00004688"/>
    <w:rsid w:val="00014D07"/>
    <w:rsid w:val="000151A2"/>
    <w:rsid w:val="00017A7E"/>
    <w:rsid w:val="00020C6E"/>
    <w:rsid w:val="0002327E"/>
    <w:rsid w:val="0002484A"/>
    <w:rsid w:val="00033E26"/>
    <w:rsid w:val="00034DB9"/>
    <w:rsid w:val="00041569"/>
    <w:rsid w:val="00045C12"/>
    <w:rsid w:val="00050FF7"/>
    <w:rsid w:val="00053C1E"/>
    <w:rsid w:val="00065A14"/>
    <w:rsid w:val="00065FBB"/>
    <w:rsid w:val="00071A63"/>
    <w:rsid w:val="0008426E"/>
    <w:rsid w:val="00090BB5"/>
    <w:rsid w:val="000A7639"/>
    <w:rsid w:val="000B32AF"/>
    <w:rsid w:val="000B684A"/>
    <w:rsid w:val="000C4540"/>
    <w:rsid w:val="000E0F13"/>
    <w:rsid w:val="000E3C62"/>
    <w:rsid w:val="000E5EEA"/>
    <w:rsid w:val="000E6A67"/>
    <w:rsid w:val="000F6ADD"/>
    <w:rsid w:val="00101A85"/>
    <w:rsid w:val="001049FB"/>
    <w:rsid w:val="0011210D"/>
    <w:rsid w:val="001162E2"/>
    <w:rsid w:val="00120C36"/>
    <w:rsid w:val="00121B19"/>
    <w:rsid w:val="00125C20"/>
    <w:rsid w:val="00134235"/>
    <w:rsid w:val="001500BE"/>
    <w:rsid w:val="00157FE9"/>
    <w:rsid w:val="00160CE1"/>
    <w:rsid w:val="001616D7"/>
    <w:rsid w:val="00174290"/>
    <w:rsid w:val="001837DA"/>
    <w:rsid w:val="00185F6E"/>
    <w:rsid w:val="00191DE3"/>
    <w:rsid w:val="00193986"/>
    <w:rsid w:val="001968C8"/>
    <w:rsid w:val="001C3510"/>
    <w:rsid w:val="001D56C3"/>
    <w:rsid w:val="001D57E8"/>
    <w:rsid w:val="001E1269"/>
    <w:rsid w:val="001E16EC"/>
    <w:rsid w:val="001E3F45"/>
    <w:rsid w:val="001E66C7"/>
    <w:rsid w:val="001F4255"/>
    <w:rsid w:val="001F5BD7"/>
    <w:rsid w:val="001F775C"/>
    <w:rsid w:val="001F7F10"/>
    <w:rsid w:val="00200909"/>
    <w:rsid w:val="00200BF7"/>
    <w:rsid w:val="00203781"/>
    <w:rsid w:val="00213D58"/>
    <w:rsid w:val="002160E8"/>
    <w:rsid w:val="00222D1B"/>
    <w:rsid w:val="00226084"/>
    <w:rsid w:val="002269B7"/>
    <w:rsid w:val="0023496D"/>
    <w:rsid w:val="00235A52"/>
    <w:rsid w:val="00235DC1"/>
    <w:rsid w:val="00243026"/>
    <w:rsid w:val="0025083D"/>
    <w:rsid w:val="002521A3"/>
    <w:rsid w:val="00277678"/>
    <w:rsid w:val="0028191F"/>
    <w:rsid w:val="002901FD"/>
    <w:rsid w:val="00292002"/>
    <w:rsid w:val="00292A1A"/>
    <w:rsid w:val="002B033D"/>
    <w:rsid w:val="002B296F"/>
    <w:rsid w:val="002C1F68"/>
    <w:rsid w:val="002C5FBF"/>
    <w:rsid w:val="002C61AE"/>
    <w:rsid w:val="002D3456"/>
    <w:rsid w:val="002D3C00"/>
    <w:rsid w:val="002E6279"/>
    <w:rsid w:val="002E65FD"/>
    <w:rsid w:val="002F549B"/>
    <w:rsid w:val="002F6FF8"/>
    <w:rsid w:val="00301DED"/>
    <w:rsid w:val="00313425"/>
    <w:rsid w:val="00313B80"/>
    <w:rsid w:val="00320E34"/>
    <w:rsid w:val="003345B7"/>
    <w:rsid w:val="0034348F"/>
    <w:rsid w:val="00345128"/>
    <w:rsid w:val="00354E5A"/>
    <w:rsid w:val="00374994"/>
    <w:rsid w:val="0037525A"/>
    <w:rsid w:val="003841D8"/>
    <w:rsid w:val="0039764B"/>
    <w:rsid w:val="003A2144"/>
    <w:rsid w:val="003A6194"/>
    <w:rsid w:val="003D3FF0"/>
    <w:rsid w:val="003D771E"/>
    <w:rsid w:val="003E783D"/>
    <w:rsid w:val="004137D4"/>
    <w:rsid w:val="004262C4"/>
    <w:rsid w:val="004445E7"/>
    <w:rsid w:val="0045348D"/>
    <w:rsid w:val="004620AC"/>
    <w:rsid w:val="00462B10"/>
    <w:rsid w:val="00472FE4"/>
    <w:rsid w:val="004734D0"/>
    <w:rsid w:val="004848AD"/>
    <w:rsid w:val="00486117"/>
    <w:rsid w:val="004B3B9C"/>
    <w:rsid w:val="004D30C4"/>
    <w:rsid w:val="004E7309"/>
    <w:rsid w:val="004E73AE"/>
    <w:rsid w:val="00506C0A"/>
    <w:rsid w:val="0051212E"/>
    <w:rsid w:val="00513EDB"/>
    <w:rsid w:val="0053182B"/>
    <w:rsid w:val="00535F83"/>
    <w:rsid w:val="00542F87"/>
    <w:rsid w:val="00552CEA"/>
    <w:rsid w:val="0055428F"/>
    <w:rsid w:val="00557757"/>
    <w:rsid w:val="0056656D"/>
    <w:rsid w:val="00571C22"/>
    <w:rsid w:val="0058425D"/>
    <w:rsid w:val="0059704C"/>
    <w:rsid w:val="005A3680"/>
    <w:rsid w:val="005A42B7"/>
    <w:rsid w:val="005C7CBA"/>
    <w:rsid w:val="005D15DA"/>
    <w:rsid w:val="005D5C9F"/>
    <w:rsid w:val="005E0719"/>
    <w:rsid w:val="005E4C6D"/>
    <w:rsid w:val="005E5949"/>
    <w:rsid w:val="005E7B25"/>
    <w:rsid w:val="005F0C4B"/>
    <w:rsid w:val="005F197E"/>
    <w:rsid w:val="005F4EE6"/>
    <w:rsid w:val="00600614"/>
    <w:rsid w:val="006079D2"/>
    <w:rsid w:val="00611A58"/>
    <w:rsid w:val="00620B2D"/>
    <w:rsid w:val="00625781"/>
    <w:rsid w:val="00631C07"/>
    <w:rsid w:val="00631D41"/>
    <w:rsid w:val="006331DC"/>
    <w:rsid w:val="00637C8D"/>
    <w:rsid w:val="00642BDD"/>
    <w:rsid w:val="0064777D"/>
    <w:rsid w:val="00665EF3"/>
    <w:rsid w:val="00680380"/>
    <w:rsid w:val="006830BE"/>
    <w:rsid w:val="00685827"/>
    <w:rsid w:val="00697DAB"/>
    <w:rsid w:val="006A701B"/>
    <w:rsid w:val="006B1832"/>
    <w:rsid w:val="006B3A1F"/>
    <w:rsid w:val="006C0879"/>
    <w:rsid w:val="006C097C"/>
    <w:rsid w:val="006C4772"/>
    <w:rsid w:val="006C60AD"/>
    <w:rsid w:val="006D3042"/>
    <w:rsid w:val="006D760D"/>
    <w:rsid w:val="006E368C"/>
    <w:rsid w:val="006E6A3E"/>
    <w:rsid w:val="006F0122"/>
    <w:rsid w:val="006F0936"/>
    <w:rsid w:val="006F0951"/>
    <w:rsid w:val="006F6A18"/>
    <w:rsid w:val="00707C3D"/>
    <w:rsid w:val="0071464D"/>
    <w:rsid w:val="00726537"/>
    <w:rsid w:val="007267D9"/>
    <w:rsid w:val="007315C9"/>
    <w:rsid w:val="007329A0"/>
    <w:rsid w:val="00732D0A"/>
    <w:rsid w:val="00736F04"/>
    <w:rsid w:val="0074499C"/>
    <w:rsid w:val="00756F20"/>
    <w:rsid w:val="00762649"/>
    <w:rsid w:val="00780B72"/>
    <w:rsid w:val="00782548"/>
    <w:rsid w:val="00785FD6"/>
    <w:rsid w:val="00786C96"/>
    <w:rsid w:val="007970D9"/>
    <w:rsid w:val="007B1F05"/>
    <w:rsid w:val="007C1CB6"/>
    <w:rsid w:val="007D2C3B"/>
    <w:rsid w:val="007D7C7E"/>
    <w:rsid w:val="007E3CFC"/>
    <w:rsid w:val="00802B6C"/>
    <w:rsid w:val="00810DD4"/>
    <w:rsid w:val="008110C9"/>
    <w:rsid w:val="0081110A"/>
    <w:rsid w:val="00812A86"/>
    <w:rsid w:val="008162BD"/>
    <w:rsid w:val="008247E0"/>
    <w:rsid w:val="00824CE9"/>
    <w:rsid w:val="00850B74"/>
    <w:rsid w:val="008511A3"/>
    <w:rsid w:val="00853E8B"/>
    <w:rsid w:val="0086081F"/>
    <w:rsid w:val="00862893"/>
    <w:rsid w:val="00865379"/>
    <w:rsid w:val="008751D7"/>
    <w:rsid w:val="00875820"/>
    <w:rsid w:val="00875DD5"/>
    <w:rsid w:val="008815BE"/>
    <w:rsid w:val="00892229"/>
    <w:rsid w:val="00895EC9"/>
    <w:rsid w:val="008B5B43"/>
    <w:rsid w:val="008B5F13"/>
    <w:rsid w:val="008C2331"/>
    <w:rsid w:val="008C6D7F"/>
    <w:rsid w:val="008E1DA0"/>
    <w:rsid w:val="008E3949"/>
    <w:rsid w:val="008F4F27"/>
    <w:rsid w:val="008F7BFF"/>
    <w:rsid w:val="00903637"/>
    <w:rsid w:val="00907A7F"/>
    <w:rsid w:val="0091187E"/>
    <w:rsid w:val="00927078"/>
    <w:rsid w:val="00927E30"/>
    <w:rsid w:val="00931FD6"/>
    <w:rsid w:val="0094065F"/>
    <w:rsid w:val="00955F7A"/>
    <w:rsid w:val="0096114F"/>
    <w:rsid w:val="00965FE3"/>
    <w:rsid w:val="00967285"/>
    <w:rsid w:val="0097196A"/>
    <w:rsid w:val="00971CF2"/>
    <w:rsid w:val="00974A1E"/>
    <w:rsid w:val="00980B96"/>
    <w:rsid w:val="0098503B"/>
    <w:rsid w:val="00990E98"/>
    <w:rsid w:val="00991A93"/>
    <w:rsid w:val="009920D8"/>
    <w:rsid w:val="0099539D"/>
    <w:rsid w:val="00995CC7"/>
    <w:rsid w:val="009A2FD9"/>
    <w:rsid w:val="009A5285"/>
    <w:rsid w:val="009A6416"/>
    <w:rsid w:val="009B7911"/>
    <w:rsid w:val="009D43E5"/>
    <w:rsid w:val="009E4315"/>
    <w:rsid w:val="009F136B"/>
    <w:rsid w:val="009F35A4"/>
    <w:rsid w:val="00A07408"/>
    <w:rsid w:val="00A1064B"/>
    <w:rsid w:val="00A107F1"/>
    <w:rsid w:val="00A142CA"/>
    <w:rsid w:val="00A1476A"/>
    <w:rsid w:val="00A15B55"/>
    <w:rsid w:val="00A168F6"/>
    <w:rsid w:val="00A259AF"/>
    <w:rsid w:val="00A2653B"/>
    <w:rsid w:val="00A320DA"/>
    <w:rsid w:val="00A32612"/>
    <w:rsid w:val="00A4334D"/>
    <w:rsid w:val="00A50FC0"/>
    <w:rsid w:val="00A63399"/>
    <w:rsid w:val="00A63D57"/>
    <w:rsid w:val="00A92D6C"/>
    <w:rsid w:val="00A95CB2"/>
    <w:rsid w:val="00A96738"/>
    <w:rsid w:val="00AA161D"/>
    <w:rsid w:val="00AA2B88"/>
    <w:rsid w:val="00AC0425"/>
    <w:rsid w:val="00AC18F3"/>
    <w:rsid w:val="00AC2CE9"/>
    <w:rsid w:val="00AC7407"/>
    <w:rsid w:val="00AD4B7F"/>
    <w:rsid w:val="00AE3F90"/>
    <w:rsid w:val="00AF6E09"/>
    <w:rsid w:val="00B005D3"/>
    <w:rsid w:val="00B20A99"/>
    <w:rsid w:val="00B23E5B"/>
    <w:rsid w:val="00B2490E"/>
    <w:rsid w:val="00B25999"/>
    <w:rsid w:val="00B3338F"/>
    <w:rsid w:val="00B34F4B"/>
    <w:rsid w:val="00B45095"/>
    <w:rsid w:val="00B46D09"/>
    <w:rsid w:val="00B5478A"/>
    <w:rsid w:val="00B6795C"/>
    <w:rsid w:val="00B7124E"/>
    <w:rsid w:val="00B72373"/>
    <w:rsid w:val="00B73819"/>
    <w:rsid w:val="00B74585"/>
    <w:rsid w:val="00B81023"/>
    <w:rsid w:val="00B95B91"/>
    <w:rsid w:val="00BB1E85"/>
    <w:rsid w:val="00BB5BCF"/>
    <w:rsid w:val="00BC2FCD"/>
    <w:rsid w:val="00BD68F3"/>
    <w:rsid w:val="00BE1FBC"/>
    <w:rsid w:val="00BE3F6E"/>
    <w:rsid w:val="00BE5A00"/>
    <w:rsid w:val="00C03F61"/>
    <w:rsid w:val="00C14A72"/>
    <w:rsid w:val="00C207D5"/>
    <w:rsid w:val="00C3468F"/>
    <w:rsid w:val="00C34916"/>
    <w:rsid w:val="00C44836"/>
    <w:rsid w:val="00C5163C"/>
    <w:rsid w:val="00C5505B"/>
    <w:rsid w:val="00C57273"/>
    <w:rsid w:val="00C6261D"/>
    <w:rsid w:val="00C629BF"/>
    <w:rsid w:val="00C63E8B"/>
    <w:rsid w:val="00C63F4F"/>
    <w:rsid w:val="00C85BA3"/>
    <w:rsid w:val="00CA2DD8"/>
    <w:rsid w:val="00CA2F9D"/>
    <w:rsid w:val="00CA7DDF"/>
    <w:rsid w:val="00CB245A"/>
    <w:rsid w:val="00CB4696"/>
    <w:rsid w:val="00CC55D1"/>
    <w:rsid w:val="00CC6DA2"/>
    <w:rsid w:val="00CC7C13"/>
    <w:rsid w:val="00CE37CE"/>
    <w:rsid w:val="00D04EF5"/>
    <w:rsid w:val="00D06428"/>
    <w:rsid w:val="00D12406"/>
    <w:rsid w:val="00D13DF4"/>
    <w:rsid w:val="00D1481F"/>
    <w:rsid w:val="00D2422C"/>
    <w:rsid w:val="00D27B8D"/>
    <w:rsid w:val="00D3311E"/>
    <w:rsid w:val="00D44106"/>
    <w:rsid w:val="00D55FBD"/>
    <w:rsid w:val="00D61E4E"/>
    <w:rsid w:val="00D627F3"/>
    <w:rsid w:val="00D753BF"/>
    <w:rsid w:val="00D76130"/>
    <w:rsid w:val="00D775B1"/>
    <w:rsid w:val="00D86032"/>
    <w:rsid w:val="00D87CEF"/>
    <w:rsid w:val="00D946D3"/>
    <w:rsid w:val="00DA4240"/>
    <w:rsid w:val="00DB6F95"/>
    <w:rsid w:val="00DC2002"/>
    <w:rsid w:val="00DC2DC5"/>
    <w:rsid w:val="00DC74E5"/>
    <w:rsid w:val="00DD37E3"/>
    <w:rsid w:val="00DD45F2"/>
    <w:rsid w:val="00DE2777"/>
    <w:rsid w:val="00DE590C"/>
    <w:rsid w:val="00DF0DEA"/>
    <w:rsid w:val="00DF193D"/>
    <w:rsid w:val="00E07343"/>
    <w:rsid w:val="00E07515"/>
    <w:rsid w:val="00E10708"/>
    <w:rsid w:val="00E15D75"/>
    <w:rsid w:val="00E17451"/>
    <w:rsid w:val="00E25342"/>
    <w:rsid w:val="00E25F7D"/>
    <w:rsid w:val="00E3736A"/>
    <w:rsid w:val="00E378E7"/>
    <w:rsid w:val="00E37C98"/>
    <w:rsid w:val="00E41285"/>
    <w:rsid w:val="00E43E06"/>
    <w:rsid w:val="00E55795"/>
    <w:rsid w:val="00E646D2"/>
    <w:rsid w:val="00E675B8"/>
    <w:rsid w:val="00E71DA3"/>
    <w:rsid w:val="00E8676A"/>
    <w:rsid w:val="00E879E1"/>
    <w:rsid w:val="00E90470"/>
    <w:rsid w:val="00E91D83"/>
    <w:rsid w:val="00E953FB"/>
    <w:rsid w:val="00EA26C0"/>
    <w:rsid w:val="00EB4CD5"/>
    <w:rsid w:val="00EC7E2D"/>
    <w:rsid w:val="00ED45E7"/>
    <w:rsid w:val="00ED52F6"/>
    <w:rsid w:val="00ED7504"/>
    <w:rsid w:val="00ED79F1"/>
    <w:rsid w:val="00EF725A"/>
    <w:rsid w:val="00F0215B"/>
    <w:rsid w:val="00F077BF"/>
    <w:rsid w:val="00F07AE2"/>
    <w:rsid w:val="00F112E2"/>
    <w:rsid w:val="00F1258A"/>
    <w:rsid w:val="00F218ED"/>
    <w:rsid w:val="00F23DA5"/>
    <w:rsid w:val="00F2438A"/>
    <w:rsid w:val="00F24C23"/>
    <w:rsid w:val="00F53EA8"/>
    <w:rsid w:val="00F55D13"/>
    <w:rsid w:val="00F6194E"/>
    <w:rsid w:val="00F674AA"/>
    <w:rsid w:val="00F73001"/>
    <w:rsid w:val="00F84A9E"/>
    <w:rsid w:val="00F944FB"/>
    <w:rsid w:val="00F952DF"/>
    <w:rsid w:val="00F96177"/>
    <w:rsid w:val="00FA1DF6"/>
    <w:rsid w:val="00FA76FD"/>
    <w:rsid w:val="00FB433C"/>
    <w:rsid w:val="00FB5BE8"/>
    <w:rsid w:val="00FC2373"/>
    <w:rsid w:val="00FC2C24"/>
    <w:rsid w:val="00FC4552"/>
    <w:rsid w:val="00FD40CE"/>
    <w:rsid w:val="00FD4823"/>
    <w:rsid w:val="00FF363F"/>
    <w:rsid w:val="00FF546A"/>
    <w:rsid w:val="00FF62CE"/>
    <w:rsid w:val="00FF7488"/>
    <w:rsid w:val="02CE2C73"/>
    <w:rsid w:val="04E53DBD"/>
    <w:rsid w:val="05104339"/>
    <w:rsid w:val="05634A98"/>
    <w:rsid w:val="05CE01E0"/>
    <w:rsid w:val="05D2206C"/>
    <w:rsid w:val="08545AE3"/>
    <w:rsid w:val="08E64F56"/>
    <w:rsid w:val="0A672220"/>
    <w:rsid w:val="0C6112A5"/>
    <w:rsid w:val="0C7C744C"/>
    <w:rsid w:val="0CF81FDF"/>
    <w:rsid w:val="0DC6009C"/>
    <w:rsid w:val="0E260503"/>
    <w:rsid w:val="0F1D25A7"/>
    <w:rsid w:val="0F96562A"/>
    <w:rsid w:val="0FC83190"/>
    <w:rsid w:val="0FEC6C5C"/>
    <w:rsid w:val="10030B37"/>
    <w:rsid w:val="118F4BC2"/>
    <w:rsid w:val="15AC59B8"/>
    <w:rsid w:val="16931DBC"/>
    <w:rsid w:val="17130C6C"/>
    <w:rsid w:val="172D29CD"/>
    <w:rsid w:val="17391CE7"/>
    <w:rsid w:val="17F004DA"/>
    <w:rsid w:val="18406E43"/>
    <w:rsid w:val="1862015F"/>
    <w:rsid w:val="191C6A70"/>
    <w:rsid w:val="1AAB1B2A"/>
    <w:rsid w:val="1AE160C4"/>
    <w:rsid w:val="1C0729BC"/>
    <w:rsid w:val="1D7C003A"/>
    <w:rsid w:val="1EBF050A"/>
    <w:rsid w:val="1F9B3437"/>
    <w:rsid w:val="1FAF4E7B"/>
    <w:rsid w:val="20184620"/>
    <w:rsid w:val="20735702"/>
    <w:rsid w:val="22D95CAD"/>
    <w:rsid w:val="23352D8B"/>
    <w:rsid w:val="24082C43"/>
    <w:rsid w:val="24084359"/>
    <w:rsid w:val="24665518"/>
    <w:rsid w:val="25271435"/>
    <w:rsid w:val="258F112D"/>
    <w:rsid w:val="29893986"/>
    <w:rsid w:val="2A357DD3"/>
    <w:rsid w:val="2B055C91"/>
    <w:rsid w:val="2B977954"/>
    <w:rsid w:val="2C835A01"/>
    <w:rsid w:val="2CC47A00"/>
    <w:rsid w:val="2CF645E8"/>
    <w:rsid w:val="2E572D7F"/>
    <w:rsid w:val="2FCB3CE5"/>
    <w:rsid w:val="305B712A"/>
    <w:rsid w:val="31C43C21"/>
    <w:rsid w:val="32597198"/>
    <w:rsid w:val="328B6778"/>
    <w:rsid w:val="33573D65"/>
    <w:rsid w:val="337D438F"/>
    <w:rsid w:val="33E05F9A"/>
    <w:rsid w:val="34C20750"/>
    <w:rsid w:val="351556E6"/>
    <w:rsid w:val="35843E04"/>
    <w:rsid w:val="363F542A"/>
    <w:rsid w:val="36755E67"/>
    <w:rsid w:val="369067C6"/>
    <w:rsid w:val="38695E14"/>
    <w:rsid w:val="3B0B02C3"/>
    <w:rsid w:val="3BFC39C4"/>
    <w:rsid w:val="3C1938BB"/>
    <w:rsid w:val="3C4A1457"/>
    <w:rsid w:val="3C7B22AB"/>
    <w:rsid w:val="3E2C30A4"/>
    <w:rsid w:val="3E4D1785"/>
    <w:rsid w:val="3EE13D78"/>
    <w:rsid w:val="3F710DF2"/>
    <w:rsid w:val="407B6188"/>
    <w:rsid w:val="41A038BB"/>
    <w:rsid w:val="421E2840"/>
    <w:rsid w:val="44736757"/>
    <w:rsid w:val="454E4FA5"/>
    <w:rsid w:val="460A22D6"/>
    <w:rsid w:val="46157D7D"/>
    <w:rsid w:val="46565837"/>
    <w:rsid w:val="474D0D67"/>
    <w:rsid w:val="47D02BD7"/>
    <w:rsid w:val="488048F8"/>
    <w:rsid w:val="4A6D6C6D"/>
    <w:rsid w:val="4B1B73C3"/>
    <w:rsid w:val="4B43479A"/>
    <w:rsid w:val="4B7433A0"/>
    <w:rsid w:val="4BE82537"/>
    <w:rsid w:val="4CBB7CB4"/>
    <w:rsid w:val="4E6318D5"/>
    <w:rsid w:val="4E6D6C5F"/>
    <w:rsid w:val="4EF8746D"/>
    <w:rsid w:val="4F345934"/>
    <w:rsid w:val="4F586715"/>
    <w:rsid w:val="4FE17C71"/>
    <w:rsid w:val="500204F1"/>
    <w:rsid w:val="51004E23"/>
    <w:rsid w:val="51A3394E"/>
    <w:rsid w:val="51BA6236"/>
    <w:rsid w:val="52AC09A3"/>
    <w:rsid w:val="52B92A93"/>
    <w:rsid w:val="52EC4FB5"/>
    <w:rsid w:val="539B2198"/>
    <w:rsid w:val="54017F7F"/>
    <w:rsid w:val="54F476EE"/>
    <w:rsid w:val="559D605E"/>
    <w:rsid w:val="55A34166"/>
    <w:rsid w:val="55EB7EF5"/>
    <w:rsid w:val="57623B4D"/>
    <w:rsid w:val="57D91B24"/>
    <w:rsid w:val="5886386C"/>
    <w:rsid w:val="597A785D"/>
    <w:rsid w:val="5B31690B"/>
    <w:rsid w:val="5C054F8D"/>
    <w:rsid w:val="5C423E34"/>
    <w:rsid w:val="5D2117E1"/>
    <w:rsid w:val="5DF009ED"/>
    <w:rsid w:val="5F1C2F5E"/>
    <w:rsid w:val="600A0B62"/>
    <w:rsid w:val="60B235B2"/>
    <w:rsid w:val="60FF6AC0"/>
    <w:rsid w:val="61632D38"/>
    <w:rsid w:val="6332118D"/>
    <w:rsid w:val="63F809E0"/>
    <w:rsid w:val="64D90EAD"/>
    <w:rsid w:val="64F447E8"/>
    <w:rsid w:val="66C8431D"/>
    <w:rsid w:val="67A47E9E"/>
    <w:rsid w:val="6808298B"/>
    <w:rsid w:val="68BB2C42"/>
    <w:rsid w:val="6AB66C9C"/>
    <w:rsid w:val="6B4E7442"/>
    <w:rsid w:val="6B597303"/>
    <w:rsid w:val="6B8F438D"/>
    <w:rsid w:val="6B945323"/>
    <w:rsid w:val="6D1436BB"/>
    <w:rsid w:val="6D217DC7"/>
    <w:rsid w:val="6D2A7618"/>
    <w:rsid w:val="6D9E0D69"/>
    <w:rsid w:val="6E8E4615"/>
    <w:rsid w:val="6EC23B99"/>
    <w:rsid w:val="6EEC5559"/>
    <w:rsid w:val="6F895139"/>
    <w:rsid w:val="6FA85242"/>
    <w:rsid w:val="70017BAA"/>
    <w:rsid w:val="70AC4D06"/>
    <w:rsid w:val="70DF1E16"/>
    <w:rsid w:val="71181F24"/>
    <w:rsid w:val="72CD4184"/>
    <w:rsid w:val="735203A1"/>
    <w:rsid w:val="752A73C4"/>
    <w:rsid w:val="755D07B9"/>
    <w:rsid w:val="764566BC"/>
    <w:rsid w:val="772E53A2"/>
    <w:rsid w:val="77A85519"/>
    <w:rsid w:val="78335A75"/>
    <w:rsid w:val="785972BF"/>
    <w:rsid w:val="7CAA7BED"/>
    <w:rsid w:val="7CF07EAB"/>
    <w:rsid w:val="7D701FCD"/>
    <w:rsid w:val="7D876665"/>
    <w:rsid w:val="7DE252C0"/>
    <w:rsid w:val="7E1C2A05"/>
    <w:rsid w:val="7E986819"/>
    <w:rsid w:val="7EE4581A"/>
    <w:rsid w:val="7F0C0DFF"/>
    <w:rsid w:val="7F5C5536"/>
    <w:rsid w:val="7FE34CA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8"/>
      <w:szCs w:val="28"/>
      <w:lang w:val="en-US" w:eastAsia="zh-CN" w:bidi="ar-SA"/>
    </w:rPr>
  </w:style>
  <w:style w:type="paragraph" w:styleId="3">
    <w:name w:val="heading 1"/>
    <w:basedOn w:val="1"/>
    <w:next w:val="1"/>
    <w:link w:val="69"/>
    <w:qFormat/>
    <w:uiPriority w:val="0"/>
    <w:pPr>
      <w:keepNext/>
      <w:snapToGrid w:val="0"/>
      <w:spacing w:line="360" w:lineRule="atLeast"/>
      <w:outlineLvl w:val="0"/>
    </w:pPr>
    <w:rPr>
      <w:rFonts w:ascii="Times New Roman" w:hAnsi="Times New Roman" w:eastAsia="宋体" w:cs="Times New Roman"/>
      <w:b/>
      <w:kern w:val="44"/>
      <w:sz w:val="44"/>
      <w:szCs w:val="20"/>
    </w:rPr>
  </w:style>
  <w:style w:type="paragraph" w:styleId="4">
    <w:name w:val="heading 2"/>
    <w:basedOn w:val="1"/>
    <w:next w:val="1"/>
    <w:link w:val="70"/>
    <w:qFormat/>
    <w:uiPriority w:val="0"/>
    <w:pPr>
      <w:keepNext/>
      <w:keepLines/>
      <w:spacing w:before="260" w:after="260" w:line="413" w:lineRule="auto"/>
      <w:outlineLvl w:val="1"/>
    </w:pPr>
    <w:rPr>
      <w:rFonts w:ascii="Arial" w:hAnsi="Arial" w:eastAsia="黑体" w:cs="Times New Roman"/>
      <w:b/>
      <w:sz w:val="32"/>
      <w:szCs w:val="20"/>
    </w:rPr>
  </w:style>
  <w:style w:type="paragraph" w:styleId="5">
    <w:name w:val="heading 3"/>
    <w:basedOn w:val="1"/>
    <w:next w:val="1"/>
    <w:link w:val="71"/>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6">
    <w:name w:val="heading 4"/>
    <w:basedOn w:val="1"/>
    <w:next w:val="1"/>
    <w:link w:val="72"/>
    <w:qFormat/>
    <w:uiPriority w:val="0"/>
    <w:pPr>
      <w:keepNext/>
      <w:keepLines/>
      <w:spacing w:before="280" w:after="290" w:line="372" w:lineRule="auto"/>
      <w:outlineLvl w:val="3"/>
    </w:pPr>
    <w:rPr>
      <w:rFonts w:ascii="Cambria" w:hAnsi="Cambria" w:eastAsia="宋体" w:cs="Times New Roman"/>
      <w:b/>
      <w:kern w:val="0"/>
      <w:szCs w:val="20"/>
    </w:rPr>
  </w:style>
  <w:style w:type="paragraph" w:styleId="7">
    <w:name w:val="heading 5"/>
    <w:basedOn w:val="1"/>
    <w:next w:val="1"/>
    <w:link w:val="73"/>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kern w:val="0"/>
      <w:szCs w:val="20"/>
    </w:rPr>
  </w:style>
  <w:style w:type="paragraph" w:styleId="8">
    <w:name w:val="heading 6"/>
    <w:basedOn w:val="1"/>
    <w:next w:val="1"/>
    <w:link w:val="74"/>
    <w:qFormat/>
    <w:uiPriority w:val="0"/>
    <w:pPr>
      <w:keepNext/>
      <w:keepLines/>
      <w:tabs>
        <w:tab w:val="left" w:pos="1152"/>
      </w:tabs>
      <w:adjustRightInd w:val="0"/>
      <w:snapToGrid w:val="0"/>
      <w:spacing w:before="240" w:after="64" w:line="317" w:lineRule="auto"/>
      <w:ind w:left="1152" w:hanging="1152"/>
      <w:outlineLvl w:val="5"/>
    </w:pPr>
    <w:rPr>
      <w:rFonts w:ascii="Cambria" w:hAnsi="Cambria" w:eastAsia="宋体" w:cs="Times New Roman"/>
      <w:b/>
      <w:kern w:val="0"/>
      <w:sz w:val="24"/>
      <w:szCs w:val="20"/>
    </w:rPr>
  </w:style>
  <w:style w:type="paragraph" w:styleId="9">
    <w:name w:val="heading 7"/>
    <w:basedOn w:val="1"/>
    <w:next w:val="1"/>
    <w:link w:val="75"/>
    <w:qFormat/>
    <w:uiPriority w:val="0"/>
    <w:pPr>
      <w:keepNext/>
      <w:keepLines/>
      <w:tabs>
        <w:tab w:val="left" w:pos="1296"/>
      </w:tabs>
      <w:adjustRightInd w:val="0"/>
      <w:snapToGrid w:val="0"/>
      <w:spacing w:before="240" w:after="64" w:line="317" w:lineRule="auto"/>
      <w:ind w:left="1296" w:hanging="1296"/>
      <w:outlineLvl w:val="6"/>
    </w:pPr>
    <w:rPr>
      <w:rFonts w:ascii="Times New Roman" w:hAnsi="Times New Roman" w:eastAsia="宋体" w:cs="Times New Roman"/>
      <w:b/>
      <w:kern w:val="0"/>
      <w:sz w:val="24"/>
      <w:szCs w:val="20"/>
    </w:rPr>
  </w:style>
  <w:style w:type="paragraph" w:styleId="10">
    <w:name w:val="heading 8"/>
    <w:basedOn w:val="1"/>
    <w:next w:val="1"/>
    <w:link w:val="76"/>
    <w:qFormat/>
    <w:uiPriority w:val="0"/>
    <w:pPr>
      <w:keepNext/>
      <w:keepLines/>
      <w:tabs>
        <w:tab w:val="left" w:pos="1440"/>
      </w:tabs>
      <w:adjustRightInd w:val="0"/>
      <w:snapToGrid w:val="0"/>
      <w:spacing w:before="240" w:after="64" w:line="317" w:lineRule="auto"/>
      <w:ind w:left="1440" w:hanging="1440"/>
      <w:outlineLvl w:val="7"/>
    </w:pPr>
    <w:rPr>
      <w:rFonts w:ascii="Cambria" w:hAnsi="Cambria" w:eastAsia="宋体" w:cs="Times New Roman"/>
      <w:kern w:val="0"/>
      <w:sz w:val="24"/>
      <w:szCs w:val="20"/>
    </w:rPr>
  </w:style>
  <w:style w:type="paragraph" w:styleId="11">
    <w:name w:val="heading 9"/>
    <w:basedOn w:val="1"/>
    <w:next w:val="1"/>
    <w:link w:val="77"/>
    <w:qFormat/>
    <w:uiPriority w:val="0"/>
    <w:pPr>
      <w:keepNext/>
      <w:keepLines/>
      <w:tabs>
        <w:tab w:val="left" w:pos="1584"/>
      </w:tabs>
      <w:adjustRightInd w:val="0"/>
      <w:snapToGrid w:val="0"/>
      <w:spacing w:before="240" w:after="64" w:line="317" w:lineRule="auto"/>
      <w:ind w:left="1584" w:hanging="1584"/>
      <w:outlineLvl w:val="8"/>
    </w:pPr>
    <w:rPr>
      <w:rFonts w:ascii="Cambria" w:hAnsi="Cambria" w:eastAsia="宋体" w:cs="Times New Roman"/>
      <w:kern w:val="0"/>
      <w:sz w:val="21"/>
      <w:szCs w:val="20"/>
    </w:rPr>
  </w:style>
  <w:style w:type="character" w:default="1" w:styleId="59">
    <w:name w:val="Default Paragraph Font"/>
    <w:qFormat/>
    <w:uiPriority w:val="0"/>
    <w:rPr>
      <w:rFonts w:ascii="Times New Roman" w:hAnsi="Times New Roman" w:eastAsia="宋体" w:cs="Times New Roman"/>
    </w:rPr>
  </w:style>
  <w:style w:type="table" w:default="1" w:styleId="57">
    <w:name w:val="Normal Table"/>
    <w:qFormat/>
    <w:uiPriority w:val="0"/>
    <w:rPr>
      <w:rFonts w:ascii="Times New Roman" w:hAnsi="Times New Roman" w:eastAsia="宋体" w:cs="Times New Roman"/>
    </w:rPr>
    <w:tblPr>
      <w:tblCellMar>
        <w:top w:w="0" w:type="dxa"/>
        <w:left w:w="108" w:type="dxa"/>
        <w:bottom w:w="0" w:type="dxa"/>
        <w:right w:w="108" w:type="dxa"/>
      </w:tblCellMar>
    </w:tblPr>
  </w:style>
  <w:style w:type="paragraph" w:styleId="2">
    <w:name w:val="Body Text"/>
    <w:basedOn w:val="1"/>
    <w:link w:val="68"/>
    <w:qFormat/>
    <w:uiPriority w:val="0"/>
    <w:pPr>
      <w:spacing w:after="120"/>
    </w:pPr>
    <w:rPr>
      <w:rFonts w:ascii="Times New Roman" w:hAnsi="Times New Roman" w:eastAsia="宋体" w:cs="Times New Roman"/>
    </w:rPr>
  </w:style>
  <w:style w:type="paragraph" w:styleId="12">
    <w:name w:val="List 3"/>
    <w:basedOn w:val="1"/>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4"/>
    </w:rPr>
  </w:style>
  <w:style w:type="paragraph" w:styleId="13">
    <w:name w:val="toc 7"/>
    <w:basedOn w:val="1"/>
    <w:next w:val="1"/>
    <w:qFormat/>
    <w:uiPriority w:val="0"/>
    <w:pPr>
      <w:ind w:left="2520" w:leftChars="1200"/>
    </w:pPr>
    <w:rPr>
      <w:rFonts w:ascii="Times New Roman" w:hAnsi="Times New Roman" w:eastAsia="宋体" w:cs="Times New Roman"/>
    </w:rPr>
  </w:style>
  <w:style w:type="paragraph" w:styleId="14">
    <w:name w:val="List Number 2"/>
    <w:basedOn w:val="1"/>
    <w:qFormat/>
    <w:uiPriority w:val="0"/>
    <w:pPr>
      <w:tabs>
        <w:tab w:val="left" w:pos="780"/>
      </w:tabs>
      <w:spacing w:line="360" w:lineRule="auto"/>
      <w:ind w:left="425" w:hanging="425"/>
    </w:pPr>
    <w:rPr>
      <w:rFonts w:ascii="Times New Roman" w:hAnsi="Times New Roman" w:eastAsia="宋体" w:cs="Times New Roman"/>
      <w:sz w:val="24"/>
      <w:szCs w:val="24"/>
    </w:rPr>
  </w:style>
  <w:style w:type="paragraph" w:styleId="15">
    <w:name w:val="List Bullet 4"/>
    <w:basedOn w:val="1"/>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宋体"/>
      <w:kern w:val="0"/>
      <w:sz w:val="22"/>
      <w:szCs w:val="22"/>
    </w:rPr>
  </w:style>
  <w:style w:type="paragraph" w:styleId="16">
    <w:name w:val="Normal Indent"/>
    <w:basedOn w:val="1"/>
    <w:qFormat/>
    <w:uiPriority w:val="0"/>
    <w:pPr>
      <w:adjustRightInd w:val="0"/>
      <w:snapToGrid w:val="0"/>
      <w:spacing w:line="360" w:lineRule="auto"/>
      <w:ind w:firstLine="420"/>
    </w:pPr>
    <w:rPr>
      <w:rFonts w:ascii="Times New Roman" w:hAnsi="Times New Roman" w:eastAsia="宋体" w:cs="Times New Roman"/>
      <w:sz w:val="24"/>
      <w:szCs w:val="24"/>
    </w:rPr>
  </w:style>
  <w:style w:type="paragraph" w:styleId="17">
    <w:name w:val="caption"/>
    <w:basedOn w:val="1"/>
    <w:next w:val="1"/>
    <w:qFormat/>
    <w:uiPriority w:val="0"/>
    <w:pPr>
      <w:widowControl/>
      <w:tabs>
        <w:tab w:val="left" w:pos="1134"/>
      </w:tabs>
      <w:adjustRightInd w:val="0"/>
      <w:snapToGrid w:val="0"/>
      <w:spacing w:line="280" w:lineRule="atLeast"/>
      <w:jc w:val="left"/>
    </w:pPr>
    <w:rPr>
      <w:rFonts w:ascii="Times New Roman" w:hAnsi="Times New Roman" w:eastAsia="PMingLiUfalt" w:cs="Times New Roman"/>
      <w:b/>
      <w:bCs/>
      <w:kern w:val="0"/>
      <w:sz w:val="24"/>
      <w:szCs w:val="24"/>
      <w:lang w:eastAsia="zh-TW"/>
    </w:rPr>
  </w:style>
  <w:style w:type="paragraph" w:styleId="18">
    <w:name w:val="Document Map"/>
    <w:basedOn w:val="1"/>
    <w:link w:val="78"/>
    <w:qFormat/>
    <w:uiPriority w:val="0"/>
    <w:pPr>
      <w:shd w:val="clear" w:color="auto" w:fill="000080"/>
    </w:pPr>
    <w:rPr>
      <w:rFonts w:ascii="Times New Roman" w:hAnsi="Times New Roman" w:eastAsia="宋体" w:cs="Times New Roman"/>
      <w:kern w:val="0"/>
      <w:sz w:val="2"/>
      <w:szCs w:val="20"/>
    </w:rPr>
  </w:style>
  <w:style w:type="paragraph" w:styleId="19">
    <w:name w:val="toa heading"/>
    <w:basedOn w:val="1"/>
    <w:next w:val="1"/>
    <w:qFormat/>
    <w:uiPriority w:val="0"/>
    <w:pPr>
      <w:spacing w:before="120"/>
    </w:pPr>
    <w:rPr>
      <w:rFonts w:ascii="Arial" w:hAnsi="Arial" w:eastAsia="宋体" w:cs="Arial"/>
      <w:sz w:val="24"/>
      <w:szCs w:val="24"/>
    </w:rPr>
  </w:style>
  <w:style w:type="paragraph" w:styleId="20">
    <w:name w:val="annotation text"/>
    <w:basedOn w:val="1"/>
    <w:link w:val="79"/>
    <w:qFormat/>
    <w:uiPriority w:val="0"/>
    <w:pPr>
      <w:jc w:val="left"/>
    </w:pPr>
    <w:rPr>
      <w:rFonts w:ascii="Times New Roman" w:hAnsi="Times New Roman" w:eastAsia="宋体" w:cs="Times New Roman"/>
    </w:rPr>
  </w:style>
  <w:style w:type="paragraph" w:styleId="21">
    <w:name w:val="Body Text 3"/>
    <w:basedOn w:val="1"/>
    <w:link w:val="80"/>
    <w:qFormat/>
    <w:uiPriority w:val="0"/>
    <w:pPr>
      <w:adjustRightInd w:val="0"/>
      <w:snapToGrid w:val="0"/>
      <w:spacing w:after="120" w:line="360" w:lineRule="auto"/>
    </w:pPr>
    <w:rPr>
      <w:rFonts w:ascii="Times New Roman" w:hAnsi="Times New Roman" w:eastAsia="宋体" w:cs="Times New Roman"/>
      <w:kern w:val="0"/>
      <w:sz w:val="16"/>
      <w:szCs w:val="20"/>
    </w:rPr>
  </w:style>
  <w:style w:type="paragraph" w:styleId="22">
    <w:name w:val="List Bullet 3"/>
    <w:basedOn w:val="1"/>
    <w:qFormat/>
    <w:uiPriority w:val="0"/>
    <w:pPr>
      <w:tabs>
        <w:tab w:val="left" w:pos="1200"/>
      </w:tabs>
      <w:adjustRightInd w:val="0"/>
      <w:snapToGrid w:val="0"/>
      <w:spacing w:line="360" w:lineRule="auto"/>
      <w:ind w:left="1200" w:hanging="360"/>
    </w:pPr>
    <w:rPr>
      <w:rFonts w:ascii="Times New Roman" w:hAnsi="Times New Roman" w:eastAsia="宋体" w:cs="Times New Roman"/>
      <w:sz w:val="24"/>
      <w:szCs w:val="24"/>
    </w:rPr>
  </w:style>
  <w:style w:type="paragraph" w:styleId="23">
    <w:name w:val="Body Text Indent"/>
    <w:basedOn w:val="1"/>
    <w:link w:val="81"/>
    <w:qFormat/>
    <w:uiPriority w:val="0"/>
    <w:pPr>
      <w:spacing w:line="700" w:lineRule="exact"/>
      <w:ind w:left="960"/>
    </w:pPr>
    <w:rPr>
      <w:rFonts w:ascii="Times New Roman" w:hAnsi="Times New Roman" w:eastAsia="宋体" w:cs="Times New Roman"/>
      <w:sz w:val="44"/>
      <w:szCs w:val="20"/>
    </w:rPr>
  </w:style>
  <w:style w:type="paragraph" w:styleId="24">
    <w:name w:val="List Number 3"/>
    <w:basedOn w:val="1"/>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4"/>
    </w:rPr>
  </w:style>
  <w:style w:type="paragraph" w:styleId="25">
    <w:name w:val="List 2"/>
    <w:basedOn w:val="1"/>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4"/>
    </w:rPr>
  </w:style>
  <w:style w:type="paragraph" w:styleId="26">
    <w:name w:val="List Continue"/>
    <w:basedOn w:val="1"/>
    <w:qFormat/>
    <w:uiPriority w:val="0"/>
    <w:pPr>
      <w:adjustRightInd w:val="0"/>
      <w:snapToGrid w:val="0"/>
      <w:spacing w:after="120" w:line="360" w:lineRule="auto"/>
      <w:ind w:left="420" w:leftChars="200"/>
    </w:pPr>
    <w:rPr>
      <w:rFonts w:ascii="Times New Roman" w:hAnsi="Times New Roman" w:eastAsia="宋体" w:cs="Times New Roman"/>
      <w:sz w:val="24"/>
      <w:szCs w:val="24"/>
    </w:rPr>
  </w:style>
  <w:style w:type="paragraph" w:styleId="27">
    <w:name w:val="List Bullet 2"/>
    <w:basedOn w:val="1"/>
    <w:qFormat/>
    <w:uiPriority w:val="0"/>
    <w:pPr>
      <w:tabs>
        <w:tab w:val="left" w:pos="780"/>
      </w:tabs>
      <w:adjustRightInd w:val="0"/>
      <w:snapToGrid w:val="0"/>
      <w:spacing w:line="360" w:lineRule="auto"/>
      <w:ind w:left="780" w:hanging="360"/>
    </w:pPr>
    <w:rPr>
      <w:rFonts w:ascii="Times New Roman" w:hAnsi="Times New Roman" w:eastAsia="宋体" w:cs="Times New Roman"/>
      <w:sz w:val="24"/>
      <w:szCs w:val="24"/>
    </w:rPr>
  </w:style>
  <w:style w:type="paragraph" w:styleId="28">
    <w:name w:val="toc 5"/>
    <w:basedOn w:val="1"/>
    <w:next w:val="1"/>
    <w:qFormat/>
    <w:uiPriority w:val="0"/>
    <w:pPr>
      <w:ind w:left="1680" w:leftChars="800"/>
    </w:pPr>
    <w:rPr>
      <w:rFonts w:ascii="Times New Roman" w:hAnsi="Times New Roman" w:eastAsia="宋体" w:cs="Times New Roman"/>
    </w:rPr>
  </w:style>
  <w:style w:type="paragraph" w:styleId="29">
    <w:name w:val="toc 3"/>
    <w:basedOn w:val="1"/>
    <w:next w:val="1"/>
    <w:qFormat/>
    <w:uiPriority w:val="0"/>
    <w:pPr>
      <w:ind w:left="840" w:leftChars="400"/>
    </w:pPr>
    <w:rPr>
      <w:rFonts w:ascii="Times New Roman" w:hAnsi="Times New Roman" w:eastAsia="宋体" w:cs="Times New Roman"/>
    </w:rPr>
  </w:style>
  <w:style w:type="paragraph" w:styleId="30">
    <w:name w:val="Plain Text"/>
    <w:basedOn w:val="1"/>
    <w:link w:val="82"/>
    <w:qFormat/>
    <w:uiPriority w:val="0"/>
    <w:rPr>
      <w:rFonts w:ascii="宋体" w:hAnsi="Courier New" w:eastAsia="宋体" w:cs="Times New Roman"/>
      <w:kern w:val="0"/>
      <w:sz w:val="21"/>
      <w:szCs w:val="20"/>
    </w:rPr>
  </w:style>
  <w:style w:type="paragraph" w:styleId="31">
    <w:name w:val="toc 8"/>
    <w:basedOn w:val="1"/>
    <w:next w:val="1"/>
    <w:qFormat/>
    <w:uiPriority w:val="0"/>
    <w:pPr>
      <w:ind w:left="2940" w:leftChars="1400"/>
    </w:pPr>
    <w:rPr>
      <w:rFonts w:ascii="Times New Roman" w:hAnsi="Times New Roman" w:eastAsia="宋体" w:cs="Times New Roman"/>
    </w:rPr>
  </w:style>
  <w:style w:type="paragraph" w:styleId="32">
    <w:name w:val="Date"/>
    <w:basedOn w:val="1"/>
    <w:next w:val="1"/>
    <w:link w:val="83"/>
    <w:qFormat/>
    <w:uiPriority w:val="0"/>
    <w:rPr>
      <w:rFonts w:ascii="Times New Roman" w:hAnsi="Times New Roman" w:eastAsia="宋体" w:cs="Times New Roman"/>
      <w:szCs w:val="20"/>
    </w:rPr>
  </w:style>
  <w:style w:type="paragraph" w:styleId="33">
    <w:name w:val="Body Text Indent 2"/>
    <w:basedOn w:val="1"/>
    <w:link w:val="84"/>
    <w:qFormat/>
    <w:uiPriority w:val="0"/>
    <w:pPr>
      <w:snapToGrid w:val="0"/>
      <w:spacing w:line="560" w:lineRule="atLeast"/>
      <w:ind w:firstLine="540"/>
    </w:pPr>
    <w:rPr>
      <w:rFonts w:ascii="Times New Roman" w:hAnsi="Times New Roman" w:eastAsia="宋体" w:cs="Times New Roman"/>
      <w:szCs w:val="20"/>
    </w:rPr>
  </w:style>
  <w:style w:type="paragraph" w:styleId="34">
    <w:name w:val="Balloon Text"/>
    <w:basedOn w:val="1"/>
    <w:link w:val="85"/>
    <w:qFormat/>
    <w:uiPriority w:val="0"/>
    <w:rPr>
      <w:rFonts w:ascii="Times New Roman" w:hAnsi="Times New Roman" w:eastAsia="宋体" w:cs="Times New Roman"/>
      <w:kern w:val="0"/>
      <w:sz w:val="21"/>
      <w:szCs w:val="20"/>
    </w:rPr>
  </w:style>
  <w:style w:type="paragraph" w:styleId="35">
    <w:name w:val="footer"/>
    <w:basedOn w:val="1"/>
    <w:link w:val="86"/>
    <w:qFormat/>
    <w:uiPriority w:val="0"/>
    <w:pPr>
      <w:tabs>
        <w:tab w:val="center" w:pos="4153"/>
        <w:tab w:val="right" w:pos="8306"/>
      </w:tabs>
      <w:snapToGrid w:val="0"/>
      <w:jc w:val="left"/>
    </w:pPr>
    <w:rPr>
      <w:rFonts w:ascii="Times New Roman" w:hAnsi="Times New Roman" w:eastAsia="宋体" w:cs="Times New Roman"/>
      <w:kern w:val="0"/>
      <w:sz w:val="18"/>
      <w:szCs w:val="20"/>
    </w:rPr>
  </w:style>
  <w:style w:type="paragraph" w:styleId="36">
    <w:name w:val="header"/>
    <w:basedOn w:val="1"/>
    <w:link w:val="87"/>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qFormat/>
    <w:uiPriority w:val="0"/>
    <w:pPr>
      <w:spacing w:line="180" w:lineRule="auto"/>
      <w:jc w:val="center"/>
    </w:pPr>
    <w:rPr>
      <w:rFonts w:ascii="Times New Roman" w:hAnsi="Times New Roman" w:eastAsia="宋体" w:cs="Times New Roman"/>
      <w:sz w:val="30"/>
      <w:szCs w:val="30"/>
    </w:rPr>
  </w:style>
  <w:style w:type="paragraph" w:styleId="38">
    <w:name w:val="List Continue 4"/>
    <w:basedOn w:val="1"/>
    <w:qFormat/>
    <w:uiPriority w:val="0"/>
    <w:pPr>
      <w:adjustRightInd w:val="0"/>
      <w:snapToGrid w:val="0"/>
      <w:spacing w:after="120" w:line="360" w:lineRule="auto"/>
      <w:ind w:left="1680" w:leftChars="800"/>
    </w:pPr>
    <w:rPr>
      <w:rFonts w:ascii="Times New Roman" w:hAnsi="Times New Roman" w:eastAsia="宋体" w:cs="Times New Roman"/>
      <w:sz w:val="24"/>
      <w:szCs w:val="24"/>
    </w:rPr>
  </w:style>
  <w:style w:type="paragraph" w:styleId="39">
    <w:name w:val="toc 4"/>
    <w:basedOn w:val="1"/>
    <w:next w:val="1"/>
    <w:qFormat/>
    <w:uiPriority w:val="0"/>
    <w:pPr>
      <w:ind w:left="1260" w:leftChars="600"/>
    </w:pPr>
    <w:rPr>
      <w:rFonts w:ascii="Times New Roman" w:hAnsi="Times New Roman" w:eastAsia="宋体" w:cs="Times New Roman"/>
    </w:rPr>
  </w:style>
  <w:style w:type="paragraph" w:styleId="40">
    <w:name w:val="footnote text"/>
    <w:basedOn w:val="1"/>
    <w:link w:val="88"/>
    <w:qFormat/>
    <w:uiPriority w:val="0"/>
    <w:pPr>
      <w:spacing w:line="360" w:lineRule="auto"/>
    </w:pPr>
    <w:rPr>
      <w:rFonts w:ascii="Times New Roman" w:hAnsi="Times New Roman" w:eastAsia="宋体" w:cs="Times New Roman"/>
      <w:sz w:val="18"/>
      <w:szCs w:val="20"/>
    </w:rPr>
  </w:style>
  <w:style w:type="paragraph" w:styleId="41">
    <w:name w:val="toc 6"/>
    <w:basedOn w:val="1"/>
    <w:next w:val="1"/>
    <w:qFormat/>
    <w:uiPriority w:val="0"/>
    <w:pPr>
      <w:ind w:left="2100" w:leftChars="1000"/>
    </w:pPr>
    <w:rPr>
      <w:rFonts w:ascii="Times New Roman" w:hAnsi="Times New Roman" w:eastAsia="宋体" w:cs="Times New Roman"/>
    </w:rPr>
  </w:style>
  <w:style w:type="paragraph" w:styleId="42">
    <w:name w:val="List 5"/>
    <w:basedOn w:val="1"/>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4"/>
    </w:rPr>
  </w:style>
  <w:style w:type="paragraph" w:styleId="43">
    <w:name w:val="Body Text Indent 3"/>
    <w:basedOn w:val="1"/>
    <w:link w:val="89"/>
    <w:qFormat/>
    <w:uiPriority w:val="0"/>
    <w:pPr>
      <w:spacing w:line="360" w:lineRule="auto"/>
      <w:ind w:firstLine="632"/>
    </w:pPr>
    <w:rPr>
      <w:rFonts w:ascii="Times New Roman" w:hAnsi="Times New Roman" w:eastAsia="宋体" w:cs="Times New Roman"/>
      <w:kern w:val="0"/>
      <w:sz w:val="16"/>
      <w:szCs w:val="20"/>
    </w:rPr>
  </w:style>
  <w:style w:type="paragraph" w:styleId="44">
    <w:name w:val="table of figures"/>
    <w:basedOn w:val="1"/>
    <w:next w:val="1"/>
    <w:qFormat/>
    <w:uiPriority w:val="0"/>
    <w:pPr>
      <w:tabs>
        <w:tab w:val="right" w:leader="dot" w:pos="8640"/>
      </w:tabs>
      <w:spacing w:line="360" w:lineRule="auto"/>
      <w:ind w:left="400" w:hanging="400"/>
    </w:pPr>
    <w:rPr>
      <w:rFonts w:ascii="Times New Roman" w:hAnsi="Times New Roman" w:eastAsia="宋体" w:cs="Times New Roman"/>
      <w:sz w:val="24"/>
      <w:szCs w:val="24"/>
    </w:rPr>
  </w:style>
  <w:style w:type="paragraph" w:styleId="45">
    <w:name w:val="toc 2"/>
    <w:basedOn w:val="1"/>
    <w:next w:val="1"/>
    <w:qFormat/>
    <w:uiPriority w:val="0"/>
    <w:pPr>
      <w:ind w:left="420" w:leftChars="200"/>
    </w:pPr>
    <w:rPr>
      <w:rFonts w:ascii="Times New Roman" w:hAnsi="Times New Roman" w:eastAsia="宋体" w:cs="Times New Roman"/>
    </w:rPr>
  </w:style>
  <w:style w:type="paragraph" w:styleId="46">
    <w:name w:val="toc 9"/>
    <w:basedOn w:val="1"/>
    <w:next w:val="1"/>
    <w:qFormat/>
    <w:uiPriority w:val="0"/>
    <w:pPr>
      <w:ind w:left="3360" w:leftChars="1600"/>
    </w:pPr>
    <w:rPr>
      <w:rFonts w:ascii="Times New Roman" w:hAnsi="Times New Roman" w:eastAsia="宋体" w:cs="Times New Roman"/>
    </w:rPr>
  </w:style>
  <w:style w:type="paragraph" w:styleId="47">
    <w:name w:val="Body Text 2"/>
    <w:basedOn w:val="1"/>
    <w:link w:val="90"/>
    <w:qFormat/>
    <w:uiPriority w:val="0"/>
    <w:pPr>
      <w:adjustRightInd w:val="0"/>
      <w:snapToGrid w:val="0"/>
      <w:spacing w:after="120" w:line="480" w:lineRule="auto"/>
    </w:pPr>
    <w:rPr>
      <w:rFonts w:ascii="Times New Roman" w:hAnsi="Times New Roman" w:eastAsia="宋体" w:cs="Times New Roman"/>
      <w:kern w:val="0"/>
      <w:sz w:val="20"/>
      <w:szCs w:val="20"/>
    </w:rPr>
  </w:style>
  <w:style w:type="paragraph" w:styleId="48">
    <w:name w:val="List 4"/>
    <w:basedOn w:val="1"/>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4"/>
    </w:rPr>
  </w:style>
  <w:style w:type="paragraph" w:styleId="49">
    <w:name w:val="List Continue 2"/>
    <w:basedOn w:val="1"/>
    <w:qFormat/>
    <w:uiPriority w:val="0"/>
    <w:pPr>
      <w:adjustRightInd w:val="0"/>
      <w:snapToGrid w:val="0"/>
      <w:spacing w:after="120" w:line="360" w:lineRule="auto"/>
      <w:ind w:left="840" w:leftChars="400"/>
    </w:pPr>
    <w:rPr>
      <w:rFonts w:ascii="Times New Roman" w:hAnsi="Times New Roman" w:eastAsia="宋体" w:cs="Times New Roman"/>
      <w:sz w:val="24"/>
      <w:szCs w:val="24"/>
    </w:rPr>
  </w:style>
  <w:style w:type="paragraph" w:styleId="50">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51">
    <w:name w:val="List Continue 3"/>
    <w:basedOn w:val="1"/>
    <w:qFormat/>
    <w:uiPriority w:val="0"/>
    <w:pPr>
      <w:adjustRightInd w:val="0"/>
      <w:snapToGrid w:val="0"/>
      <w:spacing w:after="120" w:line="360" w:lineRule="auto"/>
      <w:ind w:left="1260" w:leftChars="600"/>
    </w:pPr>
    <w:rPr>
      <w:rFonts w:ascii="Times New Roman" w:hAnsi="Times New Roman" w:eastAsia="宋体" w:cs="Times New Roman"/>
      <w:sz w:val="24"/>
      <w:szCs w:val="24"/>
    </w:rPr>
  </w:style>
  <w:style w:type="paragraph" w:styleId="52">
    <w:name w:val="index 1"/>
    <w:basedOn w:val="1"/>
    <w:next w:val="1"/>
    <w:qFormat/>
    <w:uiPriority w:val="0"/>
    <w:pPr>
      <w:adjustRightInd w:val="0"/>
      <w:spacing w:line="240" w:lineRule="atLeast"/>
      <w:textAlignment w:val="baseline"/>
    </w:pPr>
    <w:rPr>
      <w:rFonts w:ascii="宋体" w:hAnsi="Times New Roman" w:eastAsia="宋体" w:cs="宋体"/>
      <w:kern w:val="0"/>
      <w:sz w:val="21"/>
      <w:szCs w:val="21"/>
    </w:rPr>
  </w:style>
  <w:style w:type="paragraph" w:styleId="53">
    <w:name w:val="Title"/>
    <w:basedOn w:val="1"/>
    <w:link w:val="91"/>
    <w:qFormat/>
    <w:uiPriority w:val="0"/>
    <w:pPr>
      <w:widowControl/>
      <w:spacing w:after="240" w:line="360" w:lineRule="auto"/>
      <w:jc w:val="center"/>
    </w:pPr>
    <w:rPr>
      <w:rFonts w:ascii="Cambria" w:hAnsi="Cambria" w:eastAsia="宋体" w:cs="Times New Roman"/>
      <w:b/>
      <w:kern w:val="0"/>
      <w:sz w:val="32"/>
      <w:szCs w:val="20"/>
    </w:rPr>
  </w:style>
  <w:style w:type="paragraph" w:styleId="54">
    <w:name w:val="annotation subject"/>
    <w:basedOn w:val="20"/>
    <w:next w:val="20"/>
    <w:link w:val="92"/>
    <w:qFormat/>
    <w:uiPriority w:val="0"/>
    <w:rPr>
      <w:rFonts w:ascii="Times New Roman" w:hAnsi="Times New Roman" w:eastAsia="宋体" w:cs="Times New Roman"/>
      <w:szCs w:val="20"/>
    </w:rPr>
  </w:style>
  <w:style w:type="paragraph" w:styleId="55">
    <w:name w:val="Body Text First Indent"/>
    <w:basedOn w:val="1"/>
    <w:link w:val="93"/>
    <w:qFormat/>
    <w:uiPriority w:val="0"/>
    <w:pPr>
      <w:spacing w:line="360" w:lineRule="auto"/>
      <w:ind w:firstLine="420"/>
    </w:pPr>
    <w:rPr>
      <w:rFonts w:ascii="Times New Roman" w:hAnsi="Times New Roman" w:eastAsia="宋体" w:cs="Times New Roman"/>
      <w:kern w:val="0"/>
      <w:sz w:val="20"/>
      <w:szCs w:val="20"/>
    </w:rPr>
  </w:style>
  <w:style w:type="paragraph" w:styleId="56">
    <w:name w:val="Body Text First Indent 2"/>
    <w:basedOn w:val="23"/>
    <w:link w:val="94"/>
    <w:qFormat/>
    <w:uiPriority w:val="0"/>
    <w:pPr>
      <w:spacing w:after="120" w:line="240" w:lineRule="auto"/>
      <w:ind w:left="420" w:leftChars="200" w:firstLine="420" w:firstLineChars="200"/>
    </w:pPr>
    <w:rPr>
      <w:rFonts w:ascii="Times New Roman" w:hAnsi="Times New Roman" w:eastAsia="宋体" w:cs="Times New Roman"/>
    </w:rPr>
  </w:style>
  <w:style w:type="table" w:styleId="58">
    <w:name w:val="Table Grid"/>
    <w:basedOn w:val="57"/>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60">
    <w:name w:val="Strong"/>
    <w:qFormat/>
    <w:uiPriority w:val="0"/>
    <w:rPr>
      <w:rFonts w:ascii="Times New Roman" w:hAnsi="Times New Roman" w:eastAsia="宋体" w:cs="Times New Roman"/>
      <w:b/>
    </w:rPr>
  </w:style>
  <w:style w:type="character" w:styleId="61">
    <w:name w:val="page number"/>
    <w:qFormat/>
    <w:uiPriority w:val="0"/>
    <w:rPr>
      <w:rFonts w:ascii="Times New Roman" w:hAnsi="Times New Roman" w:eastAsia="宋体" w:cs="Times New Roman"/>
    </w:rPr>
  </w:style>
  <w:style w:type="character" w:styleId="62">
    <w:name w:val="FollowedHyperlink"/>
    <w:qFormat/>
    <w:uiPriority w:val="0"/>
    <w:rPr>
      <w:rFonts w:ascii="Times New Roman" w:hAnsi="Times New Roman" w:eastAsia="宋体" w:cs="Times New Roman"/>
      <w:color w:val="800080"/>
      <w:u w:val="single"/>
    </w:rPr>
  </w:style>
  <w:style w:type="character" w:styleId="63">
    <w:name w:val="Emphasis"/>
    <w:qFormat/>
    <w:uiPriority w:val="0"/>
    <w:rPr>
      <w:rFonts w:ascii="Times New Roman" w:hAnsi="Times New Roman" w:eastAsia="宋体" w:cs="Times New Roman"/>
      <w:i/>
    </w:rPr>
  </w:style>
  <w:style w:type="character" w:styleId="64">
    <w:name w:val="Hyperlink"/>
    <w:qFormat/>
    <w:uiPriority w:val="0"/>
    <w:rPr>
      <w:rFonts w:ascii="Times New Roman" w:hAnsi="Times New Roman" w:eastAsia="宋体" w:cs="Times New Roman"/>
      <w:color w:val="0000FF"/>
      <w:u w:val="single"/>
    </w:rPr>
  </w:style>
  <w:style w:type="character" w:styleId="65">
    <w:name w:val="annotation reference"/>
    <w:qFormat/>
    <w:uiPriority w:val="0"/>
    <w:rPr>
      <w:rFonts w:ascii="Times New Roman" w:hAnsi="Times New Roman" w:eastAsia="宋体" w:cs="Times New Roman"/>
      <w:sz w:val="28"/>
    </w:rPr>
  </w:style>
  <w:style w:type="character" w:styleId="66">
    <w:name w:val="footnote reference"/>
    <w:uiPriority w:val="0"/>
    <w:rPr>
      <w:rFonts w:ascii="Times New Roman" w:hAnsi="Times New Roman" w:eastAsia="宋体" w:cs="Times New Roman"/>
      <w:position w:val="6"/>
      <w:sz w:val="14"/>
      <w:vertAlign w:val="superscript"/>
    </w:rPr>
  </w:style>
  <w:style w:type="paragraph" w:customStyle="1" w:styleId="67">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68">
    <w:name w:val="正文文本 Char"/>
    <w:link w:val="2"/>
    <w:qFormat/>
    <w:uiPriority w:val="0"/>
    <w:rPr>
      <w:rFonts w:ascii="Times New Roman" w:hAnsi="Times New Roman" w:eastAsia="宋体" w:cs="Times New Roman"/>
      <w:sz w:val="28"/>
      <w:szCs w:val="28"/>
    </w:rPr>
  </w:style>
  <w:style w:type="character" w:customStyle="1" w:styleId="69">
    <w:name w:val="标题 1 Char"/>
    <w:link w:val="3"/>
    <w:qFormat/>
    <w:uiPriority w:val="0"/>
    <w:rPr>
      <w:rFonts w:ascii="Times New Roman" w:hAnsi="Times New Roman" w:eastAsia="宋体" w:cs="Times New Roman"/>
      <w:b/>
      <w:kern w:val="44"/>
      <w:sz w:val="44"/>
      <w:szCs w:val="20"/>
    </w:rPr>
  </w:style>
  <w:style w:type="character" w:customStyle="1" w:styleId="70">
    <w:name w:val="标题 2 Char"/>
    <w:link w:val="4"/>
    <w:qFormat/>
    <w:uiPriority w:val="0"/>
    <w:rPr>
      <w:rFonts w:ascii="Arial" w:hAnsi="Arial" w:eastAsia="黑体" w:cs="Times New Roman"/>
      <w:b/>
      <w:sz w:val="32"/>
      <w:szCs w:val="20"/>
    </w:rPr>
  </w:style>
  <w:style w:type="character" w:customStyle="1" w:styleId="71">
    <w:name w:val="标题 3 Char"/>
    <w:link w:val="5"/>
    <w:qFormat/>
    <w:uiPriority w:val="0"/>
    <w:rPr>
      <w:rFonts w:ascii="Times New Roman" w:hAnsi="Times New Roman" w:eastAsia="宋体" w:cs="Times New Roman"/>
      <w:b/>
      <w:sz w:val="32"/>
      <w:szCs w:val="20"/>
    </w:rPr>
  </w:style>
  <w:style w:type="character" w:customStyle="1" w:styleId="72">
    <w:name w:val="标题 4 Char"/>
    <w:link w:val="6"/>
    <w:qFormat/>
    <w:uiPriority w:val="0"/>
    <w:rPr>
      <w:rFonts w:ascii="Cambria" w:hAnsi="Cambria" w:eastAsia="宋体" w:cs="Times New Roman"/>
      <w:b/>
      <w:kern w:val="0"/>
      <w:sz w:val="28"/>
      <w:szCs w:val="20"/>
    </w:rPr>
  </w:style>
  <w:style w:type="character" w:customStyle="1" w:styleId="73">
    <w:name w:val="标题 5 Char"/>
    <w:link w:val="7"/>
    <w:qFormat/>
    <w:uiPriority w:val="0"/>
    <w:rPr>
      <w:rFonts w:ascii="Times New Roman" w:hAnsi="Times New Roman" w:eastAsia="宋体" w:cs="Times New Roman"/>
      <w:b/>
      <w:kern w:val="0"/>
      <w:sz w:val="28"/>
      <w:szCs w:val="20"/>
    </w:rPr>
  </w:style>
  <w:style w:type="character" w:customStyle="1" w:styleId="74">
    <w:name w:val="标题 6 Char"/>
    <w:link w:val="8"/>
    <w:qFormat/>
    <w:uiPriority w:val="0"/>
    <w:rPr>
      <w:rFonts w:ascii="Cambria" w:hAnsi="Cambria" w:eastAsia="宋体" w:cs="Times New Roman"/>
      <w:b/>
      <w:kern w:val="0"/>
      <w:sz w:val="24"/>
      <w:szCs w:val="20"/>
    </w:rPr>
  </w:style>
  <w:style w:type="character" w:customStyle="1" w:styleId="75">
    <w:name w:val="标题 7 Char"/>
    <w:link w:val="9"/>
    <w:qFormat/>
    <w:uiPriority w:val="0"/>
    <w:rPr>
      <w:rFonts w:ascii="Times New Roman" w:hAnsi="Times New Roman" w:eastAsia="宋体" w:cs="Times New Roman"/>
      <w:b/>
      <w:kern w:val="0"/>
      <w:sz w:val="24"/>
      <w:szCs w:val="20"/>
    </w:rPr>
  </w:style>
  <w:style w:type="character" w:customStyle="1" w:styleId="76">
    <w:name w:val="标题 8 Char"/>
    <w:link w:val="10"/>
    <w:qFormat/>
    <w:uiPriority w:val="0"/>
    <w:rPr>
      <w:rFonts w:ascii="Cambria" w:hAnsi="Cambria" w:eastAsia="宋体" w:cs="Times New Roman"/>
      <w:kern w:val="0"/>
      <w:sz w:val="24"/>
      <w:szCs w:val="20"/>
    </w:rPr>
  </w:style>
  <w:style w:type="character" w:customStyle="1" w:styleId="77">
    <w:name w:val="标题 9 Char"/>
    <w:link w:val="11"/>
    <w:qFormat/>
    <w:uiPriority w:val="0"/>
    <w:rPr>
      <w:rFonts w:ascii="Cambria" w:hAnsi="Cambria" w:eastAsia="宋体" w:cs="Times New Roman"/>
      <w:kern w:val="0"/>
      <w:szCs w:val="20"/>
    </w:rPr>
  </w:style>
  <w:style w:type="character" w:customStyle="1" w:styleId="78">
    <w:name w:val="文档结构图 Char"/>
    <w:link w:val="18"/>
    <w:qFormat/>
    <w:uiPriority w:val="0"/>
    <w:rPr>
      <w:rFonts w:ascii="Times New Roman" w:hAnsi="Times New Roman" w:eastAsia="宋体" w:cs="Times New Roman"/>
      <w:kern w:val="0"/>
      <w:sz w:val="2"/>
      <w:szCs w:val="20"/>
      <w:shd w:val="clear" w:color="auto" w:fill="000080"/>
    </w:rPr>
  </w:style>
  <w:style w:type="character" w:customStyle="1" w:styleId="79">
    <w:name w:val="批注文字 Char"/>
    <w:link w:val="20"/>
    <w:qFormat/>
    <w:uiPriority w:val="0"/>
    <w:rPr>
      <w:rFonts w:ascii="Times New Roman" w:hAnsi="Times New Roman" w:eastAsia="宋体" w:cs="Times New Roman"/>
      <w:sz w:val="28"/>
      <w:szCs w:val="28"/>
    </w:rPr>
  </w:style>
  <w:style w:type="character" w:customStyle="1" w:styleId="80">
    <w:name w:val="正文文本 3 Char"/>
    <w:link w:val="21"/>
    <w:qFormat/>
    <w:uiPriority w:val="0"/>
    <w:rPr>
      <w:rFonts w:ascii="Times New Roman" w:hAnsi="Times New Roman" w:eastAsia="宋体" w:cs="Times New Roman"/>
      <w:kern w:val="0"/>
      <w:sz w:val="16"/>
      <w:szCs w:val="20"/>
    </w:rPr>
  </w:style>
  <w:style w:type="character" w:customStyle="1" w:styleId="81">
    <w:name w:val="正文文本缩进 Char"/>
    <w:link w:val="23"/>
    <w:uiPriority w:val="0"/>
    <w:rPr>
      <w:rFonts w:ascii="Times New Roman" w:hAnsi="Times New Roman" w:eastAsia="宋体" w:cs="Times New Roman"/>
      <w:sz w:val="44"/>
      <w:szCs w:val="20"/>
    </w:rPr>
  </w:style>
  <w:style w:type="character" w:customStyle="1" w:styleId="82">
    <w:name w:val="纯文本 Char"/>
    <w:link w:val="30"/>
    <w:qFormat/>
    <w:uiPriority w:val="0"/>
    <w:rPr>
      <w:rFonts w:ascii="宋体" w:hAnsi="Courier New" w:eastAsia="宋体" w:cs="Times New Roman"/>
      <w:kern w:val="0"/>
      <w:szCs w:val="20"/>
    </w:rPr>
  </w:style>
  <w:style w:type="character" w:customStyle="1" w:styleId="83">
    <w:name w:val="日期 Char"/>
    <w:link w:val="32"/>
    <w:uiPriority w:val="0"/>
    <w:rPr>
      <w:rFonts w:ascii="Times New Roman" w:hAnsi="Times New Roman" w:eastAsia="宋体" w:cs="Times New Roman"/>
      <w:sz w:val="28"/>
      <w:szCs w:val="20"/>
    </w:rPr>
  </w:style>
  <w:style w:type="character" w:customStyle="1" w:styleId="84">
    <w:name w:val="正文文本缩进 2 Char"/>
    <w:link w:val="33"/>
    <w:qFormat/>
    <w:uiPriority w:val="0"/>
    <w:rPr>
      <w:rFonts w:ascii="Times New Roman" w:hAnsi="Times New Roman" w:eastAsia="宋体" w:cs="Times New Roman"/>
      <w:sz w:val="28"/>
      <w:szCs w:val="20"/>
    </w:rPr>
  </w:style>
  <w:style w:type="character" w:customStyle="1" w:styleId="85">
    <w:name w:val="批注框文本 Char"/>
    <w:link w:val="34"/>
    <w:qFormat/>
    <w:uiPriority w:val="0"/>
    <w:rPr>
      <w:rFonts w:ascii="Times New Roman" w:hAnsi="Times New Roman" w:eastAsia="宋体" w:cs="Times New Roman"/>
      <w:kern w:val="0"/>
      <w:szCs w:val="20"/>
    </w:rPr>
  </w:style>
  <w:style w:type="character" w:customStyle="1" w:styleId="86">
    <w:name w:val="页脚 Char"/>
    <w:link w:val="35"/>
    <w:qFormat/>
    <w:uiPriority w:val="0"/>
    <w:rPr>
      <w:rFonts w:ascii="Times New Roman" w:hAnsi="Times New Roman" w:eastAsia="宋体" w:cs="Times New Roman"/>
      <w:kern w:val="0"/>
      <w:sz w:val="18"/>
      <w:szCs w:val="20"/>
    </w:rPr>
  </w:style>
  <w:style w:type="character" w:customStyle="1" w:styleId="87">
    <w:name w:val="页眉 Char"/>
    <w:link w:val="36"/>
    <w:qFormat/>
    <w:uiPriority w:val="0"/>
    <w:rPr>
      <w:rFonts w:ascii="Times New Roman" w:hAnsi="Times New Roman" w:eastAsia="宋体" w:cs="Times New Roman"/>
      <w:sz w:val="18"/>
      <w:szCs w:val="20"/>
    </w:rPr>
  </w:style>
  <w:style w:type="character" w:customStyle="1" w:styleId="88">
    <w:name w:val="脚注文本 Char"/>
    <w:link w:val="40"/>
    <w:qFormat/>
    <w:uiPriority w:val="0"/>
    <w:rPr>
      <w:rFonts w:ascii="Times New Roman" w:hAnsi="Times New Roman" w:eastAsia="宋体" w:cs="Times New Roman"/>
      <w:sz w:val="18"/>
      <w:szCs w:val="20"/>
    </w:rPr>
  </w:style>
  <w:style w:type="character" w:customStyle="1" w:styleId="89">
    <w:name w:val="正文文本缩进 3 Char"/>
    <w:link w:val="43"/>
    <w:qFormat/>
    <w:uiPriority w:val="0"/>
    <w:rPr>
      <w:rFonts w:ascii="Times New Roman" w:hAnsi="Times New Roman" w:eastAsia="宋体" w:cs="Times New Roman"/>
      <w:kern w:val="0"/>
      <w:sz w:val="16"/>
      <w:szCs w:val="20"/>
    </w:rPr>
  </w:style>
  <w:style w:type="character" w:customStyle="1" w:styleId="90">
    <w:name w:val="正文文本 2 Char"/>
    <w:link w:val="47"/>
    <w:qFormat/>
    <w:uiPriority w:val="0"/>
    <w:rPr>
      <w:rFonts w:ascii="Times New Roman" w:hAnsi="Times New Roman" w:eastAsia="宋体" w:cs="Times New Roman"/>
      <w:kern w:val="0"/>
      <w:sz w:val="20"/>
      <w:szCs w:val="20"/>
    </w:rPr>
  </w:style>
  <w:style w:type="character" w:customStyle="1" w:styleId="91">
    <w:name w:val="标题 Char"/>
    <w:link w:val="53"/>
    <w:qFormat/>
    <w:uiPriority w:val="0"/>
    <w:rPr>
      <w:rFonts w:ascii="Cambria" w:hAnsi="Cambria" w:eastAsia="宋体" w:cs="Times New Roman"/>
      <w:b/>
      <w:kern w:val="0"/>
      <w:sz w:val="32"/>
      <w:szCs w:val="20"/>
    </w:rPr>
  </w:style>
  <w:style w:type="character" w:customStyle="1" w:styleId="92">
    <w:name w:val="批注主题 Char"/>
    <w:link w:val="54"/>
    <w:qFormat/>
    <w:uiPriority w:val="0"/>
    <w:rPr>
      <w:rFonts w:ascii="Times New Roman" w:hAnsi="Times New Roman" w:eastAsia="宋体" w:cs="Times New Roman"/>
      <w:sz w:val="28"/>
      <w:szCs w:val="20"/>
    </w:rPr>
  </w:style>
  <w:style w:type="character" w:customStyle="1" w:styleId="93">
    <w:name w:val="正文首行缩进 Char"/>
    <w:link w:val="55"/>
    <w:qFormat/>
    <w:uiPriority w:val="0"/>
    <w:rPr>
      <w:rFonts w:ascii="Times New Roman" w:hAnsi="Times New Roman" w:eastAsia="宋体" w:cs="Times New Roman"/>
      <w:kern w:val="0"/>
      <w:sz w:val="20"/>
      <w:szCs w:val="20"/>
    </w:rPr>
  </w:style>
  <w:style w:type="character" w:customStyle="1" w:styleId="94">
    <w:name w:val="正文首行缩进 2 Char"/>
    <w:link w:val="56"/>
    <w:qFormat/>
    <w:uiPriority w:val="0"/>
    <w:rPr>
      <w:rFonts w:ascii="Times New Roman" w:hAnsi="Times New Roman" w:eastAsia="宋体" w:cs="Times New Roman"/>
    </w:rPr>
  </w:style>
  <w:style w:type="paragraph" w:customStyle="1" w:styleId="95">
    <w:name w:val="Heading4"/>
    <w:basedOn w:val="1"/>
    <w:next w:val="1"/>
    <w:qFormat/>
    <w:uiPriority w:val="0"/>
    <w:pPr>
      <w:widowControl/>
      <w:spacing w:before="100" w:beforeAutospacing="1" w:after="100" w:afterAutospacing="1"/>
      <w:jc w:val="left"/>
      <w:textAlignment w:val="baseline"/>
    </w:pPr>
    <w:rPr>
      <w:rFonts w:ascii="宋体" w:hAnsi="宋体" w:eastAsia="宋体" w:cs="宋体"/>
      <w:b/>
      <w:bCs/>
      <w:kern w:val="0"/>
      <w:sz w:val="24"/>
      <w:szCs w:val="24"/>
      <w:lang w:val="en-US" w:eastAsia="zh-CN" w:bidi="ar-SA"/>
    </w:rPr>
  </w:style>
  <w:style w:type="paragraph" w:customStyle="1" w:styleId="96">
    <w:name w:val="1"/>
    <w:basedOn w:val="1"/>
    <w:next w:val="30"/>
    <w:qFormat/>
    <w:uiPriority w:val="0"/>
    <w:rPr>
      <w:rFonts w:ascii="宋体" w:hAnsi="Courier New" w:eastAsia="宋体" w:cs="宋体"/>
      <w:sz w:val="21"/>
      <w:szCs w:val="21"/>
    </w:rPr>
  </w:style>
  <w:style w:type="paragraph" w:customStyle="1" w:styleId="97">
    <w:name w:val="Table Text"/>
    <w:link w:val="98"/>
    <w:qFormat/>
    <w:uiPriority w:val="0"/>
    <w:pPr>
      <w:snapToGrid w:val="0"/>
      <w:spacing w:before="80" w:after="80"/>
    </w:pPr>
    <w:rPr>
      <w:rFonts w:ascii="Arial" w:hAnsi="Arial" w:eastAsia="宋体" w:cs="Times New Roman"/>
      <w:kern w:val="2"/>
      <w:sz w:val="18"/>
      <w:szCs w:val="22"/>
      <w:lang w:val="en-US" w:eastAsia="zh-CN" w:bidi="ar-SA"/>
    </w:rPr>
  </w:style>
  <w:style w:type="character" w:customStyle="1" w:styleId="98">
    <w:name w:val="Table Text Char Char Char Char"/>
    <w:link w:val="97"/>
    <w:qFormat/>
    <w:uiPriority w:val="0"/>
    <w:rPr>
      <w:rFonts w:ascii="Arial" w:hAnsi="Arial" w:eastAsia="宋体" w:cs="Times New Roman"/>
      <w:kern w:val="2"/>
      <w:sz w:val="18"/>
      <w:szCs w:val="22"/>
      <w:lang w:val="en-US" w:eastAsia="zh-CN" w:bidi="ar-SA"/>
    </w:rPr>
  </w:style>
  <w:style w:type="character" w:customStyle="1" w:styleId="99">
    <w:name w:val="小 Char"/>
    <w:qFormat/>
    <w:uiPriority w:val="0"/>
    <w:rPr>
      <w:rFonts w:ascii="宋体" w:hAnsi="Courier New" w:eastAsia="宋体" w:cs="Times New Roman"/>
      <w:kern w:val="2"/>
      <w:sz w:val="21"/>
      <w:lang w:val="en-US" w:eastAsia="zh-CN"/>
    </w:rPr>
  </w:style>
  <w:style w:type="character" w:customStyle="1" w:styleId="100">
    <w:name w:val="标书正文:  0.74 厘米 Char1"/>
    <w:qFormat/>
    <w:uiPriority w:val="0"/>
    <w:rPr>
      <w:rFonts w:ascii="Times New Roman" w:hAnsi="Times New Roman" w:eastAsia="宋体" w:cs="Times New Roman"/>
      <w:kern w:val="2"/>
      <w:sz w:val="24"/>
      <w:lang w:val="en-US" w:eastAsia="zh-CN"/>
    </w:rPr>
  </w:style>
  <w:style w:type="character" w:customStyle="1" w:styleId="101">
    <w:name w:val="Char Char4"/>
    <w:qFormat/>
    <w:uiPriority w:val="0"/>
    <w:rPr>
      <w:rFonts w:ascii="Times New Roman" w:hAnsi="Times New Roman" w:eastAsia="宋体" w:cs="Times New Roman"/>
      <w:b/>
      <w:kern w:val="2"/>
      <w:sz w:val="21"/>
      <w:lang w:val="en-US" w:eastAsia="zh-CN"/>
    </w:rPr>
  </w:style>
  <w:style w:type="character" w:customStyle="1" w:styleId="102">
    <w:name w:val="apple-converted-space"/>
    <w:qFormat/>
    <w:uiPriority w:val="0"/>
    <w:rPr>
      <w:rFonts w:ascii="Times New Roman" w:hAnsi="Times New Roman" w:eastAsia="宋体" w:cs="Times New Roman"/>
    </w:rPr>
  </w:style>
  <w:style w:type="character" w:customStyle="1" w:styleId="103">
    <w:name w:val="content-white1"/>
    <w:qFormat/>
    <w:uiPriority w:val="0"/>
    <w:rPr>
      <w:rFonts w:ascii="Times New Roman" w:hAnsi="Times New Roman" w:eastAsia="宋体" w:cs="Times New Roman"/>
      <w:color w:val="auto"/>
      <w:sz w:val="18"/>
      <w:u w:val="none"/>
    </w:rPr>
  </w:style>
  <w:style w:type="character" w:customStyle="1" w:styleId="104">
    <w:name w:val="Char Char7"/>
    <w:qFormat/>
    <w:uiPriority w:val="0"/>
    <w:rPr>
      <w:rFonts w:ascii="宋体" w:hAnsi="宋体" w:eastAsia="宋体" w:cs="Times New Roman"/>
      <w:kern w:val="2"/>
      <w:sz w:val="28"/>
    </w:rPr>
  </w:style>
  <w:style w:type="character" w:customStyle="1" w:styleId="105">
    <w:name w:val="font11"/>
    <w:qFormat/>
    <w:uiPriority w:val="0"/>
    <w:rPr>
      <w:rFonts w:ascii="宋体" w:hAnsi="宋体" w:eastAsia="宋体" w:cs="Times New Roman"/>
      <w:color w:val="000000"/>
      <w:sz w:val="36"/>
      <w:u w:val="none"/>
    </w:rPr>
  </w:style>
  <w:style w:type="character" w:customStyle="1" w:styleId="106">
    <w:name w:val="font61"/>
    <w:qFormat/>
    <w:uiPriority w:val="0"/>
    <w:rPr>
      <w:rFonts w:ascii="宋体" w:hAnsi="宋体" w:eastAsia="宋体" w:cs="Times New Roman"/>
      <w:color w:val="000000"/>
      <w:sz w:val="30"/>
      <w:u w:val="none"/>
    </w:rPr>
  </w:style>
  <w:style w:type="paragraph" w:customStyle="1" w:styleId="107">
    <w:name w:val="文字"/>
    <w:basedOn w:val="1"/>
    <w:link w:val="108"/>
    <w:qFormat/>
    <w:uiPriority w:val="0"/>
    <w:pPr>
      <w:tabs>
        <w:tab w:val="left" w:pos="8520"/>
      </w:tabs>
      <w:spacing w:line="312" w:lineRule="auto"/>
      <w:ind w:right="-210" w:firstLine="556"/>
    </w:pPr>
    <w:rPr>
      <w:rFonts w:ascii="宋体" w:hAnsi="Times New Roman" w:eastAsia="宋体" w:cs="Times New Roman"/>
      <w:kern w:val="0"/>
      <w:szCs w:val="20"/>
    </w:rPr>
  </w:style>
  <w:style w:type="character" w:customStyle="1" w:styleId="108">
    <w:name w:val="文字 Char Char"/>
    <w:link w:val="107"/>
    <w:qFormat/>
    <w:uiPriority w:val="0"/>
    <w:rPr>
      <w:rFonts w:ascii="宋体" w:hAnsi="Times New Roman" w:eastAsia="宋体" w:cs="Times New Roman"/>
      <w:sz w:val="28"/>
    </w:rPr>
  </w:style>
  <w:style w:type="character" w:customStyle="1" w:styleId="109">
    <w:name w:val="Char Char6"/>
    <w:qFormat/>
    <w:uiPriority w:val="0"/>
    <w:rPr>
      <w:rFonts w:ascii="FangSong_GB2312" w:hAnsi="Times New Roman" w:eastAsia="FangSong_GB2312" w:cs="Times New Roman"/>
      <w:kern w:val="2"/>
      <w:sz w:val="32"/>
    </w:rPr>
  </w:style>
  <w:style w:type="character" w:customStyle="1" w:styleId="110">
    <w:name w:val="Table Heading Char Char"/>
    <w:qFormat/>
    <w:uiPriority w:val="0"/>
    <w:rPr>
      <w:rFonts w:ascii="Arial" w:hAnsi="Arial" w:eastAsia="黑体" w:cs="Times New Roman"/>
      <w:kern w:val="2"/>
      <w:sz w:val="18"/>
      <w:lang w:val="en-US" w:eastAsia="zh-CN"/>
    </w:rPr>
  </w:style>
  <w:style w:type="character" w:customStyle="1" w:styleId="111">
    <w:name w:val="font1"/>
    <w:qFormat/>
    <w:uiPriority w:val="0"/>
    <w:rPr>
      <w:rFonts w:ascii="Times New Roman" w:hAnsi="Times New Roman" w:eastAsia="宋体" w:cs="Times New Roman"/>
      <w:color w:val="000000"/>
      <w:sz w:val="18"/>
    </w:rPr>
  </w:style>
  <w:style w:type="character" w:customStyle="1" w:styleId="112">
    <w:name w:val="Table Text Char1 Char Char"/>
    <w:qFormat/>
    <w:uiPriority w:val="0"/>
    <w:rPr>
      <w:rFonts w:ascii="Arial" w:hAnsi="Arial" w:eastAsia="宋体" w:cs="Times New Roman"/>
      <w:kern w:val="2"/>
      <w:sz w:val="18"/>
      <w:lang w:val="en-US" w:eastAsia="zh-CN"/>
    </w:rPr>
  </w:style>
  <w:style w:type="character" w:customStyle="1" w:styleId="113">
    <w:name w:val="crowed11"/>
    <w:qFormat/>
    <w:uiPriority w:val="0"/>
    <w:rPr>
      <w:rFonts w:ascii="Times New Roman" w:hAnsi="Times New Roman" w:eastAsia="宋体" w:cs="Times New Roman"/>
      <w:sz w:val="24"/>
    </w:rPr>
  </w:style>
  <w:style w:type="character" w:customStyle="1" w:styleId="114">
    <w:name w:val="H2 Char"/>
    <w:qFormat/>
    <w:uiPriority w:val="0"/>
    <w:rPr>
      <w:rFonts w:ascii="Arial" w:hAnsi="Arial" w:eastAsia="宋体" w:cs="Times New Roman"/>
      <w:kern w:val="2"/>
      <w:sz w:val="28"/>
      <w:lang w:val="en-US" w:eastAsia="zh-CN"/>
    </w:rPr>
  </w:style>
  <w:style w:type="character" w:customStyle="1" w:styleId="115">
    <w:name w:val="font31"/>
    <w:qFormat/>
    <w:uiPriority w:val="0"/>
    <w:rPr>
      <w:rFonts w:ascii="Times New Roman" w:hAnsi="Times New Roman" w:eastAsia="宋体" w:cs="Times New Roman"/>
      <w:color w:val="000000"/>
      <w:sz w:val="36"/>
      <w:u w:val="none"/>
    </w:rPr>
  </w:style>
  <w:style w:type="character" w:customStyle="1" w:styleId="116">
    <w:name w:val="top-det1"/>
    <w:qFormat/>
    <w:uiPriority w:val="0"/>
    <w:rPr>
      <w:rFonts w:ascii="Times New Roman" w:hAnsi="Times New Roman" w:eastAsia="宋体" w:cs="Times New Roman"/>
      <w:b/>
      <w:color w:val="000000"/>
    </w:rPr>
  </w:style>
  <w:style w:type="character" w:customStyle="1" w:styleId="117">
    <w:name w:val="font51"/>
    <w:qFormat/>
    <w:uiPriority w:val="0"/>
    <w:rPr>
      <w:rFonts w:ascii="宋体" w:hAnsi="宋体" w:eastAsia="宋体" w:cs="Times New Roman"/>
      <w:color w:val="000000"/>
      <w:sz w:val="32"/>
      <w:u w:val="none"/>
    </w:rPr>
  </w:style>
  <w:style w:type="character" w:customStyle="1" w:styleId="118">
    <w:name w:val="title_emph1"/>
    <w:qFormat/>
    <w:uiPriority w:val="0"/>
    <w:rPr>
      <w:rFonts w:ascii="Arial" w:hAnsi="Arial" w:eastAsia="宋体" w:cs="Times New Roman"/>
      <w:b/>
      <w:sz w:val="20"/>
    </w:rPr>
  </w:style>
  <w:style w:type="character" w:customStyle="1" w:styleId="119">
    <w:name w:val="Char Char Char Char Char Char Char Char Char"/>
    <w:qFormat/>
    <w:uiPriority w:val="0"/>
    <w:rPr>
      <w:rFonts w:ascii="宋体" w:hAnsi="宋体" w:eastAsia="宋体" w:cs="Times New Roman"/>
      <w:kern w:val="2"/>
      <w:sz w:val="24"/>
      <w:lang w:val="en-US" w:eastAsia="zh-CN"/>
    </w:rPr>
  </w:style>
  <w:style w:type="character" w:customStyle="1" w:styleId="120">
    <w:name w:val="font41"/>
    <w:qFormat/>
    <w:uiPriority w:val="0"/>
    <w:rPr>
      <w:rFonts w:ascii="宋体" w:hAnsi="宋体" w:eastAsia="宋体" w:cs="Times New Roman"/>
      <w:color w:val="000000"/>
      <w:sz w:val="36"/>
      <w:u w:val="none"/>
    </w:rPr>
  </w:style>
  <w:style w:type="character" w:customStyle="1" w:styleId="121">
    <w:name w:val="Char Char11"/>
    <w:qFormat/>
    <w:uiPriority w:val="0"/>
    <w:rPr>
      <w:rFonts w:ascii="宋体" w:hAnsi="Times New Roman" w:eastAsia="宋体" w:cs="Times New Roman"/>
      <w:kern w:val="2"/>
      <w:sz w:val="28"/>
    </w:rPr>
  </w:style>
  <w:style w:type="character" w:customStyle="1" w:styleId="122">
    <w:name w:val="v151"/>
    <w:qFormat/>
    <w:uiPriority w:val="0"/>
    <w:rPr>
      <w:rFonts w:ascii="Times New Roman" w:hAnsi="Times New Roman" w:eastAsia="宋体" w:cs="Times New Roman"/>
      <w:sz w:val="18"/>
    </w:rPr>
  </w:style>
  <w:style w:type="character" w:customStyle="1" w:styleId="123">
    <w:name w:val="param-name1"/>
    <w:qFormat/>
    <w:uiPriority w:val="0"/>
    <w:rPr>
      <w:rFonts w:ascii="Times New Roman" w:hAnsi="Times New Roman" w:eastAsia="宋体" w:cs="Times New Roman"/>
      <w:b/>
    </w:rPr>
  </w:style>
  <w:style w:type="character" w:customStyle="1" w:styleId="124">
    <w:name w:val="样式 宋体"/>
    <w:qFormat/>
    <w:uiPriority w:val="0"/>
    <w:rPr>
      <w:rFonts w:ascii="宋体" w:hAnsi="宋体" w:eastAsia="宋体" w:cs="Times New Roman"/>
      <w:sz w:val="28"/>
    </w:rPr>
  </w:style>
  <w:style w:type="paragraph" w:customStyle="1" w:styleId="125">
    <w:name w:val="表格非标题文字"/>
    <w:link w:val="126"/>
    <w:qFormat/>
    <w:uiPriority w:val="0"/>
    <w:pPr>
      <w:snapToGrid w:val="0"/>
      <w:spacing w:before="80" w:after="40"/>
    </w:pPr>
    <w:rPr>
      <w:rFonts w:ascii="Futura Bk" w:hAnsi="Futura Bk" w:eastAsia="宋体" w:cs="Times New Roman"/>
      <w:sz w:val="18"/>
      <w:szCs w:val="21"/>
      <w:lang w:val="en-US" w:eastAsia="zh-CN" w:bidi="ar-SA"/>
    </w:rPr>
  </w:style>
  <w:style w:type="character" w:customStyle="1" w:styleId="126">
    <w:name w:val="表格非标题文字 Char"/>
    <w:link w:val="125"/>
    <w:qFormat/>
    <w:uiPriority w:val="0"/>
    <w:rPr>
      <w:rFonts w:ascii="Futura Bk" w:hAnsi="Futura Bk" w:eastAsia="宋体" w:cs="Times New Roman"/>
      <w:sz w:val="18"/>
      <w:szCs w:val="21"/>
      <w:lang w:val="en-US" w:eastAsia="zh-CN" w:bidi="ar-SA"/>
    </w:rPr>
  </w:style>
  <w:style w:type="character" w:customStyle="1" w:styleId="127">
    <w:name w:val="Char Char3"/>
    <w:qFormat/>
    <w:uiPriority w:val="0"/>
    <w:rPr>
      <w:rFonts w:ascii="Times New Roman" w:hAnsi="Times New Roman" w:eastAsia="宋体" w:cs="Times New Roman"/>
      <w:kern w:val="2"/>
      <w:sz w:val="18"/>
      <w:lang w:val="en-US" w:eastAsia="zh-CN"/>
    </w:rPr>
  </w:style>
  <w:style w:type="character" w:customStyle="1" w:styleId="128">
    <w:name w:val="Char Char5"/>
    <w:qFormat/>
    <w:uiPriority w:val="0"/>
    <w:rPr>
      <w:rFonts w:ascii="Arial" w:hAnsi="Arial" w:eastAsia="宋体" w:cs="Times New Roman"/>
      <w:b/>
      <w:smallCaps/>
      <w:kern w:val="28"/>
      <w:sz w:val="36"/>
      <w:lang w:val="en-US" w:eastAsia="en-US"/>
    </w:rPr>
  </w:style>
  <w:style w:type="character" w:customStyle="1" w:styleId="129">
    <w:name w:val="Char Char2"/>
    <w:qFormat/>
    <w:uiPriority w:val="0"/>
    <w:rPr>
      <w:rFonts w:ascii="Times New Roman" w:hAnsi="Times New Roman" w:eastAsia="宋体" w:cs="Times New Roman"/>
      <w:kern w:val="2"/>
      <w:sz w:val="18"/>
      <w:lang w:val="en-US" w:eastAsia="zh-CN"/>
    </w:rPr>
  </w:style>
  <w:style w:type="character" w:customStyle="1" w:styleId="130">
    <w:name w:val="未命名11"/>
    <w:qFormat/>
    <w:uiPriority w:val="0"/>
    <w:rPr>
      <w:rFonts w:ascii="Times New Roman" w:hAnsi="Times New Roman" w:eastAsia="宋体" w:cs="Times New Roman"/>
      <w:color w:val="auto"/>
      <w:sz w:val="24"/>
    </w:rPr>
  </w:style>
  <w:style w:type="character" w:customStyle="1" w:styleId="131">
    <w:name w:val="正文 + 三号 Char"/>
    <w:qFormat/>
    <w:uiPriority w:val="0"/>
    <w:rPr>
      <w:rFonts w:ascii="Times New Roman" w:hAnsi="Times New Roman" w:eastAsia="宋体" w:cs="Times New Roman"/>
      <w:kern w:val="2"/>
      <w:sz w:val="21"/>
      <w:lang w:val="en-US" w:eastAsia="zh-CN"/>
    </w:rPr>
  </w:style>
  <w:style w:type="paragraph" w:customStyle="1" w:styleId="132">
    <w:name w:val="首行缩进 1"/>
    <w:basedOn w:val="1"/>
    <w:qFormat/>
    <w:uiPriority w:val="0"/>
    <w:pPr>
      <w:spacing w:after="120" w:line="360" w:lineRule="auto"/>
      <w:ind w:firstLine="200" w:firstLineChars="200"/>
    </w:pPr>
    <w:rPr>
      <w:rFonts w:ascii="Times New Roman" w:hAnsi="Times New Roman" w:eastAsia="宋体" w:cs="Times New Roman"/>
      <w:sz w:val="24"/>
      <w:szCs w:val="24"/>
    </w:rPr>
  </w:style>
  <w:style w:type="paragraph" w:customStyle="1" w:styleId="133">
    <w:name w:val="普通正文"/>
    <w:basedOn w:val="1"/>
    <w:qFormat/>
    <w:uiPriority w:val="0"/>
    <w:pPr>
      <w:adjustRightInd w:val="0"/>
      <w:spacing w:before="120" w:after="120" w:line="360" w:lineRule="auto"/>
      <w:ind w:firstLine="480"/>
      <w:jc w:val="left"/>
      <w:textAlignment w:val="baseline"/>
    </w:pPr>
    <w:rPr>
      <w:rFonts w:ascii="Arial" w:hAnsi="Arial" w:eastAsia="宋体" w:cs="Arial"/>
      <w:kern w:val="0"/>
      <w:sz w:val="24"/>
      <w:szCs w:val="24"/>
    </w:rPr>
  </w:style>
  <w:style w:type="paragraph" w:customStyle="1" w:styleId="134">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bCs/>
      <w:i/>
      <w:iCs/>
      <w:sz w:val="24"/>
      <w:szCs w:val="24"/>
    </w:rPr>
  </w:style>
  <w:style w:type="paragraph" w:customStyle="1" w:styleId="135">
    <w:name w:val="样式1"/>
    <w:basedOn w:val="6"/>
    <w:qFormat/>
    <w:uiPriority w:val="0"/>
    <w:pPr>
      <w:tabs>
        <w:tab w:val="left" w:pos="720"/>
      </w:tabs>
      <w:spacing w:before="500" w:after="260" w:line="560" w:lineRule="atLeast"/>
      <w:ind w:left="420" w:hanging="420"/>
    </w:pPr>
    <w:rPr>
      <w:rFonts w:ascii="Times New Roman" w:hAnsi="Times New Roman" w:eastAsia="宋体" w:cs="Times New Roman"/>
    </w:rPr>
  </w:style>
  <w:style w:type="paragraph" w:customStyle="1" w:styleId="136">
    <w:name w:val="Title - Date"/>
    <w:basedOn w:val="53"/>
    <w:next w:val="1"/>
    <w:qFormat/>
    <w:uiPriority w:val="0"/>
    <w:pPr>
      <w:spacing w:before="240" w:after="720"/>
    </w:pPr>
    <w:rPr>
      <w:rFonts w:ascii="Times New Roman" w:hAnsi="Times New Roman" w:eastAsia="宋体" w:cs="Times New Roman"/>
      <w:sz w:val="28"/>
      <w:szCs w:val="28"/>
    </w:rPr>
  </w:style>
  <w:style w:type="paragraph" w:customStyle="1" w:styleId="137">
    <w:name w:val="样式 标题 1章标题Heading 0Section HeadPIM 1H1h11st levell11H1..."/>
    <w:basedOn w:val="3"/>
    <w:qFormat/>
    <w:uiPriority w:val="0"/>
    <w:pPr>
      <w:keepLines/>
      <w:pageBreakBefore/>
      <w:tabs>
        <w:tab w:val="left" w:pos="432"/>
      </w:tabs>
      <w:autoSpaceDE w:val="0"/>
      <w:autoSpaceDN w:val="0"/>
      <w:adjustRightInd w:val="0"/>
      <w:spacing w:before="340" w:after="330" w:line="578" w:lineRule="atLeast"/>
      <w:textAlignment w:val="bottom"/>
    </w:pPr>
    <w:rPr>
      <w:rFonts w:ascii="Times New Roman" w:hAnsi="宋体" w:eastAsia="黑体" w:cs="Times New Roman"/>
      <w:sz w:val="36"/>
      <w:szCs w:val="36"/>
    </w:rPr>
  </w:style>
  <w:style w:type="paragraph" w:customStyle="1" w:styleId="138">
    <w:name w:val="图片文字"/>
    <w:basedOn w:val="1"/>
    <w:qFormat/>
    <w:uiPriority w:val="0"/>
    <w:pPr>
      <w:spacing w:line="240" w:lineRule="atLeast"/>
      <w:jc w:val="center"/>
    </w:pPr>
    <w:rPr>
      <w:rFonts w:ascii="Times New Roman" w:hAnsi="Times New Roman" w:eastAsia="宋体" w:cs="Times New Roman"/>
      <w:sz w:val="21"/>
      <w:szCs w:val="21"/>
    </w:rPr>
  </w:style>
  <w:style w:type="paragraph" w:customStyle="1" w:styleId="139">
    <w:name w:val="首行缩进"/>
    <w:basedOn w:val="1"/>
    <w:qFormat/>
    <w:uiPriority w:val="0"/>
    <w:pPr>
      <w:tabs>
        <w:tab w:val="left" w:pos="540"/>
      </w:tabs>
      <w:spacing w:line="360" w:lineRule="auto"/>
      <w:ind w:left="540"/>
    </w:pPr>
    <w:rPr>
      <w:rFonts w:ascii="Times New Roman" w:hAnsi="Times New Roman" w:eastAsia="FangSong_GB2312" w:cs="Times New Roman"/>
    </w:rPr>
  </w:style>
  <w:style w:type="paragraph" w:customStyle="1" w:styleId="140">
    <w:name w:val="图例"/>
    <w:basedOn w:val="1"/>
    <w:qFormat/>
    <w:uiPriority w:val="0"/>
    <w:pPr>
      <w:spacing w:before="120" w:after="120" w:line="360" w:lineRule="auto"/>
      <w:jc w:val="center"/>
    </w:pPr>
    <w:rPr>
      <w:rFonts w:ascii="Times New Roman" w:hAnsi="Times New Roman" w:eastAsia="FangSong_GB2312" w:cs="Times New Roman"/>
      <w:b/>
      <w:bCs/>
      <w:sz w:val="24"/>
      <w:szCs w:val="24"/>
    </w:rPr>
  </w:style>
  <w:style w:type="paragraph" w:customStyle="1" w:styleId="141">
    <w:name w:val="摘要"/>
    <w:basedOn w:val="1"/>
    <w:next w:val="4"/>
    <w:qFormat/>
    <w:uiPriority w:val="0"/>
    <w:pPr>
      <w:spacing w:line="360" w:lineRule="auto"/>
    </w:pPr>
    <w:rPr>
      <w:rFonts w:ascii="Times New Roman" w:hAnsi="Times New Roman" w:eastAsia="黑体" w:cs="Times New Roman"/>
      <w:sz w:val="20"/>
      <w:szCs w:val="20"/>
    </w:rPr>
  </w:style>
  <w:style w:type="paragraph" w:customStyle="1" w:styleId="142">
    <w:name w:val="样式 样式 首行缩进:  2 字符 + 首行缩进:  2 字符"/>
    <w:basedOn w:val="1"/>
    <w:qFormat/>
    <w:uiPriority w:val="0"/>
    <w:pPr>
      <w:spacing w:line="360" w:lineRule="auto"/>
      <w:ind w:firstLine="480" w:firstLineChars="200"/>
    </w:pPr>
    <w:rPr>
      <w:rFonts w:ascii="Times New Roman" w:hAnsi="Times New Roman" w:eastAsia="宋体" w:cs="Times New Roman"/>
      <w:sz w:val="24"/>
      <w:szCs w:val="24"/>
    </w:rPr>
  </w:style>
  <w:style w:type="paragraph" w:customStyle="1" w:styleId="143">
    <w:name w:val="Char Char Char1 Char Char Char Char Char Char Char Char Char Char Char Char Char"/>
    <w:basedOn w:val="1"/>
    <w:qFormat/>
    <w:uiPriority w:val="0"/>
    <w:pPr>
      <w:widowControl/>
      <w:spacing w:after="160" w:line="240" w:lineRule="exact"/>
      <w:jc w:val="left"/>
    </w:pPr>
    <w:rPr>
      <w:rFonts w:ascii="Verdana" w:hAnsi="Verdana" w:eastAsia="宋体" w:cs="Verdana"/>
      <w:kern w:val="0"/>
      <w:sz w:val="18"/>
      <w:szCs w:val="18"/>
      <w:lang w:eastAsia="en-US"/>
    </w:rPr>
  </w:style>
  <w:style w:type="paragraph" w:customStyle="1" w:styleId="144">
    <w:name w:val="正文格式"/>
    <w:basedOn w:val="1"/>
    <w:qFormat/>
    <w:uiPriority w:val="0"/>
    <w:pPr>
      <w:widowControl/>
      <w:adjustRightInd w:val="0"/>
      <w:snapToGrid w:val="0"/>
      <w:spacing w:before="60" w:line="360" w:lineRule="auto"/>
      <w:ind w:firstLine="480" w:firstLineChars="200"/>
      <w:jc w:val="left"/>
      <w:textAlignment w:val="baseline"/>
    </w:pPr>
    <w:rPr>
      <w:rFonts w:ascii="宋体" w:hAnsi="宋体" w:eastAsia="宋体" w:cs="宋体"/>
      <w:color w:val="000000"/>
      <w:kern w:val="0"/>
      <w:sz w:val="24"/>
      <w:szCs w:val="24"/>
    </w:rPr>
  </w:style>
  <w:style w:type="paragraph" w:customStyle="1" w:styleId="145">
    <w:name w:val="标准正文"/>
    <w:basedOn w:val="23"/>
    <w:qFormat/>
    <w:uiPriority w:val="0"/>
    <w:pPr>
      <w:spacing w:before="60" w:after="60" w:line="360" w:lineRule="auto"/>
      <w:ind w:left="0" w:firstLine="482"/>
    </w:pPr>
    <w:rPr>
      <w:rFonts w:ascii="Arial" w:hAnsi="Arial" w:eastAsia="宋体" w:cs="Arial"/>
      <w:sz w:val="24"/>
      <w:szCs w:val="24"/>
    </w:rPr>
  </w:style>
  <w:style w:type="paragraph" w:customStyle="1" w:styleId="146">
    <w:name w:val="修订1"/>
    <w:qFormat/>
    <w:uiPriority w:val="0"/>
    <w:rPr>
      <w:rFonts w:ascii="Times New Roman" w:hAnsi="Times New Roman" w:eastAsia="宋体" w:cs="Times New Roman"/>
      <w:kern w:val="2"/>
      <w:sz w:val="21"/>
      <w:szCs w:val="21"/>
      <w:lang w:val="en-US" w:eastAsia="zh-CN" w:bidi="ar-SA"/>
    </w:rPr>
  </w:style>
  <w:style w:type="paragraph" w:customStyle="1" w:styleId="147">
    <w:name w:val="Char Char14 Char Char"/>
    <w:basedOn w:val="1"/>
    <w:qFormat/>
    <w:uiPriority w:val="0"/>
    <w:rPr>
      <w:rFonts w:ascii="Times New Roman" w:hAnsi="Times New Roman" w:eastAsia="宋体" w:cs="Times New Roman"/>
      <w:sz w:val="21"/>
      <w:szCs w:val="21"/>
    </w:rPr>
  </w:style>
  <w:style w:type="paragraph" w:customStyle="1" w:styleId="148">
    <w:name w:val="正文1"/>
    <w:basedOn w:val="1"/>
    <w:qFormat/>
    <w:uiPriority w:val="0"/>
    <w:pPr>
      <w:spacing w:line="300" w:lineRule="auto"/>
      <w:ind w:firstLine="200" w:firstLineChars="200"/>
    </w:pPr>
    <w:rPr>
      <w:rFonts w:ascii="Times New Roman" w:hAnsi="Times New Roman" w:eastAsia="宋体" w:cs="Times New Roman"/>
      <w:sz w:val="24"/>
      <w:szCs w:val="24"/>
    </w:rPr>
  </w:style>
  <w:style w:type="paragraph" w:customStyle="1" w:styleId="149">
    <w:name w:val="正文文本 21"/>
    <w:basedOn w:val="1"/>
    <w:qFormat/>
    <w:uiPriority w:val="0"/>
    <w:pPr>
      <w:adjustRightInd w:val="0"/>
      <w:spacing w:before="120" w:line="360" w:lineRule="auto"/>
      <w:ind w:firstLine="480"/>
      <w:textAlignment w:val="baseline"/>
    </w:pPr>
    <w:rPr>
      <w:rFonts w:ascii="Times New Roman" w:hAnsi="Times New Roman" w:eastAsia="宋体" w:cs="Times New Roman"/>
      <w:sz w:val="24"/>
      <w:szCs w:val="24"/>
    </w:rPr>
  </w:style>
  <w:style w:type="paragraph" w:customStyle="1" w:styleId="150">
    <w:name w:val="xl40"/>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151">
    <w:name w:val="内容标题"/>
    <w:basedOn w:val="18"/>
    <w:qFormat/>
    <w:uiPriority w:val="0"/>
    <w:rPr>
      <w:rFonts w:ascii="Tahoma" w:hAnsi="Tahoma" w:eastAsia="宋体" w:cs="Tahoma"/>
      <w:sz w:val="24"/>
      <w:szCs w:val="24"/>
    </w:rPr>
  </w:style>
  <w:style w:type="paragraph" w:customStyle="1" w:styleId="152">
    <w:name w:val="章标题"/>
    <w:next w:val="1"/>
    <w:qFormat/>
    <w:uiPriority w:val="0"/>
    <w:pPr>
      <w:spacing w:beforeLines="50" w:afterLines="50"/>
      <w:jc w:val="both"/>
      <w:outlineLvl w:val="1"/>
    </w:pPr>
    <w:rPr>
      <w:rFonts w:ascii="黑体" w:hAnsi="Times New Roman" w:eastAsia="黑体" w:cs="黑体"/>
      <w:sz w:val="24"/>
      <w:szCs w:val="24"/>
      <w:lang w:val="en-US" w:eastAsia="zh-CN" w:bidi="ar-SA"/>
    </w:rPr>
  </w:style>
  <w:style w:type="paragraph" w:customStyle="1" w:styleId="153">
    <w:name w:val="Item List"/>
    <w:qFormat/>
    <w:uiPriority w:val="0"/>
    <w:pPr>
      <w:tabs>
        <w:tab w:val="left" w:pos="1644"/>
      </w:tabs>
      <w:spacing w:line="300" w:lineRule="auto"/>
      <w:ind w:left="1644" w:hanging="510"/>
      <w:jc w:val="both"/>
    </w:pPr>
    <w:rPr>
      <w:rFonts w:ascii="Arial" w:hAnsi="Arial" w:eastAsia="宋体" w:cs="Arial"/>
      <w:sz w:val="21"/>
      <w:szCs w:val="21"/>
      <w:lang w:val="en-US" w:eastAsia="zh-CN" w:bidi="ar-SA"/>
    </w:rPr>
  </w:style>
  <w:style w:type="paragraph" w:customStyle="1" w:styleId="154">
    <w:name w:val="Char Char Char Char Char Char Char Char Char Char Char Char Char Char Char Char"/>
    <w:basedOn w:val="1"/>
    <w:qFormat/>
    <w:uiPriority w:val="0"/>
    <w:pPr>
      <w:tabs>
        <w:tab w:val="left" w:pos="360"/>
      </w:tabs>
    </w:pPr>
    <w:rPr>
      <w:rFonts w:ascii="Times New Roman" w:hAnsi="Times New Roman" w:eastAsia="宋体" w:cs="Times New Roman"/>
      <w:sz w:val="24"/>
      <w:szCs w:val="24"/>
    </w:rPr>
  </w:style>
  <w:style w:type="paragraph" w:customStyle="1" w:styleId="155">
    <w:name w:val="表格内文字"/>
    <w:basedOn w:val="30"/>
    <w:qFormat/>
    <w:uiPriority w:val="0"/>
    <w:pPr>
      <w:adjustRightInd w:val="0"/>
    </w:pPr>
    <w:rPr>
      <w:rFonts w:ascii="Times New Roman" w:hAnsi="Times New Roman" w:eastAsia="宋体" w:cs="Times New Roman"/>
      <w:color w:val="000000"/>
      <w:lang w:val="en-GB"/>
    </w:rPr>
  </w:style>
  <w:style w:type="paragraph" w:customStyle="1" w:styleId="156">
    <w:name w:val="Item Step in Table"/>
    <w:qFormat/>
    <w:uiPriority w:val="0"/>
    <w:pPr>
      <w:tabs>
        <w:tab w:val="left" w:pos="397"/>
      </w:tabs>
      <w:spacing w:before="40" w:after="40"/>
      <w:jc w:val="both"/>
    </w:pPr>
    <w:rPr>
      <w:rFonts w:ascii="Arial" w:hAnsi="Arial" w:eastAsia="宋体" w:cs="Arial"/>
      <w:sz w:val="18"/>
      <w:szCs w:val="18"/>
      <w:lang w:val="en-US" w:eastAsia="zh-CN" w:bidi="ar-SA"/>
    </w:rPr>
  </w:style>
  <w:style w:type="paragraph" w:customStyle="1" w:styleId="157">
    <w:name w:val="可研正文"/>
    <w:basedOn w:val="2"/>
    <w:qFormat/>
    <w:uiPriority w:val="0"/>
    <w:pPr>
      <w:adjustRightInd w:val="0"/>
      <w:snapToGrid w:val="0"/>
      <w:spacing w:after="0" w:line="440" w:lineRule="exact"/>
      <w:ind w:firstLine="567"/>
    </w:pPr>
    <w:rPr>
      <w:rFonts w:ascii="FangSong_GB2312" w:hAnsi="Times New Roman" w:eastAsia="FangSong_GB2312" w:cs="FangSong_GB2312"/>
      <w:kern w:val="0"/>
      <w:sz w:val="20"/>
      <w:szCs w:val="20"/>
    </w:rPr>
  </w:style>
  <w:style w:type="paragraph" w:customStyle="1" w:styleId="158">
    <w:name w:val="Char Char1 Char Char Char Char Char Char Char Char Char Char Char Char Char Char"/>
    <w:basedOn w:val="1"/>
    <w:qFormat/>
    <w:uiPriority w:val="0"/>
    <w:pPr>
      <w:widowControl/>
      <w:spacing w:after="160" w:line="240" w:lineRule="exact"/>
      <w:jc w:val="left"/>
    </w:pPr>
    <w:rPr>
      <w:rFonts w:ascii="Verdana" w:hAnsi="Verdana" w:eastAsia="宋体" w:cs="Verdana"/>
      <w:kern w:val="0"/>
      <w:sz w:val="20"/>
      <w:szCs w:val="20"/>
      <w:lang w:eastAsia="en-US"/>
    </w:rPr>
  </w:style>
  <w:style w:type="paragraph" w:customStyle="1" w:styleId="159">
    <w:name w:val="样式4"/>
    <w:basedOn w:val="6"/>
    <w:qFormat/>
    <w:uiPriority w:val="0"/>
    <w:pPr>
      <w:adjustRightInd w:val="0"/>
      <w:snapToGrid w:val="0"/>
    </w:pPr>
    <w:rPr>
      <w:rFonts w:ascii="Times New Roman" w:hAnsi="Times New Roman" w:eastAsia="宋体" w:cs="Times New Roman"/>
    </w:rPr>
  </w:style>
  <w:style w:type="paragraph" w:customStyle="1" w:styleId="160">
    <w:name w:val="标题5"/>
    <w:basedOn w:val="1"/>
    <w:qFormat/>
    <w:uiPriority w:val="0"/>
    <w:pPr>
      <w:tabs>
        <w:tab w:val="left" w:pos="0"/>
      </w:tabs>
      <w:autoSpaceDE w:val="0"/>
      <w:autoSpaceDN w:val="0"/>
      <w:adjustRightInd w:val="0"/>
      <w:snapToGrid w:val="0"/>
      <w:spacing w:line="320" w:lineRule="atLeast"/>
    </w:pPr>
    <w:rPr>
      <w:rFonts w:ascii="宋体" w:hAnsi="Times New Roman" w:eastAsia="宋体" w:cs="宋体"/>
      <w:kern w:val="0"/>
      <w:sz w:val="21"/>
      <w:szCs w:val="21"/>
    </w:rPr>
  </w:style>
  <w:style w:type="paragraph" w:customStyle="1" w:styleId="161">
    <w:name w:val="样式1xz"/>
    <w:basedOn w:val="1"/>
    <w:qFormat/>
    <w:uiPriority w:val="0"/>
    <w:pPr>
      <w:tabs>
        <w:tab w:val="left" w:pos="1050"/>
        <w:tab w:val="right" w:leader="dot" w:pos="8296"/>
      </w:tabs>
    </w:pPr>
    <w:rPr>
      <w:rFonts w:ascii="Times New Roman" w:hAnsi="Times New Roman" w:eastAsia="宋体" w:cs="Times New Roman"/>
      <w:caps/>
      <w:spacing w:val="20"/>
      <w:sz w:val="24"/>
      <w:szCs w:val="24"/>
    </w:rPr>
  </w:style>
  <w:style w:type="paragraph" w:customStyle="1" w:styleId="162">
    <w:name w:val="xl23"/>
    <w:basedOn w:val="1"/>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4"/>
    </w:rPr>
  </w:style>
  <w:style w:type="paragraph" w:customStyle="1" w:styleId="163">
    <w:name w:val="样式 样式 正文首行缩进 2 + 左  0 字符 + 首行缩进:  2.57 字符"/>
    <w:basedOn w:val="1"/>
    <w:next w:val="1"/>
    <w:qFormat/>
    <w:uiPriority w:val="0"/>
    <w:pPr>
      <w:adjustRightInd w:val="0"/>
      <w:snapToGrid w:val="0"/>
      <w:spacing w:after="120"/>
      <w:ind w:firstLine="540" w:firstLineChars="257"/>
    </w:pPr>
    <w:rPr>
      <w:rFonts w:ascii="Times New Roman" w:hAnsi="Times New Roman" w:eastAsia="宋体" w:cs="Times New Roman"/>
      <w:sz w:val="21"/>
      <w:szCs w:val="21"/>
    </w:rPr>
  </w:style>
  <w:style w:type="paragraph" w:customStyle="1" w:styleId="164">
    <w:name w:val="段"/>
    <w:qFormat/>
    <w:uiPriority w:val="0"/>
    <w:pPr>
      <w:autoSpaceDE w:val="0"/>
      <w:autoSpaceDN w:val="0"/>
      <w:ind w:firstLine="200" w:firstLineChars="200"/>
      <w:jc w:val="both"/>
    </w:pPr>
    <w:rPr>
      <w:rFonts w:ascii="宋体" w:hAnsi="Times New Roman" w:eastAsia="宋体" w:cs="宋体"/>
      <w:sz w:val="21"/>
      <w:szCs w:val="21"/>
      <w:lang w:val="en-US" w:eastAsia="zh-CN" w:bidi="ar-SA"/>
    </w:rPr>
  </w:style>
  <w:style w:type="paragraph" w:customStyle="1" w:styleId="165">
    <w:name w:val="bt"/>
    <w:basedOn w:val="1"/>
    <w:next w:val="2"/>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宋体"/>
      <w:kern w:val="0"/>
      <w:sz w:val="20"/>
      <w:szCs w:val="20"/>
    </w:rPr>
  </w:style>
  <w:style w:type="paragraph" w:customStyle="1" w:styleId="166">
    <w:name w:val="Char Char 字元 字元 字元 Char Char Char Char"/>
    <w:basedOn w:val="1"/>
    <w:qFormat/>
    <w:uiPriority w:val="0"/>
    <w:pPr>
      <w:adjustRightInd w:val="0"/>
      <w:spacing w:line="360" w:lineRule="auto"/>
    </w:pPr>
    <w:rPr>
      <w:rFonts w:ascii="Times New Roman" w:hAnsi="Times New Roman" w:eastAsia="宋体" w:cs="Times New Roman"/>
      <w:kern w:val="0"/>
      <w:sz w:val="24"/>
      <w:szCs w:val="24"/>
    </w:rPr>
  </w:style>
  <w:style w:type="paragraph" w:customStyle="1" w:styleId="167">
    <w:name w:val="文档正文 Char Char Char Char Char"/>
    <w:basedOn w:val="1"/>
    <w:qFormat/>
    <w:uiPriority w:val="0"/>
    <w:pPr>
      <w:adjustRightInd w:val="0"/>
      <w:spacing w:line="440" w:lineRule="exact"/>
      <w:ind w:firstLine="420"/>
      <w:textAlignment w:val="baseline"/>
    </w:pPr>
    <w:rPr>
      <w:rFonts w:ascii="Arial Narrow" w:hAnsi="Arial Narrow" w:eastAsia="宋体" w:cs="Arial Narrow"/>
      <w:kern w:val="0"/>
      <w:sz w:val="24"/>
      <w:szCs w:val="24"/>
    </w:rPr>
  </w:style>
  <w:style w:type="paragraph" w:customStyle="1" w:styleId="168">
    <w:name w:val="正文表格"/>
    <w:basedOn w:val="1"/>
    <w:qFormat/>
    <w:uiPriority w:val="0"/>
    <w:pPr>
      <w:adjustRightInd w:val="0"/>
      <w:spacing w:before="40" w:after="40"/>
    </w:pPr>
    <w:rPr>
      <w:rFonts w:ascii="Times New Roman" w:hAnsi="Times New Roman" w:eastAsia="宋体" w:cs="Times New Roman"/>
      <w:sz w:val="24"/>
      <w:szCs w:val="24"/>
    </w:rPr>
  </w:style>
  <w:style w:type="paragraph" w:customStyle="1" w:styleId="169">
    <w:name w:val="附录1"/>
    <w:basedOn w:val="1"/>
    <w:next w:val="1"/>
    <w:qFormat/>
    <w:uiPriority w:val="0"/>
    <w:pPr>
      <w:tabs>
        <w:tab w:val="left" w:pos="1304"/>
      </w:tabs>
      <w:ind w:left="425" w:hanging="425"/>
      <w:outlineLvl w:val="0"/>
    </w:pPr>
    <w:rPr>
      <w:rFonts w:ascii="黑体" w:hAnsi="黑体" w:eastAsia="黑体" w:cs="黑体"/>
      <w:b/>
      <w:bCs/>
      <w:sz w:val="44"/>
      <w:szCs w:val="44"/>
    </w:rPr>
  </w:style>
  <w:style w:type="paragraph" w:customStyle="1" w:styleId="170">
    <w:name w:val="样式 宋体 五号 行距: 单倍行距"/>
    <w:basedOn w:val="1"/>
    <w:qFormat/>
    <w:uiPriority w:val="0"/>
    <w:pPr>
      <w:adjustRightInd w:val="0"/>
      <w:jc w:val="left"/>
    </w:pPr>
    <w:rPr>
      <w:rFonts w:ascii="宋体" w:hAnsi="宋体" w:eastAsia="宋体" w:cs="宋体"/>
      <w:kern w:val="0"/>
      <w:sz w:val="21"/>
      <w:szCs w:val="21"/>
    </w:rPr>
  </w:style>
  <w:style w:type="paragraph" w:customStyle="1" w:styleId="171">
    <w:name w:val="style1"/>
    <w:basedOn w:val="1"/>
    <w:qFormat/>
    <w:uiPriority w:val="0"/>
    <w:pPr>
      <w:widowControl/>
      <w:spacing w:before="100" w:beforeAutospacing="1" w:after="100" w:afterAutospacing="1"/>
      <w:jc w:val="left"/>
    </w:pPr>
    <w:rPr>
      <w:rFonts w:ascii="宋体" w:hAnsi="宋体" w:eastAsia="宋体" w:cs="宋体"/>
      <w:kern w:val="0"/>
      <w:sz w:val="21"/>
      <w:szCs w:val="21"/>
    </w:rPr>
  </w:style>
  <w:style w:type="paragraph" w:customStyle="1" w:styleId="172">
    <w:name w:val="表格文本"/>
    <w:qFormat/>
    <w:uiPriority w:val="0"/>
    <w:pPr>
      <w:tabs>
        <w:tab w:val="decimal" w:pos="0"/>
      </w:tabs>
    </w:pPr>
    <w:rPr>
      <w:rFonts w:ascii="Arial" w:hAnsi="Arial" w:eastAsia="宋体" w:cs="Arial"/>
      <w:sz w:val="21"/>
      <w:szCs w:val="21"/>
      <w:lang w:val="en-US" w:eastAsia="zh-CN" w:bidi="ar-SA"/>
    </w:rPr>
  </w:style>
  <w:style w:type="paragraph" w:customStyle="1" w:styleId="173">
    <w:name w:val="表头文本"/>
    <w:qFormat/>
    <w:uiPriority w:val="0"/>
    <w:pPr>
      <w:jc w:val="center"/>
    </w:pPr>
    <w:rPr>
      <w:rFonts w:ascii="Arial" w:hAnsi="Arial" w:eastAsia="宋体" w:cs="Arial"/>
      <w:b/>
      <w:bCs/>
      <w:sz w:val="21"/>
      <w:szCs w:val="21"/>
      <w:lang w:val="en-US" w:eastAsia="zh-CN" w:bidi="ar-SA"/>
    </w:rPr>
  </w:style>
  <w:style w:type="paragraph" w:customStyle="1" w:styleId="174">
    <w:name w:val="没有缩进（为图形使用）"/>
    <w:basedOn w:val="1"/>
    <w:qFormat/>
    <w:uiPriority w:val="0"/>
    <w:pPr>
      <w:spacing w:before="120" w:after="120" w:line="360" w:lineRule="auto"/>
    </w:pPr>
    <w:rPr>
      <w:rFonts w:ascii="Times New Roman" w:hAnsi="Times New Roman" w:eastAsia="宋体" w:cs="Times New Roman"/>
      <w:sz w:val="24"/>
      <w:szCs w:val="24"/>
    </w:rPr>
  </w:style>
  <w:style w:type="paragraph" w:customStyle="1" w:styleId="175">
    <w:name w:val="Char1 Char Char Char"/>
    <w:basedOn w:val="1"/>
    <w:qFormat/>
    <w:uiPriority w:val="0"/>
    <w:rPr>
      <w:rFonts w:ascii="Tahoma" w:hAnsi="Tahoma" w:eastAsia="宋体" w:cs="Tahoma"/>
      <w:sz w:val="30"/>
      <w:szCs w:val="30"/>
    </w:rPr>
  </w:style>
  <w:style w:type="paragraph" w:customStyle="1" w:styleId="176">
    <w:name w:val="文档正文"/>
    <w:basedOn w:val="1"/>
    <w:qFormat/>
    <w:uiPriority w:val="0"/>
    <w:pPr>
      <w:adjustRightInd w:val="0"/>
      <w:snapToGrid w:val="0"/>
      <w:spacing w:line="440" w:lineRule="exact"/>
      <w:ind w:firstLine="567"/>
      <w:textAlignment w:val="baseline"/>
    </w:pPr>
    <w:rPr>
      <w:rFonts w:ascii="Arial Narrow" w:hAnsi="Arial Narrow" w:eastAsia="宋体" w:cs="Arial Narrow"/>
      <w:kern w:val="0"/>
      <w:sz w:val="24"/>
      <w:szCs w:val="24"/>
    </w:rPr>
  </w:style>
  <w:style w:type="paragraph" w:customStyle="1" w:styleId="177">
    <w:name w:val="一级条标题"/>
    <w:basedOn w:val="152"/>
    <w:next w:val="164"/>
    <w:qFormat/>
    <w:uiPriority w:val="0"/>
    <w:pPr>
      <w:spacing w:beforeLines="0" w:afterLines="0"/>
      <w:ind w:left="525"/>
      <w:outlineLvl w:val="2"/>
    </w:pPr>
    <w:rPr>
      <w:rFonts w:ascii="Times New Roman" w:hAnsi="Times New Roman" w:eastAsia="宋体" w:cs="Times New Roman"/>
      <w:sz w:val="21"/>
      <w:szCs w:val="21"/>
    </w:rPr>
  </w:style>
  <w:style w:type="paragraph" w:customStyle="1" w:styleId="178">
    <w:name w:val="二级条标题"/>
    <w:basedOn w:val="177"/>
    <w:next w:val="164"/>
    <w:qFormat/>
    <w:uiPriority w:val="0"/>
    <w:pPr>
      <w:ind w:left="840"/>
      <w:outlineLvl w:val="3"/>
    </w:pPr>
    <w:rPr>
      <w:rFonts w:ascii="Times New Roman" w:hAnsi="Times New Roman" w:eastAsia="宋体" w:cs="Times New Roman"/>
    </w:rPr>
  </w:style>
  <w:style w:type="paragraph" w:customStyle="1" w:styleId="179">
    <w:name w:val="Char1 Char Char Char1"/>
    <w:basedOn w:val="1"/>
    <w:qFormat/>
    <w:uiPriority w:val="0"/>
    <w:rPr>
      <w:rFonts w:ascii="Tahoma" w:hAnsi="Tahoma" w:eastAsia="宋体" w:cs="Tahoma"/>
      <w:sz w:val="24"/>
      <w:szCs w:val="24"/>
    </w:rPr>
  </w:style>
  <w:style w:type="paragraph" w:customStyle="1" w:styleId="180">
    <w:name w:val="Char Char1"/>
    <w:basedOn w:val="1"/>
    <w:qFormat/>
    <w:uiPriority w:val="0"/>
    <w:pPr>
      <w:widowControl/>
      <w:spacing w:after="160" w:line="240" w:lineRule="exact"/>
      <w:jc w:val="left"/>
    </w:pPr>
    <w:rPr>
      <w:rFonts w:ascii="Verdana" w:hAnsi="Verdana" w:eastAsia="宋体" w:cs="Verdana"/>
      <w:kern w:val="0"/>
      <w:sz w:val="20"/>
      <w:szCs w:val="20"/>
      <w:lang w:eastAsia="en-US"/>
    </w:rPr>
  </w:style>
  <w:style w:type="paragraph" w:customStyle="1" w:styleId="181">
    <w:name w:val="段 Char"/>
    <w:qFormat/>
    <w:uiPriority w:val="0"/>
    <w:pPr>
      <w:autoSpaceDE w:val="0"/>
      <w:autoSpaceDN w:val="0"/>
      <w:ind w:firstLine="200" w:firstLineChars="200"/>
      <w:jc w:val="both"/>
    </w:pPr>
    <w:rPr>
      <w:rFonts w:ascii="宋体" w:hAnsi="Times New Roman" w:eastAsia="宋体" w:cs="宋体"/>
      <w:sz w:val="21"/>
      <w:szCs w:val="21"/>
      <w:lang w:val="en-US" w:eastAsia="zh-CN" w:bidi="ar-SA"/>
    </w:rPr>
  </w:style>
  <w:style w:type="paragraph" w:customStyle="1" w:styleId="182">
    <w:name w:val="xl27"/>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1"/>
      <w:szCs w:val="21"/>
    </w:rPr>
  </w:style>
  <w:style w:type="paragraph" w:customStyle="1" w:styleId="183">
    <w:name w:val="_Style 240"/>
    <w:basedOn w:val="1"/>
    <w:next w:val="1"/>
    <w:qFormat/>
    <w:uiPriority w:val="0"/>
    <w:pPr>
      <w:pBdr>
        <w:top w:val="single" w:color="auto" w:sz="6" w:space="1"/>
      </w:pBdr>
      <w:jc w:val="center"/>
    </w:pPr>
    <w:rPr>
      <w:rFonts w:ascii="Arial" w:hAnsi="Times New Roman" w:eastAsia="宋体" w:cs="Arial"/>
      <w:vanish/>
      <w:sz w:val="16"/>
      <w:szCs w:val="16"/>
    </w:rPr>
  </w:style>
  <w:style w:type="paragraph" w:customStyle="1" w:styleId="184">
    <w:name w:val="正文（首行不缩进）"/>
    <w:basedOn w:val="1"/>
    <w:qFormat/>
    <w:uiPriority w:val="0"/>
    <w:pPr>
      <w:autoSpaceDE w:val="0"/>
      <w:autoSpaceDN w:val="0"/>
      <w:adjustRightInd w:val="0"/>
      <w:spacing w:line="360" w:lineRule="auto"/>
      <w:jc w:val="left"/>
    </w:pPr>
    <w:rPr>
      <w:rFonts w:ascii="Times New Roman" w:hAnsi="Times New Roman" w:eastAsia="宋体" w:cs="Times New Roman"/>
      <w:kern w:val="0"/>
      <w:sz w:val="21"/>
      <w:szCs w:val="21"/>
    </w:rPr>
  </w:style>
  <w:style w:type="paragraph" w:customStyle="1" w:styleId="185">
    <w:name w:val="Char2"/>
    <w:basedOn w:val="1"/>
    <w:qFormat/>
    <w:uiPriority w:val="0"/>
    <w:pPr>
      <w:spacing w:line="240" w:lineRule="atLeast"/>
      <w:ind w:left="420" w:firstLine="420"/>
    </w:pPr>
    <w:rPr>
      <w:rFonts w:ascii="Times New Roman" w:hAnsi="Times New Roman" w:eastAsia="宋体" w:cs="Times New Roman"/>
      <w:kern w:val="0"/>
      <w:sz w:val="21"/>
      <w:szCs w:val="21"/>
    </w:rPr>
  </w:style>
  <w:style w:type="paragraph" w:customStyle="1" w:styleId="186">
    <w:name w:val="1.正文"/>
    <w:basedOn w:val="1"/>
    <w:qFormat/>
    <w:uiPriority w:val="0"/>
    <w:pPr>
      <w:spacing w:line="360" w:lineRule="auto"/>
      <w:ind w:left="540" w:leftChars="225" w:firstLine="540" w:firstLineChars="225"/>
    </w:pPr>
    <w:rPr>
      <w:rFonts w:ascii="Times New Roman" w:hAnsi="Times New Roman" w:eastAsia="宋体" w:cs="Times New Roman"/>
      <w:sz w:val="24"/>
      <w:szCs w:val="24"/>
    </w:rPr>
  </w:style>
  <w:style w:type="paragraph" w:customStyle="1" w:styleId="187">
    <w:name w:val="Char Char Char Char Char Char1 Char"/>
    <w:basedOn w:val="1"/>
    <w:qFormat/>
    <w:uiPriority w:val="0"/>
    <w:pPr>
      <w:widowControl/>
      <w:spacing w:after="160" w:line="240" w:lineRule="exact"/>
      <w:jc w:val="left"/>
    </w:pPr>
    <w:rPr>
      <w:rFonts w:ascii="Verdana" w:hAnsi="Verdana" w:eastAsia="宋体" w:cs="Verdana"/>
      <w:kern w:val="0"/>
      <w:sz w:val="21"/>
      <w:szCs w:val="21"/>
      <w:lang w:eastAsia="en-US"/>
    </w:rPr>
  </w:style>
  <w:style w:type="paragraph" w:customStyle="1" w:styleId="188">
    <w:name w:val="附录2"/>
    <w:basedOn w:val="1"/>
    <w:next w:val="1"/>
    <w:qFormat/>
    <w:uiPriority w:val="0"/>
    <w:pPr>
      <w:tabs>
        <w:tab w:val="left" w:pos="420"/>
        <w:tab w:val="left" w:pos="624"/>
      </w:tabs>
      <w:ind w:left="420" w:hanging="420"/>
      <w:outlineLvl w:val="1"/>
    </w:pPr>
    <w:rPr>
      <w:rFonts w:ascii="黑体" w:hAnsi="黑体" w:eastAsia="黑体" w:cs="黑体"/>
      <w:b/>
      <w:bCs/>
      <w:sz w:val="32"/>
      <w:szCs w:val="32"/>
    </w:rPr>
  </w:style>
  <w:style w:type="paragraph" w:customStyle="1" w:styleId="189">
    <w:name w:val="00"/>
    <w:basedOn w:val="1"/>
    <w:qFormat/>
    <w:uiPriority w:val="0"/>
    <w:pPr>
      <w:autoSpaceDE w:val="0"/>
      <w:autoSpaceDN w:val="0"/>
      <w:adjustRightInd w:val="0"/>
      <w:jc w:val="left"/>
    </w:pPr>
    <w:rPr>
      <w:rFonts w:ascii="黑体" w:hAnsi="Times New Roman" w:eastAsia="黑体" w:cs="黑体"/>
      <w:b/>
      <w:bCs/>
      <w:kern w:val="0"/>
      <w:sz w:val="20"/>
      <w:szCs w:val="20"/>
    </w:rPr>
  </w:style>
  <w:style w:type="paragraph" w:customStyle="1" w:styleId="190">
    <w:name w:val="项目"/>
    <w:basedOn w:val="1"/>
    <w:qFormat/>
    <w:uiPriority w:val="0"/>
    <w:pPr>
      <w:tabs>
        <w:tab w:val="left" w:pos="1280"/>
      </w:tabs>
      <w:spacing w:before="120" w:after="120" w:line="360" w:lineRule="auto"/>
      <w:ind w:left="-7" w:firstLine="567"/>
      <w:jc w:val="left"/>
      <w:textAlignment w:val="baseline"/>
    </w:pPr>
    <w:rPr>
      <w:rFonts w:ascii="宋体" w:hAnsi="Times New Roman" w:eastAsia="宋体" w:cs="宋体"/>
      <w:kern w:val="0"/>
      <w:sz w:val="24"/>
      <w:szCs w:val="24"/>
    </w:rPr>
  </w:style>
  <w:style w:type="paragraph" w:customStyle="1" w:styleId="191">
    <w:name w:val="表号"/>
    <w:basedOn w:val="1"/>
    <w:qFormat/>
    <w:uiPriority w:val="0"/>
    <w:pPr>
      <w:tabs>
        <w:tab w:val="left" w:pos="648"/>
      </w:tabs>
      <w:autoSpaceDE w:val="0"/>
      <w:autoSpaceDN w:val="0"/>
      <w:adjustRightInd w:val="0"/>
      <w:spacing w:before="210" w:after="210"/>
      <w:ind w:left="425" w:hanging="137"/>
      <w:jc w:val="center"/>
    </w:pPr>
    <w:rPr>
      <w:rFonts w:ascii="Times New Roman" w:hAnsi="Times New Roman" w:eastAsia="宋体" w:cs="Times New Roman"/>
      <w:kern w:val="0"/>
      <w:sz w:val="21"/>
      <w:szCs w:val="21"/>
      <w:lang w:eastAsia="en-US"/>
    </w:rPr>
  </w:style>
  <w:style w:type="paragraph" w:customStyle="1" w:styleId="192">
    <w:name w:val="Char Char Char Char Char Char Char1"/>
    <w:basedOn w:val="1"/>
    <w:qFormat/>
    <w:uiPriority w:val="0"/>
    <w:rPr>
      <w:rFonts w:ascii="Tahoma" w:hAnsi="Tahoma" w:eastAsia="宋体" w:cs="Tahoma"/>
      <w:sz w:val="24"/>
      <w:szCs w:val="24"/>
    </w:rPr>
  </w:style>
  <w:style w:type="paragraph" w:customStyle="1" w:styleId="193">
    <w:name w:val="_Style 239"/>
    <w:basedOn w:val="1"/>
    <w:next w:val="1"/>
    <w:qFormat/>
    <w:uiPriority w:val="0"/>
    <w:pPr>
      <w:pBdr>
        <w:bottom w:val="single" w:color="auto" w:sz="6" w:space="1"/>
      </w:pBdr>
      <w:jc w:val="center"/>
    </w:pPr>
    <w:rPr>
      <w:rFonts w:ascii="Arial" w:hAnsi="Times New Roman" w:eastAsia="宋体" w:cs="Arial"/>
      <w:vanish/>
      <w:sz w:val="16"/>
      <w:szCs w:val="16"/>
    </w:rPr>
  </w:style>
  <w:style w:type="paragraph" w:customStyle="1" w:styleId="194">
    <w:name w:val="附录3"/>
    <w:basedOn w:val="1"/>
    <w:next w:val="1"/>
    <w:qFormat/>
    <w:uiPriority w:val="0"/>
    <w:pPr>
      <w:tabs>
        <w:tab w:val="left" w:pos="851"/>
      </w:tabs>
      <w:ind w:left="425" w:hanging="425"/>
      <w:outlineLvl w:val="2"/>
    </w:pPr>
    <w:rPr>
      <w:rFonts w:ascii="Times New Roman" w:hAnsi="Times New Roman" w:eastAsia="黑体" w:cs="Times New Roman"/>
      <w:b/>
      <w:bCs/>
      <w:sz w:val="32"/>
      <w:szCs w:val="32"/>
    </w:rPr>
  </w:style>
  <w:style w:type="paragraph" w:customStyle="1" w:styleId="195">
    <w:name w:val="文档正文 Char Char Char Char"/>
    <w:basedOn w:val="1"/>
    <w:qFormat/>
    <w:uiPriority w:val="0"/>
    <w:pPr>
      <w:adjustRightInd w:val="0"/>
      <w:spacing w:line="440" w:lineRule="exact"/>
      <w:ind w:firstLine="420"/>
      <w:textAlignment w:val="baseline"/>
    </w:pPr>
    <w:rPr>
      <w:rFonts w:ascii="Arial Narrow" w:hAnsi="Arial Narrow" w:eastAsia="宋体" w:cs="Arial Narrow"/>
      <w:kern w:val="0"/>
      <w:sz w:val="24"/>
      <w:szCs w:val="24"/>
    </w:rPr>
  </w:style>
  <w:style w:type="paragraph" w:customStyle="1" w:styleId="196">
    <w:name w:val="Char Char Char"/>
    <w:basedOn w:val="1"/>
    <w:qFormat/>
    <w:uiPriority w:val="0"/>
    <w:rPr>
      <w:rFonts w:ascii="Tahoma" w:hAnsi="Tahoma" w:eastAsia="宋体" w:cs="Tahoma"/>
      <w:sz w:val="24"/>
      <w:szCs w:val="24"/>
    </w:rPr>
  </w:style>
  <w:style w:type="paragraph" w:customStyle="1" w:styleId="197">
    <w:name w:val="样式2"/>
    <w:basedOn w:val="6"/>
    <w:qFormat/>
    <w:uiPriority w:val="0"/>
    <w:pPr>
      <w:tabs>
        <w:tab w:val="left" w:pos="720"/>
      </w:tabs>
      <w:spacing w:before="560" w:line="400" w:lineRule="exact"/>
      <w:ind w:left="420" w:hanging="420"/>
      <w:jc w:val="center"/>
      <w:outlineLvl w:val="0"/>
    </w:pPr>
    <w:rPr>
      <w:rFonts w:ascii="Times New Roman" w:hAnsi="Times New Roman" w:eastAsia="宋体" w:cs="Times New Roman"/>
      <w:b w:val="0"/>
      <w:sz w:val="44"/>
      <w:szCs w:val="44"/>
    </w:rPr>
  </w:style>
  <w:style w:type="paragraph" w:customStyle="1" w:styleId="198">
    <w:name w:val="Table Description"/>
    <w:next w:val="1"/>
    <w:qFormat/>
    <w:uiPriority w:val="0"/>
    <w:pPr>
      <w:keepNext/>
      <w:snapToGrid w:val="0"/>
      <w:spacing w:before="160" w:after="80"/>
      <w:ind w:left="1134"/>
      <w:jc w:val="center"/>
    </w:pPr>
    <w:rPr>
      <w:rFonts w:ascii="Arial" w:hAnsi="Arial" w:eastAsia="黑体" w:cs="Arial"/>
      <w:sz w:val="18"/>
      <w:szCs w:val="18"/>
      <w:lang w:val="en-US" w:eastAsia="zh-CN" w:bidi="ar-SA"/>
    </w:rPr>
  </w:style>
  <w:style w:type="paragraph" w:customStyle="1" w:styleId="199">
    <w:name w:val="Revision"/>
    <w:qFormat/>
    <w:uiPriority w:val="0"/>
    <w:rPr>
      <w:rFonts w:ascii="Times New Roman" w:hAnsi="Times New Roman" w:eastAsia="宋体" w:cs="Times New Roman"/>
      <w:kern w:val="2"/>
      <w:sz w:val="28"/>
      <w:szCs w:val="28"/>
      <w:lang w:val="en-US" w:eastAsia="zh-CN" w:bidi="ar-SA"/>
    </w:rPr>
  </w:style>
  <w:style w:type="paragraph" w:customStyle="1" w:styleId="200">
    <w:name w:val="标题无"/>
    <w:basedOn w:val="1"/>
    <w:qFormat/>
    <w:uiPriority w:val="0"/>
    <w:pPr>
      <w:spacing w:line="360" w:lineRule="auto"/>
    </w:pPr>
    <w:rPr>
      <w:rFonts w:ascii="Times New Roman" w:hAnsi="Times New Roman" w:eastAsia="宋体" w:cs="Times New Roman"/>
      <w:sz w:val="24"/>
      <w:szCs w:val="24"/>
    </w:rPr>
  </w:style>
  <w:style w:type="paragraph" w:customStyle="1" w:styleId="201">
    <w:name w:val="_"/>
    <w:basedOn w:val="1"/>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4"/>
    </w:rPr>
  </w:style>
  <w:style w:type="paragraph" w:customStyle="1" w:styleId="202">
    <w:name w:val="Table Text Char1"/>
    <w:qFormat/>
    <w:uiPriority w:val="0"/>
    <w:pPr>
      <w:snapToGrid w:val="0"/>
      <w:spacing w:before="80" w:after="80"/>
    </w:pPr>
    <w:rPr>
      <w:rFonts w:ascii="Arial" w:hAnsi="Arial" w:eastAsia="宋体" w:cs="Arial"/>
      <w:kern w:val="2"/>
      <w:sz w:val="18"/>
      <w:szCs w:val="18"/>
      <w:lang w:val="en-US" w:eastAsia="zh-CN" w:bidi="ar-SA"/>
    </w:rPr>
  </w:style>
  <w:style w:type="paragraph" w:customStyle="1" w:styleId="203">
    <w:name w:val="Char Char1 Char"/>
    <w:basedOn w:val="1"/>
    <w:qFormat/>
    <w:uiPriority w:val="0"/>
    <w:rPr>
      <w:rFonts w:ascii="Tahoma" w:hAnsi="Tahoma" w:eastAsia="宋体" w:cs="Tahoma"/>
      <w:sz w:val="24"/>
      <w:szCs w:val="24"/>
    </w:rPr>
  </w:style>
  <w:style w:type="paragraph" w:customStyle="1" w:styleId="204">
    <w:name w:val="È¡ÀÊ¡ÎÄ¡À¾"/>
    <w:basedOn w:val="1"/>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4"/>
    </w:rPr>
  </w:style>
  <w:style w:type="paragraph" w:customStyle="1" w:styleId="205">
    <w:name w:val="xl53"/>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06">
    <w:name w:val="样式 正文首行缩进 2 + 首行缩进:  2 字符"/>
    <w:basedOn w:val="1"/>
    <w:qFormat/>
    <w:uiPriority w:val="0"/>
    <w:pPr>
      <w:tabs>
        <w:tab w:val="left" w:pos="987"/>
      </w:tabs>
      <w:adjustRightInd w:val="0"/>
      <w:snapToGrid w:val="0"/>
      <w:spacing w:line="360" w:lineRule="auto"/>
      <w:ind w:left="987" w:hanging="420"/>
    </w:pPr>
    <w:rPr>
      <w:rFonts w:ascii="Arial" w:hAnsi="Arial" w:eastAsia="宋体" w:cs="Arial"/>
      <w:b/>
      <w:bCs/>
      <w:sz w:val="24"/>
      <w:szCs w:val="24"/>
    </w:rPr>
  </w:style>
  <w:style w:type="paragraph" w:customStyle="1" w:styleId="207">
    <w:name w:val="简单回函地址"/>
    <w:basedOn w:val="1"/>
    <w:qFormat/>
    <w:uiPriority w:val="0"/>
    <w:pPr>
      <w:adjustRightInd w:val="0"/>
      <w:snapToGrid w:val="0"/>
      <w:spacing w:line="360" w:lineRule="auto"/>
    </w:pPr>
    <w:rPr>
      <w:rFonts w:ascii="Times New Roman" w:hAnsi="Times New Roman" w:eastAsia="宋体" w:cs="Times New Roman"/>
      <w:sz w:val="24"/>
      <w:szCs w:val="24"/>
    </w:rPr>
  </w:style>
  <w:style w:type="paragraph" w:customStyle="1" w:styleId="208">
    <w:name w:val="默认段落字体 Para Char Char Char Char Char Char Char"/>
    <w:basedOn w:val="1"/>
    <w:qFormat/>
    <w:uiPriority w:val="0"/>
    <w:rPr>
      <w:rFonts w:ascii="Tahoma" w:hAnsi="Tahoma" w:eastAsia="宋体" w:cs="Tahoma"/>
      <w:sz w:val="24"/>
      <w:szCs w:val="24"/>
    </w:rPr>
  </w:style>
  <w:style w:type="paragraph" w:customStyle="1" w:styleId="209">
    <w:name w:val="Char1"/>
    <w:basedOn w:val="1"/>
    <w:qFormat/>
    <w:uiPriority w:val="0"/>
    <w:rPr>
      <w:rFonts w:ascii="Times New Roman" w:hAnsi="Times New Roman" w:eastAsia="宋体" w:cs="Times New Roman"/>
      <w:sz w:val="21"/>
      <w:szCs w:val="21"/>
    </w:rPr>
  </w:style>
  <w:style w:type="paragraph" w:customStyle="1" w:styleId="210">
    <w:name w:val="小标题 1"/>
    <w:basedOn w:val="1"/>
    <w:qFormat/>
    <w:uiPriority w:val="0"/>
    <w:pPr>
      <w:autoSpaceDE w:val="0"/>
      <w:autoSpaceDN w:val="0"/>
      <w:adjustRightInd w:val="0"/>
      <w:spacing w:line="360" w:lineRule="atLeast"/>
    </w:pPr>
    <w:rPr>
      <w:rFonts w:ascii="文鼎粗黑" w:hAnsi="Times New Roman" w:eastAsia="文鼎粗黑" w:cs="文鼎粗黑"/>
      <w:kern w:val="0"/>
      <w:sz w:val="22"/>
      <w:szCs w:val="22"/>
    </w:rPr>
  </w:style>
  <w:style w:type="paragraph" w:customStyle="1" w:styleId="211">
    <w:name w:val="Char Char Char Char Char"/>
    <w:basedOn w:val="1"/>
    <w:qFormat/>
    <w:uiPriority w:val="0"/>
    <w:pPr>
      <w:tabs>
        <w:tab w:val="left" w:pos="425"/>
      </w:tabs>
      <w:ind w:left="1620" w:hanging="360"/>
    </w:pPr>
    <w:rPr>
      <w:rFonts w:ascii="Tahoma" w:hAnsi="Tahoma" w:eastAsia="宋体" w:cs="Tahoma"/>
      <w:sz w:val="24"/>
      <w:szCs w:val="24"/>
    </w:rPr>
  </w:style>
  <w:style w:type="paragraph" w:customStyle="1" w:styleId="212">
    <w:name w:val="样式 首行缩进:  0.74 厘米"/>
    <w:basedOn w:val="1"/>
    <w:qFormat/>
    <w:uiPriority w:val="0"/>
    <w:pPr>
      <w:spacing w:line="360" w:lineRule="auto"/>
      <w:ind w:firstLine="420"/>
    </w:pPr>
    <w:rPr>
      <w:rFonts w:ascii="Times New Roman" w:hAnsi="Times New Roman" w:eastAsia="宋体" w:cs="Times New Roman"/>
      <w:sz w:val="24"/>
      <w:szCs w:val="24"/>
    </w:rPr>
  </w:style>
  <w:style w:type="paragraph" w:customStyle="1" w:styleId="213">
    <w:name w:val="Char Char Char Char Char Char Char Char Char Char Char Char Char"/>
    <w:basedOn w:val="1"/>
    <w:qFormat/>
    <w:uiPriority w:val="0"/>
    <w:pPr>
      <w:widowControl/>
      <w:spacing w:after="160" w:line="240" w:lineRule="exact"/>
      <w:jc w:val="left"/>
    </w:pPr>
    <w:rPr>
      <w:rFonts w:ascii="Verdana" w:hAnsi="Verdana" w:eastAsia="FangSong_GB2312" w:cs="Verdana"/>
      <w:kern w:val="0"/>
      <w:sz w:val="24"/>
      <w:szCs w:val="24"/>
      <w:lang w:eastAsia="en-US"/>
    </w:rPr>
  </w:style>
  <w:style w:type="paragraph" w:customStyle="1" w:styleId="214">
    <w:name w:val="样式 标题 6第五层条 + 三号 段前: 0.5 行"/>
    <w:basedOn w:val="8"/>
    <w:qFormat/>
    <w:uiPriority w:val="0"/>
    <w:pPr>
      <w:widowControl/>
      <w:adjustRightInd/>
      <w:snapToGrid/>
      <w:spacing w:beforeLines="50"/>
      <w:jc w:val="left"/>
    </w:pPr>
    <w:rPr>
      <w:rFonts w:ascii="Times New Roman" w:hAnsi="Times New Roman" w:eastAsia="宋体" w:cs="Times New Roman"/>
      <w:kern w:val="24"/>
      <w:sz w:val="28"/>
      <w:szCs w:val="28"/>
    </w:rPr>
  </w:style>
  <w:style w:type="paragraph" w:customStyle="1" w:styleId="215">
    <w:name w:val="正文文本缩进 21"/>
    <w:basedOn w:val="1"/>
    <w:qFormat/>
    <w:uiPriority w:val="0"/>
    <w:pPr>
      <w:adjustRightInd w:val="0"/>
      <w:spacing w:before="120"/>
      <w:ind w:firstLine="420"/>
      <w:textAlignment w:val="baseline"/>
    </w:pPr>
    <w:rPr>
      <w:rFonts w:ascii="Times New Roman" w:hAnsi="Times New Roman" w:eastAsia="宋体" w:cs="Times New Roman"/>
      <w:sz w:val="24"/>
      <w:szCs w:val="24"/>
    </w:rPr>
  </w:style>
  <w:style w:type="paragraph" w:customStyle="1" w:styleId="216">
    <w:name w:val="默认段落字体 Para Char Char Char Char Char Char Char Char Char1 Char Char Char Char"/>
    <w:basedOn w:val="1"/>
    <w:qFormat/>
    <w:uiPriority w:val="0"/>
    <w:rPr>
      <w:rFonts w:ascii="Tahoma" w:hAnsi="Tahoma" w:eastAsia="宋体" w:cs="Tahoma"/>
      <w:sz w:val="24"/>
      <w:szCs w:val="24"/>
    </w:rPr>
  </w:style>
  <w:style w:type="paragraph" w:customStyle="1" w:styleId="217">
    <w:name w:val="样式 仿宋_GB2312 首行缩进:  2 字符"/>
    <w:basedOn w:val="1"/>
    <w:qFormat/>
    <w:uiPriority w:val="0"/>
    <w:pPr>
      <w:spacing w:line="600" w:lineRule="exact"/>
      <w:ind w:firstLine="420" w:firstLineChars="150"/>
      <w:jc w:val="left"/>
    </w:pPr>
    <w:rPr>
      <w:rFonts w:ascii="FangSong_GB2312" w:hAnsi="Arial" w:eastAsia="FangSong_GB2312" w:cs="FangSong_GB2312"/>
      <w:color w:val="000000"/>
      <w:kern w:val="0"/>
      <w:lang w:val="zh-CN"/>
    </w:rPr>
  </w:style>
  <w:style w:type="paragraph" w:customStyle="1" w:styleId="218">
    <w:name w:val="表格1"/>
    <w:basedOn w:val="1"/>
    <w:next w:val="1"/>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宋体"/>
      <w:kern w:val="0"/>
      <w:sz w:val="18"/>
      <w:szCs w:val="18"/>
    </w:rPr>
  </w:style>
  <w:style w:type="paragraph" w:customStyle="1" w:styleId="219">
    <w:name w:val="段落正文"/>
    <w:basedOn w:val="1"/>
    <w:qFormat/>
    <w:uiPriority w:val="0"/>
    <w:pPr>
      <w:spacing w:beforeLines="50" w:line="360" w:lineRule="auto"/>
      <w:ind w:firstLine="200" w:firstLineChars="200"/>
    </w:pPr>
    <w:rPr>
      <w:rFonts w:ascii="Times New Roman" w:hAnsi="Times New Roman" w:eastAsia="宋体" w:cs="Times New Roman"/>
      <w:spacing w:val="2"/>
      <w:sz w:val="24"/>
      <w:szCs w:val="24"/>
    </w:rPr>
  </w:style>
  <w:style w:type="paragraph" w:customStyle="1" w:styleId="220">
    <w:name w:val="二级列表"/>
    <w:basedOn w:val="219"/>
    <w:next w:val="219"/>
    <w:qFormat/>
    <w:uiPriority w:val="0"/>
    <w:pPr>
      <w:tabs>
        <w:tab w:val="left" w:pos="2120"/>
      </w:tabs>
      <w:ind w:firstLine="0" w:firstLineChars="0"/>
    </w:pPr>
    <w:rPr>
      <w:rFonts w:ascii="Times New Roman" w:hAnsi="Times New Roman" w:eastAsia="宋体" w:cs="Times New Roman"/>
      <w:b/>
      <w:bCs/>
    </w:rPr>
  </w:style>
  <w:style w:type="paragraph" w:customStyle="1" w:styleId="221">
    <w:name w:val="Char Char Char Char"/>
    <w:basedOn w:val="1"/>
    <w:qFormat/>
    <w:uiPriority w:val="0"/>
    <w:pPr>
      <w:pageBreakBefore/>
      <w:widowControl/>
      <w:spacing w:after="160" w:line="240" w:lineRule="exact"/>
      <w:jc w:val="left"/>
    </w:pPr>
    <w:rPr>
      <w:rFonts w:ascii="Verdana" w:hAnsi="Verdana" w:eastAsia="宋体" w:cs="Verdana"/>
      <w:kern w:val="0"/>
      <w:sz w:val="20"/>
      <w:szCs w:val="20"/>
      <w:lang w:eastAsia="en-US"/>
    </w:rPr>
  </w:style>
  <w:style w:type="paragraph" w:customStyle="1" w:styleId="222">
    <w:name w:val="tabletext"/>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23">
    <w:name w:val="样式 行距: 1.5 倍行距1"/>
    <w:basedOn w:val="1"/>
    <w:qFormat/>
    <w:uiPriority w:val="0"/>
    <w:pPr>
      <w:snapToGrid w:val="0"/>
    </w:pPr>
    <w:rPr>
      <w:rFonts w:ascii="Times New Roman" w:hAnsi="Times New Roman" w:eastAsia="宋体" w:cs="Times New Roman"/>
      <w:sz w:val="21"/>
      <w:szCs w:val="21"/>
    </w:rPr>
  </w:style>
  <w:style w:type="paragraph" w:customStyle="1" w:styleId="224">
    <w:name w:val="样式 标题 1 + 居中 段前: 6 磅 段后: 6 磅 行距: 1.5 倍行距"/>
    <w:basedOn w:val="3"/>
    <w:qFormat/>
    <w:uiPriority w:val="0"/>
    <w:pPr>
      <w:keepLines/>
      <w:adjustRightInd w:val="0"/>
      <w:spacing w:before="120" w:after="120" w:line="360" w:lineRule="auto"/>
      <w:jc w:val="center"/>
    </w:pPr>
    <w:rPr>
      <w:rFonts w:ascii="Times New Roman" w:hAnsi="Times New Roman" w:eastAsia="宋体" w:cs="Times New Roman"/>
      <w:sz w:val="32"/>
      <w:szCs w:val="32"/>
    </w:rPr>
  </w:style>
  <w:style w:type="paragraph" w:customStyle="1" w:styleId="225">
    <w:name w:val="文本1"/>
    <w:basedOn w:val="1"/>
    <w:qFormat/>
    <w:uiPriority w:val="0"/>
    <w:pPr>
      <w:adjustRightInd w:val="0"/>
      <w:spacing w:line="312" w:lineRule="atLeast"/>
      <w:jc w:val="center"/>
      <w:textAlignment w:val="baseline"/>
    </w:pPr>
    <w:rPr>
      <w:rFonts w:ascii="Times New Roman" w:hAnsi="Times New Roman" w:eastAsia="宋体" w:cs="Times New Roman"/>
      <w:kern w:val="0"/>
      <w:sz w:val="18"/>
      <w:szCs w:val="18"/>
    </w:rPr>
  </w:style>
  <w:style w:type="paragraph" w:customStyle="1" w:styleId="226">
    <w:name w:val="标题2"/>
    <w:basedOn w:val="4"/>
    <w:qFormat/>
    <w:uiPriority w:val="0"/>
    <w:pPr>
      <w:keepNext w:val="0"/>
      <w:keepLines w:val="0"/>
      <w:adjustRightInd w:val="0"/>
      <w:snapToGrid w:val="0"/>
      <w:spacing w:before="0" w:after="0" w:line="360" w:lineRule="auto"/>
      <w:ind w:firstLine="574" w:firstLineChars="196"/>
      <w:outlineLvl w:val="9"/>
    </w:pPr>
    <w:rPr>
      <w:rFonts w:ascii="宋体" w:hAnsi="宋体" w:eastAsia="宋体" w:cs="宋体"/>
      <w:spacing w:val="6"/>
      <w:sz w:val="28"/>
      <w:szCs w:val="28"/>
      <w:u w:val="single"/>
    </w:rPr>
  </w:style>
  <w:style w:type="paragraph" w:customStyle="1" w:styleId="227">
    <w:name w:val="表文字"/>
    <w:qFormat/>
    <w:uiPriority w:val="0"/>
    <w:rPr>
      <w:rFonts w:ascii="宋体" w:hAnsi="Times New Roman" w:eastAsia="宋体" w:cs="宋体"/>
      <w:kern w:val="2"/>
      <w:lang w:val="en-US" w:eastAsia="zh-CN" w:bidi="ar-SA"/>
    </w:rPr>
  </w:style>
  <w:style w:type="paragraph" w:customStyle="1" w:styleId="228">
    <w:name w:val="正文 + 三号"/>
    <w:basedOn w:val="1"/>
    <w:qFormat/>
    <w:uiPriority w:val="0"/>
    <w:rPr>
      <w:rFonts w:ascii="Times New Roman" w:hAnsi="Times New Roman" w:eastAsia="宋体" w:cs="Times New Roman"/>
      <w:sz w:val="21"/>
      <w:szCs w:val="21"/>
    </w:rPr>
  </w:style>
  <w:style w:type="paragraph" w:customStyle="1" w:styleId="229">
    <w:name w:val="content"/>
    <w:basedOn w:val="1"/>
    <w:qFormat/>
    <w:uiPriority w:val="0"/>
    <w:pPr>
      <w:widowControl/>
      <w:spacing w:before="100" w:beforeAutospacing="1" w:after="100" w:afterAutospacing="1" w:line="280" w:lineRule="atLeast"/>
      <w:ind w:firstLine="375"/>
      <w:jc w:val="left"/>
    </w:pPr>
    <w:rPr>
      <w:rFonts w:ascii="宋体" w:hAnsi="宋体" w:eastAsia="宋体" w:cs="宋体"/>
      <w:color w:val="000000"/>
      <w:kern w:val="0"/>
      <w:sz w:val="18"/>
      <w:szCs w:val="18"/>
    </w:rPr>
  </w:style>
  <w:style w:type="paragraph" w:customStyle="1" w:styleId="230">
    <w:name w:val="Char"/>
    <w:basedOn w:val="1"/>
    <w:qFormat/>
    <w:uiPriority w:val="0"/>
    <w:pPr>
      <w:spacing w:line="240" w:lineRule="atLeast"/>
      <w:ind w:left="420" w:firstLine="420"/>
    </w:pPr>
    <w:rPr>
      <w:rFonts w:ascii="Times New Roman" w:hAnsi="Times New Roman" w:eastAsia="宋体" w:cs="Times New Roman"/>
      <w:kern w:val="0"/>
      <w:sz w:val="21"/>
      <w:szCs w:val="21"/>
    </w:rPr>
  </w:style>
  <w:style w:type="paragraph" w:customStyle="1" w:styleId="231">
    <w:name w:val="操作步骤"/>
    <w:basedOn w:val="1"/>
    <w:qFormat/>
    <w:uiPriority w:val="0"/>
    <w:pPr>
      <w:tabs>
        <w:tab w:val="left" w:pos="425"/>
      </w:tabs>
      <w:autoSpaceDE w:val="0"/>
      <w:autoSpaceDN w:val="0"/>
      <w:adjustRightInd w:val="0"/>
      <w:snapToGrid w:val="0"/>
      <w:spacing w:line="40" w:lineRule="atLeast"/>
      <w:ind w:left="425" w:hanging="425"/>
      <w:textAlignment w:val="bottom"/>
    </w:pPr>
    <w:rPr>
      <w:rFonts w:ascii="昆仑楷体" w:hAnsi="Times New Roman" w:eastAsia="楷体_GB2312" w:cs="昆仑楷体"/>
      <w:kern w:val="0"/>
      <w:sz w:val="21"/>
      <w:szCs w:val="21"/>
    </w:rPr>
  </w:style>
  <w:style w:type="paragraph" w:customStyle="1" w:styleId="232">
    <w:name w:val="正文字缩2字"/>
    <w:basedOn w:val="1"/>
    <w:qFormat/>
    <w:uiPriority w:val="0"/>
    <w:pPr>
      <w:spacing w:before="60" w:after="60" w:line="360" w:lineRule="auto"/>
      <w:ind w:left="200" w:leftChars="200" w:firstLine="200" w:firstLineChars="200"/>
    </w:pPr>
    <w:rPr>
      <w:rFonts w:ascii="Times New Roman" w:hAnsi="Times New Roman" w:eastAsia="宋体" w:cs="Times New Roman"/>
      <w:sz w:val="24"/>
      <w:szCs w:val="24"/>
    </w:rPr>
  </w:style>
  <w:style w:type="paragraph" w:customStyle="1" w:styleId="233">
    <w:name w:val="列表项目"/>
    <w:basedOn w:val="1"/>
    <w:qFormat/>
    <w:uiPriority w:val="0"/>
    <w:pPr>
      <w:tabs>
        <w:tab w:val="left" w:pos="420"/>
      </w:tabs>
      <w:spacing w:line="288" w:lineRule="auto"/>
      <w:ind w:left="840" w:leftChars="200" w:hanging="420" w:hangingChars="200"/>
    </w:pPr>
    <w:rPr>
      <w:rFonts w:ascii="Times New Roman" w:hAnsi="Times New Roman" w:eastAsia="宋体" w:cs="Times New Roman"/>
      <w:sz w:val="21"/>
      <w:szCs w:val="21"/>
    </w:rPr>
  </w:style>
  <w:style w:type="paragraph" w:customStyle="1" w:styleId="234">
    <w:name w:val="标书正文:  0.74 厘米"/>
    <w:basedOn w:val="1"/>
    <w:qFormat/>
    <w:uiPriority w:val="0"/>
    <w:pPr>
      <w:snapToGrid w:val="0"/>
      <w:spacing w:line="360" w:lineRule="auto"/>
      <w:ind w:firstLine="420"/>
    </w:pPr>
    <w:rPr>
      <w:rFonts w:ascii="Times New Roman" w:hAnsi="Times New Roman" w:eastAsia="宋体" w:cs="Times New Roman"/>
      <w:sz w:val="24"/>
      <w:szCs w:val="24"/>
    </w:rPr>
  </w:style>
  <w:style w:type="paragraph" w:customStyle="1" w:styleId="235">
    <w:name w:val="Style Heading 3h3Heading 3 - oldLevel 3 HeadH3level_3PIM 3se..."/>
    <w:basedOn w:val="5"/>
    <w:qFormat/>
    <w:uiPriority w:val="0"/>
    <w:pPr>
      <w:tabs>
        <w:tab w:val="left" w:pos="709"/>
        <w:tab w:val="left" w:pos="1620"/>
      </w:tabs>
      <w:ind w:left="1620" w:hanging="360"/>
    </w:pPr>
    <w:rPr>
      <w:rFonts w:ascii="Times New Roman" w:hAnsi="Times New Roman" w:eastAsia="宋体" w:cs="Times New Roman"/>
    </w:rPr>
  </w:style>
  <w:style w:type="paragraph" w:customStyle="1" w:styleId="236">
    <w:name w:val="IN Step"/>
    <w:basedOn w:val="1"/>
    <w:uiPriority w:val="0"/>
    <w:pPr>
      <w:keepLines/>
      <w:widowControl/>
      <w:tabs>
        <w:tab w:val="left" w:pos="1134"/>
      </w:tabs>
      <w:spacing w:before="80" w:after="80" w:line="300" w:lineRule="auto"/>
      <w:ind w:left="1134" w:hanging="907"/>
      <w:outlineLvl w:val="8"/>
    </w:pPr>
    <w:rPr>
      <w:rFonts w:ascii="Arial" w:hAnsi="Arial" w:eastAsia="宋体" w:cs="Arial"/>
      <w:kern w:val="0"/>
      <w:sz w:val="21"/>
      <w:szCs w:val="21"/>
    </w:rPr>
  </w:style>
  <w:style w:type="paragraph" w:customStyle="1" w:styleId="237">
    <w:name w:val="Title - Revision"/>
    <w:basedOn w:val="53"/>
    <w:uiPriority w:val="0"/>
    <w:pPr>
      <w:spacing w:before="720"/>
    </w:pPr>
    <w:rPr>
      <w:rFonts w:ascii="Times New Roman" w:hAnsi="Times New Roman" w:eastAsia="宋体" w:cs="Times New Roman"/>
    </w:rPr>
  </w:style>
  <w:style w:type="paragraph" w:customStyle="1" w:styleId="238">
    <w:name w:val="Char2 Char Char Char Char Char Char"/>
    <w:basedOn w:val="1"/>
    <w:qFormat/>
    <w:uiPriority w:val="0"/>
    <w:rPr>
      <w:rFonts w:ascii="FangSong_GB2312" w:hAnsi="Times New Roman" w:eastAsia="宋体" w:cs="FangSong_GB2312"/>
      <w:b/>
      <w:bCs/>
      <w:sz w:val="30"/>
      <w:szCs w:val="30"/>
    </w:rPr>
  </w:style>
  <w:style w:type="paragraph" w:customStyle="1" w:styleId="239">
    <w:name w:val="Item Step"/>
    <w:qFormat/>
    <w:uiPriority w:val="0"/>
    <w:pPr>
      <w:tabs>
        <w:tab w:val="left" w:pos="1644"/>
      </w:tabs>
      <w:ind w:left="1644" w:hanging="510"/>
      <w:outlineLvl w:val="4"/>
    </w:pPr>
    <w:rPr>
      <w:rFonts w:ascii="Arial" w:hAnsi="Arial" w:eastAsia="宋体" w:cs="Arial"/>
      <w:sz w:val="21"/>
      <w:szCs w:val="21"/>
      <w:lang w:val="en-US" w:eastAsia="zh-CN" w:bidi="ar-SA"/>
    </w:rPr>
  </w:style>
  <w:style w:type="paragraph" w:customStyle="1" w:styleId="240">
    <w:name w:val="表头样式"/>
    <w:basedOn w:val="1"/>
    <w:qFormat/>
    <w:uiPriority w:val="0"/>
    <w:pPr>
      <w:autoSpaceDE w:val="0"/>
      <w:autoSpaceDN w:val="0"/>
      <w:adjustRightInd w:val="0"/>
      <w:spacing w:line="360" w:lineRule="auto"/>
      <w:jc w:val="left"/>
    </w:pPr>
    <w:rPr>
      <w:rFonts w:ascii="Times New Roman" w:hAnsi="Times New Roman" w:eastAsia="宋体" w:cs="Times New Roman"/>
      <w:b/>
      <w:bCs/>
      <w:kern w:val="0"/>
      <w:sz w:val="21"/>
      <w:szCs w:val="21"/>
    </w:rPr>
  </w:style>
  <w:style w:type="paragraph" w:customStyle="1" w:styleId="241">
    <w:name w:val="正文4"/>
    <w:basedOn w:val="1"/>
    <w:qFormat/>
    <w:uiPriority w:val="0"/>
    <w:pPr>
      <w:tabs>
        <w:tab w:val="left" w:pos="1275"/>
      </w:tabs>
      <w:spacing w:before="60" w:after="60" w:line="360" w:lineRule="auto"/>
      <w:ind w:left="820" w:leftChars="400" w:hanging="705"/>
    </w:pPr>
    <w:rPr>
      <w:rFonts w:ascii="Times New Roman" w:hAnsi="Times New Roman" w:eastAsia="宋体" w:cs="Times New Roman"/>
      <w:sz w:val="24"/>
      <w:szCs w:val="24"/>
    </w:rPr>
  </w:style>
  <w:style w:type="paragraph" w:customStyle="1" w:styleId="242">
    <w:name w:val="List Paragraph1"/>
    <w:basedOn w:val="1"/>
    <w:qFormat/>
    <w:uiPriority w:val="0"/>
    <w:pPr>
      <w:ind w:firstLine="420" w:firstLineChars="200"/>
    </w:pPr>
    <w:rPr>
      <w:rFonts w:ascii="Times New Roman" w:hAnsi="Times New Roman" w:eastAsia="宋体" w:cs="Times New Roman"/>
    </w:rPr>
  </w:style>
  <w:style w:type="paragraph" w:customStyle="1" w:styleId="243">
    <w:name w:val="Note"/>
    <w:basedOn w:val="1"/>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4"/>
    </w:rPr>
  </w:style>
  <w:style w:type="paragraph" w:customStyle="1" w:styleId="244">
    <w:name w:val="图标"/>
    <w:basedOn w:val="1"/>
    <w:next w:val="1"/>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FangSong_GB2312" w:cs="Times New Roman"/>
      <w:kern w:val="0"/>
      <w:sz w:val="24"/>
      <w:szCs w:val="24"/>
    </w:rPr>
  </w:style>
  <w:style w:type="paragraph" w:customStyle="1" w:styleId="245">
    <w:name w:val="样式 正文缩进正文（首行缩进两字）表正文正文非缩进特点标题4段1 + 首行缩进:  2 字符"/>
    <w:basedOn w:val="16"/>
    <w:qFormat/>
    <w:uiPriority w:val="0"/>
    <w:pPr>
      <w:ind w:firstLine="480" w:firstLineChars="200"/>
    </w:pPr>
    <w:rPr>
      <w:rFonts w:ascii="Times New Roman" w:hAnsi="Times New Roman" w:eastAsia="宋体" w:cs="Times New Roman"/>
    </w:rPr>
  </w:style>
  <w:style w:type="paragraph" w:customStyle="1" w:styleId="246">
    <w:name w:val="标题3——2"/>
    <w:basedOn w:val="5"/>
    <w:next w:val="55"/>
    <w:qFormat/>
    <w:uiPriority w:val="0"/>
    <w:pPr>
      <w:tabs>
        <w:tab w:val="left" w:pos="1280"/>
        <w:tab w:val="right" w:leader="dot" w:pos="8777"/>
      </w:tabs>
      <w:spacing w:beforeLines="100" w:after="0" w:line="240" w:lineRule="auto"/>
      <w:ind w:left="851" w:hanging="851"/>
      <w:outlineLvl w:val="9"/>
    </w:pPr>
    <w:rPr>
      <w:rFonts w:ascii="黑体" w:hAnsi="宋体" w:eastAsia="黑体" w:cs="黑体"/>
      <w:sz w:val="30"/>
      <w:szCs w:val="30"/>
    </w:rPr>
  </w:style>
  <w:style w:type="paragraph" w:customStyle="1" w:styleId="247">
    <w:name w:val="AA Numbering"/>
    <w:basedOn w:val="1"/>
    <w:qFormat/>
    <w:uiPriority w:val="0"/>
    <w:pPr>
      <w:widowControl/>
      <w:tabs>
        <w:tab w:val="left" w:pos="1134"/>
        <w:tab w:val="left" w:pos="1280"/>
      </w:tabs>
      <w:adjustRightInd w:val="0"/>
      <w:snapToGrid w:val="0"/>
      <w:spacing w:line="280" w:lineRule="atLeast"/>
      <w:jc w:val="left"/>
    </w:pPr>
    <w:rPr>
      <w:rFonts w:ascii="Times New Roman" w:hAnsi="Times New Roman" w:eastAsia="PMingLiUfalt" w:cs="Times New Roman"/>
      <w:kern w:val="0"/>
      <w:sz w:val="24"/>
      <w:szCs w:val="24"/>
      <w:lang w:eastAsia="zh-TW"/>
    </w:rPr>
  </w:style>
  <w:style w:type="paragraph" w:customStyle="1" w:styleId="248">
    <w:name w:val="司法正文"/>
    <w:qFormat/>
    <w:uiPriority w:val="0"/>
    <w:pPr>
      <w:widowControl w:val="0"/>
      <w:ind w:firstLine="200" w:firstLineChars="200"/>
      <w:jc w:val="both"/>
    </w:pPr>
    <w:rPr>
      <w:rFonts w:ascii="Times New Roman" w:hAnsi="Times New Roman" w:eastAsia="FangSong_GB2312" w:cs="Times New Roman"/>
      <w:sz w:val="32"/>
      <w:szCs w:val="32"/>
      <w:lang w:val="en-US" w:eastAsia="zh-CN" w:bidi="ar-SA"/>
    </w:rPr>
  </w:style>
  <w:style w:type="paragraph" w:customStyle="1" w:styleId="249">
    <w:name w:val="IN Feature"/>
    <w:next w:val="236"/>
    <w:uiPriority w:val="0"/>
    <w:pPr>
      <w:keepNext/>
      <w:keepLines/>
      <w:spacing w:before="240" w:after="240"/>
      <w:outlineLvl w:val="7"/>
    </w:pPr>
    <w:rPr>
      <w:rFonts w:ascii="Arial" w:hAnsi="Arial" w:eastAsia="黑体" w:cs="Arial"/>
      <w:sz w:val="21"/>
      <w:szCs w:val="21"/>
      <w:lang w:val="en-US" w:eastAsia="zh-CN" w:bidi="ar-SA"/>
    </w:rPr>
  </w:style>
  <w:style w:type="paragraph" w:customStyle="1" w:styleId="250">
    <w:name w:val="Table Contents"/>
    <w:basedOn w:val="2"/>
    <w:uiPriority w:val="0"/>
    <w:pPr>
      <w:suppressAutoHyphens/>
      <w:spacing w:after="0"/>
      <w:jc w:val="left"/>
    </w:pPr>
    <w:rPr>
      <w:rFonts w:ascii="Times New Roman" w:hAnsi="Times New Roman" w:eastAsia="宋体" w:cs="Times New Roman"/>
      <w:kern w:val="0"/>
      <w:sz w:val="24"/>
      <w:szCs w:val="24"/>
    </w:rPr>
  </w:style>
  <w:style w:type="paragraph" w:customStyle="1" w:styleId="251">
    <w:name w:val="样式3"/>
    <w:basedOn w:val="3"/>
    <w:next w:val="3"/>
    <w:qFormat/>
    <w:uiPriority w:val="0"/>
    <w:pPr>
      <w:keepLines/>
      <w:adjustRightInd w:val="0"/>
      <w:spacing w:before="340" w:after="330" w:line="576" w:lineRule="auto"/>
    </w:pPr>
    <w:rPr>
      <w:rFonts w:ascii="Times New Roman" w:hAnsi="Times New Roman" w:eastAsia="黑体" w:cs="Times New Roman"/>
    </w:rPr>
  </w:style>
  <w:style w:type="paragraph" w:customStyle="1" w:styleId="252">
    <w:name w:val="Char Char Char Char Char Char Char"/>
    <w:basedOn w:val="18"/>
    <w:qFormat/>
    <w:uiPriority w:val="0"/>
    <w:rPr>
      <w:rFonts w:ascii="宋体" w:hAnsi="Tahoma" w:eastAsia="宋体" w:cs="宋体"/>
    </w:rPr>
  </w:style>
  <w:style w:type="paragraph" w:customStyle="1" w:styleId="253">
    <w:name w:val="编号正文"/>
    <w:basedOn w:val="176"/>
    <w:qFormat/>
    <w:uiPriority w:val="0"/>
    <w:pPr>
      <w:snapToGrid/>
      <w:spacing w:line="360" w:lineRule="auto"/>
      <w:ind w:left="1407" w:hanging="1047"/>
      <w:jc w:val="left"/>
    </w:pPr>
    <w:rPr>
      <w:rFonts w:ascii="Times New Roman" w:hAnsi="Times New Roman" w:eastAsia="FangSong_GB2312" w:cs="Times New Roman"/>
    </w:rPr>
  </w:style>
  <w:style w:type="paragraph" w:customStyle="1" w:styleId="254">
    <w:name w:val="样式 宋体 五号 两端对齐 行距: 单倍行距"/>
    <w:basedOn w:val="1"/>
    <w:qFormat/>
    <w:uiPriority w:val="0"/>
    <w:pPr>
      <w:adjustRightInd w:val="0"/>
      <w:textAlignment w:val="baseline"/>
    </w:pPr>
    <w:rPr>
      <w:rFonts w:ascii="宋体" w:hAnsi="宋体" w:eastAsia="宋体" w:cs="宋体"/>
      <w:kern w:val="0"/>
      <w:sz w:val="21"/>
      <w:szCs w:val="21"/>
    </w:rPr>
  </w:style>
  <w:style w:type="paragraph" w:customStyle="1" w:styleId="255">
    <w:name w:val="af"/>
    <w:basedOn w:val="1"/>
    <w:uiPriority w:val="0"/>
    <w:pPr>
      <w:widowControl/>
      <w:spacing w:line="300" w:lineRule="atLeast"/>
      <w:jc w:val="left"/>
    </w:pPr>
    <w:rPr>
      <w:rFonts w:ascii="宋体" w:hAnsi="宋体" w:eastAsia="宋体" w:cs="宋体"/>
      <w:kern w:val="0"/>
      <w:sz w:val="18"/>
      <w:szCs w:val="18"/>
    </w:rPr>
  </w:style>
  <w:style w:type="paragraph" w:customStyle="1" w:styleId="256">
    <w:name w:val="文章正文"/>
    <w:basedOn w:val="1"/>
    <w:qFormat/>
    <w:uiPriority w:val="0"/>
    <w:pPr>
      <w:ind w:firstLine="560" w:firstLineChars="200"/>
    </w:pPr>
    <w:rPr>
      <w:rFonts w:ascii="FangSong_GB2312" w:hAnsi="宋体" w:eastAsia="FangSong_GB2312" w:cs="FangSong_GB2312"/>
      <w:color w:val="000000"/>
    </w:rPr>
  </w:style>
  <w:style w:type="paragraph" w:customStyle="1" w:styleId="257">
    <w:name w:val="Table Text Char Char"/>
    <w:qFormat/>
    <w:uiPriority w:val="0"/>
    <w:pPr>
      <w:snapToGrid w:val="0"/>
      <w:spacing w:before="80" w:after="80"/>
    </w:pPr>
    <w:rPr>
      <w:rFonts w:ascii="Arial" w:hAnsi="Arial" w:eastAsia="宋体" w:cs="Arial"/>
      <w:kern w:val="2"/>
      <w:sz w:val="18"/>
      <w:szCs w:val="18"/>
      <w:lang w:val="en-US" w:eastAsia="zh-CN" w:bidi="ar-SA"/>
    </w:rPr>
  </w:style>
  <w:style w:type="paragraph" w:customStyle="1" w:styleId="258">
    <w:name w:val="附录4"/>
    <w:basedOn w:val="1"/>
    <w:next w:val="1"/>
    <w:qFormat/>
    <w:uiPriority w:val="0"/>
    <w:pPr>
      <w:widowControl/>
      <w:tabs>
        <w:tab w:val="left" w:pos="1134"/>
      </w:tabs>
      <w:spacing w:line="300" w:lineRule="auto"/>
      <w:ind w:left="1361" w:hanging="1361"/>
      <w:outlineLvl w:val="3"/>
    </w:pPr>
    <w:rPr>
      <w:rFonts w:ascii="Arial" w:hAnsi="Arial" w:eastAsia="黑体" w:cs="Arial"/>
      <w:kern w:val="0"/>
    </w:rPr>
  </w:style>
  <w:style w:type="paragraph" w:customStyle="1" w:styleId="259">
    <w:name w:val="Figure Description"/>
    <w:next w:val="1"/>
    <w:qFormat/>
    <w:uiPriority w:val="0"/>
    <w:pPr>
      <w:snapToGrid w:val="0"/>
      <w:spacing w:before="80" w:after="320"/>
      <w:ind w:left="1134"/>
      <w:jc w:val="center"/>
    </w:pPr>
    <w:rPr>
      <w:rFonts w:ascii="Arial" w:hAnsi="Arial" w:eastAsia="黑体" w:cs="Arial"/>
      <w:sz w:val="18"/>
      <w:szCs w:val="18"/>
      <w:lang w:val="en-US" w:eastAsia="zh-CN" w:bidi="ar-SA"/>
    </w:rPr>
  </w:style>
  <w:style w:type="paragraph" w:customStyle="1" w:styleId="260">
    <w:name w:val="关键词"/>
    <w:basedOn w:val="1"/>
    <w:next w:val="1"/>
    <w:qFormat/>
    <w:uiPriority w:val="0"/>
    <w:pPr>
      <w:spacing w:line="360" w:lineRule="auto"/>
    </w:pPr>
    <w:rPr>
      <w:rFonts w:ascii="Times New Roman" w:hAnsi="Times New Roman" w:eastAsia="黑体" w:cs="Times New Roman"/>
      <w:sz w:val="20"/>
      <w:szCs w:val="20"/>
    </w:rPr>
  </w:style>
  <w:style w:type="paragraph" w:customStyle="1" w:styleId="261">
    <w:name w:val="缺省文本"/>
    <w:basedOn w:val="1"/>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4"/>
    </w:rPr>
  </w:style>
  <w:style w:type="paragraph" w:customStyle="1" w:styleId="262">
    <w:name w:val="CSS1级正文 Char"/>
    <w:basedOn w:val="2"/>
    <w:qFormat/>
    <w:uiPriority w:val="0"/>
    <w:pPr>
      <w:adjustRightInd w:val="0"/>
      <w:snapToGrid w:val="0"/>
      <w:spacing w:after="0" w:line="360" w:lineRule="auto"/>
      <w:ind w:firstLine="480"/>
    </w:pPr>
    <w:rPr>
      <w:rFonts w:ascii="Times New Roman" w:hAnsi="Times New Roman" w:eastAsia="宋体" w:cs="Times New Roman"/>
      <w:kern w:val="0"/>
      <w:sz w:val="24"/>
      <w:szCs w:val="24"/>
    </w:rPr>
  </w:style>
  <w:style w:type="paragraph" w:customStyle="1" w:styleId="263">
    <w:name w:val="文本框样式1"/>
    <w:basedOn w:val="1"/>
    <w:qFormat/>
    <w:uiPriority w:val="0"/>
    <w:pPr>
      <w:adjustRightInd w:val="0"/>
      <w:snapToGrid w:val="0"/>
      <w:spacing w:before="60" w:line="180" w:lineRule="exact"/>
      <w:jc w:val="center"/>
    </w:pPr>
    <w:rPr>
      <w:rFonts w:ascii="Times New Roman" w:hAnsi="Times New Roman" w:eastAsia="宋体" w:cs="Times New Roman"/>
      <w:sz w:val="21"/>
      <w:szCs w:val="21"/>
    </w:rPr>
  </w:style>
  <w:style w:type="paragraph" w:customStyle="1" w:styleId="264">
    <w:name w:val="Table Heading"/>
    <w:qFormat/>
    <w:uiPriority w:val="0"/>
    <w:pPr>
      <w:keepNext/>
      <w:snapToGrid w:val="0"/>
      <w:spacing w:before="80" w:after="80"/>
      <w:jc w:val="center"/>
    </w:pPr>
    <w:rPr>
      <w:rFonts w:ascii="Arial" w:hAnsi="Arial" w:eastAsia="黑体" w:cs="Arial"/>
      <w:sz w:val="18"/>
      <w:szCs w:val="18"/>
      <w:lang w:val="en-US" w:eastAsia="zh-CN" w:bidi="ar-SA"/>
    </w:rPr>
  </w:style>
  <w:style w:type="character" w:customStyle="1" w:styleId="265">
    <w:name w:val="font21"/>
    <w:basedOn w:val="59"/>
    <w:qFormat/>
    <w:uiPriority w:val="0"/>
    <w:rPr>
      <w:rFonts w:hint="eastAsia" w:ascii="仿宋_GB2312" w:eastAsia="仿宋_GB2312" w:cs="仿宋_GB2312"/>
      <w:color w:val="000000"/>
      <w:sz w:val="21"/>
      <w:szCs w:val="21"/>
      <w:u w:val="none"/>
    </w:rPr>
  </w:style>
  <w:style w:type="character" w:customStyle="1" w:styleId="266">
    <w:name w:val="font71"/>
    <w:basedOn w:val="59"/>
    <w:qFormat/>
    <w:uiPriority w:val="0"/>
    <w:rPr>
      <w:rFonts w:hint="eastAsia" w:ascii="仿宋_GB2312" w:eastAsia="仿宋_GB2312" w:cs="仿宋_GB2312"/>
      <w:b/>
      <w:bCs/>
      <w:color w:val="333333"/>
      <w:sz w:val="21"/>
      <w:szCs w:val="21"/>
      <w:u w:val="none"/>
    </w:rPr>
  </w:style>
  <w:style w:type="paragraph" w:customStyle="1" w:styleId="267">
    <w:name w:val="Blockquote"/>
    <w:basedOn w:val="1"/>
    <w:qFormat/>
    <w:uiPriority w:val="0"/>
    <w:pPr>
      <w:autoSpaceDE w:val="0"/>
      <w:autoSpaceDN w:val="0"/>
      <w:adjustRightInd w:val="0"/>
      <w:spacing w:before="100" w:after="100"/>
      <w:ind w:left="360" w:right="360"/>
      <w:jc w:val="left"/>
    </w:pPr>
    <w:rPr>
      <w:kern w:val="0"/>
      <w:sz w:val="2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Manager>lz</Manager>
  <Company>丰都县公共资源交易中心</Company>
  <Pages>57</Pages>
  <Words>14012</Words>
  <Characters>14658</Characters>
  <Lines>169</Lines>
  <Paragraphs>47</Paragraphs>
  <TotalTime>13</TotalTime>
  <ScaleCrop>false</ScaleCrop>
  <LinksUpToDate>false</LinksUpToDate>
  <CharactersWithSpaces>14804</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2020-08-17T09:44:00Z</dcterms:created>
  <dc:creator>lz</dc:creator>
  <cp:lastModifiedBy>TωT</cp:lastModifiedBy>
  <cp:lastPrinted>2024-07-18T10:13:00Z</cp:lastPrinted>
  <dcterms:modified xsi:type="dcterms:W3CDTF">2025-05-22T03:45:30Z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6B4C6ACF3B304B7F900B94FDD3663EF5_13</vt:lpwstr>
  </property>
  <property fmtid="{D5CDD505-2E9C-101B-9397-08002B2CF9AE}" pid="4" name="KSOTemplateDocerSaveRecord">
    <vt:lpwstr>eyJoZGlkIjoiMTQ1MjViMTYxN2JhZGMzZmJmZDM2YTAyZDMzMjFmZjQiLCJ1c2VySWQiOiIyMzUxMzM1NTQifQ==</vt:lpwstr>
  </property>
</Properties>
</file>