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606" w:hanging="1606" w:hangingChars="500"/>
        <w:rPr>
          <w:rFonts w:ascii="宋体" w:hAnsi="宋体"/>
          <w:b/>
          <w:color w:val="000000" w:themeColor="text1"/>
          <w:kern w:val="0"/>
          <w:sz w:val="32"/>
          <w:szCs w:val="32"/>
          <w:highlight w:val="none"/>
          <w14:textFill>
            <w14:solidFill>
              <w14:schemeClr w14:val="tx1"/>
            </w14:solidFill>
          </w14:textFill>
        </w:rPr>
      </w:pPr>
      <w:bookmarkStart w:id="812" w:name="_GoBack"/>
      <w:bookmarkStart w:id="0" w:name="_Toc287620665"/>
      <w:bookmarkStart w:id="1" w:name="_Toc31730"/>
      <w:bookmarkStart w:id="2" w:name="_Toc9785"/>
    </w:p>
    <w:p>
      <w:pPr>
        <w:autoSpaceDE w:val="0"/>
        <w:autoSpaceDN w:val="0"/>
        <w:adjustRightInd w:val="0"/>
        <w:snapToGrid w:val="0"/>
        <w:spacing w:line="360" w:lineRule="auto"/>
        <w:ind w:left="1606" w:hanging="1606" w:hangingChars="500"/>
        <w:jc w:val="center"/>
        <w:outlineLvl w:val="0"/>
        <w:rPr>
          <w:rFonts w:ascii="宋体" w:hAnsi="宋体"/>
          <w:b/>
          <w:color w:val="000000" w:themeColor="text1"/>
          <w:kern w:val="0"/>
          <w:sz w:val="32"/>
          <w:szCs w:val="32"/>
          <w:highlight w:val="none"/>
          <w14:textFill>
            <w14:solidFill>
              <w14:schemeClr w14:val="tx1"/>
            </w14:solidFill>
          </w14:textFill>
        </w:rPr>
      </w:pPr>
      <w:r>
        <w:rPr>
          <w:rFonts w:hint="eastAsia" w:ascii="宋体" w:hAnsi="宋体"/>
          <w:b/>
          <w:color w:val="000000" w:themeColor="text1"/>
          <w:kern w:val="0"/>
          <w:sz w:val="32"/>
          <w:szCs w:val="32"/>
          <w:highlight w:val="none"/>
          <w14:textFill>
            <w14:solidFill>
              <w14:schemeClr w14:val="tx1"/>
            </w14:solidFill>
          </w14:textFill>
        </w:rPr>
        <w:t>项目名称：</w:t>
      </w:r>
      <w:bookmarkStart w:id="3" w:name="OLE_LINK3"/>
      <w:r>
        <w:rPr>
          <w:rFonts w:hint="eastAsia" w:ascii="宋体" w:hAnsi="宋体"/>
          <w:b/>
          <w:color w:val="000000" w:themeColor="text1"/>
          <w:kern w:val="0"/>
          <w:sz w:val="32"/>
          <w:szCs w:val="32"/>
          <w:highlight w:val="none"/>
          <w:lang w:eastAsia="zh-CN"/>
          <w14:textFill>
            <w14:solidFill>
              <w14:schemeClr w14:val="tx1"/>
            </w14:solidFill>
          </w14:textFill>
        </w:rPr>
        <w:t>南岸区南坪片区、弹子石片区瓶改管燃气管道及设施建设</w:t>
      </w:r>
      <w:r>
        <w:rPr>
          <w:rFonts w:hint="eastAsia" w:ascii="宋体" w:hAnsi="宋体"/>
          <w:b/>
          <w:color w:val="000000" w:themeColor="text1"/>
          <w:kern w:val="0"/>
          <w:sz w:val="32"/>
          <w:szCs w:val="32"/>
          <w:highlight w:val="none"/>
          <w:lang w:val="en-US" w:eastAsia="zh-CN"/>
          <w14:textFill>
            <w14:solidFill>
              <w14:schemeClr w14:val="tx1"/>
            </w14:solidFill>
          </w14:textFill>
        </w:rPr>
        <w:t>预算审核</w:t>
      </w:r>
      <w:r>
        <w:rPr>
          <w:rFonts w:hint="eastAsia" w:ascii="宋体" w:hAnsi="宋体"/>
          <w:b/>
          <w:color w:val="000000" w:themeColor="text1"/>
          <w:kern w:val="0"/>
          <w:sz w:val="32"/>
          <w:szCs w:val="32"/>
          <w:highlight w:val="none"/>
          <w14:textFill>
            <w14:solidFill>
              <w14:schemeClr w14:val="tx1"/>
            </w14:solidFill>
          </w14:textFill>
        </w:rPr>
        <w:t>项目</w:t>
      </w:r>
      <w:bookmarkEnd w:id="3"/>
    </w:p>
    <w:p>
      <w:pPr>
        <w:pStyle w:val="10"/>
        <w:snapToGrid w:val="0"/>
        <w:spacing w:line="360" w:lineRule="auto"/>
        <w:ind w:left="0" w:right="0" w:firstLine="0" w:firstLineChars="0"/>
        <w:rPr>
          <w:rFonts w:ascii="宋体" w:hAnsi="宋体" w:eastAsia="宋体"/>
          <w:b/>
          <w:color w:val="000000" w:themeColor="text1"/>
          <w:sz w:val="56"/>
          <w:szCs w:val="56"/>
          <w:highlight w:val="none"/>
          <w14:textFill>
            <w14:solidFill>
              <w14:schemeClr w14:val="tx1"/>
            </w14:solidFill>
          </w14:textFill>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14:textFill>
            <w14:solidFill>
              <w14:schemeClr w14:val="tx1"/>
            </w14:solidFill>
          </w14:textFill>
        </w:rPr>
      </w:pPr>
    </w:p>
    <w:p>
      <w:pPr>
        <w:pStyle w:val="10"/>
        <w:snapToGrid w:val="0"/>
        <w:spacing w:line="360" w:lineRule="auto"/>
        <w:ind w:left="0" w:right="0" w:firstLine="0" w:firstLineChars="0"/>
        <w:jc w:val="center"/>
        <w:rPr>
          <w:rFonts w:ascii="宋体" w:hAnsi="宋体" w:eastAsia="宋体"/>
          <w:b/>
          <w:color w:val="000000" w:themeColor="text1"/>
          <w:sz w:val="84"/>
          <w:szCs w:val="8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pPr>
        <w:pStyle w:val="8"/>
        <w:rPr>
          <w:rFonts w:ascii="宋体" w:hAnsi="宋体"/>
          <w:color w:val="000000" w:themeColor="text1"/>
          <w:highlight w:val="none"/>
          <w14:textFill>
            <w14:solidFill>
              <w14:schemeClr w14:val="tx1"/>
            </w14:solidFill>
          </w14:textFill>
        </w:rPr>
      </w:pPr>
    </w:p>
    <w:p>
      <w:pPr>
        <w:pStyle w:val="4"/>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b/>
          <w:color w:val="000000" w:themeColor="text1"/>
          <w:kern w:val="0"/>
          <w:position w:val="-5"/>
          <w:sz w:val="32"/>
          <w:szCs w:val="48"/>
          <w:highlight w:val="none"/>
          <w14:textFill>
            <w14:solidFill>
              <w14:schemeClr w14:val="tx1"/>
            </w14:solidFill>
          </w14:textFill>
        </w:rPr>
      </w:pPr>
    </w:p>
    <w:p>
      <w:pPr>
        <w:spacing w:line="520" w:lineRule="exact"/>
        <w:ind w:firstLine="1205" w:firstLineChars="400"/>
        <w:outlineLvl w:val="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lang w:eastAsia="zh-CN"/>
          <w14:textFill>
            <w14:solidFill>
              <w14:schemeClr w14:val="tx1"/>
            </w14:solidFill>
          </w14:textFill>
        </w:rPr>
        <w:t>重庆市南岸城市更新建设发展有限公司</w:t>
      </w:r>
    </w:p>
    <w:p>
      <w:pPr>
        <w:spacing w:line="520" w:lineRule="exact"/>
        <w:ind w:firstLine="1205" w:firstLineChars="400"/>
        <w:outlineLvl w:val="0"/>
        <w:rPr>
          <w:rFonts w:ascii="宋体" w:hAnsi="宋体" w:cs="宋体"/>
          <w:b/>
          <w:color w:val="000000" w:themeColor="text1"/>
          <w:sz w:val="30"/>
          <w:szCs w:val="30"/>
          <w:highlight w:val="none"/>
          <w14:textFill>
            <w14:solidFill>
              <w14:schemeClr w14:val="tx1"/>
            </w14:solidFill>
          </w14:textFill>
        </w:rPr>
      </w:pPr>
    </w:p>
    <w:p>
      <w:pPr>
        <w:spacing w:line="520" w:lineRule="exact"/>
        <w:ind w:firstLine="1205" w:firstLineChars="400"/>
        <w:outlineLvl w:val="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ascii="宋体" w:hAnsi="宋体" w:cs="宋体"/>
          <w:b/>
          <w:color w:val="000000" w:themeColor="text1"/>
          <w:sz w:val="30"/>
          <w:szCs w:val="30"/>
          <w:highlight w:val="none"/>
          <w14:textFill>
            <w14:solidFill>
              <w14:schemeClr w14:val="tx1"/>
            </w14:solidFill>
          </w14:textFill>
        </w:rPr>
        <w:t>重庆昱炀工程咨询有限公司</w:t>
      </w:r>
    </w:p>
    <w:p>
      <w:pPr>
        <w:pStyle w:val="52"/>
        <w:jc w:val="center"/>
        <w:rPr>
          <w:rFonts w:ascii="宋体" w:hAnsi="宋体" w:cs="宋体"/>
          <w:b/>
          <w:color w:val="000000" w:themeColor="text1"/>
          <w:sz w:val="30"/>
          <w:szCs w:val="30"/>
          <w:highlight w:val="none"/>
          <w14:textFill>
            <w14:solidFill>
              <w14:schemeClr w14:val="tx1"/>
            </w14:solidFill>
          </w14:textFill>
        </w:rPr>
      </w:pPr>
    </w:p>
    <w:p>
      <w:pPr>
        <w:pStyle w:val="52"/>
        <w:jc w:val="center"/>
        <w:rPr>
          <w:rFonts w:ascii="宋体" w:hAnsi="宋体" w:cs="宋体"/>
          <w:b/>
          <w:color w:val="000000" w:themeColor="text1"/>
          <w:sz w:val="30"/>
          <w:szCs w:val="30"/>
          <w:highlight w:val="none"/>
          <w14:textFill>
            <w14:solidFill>
              <w14:schemeClr w14:val="tx1"/>
            </w14:solidFill>
          </w14:textFill>
        </w:rPr>
      </w:pPr>
    </w:p>
    <w:p>
      <w:pPr>
        <w:pStyle w:val="52"/>
        <w:jc w:val="center"/>
        <w:rPr>
          <w:rFonts w:ascii="宋体" w:hAnsi="宋体" w:cs="宋体"/>
          <w:b/>
          <w:color w:val="000000" w:themeColor="text1"/>
          <w:sz w:val="30"/>
          <w:szCs w:val="30"/>
          <w:highlight w:val="none"/>
          <w14:textFill>
            <w14:solidFill>
              <w14:schemeClr w14:val="tx1"/>
            </w14:solidFill>
          </w14:textFill>
        </w:rPr>
      </w:pPr>
    </w:p>
    <w:p>
      <w:pPr>
        <w:autoSpaceDE w:val="0"/>
        <w:autoSpaceDN w:val="0"/>
        <w:adjustRightInd w:val="0"/>
        <w:snapToGrid w:val="0"/>
        <w:spacing w:line="360" w:lineRule="auto"/>
        <w:jc w:val="center"/>
        <w:outlineLvl w:val="0"/>
        <w:rPr>
          <w:rFonts w:ascii="宋体" w:hAnsi="宋体"/>
          <w:b/>
          <w:color w:val="000000" w:themeColor="text1"/>
          <w:spacing w:val="8"/>
          <w:kern w:val="0"/>
          <w:sz w:val="28"/>
          <w:szCs w:val="28"/>
          <w:highlight w:val="none"/>
          <w14:textFill>
            <w14:solidFill>
              <w14:schemeClr w14:val="tx1"/>
            </w14:solidFill>
          </w14:textFill>
        </w:rPr>
      </w:pPr>
      <w:r>
        <w:rPr>
          <w:rFonts w:hint="eastAsia" w:ascii="宋体" w:hAnsi="宋体"/>
          <w:b/>
          <w:color w:val="000000" w:themeColor="text1"/>
          <w:spacing w:val="8"/>
          <w:kern w:val="0"/>
          <w:sz w:val="28"/>
          <w:szCs w:val="28"/>
          <w:highlight w:val="none"/>
          <w14:textFill>
            <w14:solidFill>
              <w14:schemeClr w14:val="tx1"/>
            </w14:solidFill>
          </w14:textFill>
        </w:rPr>
        <w:t>202</w:t>
      </w:r>
      <w:r>
        <w:rPr>
          <w:rFonts w:hint="eastAsia" w:ascii="宋体" w:hAnsi="宋体"/>
          <w:b/>
          <w:color w:val="000000" w:themeColor="text1"/>
          <w:spacing w:val="8"/>
          <w:kern w:val="0"/>
          <w:sz w:val="28"/>
          <w:szCs w:val="28"/>
          <w:highlight w:val="none"/>
          <w:lang w:val="en-US" w:eastAsia="zh-CN"/>
          <w14:textFill>
            <w14:solidFill>
              <w14:schemeClr w14:val="tx1"/>
            </w14:solidFill>
          </w14:textFill>
        </w:rPr>
        <w:t>5</w:t>
      </w:r>
      <w:r>
        <w:rPr>
          <w:rFonts w:ascii="宋体" w:hAnsi="宋体"/>
          <w:b/>
          <w:color w:val="000000" w:themeColor="text1"/>
          <w:spacing w:val="8"/>
          <w:kern w:val="0"/>
          <w:sz w:val="28"/>
          <w:szCs w:val="28"/>
          <w:highlight w:val="none"/>
          <w14:textFill>
            <w14:solidFill>
              <w14:schemeClr w14:val="tx1"/>
            </w14:solidFill>
          </w14:textFill>
        </w:rPr>
        <w:t>年</w:t>
      </w:r>
      <w:r>
        <w:rPr>
          <w:rFonts w:hint="eastAsia" w:ascii="宋体" w:hAnsi="宋体"/>
          <w:b/>
          <w:color w:val="000000" w:themeColor="text1"/>
          <w:spacing w:val="8"/>
          <w:kern w:val="0"/>
          <w:sz w:val="28"/>
          <w:szCs w:val="28"/>
          <w:highlight w:val="none"/>
          <w:lang w:val="en-US" w:eastAsia="zh-CN"/>
          <w14:textFill>
            <w14:solidFill>
              <w14:schemeClr w14:val="tx1"/>
            </w14:solidFill>
          </w14:textFill>
        </w:rPr>
        <w:t>6</w:t>
      </w:r>
      <w:r>
        <w:rPr>
          <w:rFonts w:ascii="宋体" w:hAnsi="宋体"/>
          <w:b/>
          <w:color w:val="000000" w:themeColor="text1"/>
          <w:spacing w:val="8"/>
          <w:kern w:val="0"/>
          <w:sz w:val="28"/>
          <w:szCs w:val="28"/>
          <w:highlight w:val="none"/>
          <w14:textFill>
            <w14:solidFill>
              <w14:schemeClr w14:val="tx1"/>
            </w14:solidFill>
          </w14:textFill>
        </w:rPr>
        <w:t>月</w:t>
      </w:r>
    </w:p>
    <w:p>
      <w:pPr>
        <w:rPr>
          <w:rFonts w:ascii="宋体" w:hAnsi="宋体"/>
          <w:b/>
          <w:color w:val="000000" w:themeColor="text1"/>
          <w:spacing w:val="8"/>
          <w:kern w:val="0"/>
          <w:sz w:val="28"/>
          <w:szCs w:val="28"/>
          <w:highlight w:val="none"/>
          <w14:textFill>
            <w14:solidFill>
              <w14:schemeClr w14:val="tx1"/>
            </w14:solidFill>
          </w14:textFill>
        </w:rPr>
      </w:pPr>
    </w:p>
    <w:p>
      <w:pPr>
        <w:pStyle w:val="4"/>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pPr>
            <w:jc w:val="center"/>
            <w:rPr>
              <w:rFonts w:ascii="宋体" w:hAnsi="宋体"/>
              <w:color w:val="000000" w:themeColor="text1"/>
              <w:highlight w:val="none"/>
              <w14:textFill>
                <w14:solidFill>
                  <w14:schemeClr w14:val="tx1"/>
                </w14:solidFill>
              </w14:textFill>
            </w:rPr>
          </w:pPr>
          <w:bookmarkStart w:id="4" w:name="_Toc8580"/>
          <w:bookmarkStart w:id="5" w:name="_Toc509218691"/>
          <w:bookmarkStart w:id="6" w:name="_Toc430530415"/>
          <w:bookmarkStart w:id="7" w:name="_Toc2534"/>
          <w:bookmarkStart w:id="8" w:name="_Toc287607727"/>
          <w:bookmarkStart w:id="9" w:name="_Toc287620666"/>
          <w:bookmarkStart w:id="10" w:name="_Toc277082535"/>
          <w:bookmarkStart w:id="11" w:name="_Toc224103298"/>
        </w:p>
      </w:sdtContent>
    </w:sdt>
    <w:p>
      <w:pPr>
        <w:spacing w:line="360" w:lineRule="auto"/>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pStyle w:val="8"/>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pStyle w:val="8"/>
        <w:rPr>
          <w:rFonts w:ascii="宋体" w:hAnsi="宋体" w:cs="宋体"/>
          <w:snapToGrid w:val="0"/>
          <w:color w:val="000000" w:themeColor="text1"/>
          <w:kern w:val="0"/>
          <w:sz w:val="15"/>
          <w:szCs w:val="15"/>
          <w:highlight w:val="none"/>
          <w14:textFill>
            <w14:solidFill>
              <w14:schemeClr w14:val="tx1"/>
            </w14:solidFill>
          </w14:textFill>
        </w:rPr>
      </w:pPr>
    </w:p>
    <w:p>
      <w:pPr>
        <w:rPr>
          <w:rFonts w:ascii="宋体" w:hAnsi="宋体" w:cs="宋体"/>
          <w:snapToGrid w:val="0"/>
          <w:color w:val="000000" w:themeColor="text1"/>
          <w:kern w:val="0"/>
          <w:sz w:val="15"/>
          <w:szCs w:val="15"/>
          <w:highlight w:val="none"/>
          <w14:textFill>
            <w14:solidFill>
              <w14:schemeClr w14:val="tx1"/>
            </w14:solidFill>
          </w14:textFill>
        </w:rPr>
      </w:pPr>
    </w:p>
    <w:p>
      <w:pPr>
        <w:widowControl/>
        <w:jc w:val="left"/>
        <w:rPr>
          <w:rFonts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pPr>
        <w:pStyle w:val="2"/>
        <w:spacing w:before="0" w:after="0" w:line="36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4"/>
      <w:bookmarkEnd w:id="5"/>
      <w:bookmarkEnd w:id="6"/>
      <w:bookmarkEnd w:id="7"/>
      <w:bookmarkEnd w:id="8"/>
      <w:bookmarkEnd w:id="9"/>
      <w:bookmarkEnd w:id="10"/>
      <w:bookmarkEnd w:id="11"/>
    </w:p>
    <w:p>
      <w:pPr>
        <w:spacing w:before="100" w:after="100" w:line="400" w:lineRule="exact"/>
        <w:jc w:val="center"/>
        <w:rPr>
          <w:rFonts w:ascii="宋体" w:hAnsi="宋体"/>
          <w:b/>
          <w:color w:val="000000" w:themeColor="text1"/>
          <w:kern w:val="0"/>
          <w:sz w:val="32"/>
          <w:szCs w:val="32"/>
          <w:highlight w:val="none"/>
          <w14:textFill>
            <w14:solidFill>
              <w14:schemeClr w14:val="tx1"/>
            </w14:solidFill>
          </w14:textFill>
        </w:rPr>
      </w:pPr>
      <w:bookmarkStart w:id="12" w:name="_Toc13786"/>
      <w:bookmarkStart w:id="13" w:name="_Toc7072"/>
      <w:bookmarkStart w:id="14" w:name="_Toc31381"/>
      <w:bookmarkStart w:id="15" w:name="OLE_LINK2"/>
      <w:r>
        <w:rPr>
          <w:rFonts w:hint="eastAsia" w:ascii="宋体" w:hAnsi="宋体"/>
          <w:b/>
          <w:color w:val="000000" w:themeColor="text1"/>
          <w:kern w:val="0"/>
          <w:sz w:val="32"/>
          <w:szCs w:val="32"/>
          <w:highlight w:val="none"/>
          <w:lang w:eastAsia="zh-CN"/>
          <w14:textFill>
            <w14:solidFill>
              <w14:schemeClr w14:val="tx1"/>
            </w14:solidFill>
          </w14:textFill>
        </w:rPr>
        <w:t>南岸区南坪片区、弹子石片区瓶改管燃气管道及设施建设预算审核项目</w:t>
      </w:r>
      <w:r>
        <w:rPr>
          <w:rFonts w:hint="eastAsia" w:ascii="宋体" w:hAnsi="宋体"/>
          <w:b/>
          <w:color w:val="000000" w:themeColor="text1"/>
          <w:kern w:val="0"/>
          <w:sz w:val="32"/>
          <w:szCs w:val="32"/>
          <w:highlight w:val="none"/>
          <w14:textFill>
            <w14:solidFill>
              <w14:schemeClr w14:val="tx1"/>
            </w14:solidFill>
          </w14:textFill>
        </w:rPr>
        <w:t>比选公告</w:t>
      </w:r>
    </w:p>
    <w:p>
      <w:pPr>
        <w:spacing w:before="100" w:after="100" w:line="400" w:lineRule="exact"/>
        <w:ind w:firstLine="422" w:firstLineChars="200"/>
        <w:rPr>
          <w:rFonts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2"/>
      <w:bookmarkEnd w:id="13"/>
      <w:bookmarkEnd w:id="1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lang w:val="zh-TW" w:eastAsia="zh-TW"/>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本项目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w:t>
      </w:r>
      <w:r>
        <w:rPr>
          <w:rFonts w:hint="eastAsia" w:ascii="宋体" w:hAnsi="宋体"/>
          <w:snapToGrid w:val="0"/>
          <w:color w:val="000000" w:themeColor="text1"/>
          <w:kern w:val="0"/>
          <w:szCs w:val="21"/>
          <w:highlight w:val="none"/>
          <w:u w:val="single"/>
          <w14:textFill>
            <w14:solidFill>
              <w14:schemeClr w14:val="tx1"/>
            </w14:solidFill>
          </w14:textFill>
        </w:rPr>
        <w:t>已</w:t>
      </w:r>
      <w:r>
        <w:rPr>
          <w:rFonts w:hint="eastAsia" w:ascii="宋体" w:hAnsi="宋体"/>
          <w:snapToGrid w:val="0"/>
          <w:color w:val="000000" w:themeColor="text1"/>
          <w:kern w:val="0"/>
          <w:szCs w:val="21"/>
          <w:highlight w:val="none"/>
          <w14:textFill>
            <w14:solidFill>
              <w14:schemeClr w14:val="tx1"/>
            </w14:solidFill>
          </w14:textFill>
        </w:rPr>
        <w:t>批准建设，项目业主为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hint="eastAsia"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国有资金</w:t>
      </w:r>
      <w:r>
        <w:rPr>
          <w:rFonts w:hint="eastAsia" w:ascii="宋体" w:hAnsi="宋体"/>
          <w:snapToGrid w:val="0"/>
          <w:color w:val="000000" w:themeColor="text1"/>
          <w:kern w:val="0"/>
          <w:szCs w:val="21"/>
          <w:highlight w:val="none"/>
          <w14:textFill>
            <w14:solidFill>
              <w14:schemeClr w14:val="tx1"/>
            </w14:solidFill>
          </w14:textFill>
        </w:rPr>
        <w:t>，项目出资比例为100%，比选人为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hint="eastAsia" w:ascii="宋体" w:hAnsi="宋体"/>
          <w:snapToGrid w:val="0"/>
          <w:color w:val="000000" w:themeColor="text1"/>
          <w:kern w:val="0"/>
          <w:szCs w:val="21"/>
          <w:highlight w:val="none"/>
          <w14:textFill>
            <w14:solidFill>
              <w14:schemeClr w14:val="tx1"/>
            </w14:solidFill>
          </w14:textFill>
        </w:rPr>
        <w:t>。现对该项目的</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预算审核  </w:t>
      </w:r>
      <w:r>
        <w:rPr>
          <w:rFonts w:hint="eastAsia" w:ascii="宋体" w:hAnsi="宋体"/>
          <w:snapToGrid w:val="0"/>
          <w:color w:val="000000" w:themeColor="text1"/>
          <w:kern w:val="0"/>
          <w:szCs w:val="21"/>
          <w:highlight w:val="none"/>
          <w:u w:val="single"/>
          <w:lang w:eastAsia="zh-CN"/>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进行公开竞争性比选，欢迎各潜在竞选人参与竞选。</w:t>
      </w:r>
    </w:p>
    <w:p>
      <w:pPr>
        <w:spacing w:before="100" w:after="100" w:line="400" w:lineRule="exact"/>
        <w:ind w:firstLine="422" w:firstLineChars="200"/>
        <w:rPr>
          <w:rFonts w:ascii="宋体" w:hAnsi="宋体" w:cs="宋体"/>
          <w:b/>
          <w:bCs/>
          <w:snapToGrid w:val="0"/>
          <w:color w:val="000000" w:themeColor="text1"/>
          <w:szCs w:val="21"/>
          <w:highlight w:val="none"/>
          <w14:textFill>
            <w14:solidFill>
              <w14:schemeClr w14:val="tx1"/>
            </w14:solidFill>
          </w14:textFill>
        </w:rPr>
      </w:pPr>
      <w:bookmarkStart w:id="16" w:name="_Toc30487"/>
      <w:bookmarkStart w:id="17" w:name="_Toc13219"/>
      <w:bookmarkStart w:id="18" w:name="_Toc17229"/>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pPr>
        <w:spacing w:line="4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cs="宋体"/>
          <w:color w:val="000000" w:themeColor="text1"/>
          <w:szCs w:val="21"/>
          <w:highlight w:val="none"/>
          <w:u w:val="single"/>
          <w14:textFill>
            <w14:solidFill>
              <w14:schemeClr w14:val="tx1"/>
            </w14:solidFill>
          </w14:textFill>
        </w:rPr>
        <w:t>重庆市南岸区</w:t>
      </w:r>
      <w:r>
        <w:rPr>
          <w:rFonts w:hint="eastAsia" w:ascii="宋体" w:hAnsi="宋体"/>
          <w:color w:val="000000" w:themeColor="text1"/>
          <w:highlight w:val="none"/>
          <w:u w:val="single"/>
          <w14:textFill>
            <w14:solidFill>
              <w14:schemeClr w14:val="tx1"/>
            </w14:solidFill>
          </w14:textFill>
        </w:rPr>
        <w:t>。</w:t>
      </w:r>
    </w:p>
    <w:p>
      <w:pPr>
        <w:spacing w:line="460" w:lineRule="exact"/>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2.2 项目概况与建设规模：“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p>
      <w:pPr>
        <w:spacing w:line="460" w:lineRule="exact"/>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2.3建安工程费与合同估算金额：本项目估算总投资为</w:t>
      </w:r>
      <w:r>
        <w:rPr>
          <w:rFonts w:hint="eastAsia" w:ascii="宋体" w:hAnsi="宋体" w:eastAsia="宋体" w:cs="Times New Roman"/>
          <w:color w:val="000000" w:themeColor="text1"/>
          <w:highlight w:val="none"/>
          <w14:textFill>
            <w14:solidFill>
              <w14:schemeClr w14:val="tx1"/>
            </w14:solidFill>
          </w14:textFill>
        </w:rPr>
        <w:t>6096.54万元。</w:t>
      </w:r>
    </w:p>
    <w:bookmarkEnd w:id="16"/>
    <w:bookmarkEnd w:id="17"/>
    <w:bookmarkEnd w:id="18"/>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olor w:val="000000" w:themeColor="text1"/>
          <w:szCs w:val="21"/>
          <w:highlight w:val="none"/>
          <w:u w:val="single"/>
          <w14:textFill>
            <w14:solidFill>
              <w14:schemeClr w14:val="tx1"/>
            </w14:solidFill>
          </w14:textFill>
        </w:rPr>
      </w:pPr>
      <w:bookmarkStart w:id="19" w:name="_Toc3686"/>
      <w:bookmarkStart w:id="20" w:name="_Toc6792"/>
      <w:bookmarkStart w:id="21" w:name="_Toc4964"/>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w:t>
      </w:r>
      <w:r>
        <w:rPr>
          <w:rFonts w:hint="eastAsia" w:ascii="宋体" w:hAnsi="宋体"/>
          <w:color w:val="000000" w:themeColor="text1"/>
          <w:szCs w:val="21"/>
          <w:highlight w:val="none"/>
          <w:u w:val="single"/>
          <w:lang w:val="en-US" w:eastAsia="zh-CN"/>
          <w14:textFill>
            <w14:solidFill>
              <w14:schemeClr w14:val="tx1"/>
            </w14:solidFill>
          </w14:textFill>
        </w:rPr>
        <w:t>工程预算审核，并</w:t>
      </w:r>
      <w:r>
        <w:rPr>
          <w:rFonts w:hint="eastAsia" w:ascii="宋体" w:hAnsi="宋体"/>
          <w:snapToGrid w:val="0"/>
          <w:color w:val="000000" w:themeColor="text1"/>
          <w:kern w:val="0"/>
          <w:szCs w:val="21"/>
          <w:highlight w:val="none"/>
          <w:u w:val="single"/>
          <w14:textFill>
            <w14:solidFill>
              <w14:schemeClr w14:val="tx1"/>
            </w14:solidFill>
          </w14:textFill>
        </w:rPr>
        <w:t>出具项目预算审核报告。</w:t>
      </w:r>
      <w:r>
        <w:rPr>
          <w:rFonts w:hint="eastAsia" w:ascii="宋体" w:hAnsi="宋体"/>
          <w:color w:val="000000" w:themeColor="text1"/>
          <w:szCs w:val="21"/>
          <w:highlight w:val="none"/>
          <w:u w:val="single"/>
          <w14:textFill>
            <w14:solidFill>
              <w14:schemeClr w14:val="tx1"/>
            </w14:solidFill>
          </w14:textFill>
        </w:rPr>
        <w:t>详见合同约定。</w:t>
      </w:r>
    </w:p>
    <w:p>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eastAsia="宋体" w:cs="Times New Roman"/>
          <w:b/>
          <w:bCs/>
          <w:color w:val="000000" w:themeColor="text1"/>
          <w:szCs w:val="21"/>
          <w:highlight w:val="none"/>
          <w:u w:val="none"/>
          <w14:textFill>
            <w14:solidFill>
              <w14:schemeClr w14:val="tx1"/>
            </w14:solidFill>
          </w14:textFill>
        </w:rPr>
      </w:pP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注：</w:t>
      </w:r>
      <w:r>
        <w:rPr>
          <w:rFonts w:hint="default" w:ascii="宋体" w:hAnsi="宋体" w:eastAsia="宋体" w:cs="Times New Roman"/>
          <w:b/>
          <w:bCs/>
          <w:color w:val="000000" w:themeColor="text1"/>
          <w:szCs w:val="21"/>
          <w:highlight w:val="none"/>
          <w:u w:val="none"/>
          <w14:textFill>
            <w14:solidFill>
              <w14:schemeClr w14:val="tx1"/>
            </w14:solidFill>
          </w14:textFill>
        </w:rPr>
        <w:t>本项目</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范围、实施内容及招标金额均为初步估算，最终以</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人在项目实施中确认的实施范围和内容为准。本工程项目如遇政策调整或</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人根据项目进展需要及实际情况等因素，</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人有权减少或调整工程实施范围及工程量等，最终实施范围及工程量，以工程实施中</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人确认的工程实施范围及工程量为准，</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比选</w:t>
      </w:r>
      <w:r>
        <w:rPr>
          <w:rFonts w:hint="default" w:ascii="宋体" w:hAnsi="宋体" w:eastAsia="宋体" w:cs="Times New Roman"/>
          <w:b/>
          <w:bCs/>
          <w:color w:val="000000" w:themeColor="text1"/>
          <w:szCs w:val="21"/>
          <w:highlight w:val="none"/>
          <w:u w:val="none"/>
          <w14:textFill>
            <w14:solidFill>
              <w14:schemeClr w14:val="tx1"/>
            </w14:solidFill>
          </w14:textFill>
        </w:rPr>
        <w:t>人与</w:t>
      </w:r>
      <w:r>
        <w:rPr>
          <w:rFonts w:hint="eastAsia" w:ascii="宋体" w:hAnsi="宋体" w:eastAsia="宋体" w:cs="Times New Roman"/>
          <w:b/>
          <w:bCs/>
          <w:color w:val="000000" w:themeColor="text1"/>
          <w:szCs w:val="21"/>
          <w:highlight w:val="none"/>
          <w:u w:val="none"/>
          <w:lang w:val="en-US" w:eastAsia="zh-CN"/>
          <w14:textFill>
            <w14:solidFill>
              <w14:schemeClr w14:val="tx1"/>
            </w14:solidFill>
          </w14:textFill>
        </w:rPr>
        <w:t>中选</w:t>
      </w:r>
      <w:r>
        <w:rPr>
          <w:rFonts w:hint="default" w:ascii="宋体" w:hAnsi="宋体" w:eastAsia="宋体" w:cs="Times New Roman"/>
          <w:b/>
          <w:bCs/>
          <w:color w:val="000000" w:themeColor="text1"/>
          <w:szCs w:val="21"/>
          <w:highlight w:val="none"/>
          <w:u w:val="none"/>
          <w14:textFill>
            <w14:solidFill>
              <w14:schemeClr w14:val="tx1"/>
            </w14:solidFill>
          </w14:textFill>
        </w:rPr>
        <w:t>人按照合同约定的计量计价原则进行支付和结算，承包人对此不持异议且不得提出任何费用索赔。承包人将该因素综合考虑在投标报价中。</w:t>
      </w:r>
    </w:p>
    <w:p>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color w:val="000000" w:themeColor="text1"/>
          <w:szCs w:val="21"/>
          <w:highlight w:val="none"/>
          <w:u w:val="single"/>
          <w:lang w:val="en-US" w:eastAsia="zh-CN"/>
          <w14:textFill>
            <w14:solidFill>
              <w14:schemeClr w14:val="tx1"/>
            </w14:solidFill>
          </w14:textFill>
        </w:rPr>
        <w:t>按比选人的时间节点要求</w:t>
      </w:r>
      <w:r>
        <w:rPr>
          <w:rFonts w:hint="eastAsia" w:ascii="宋体" w:hAnsi="宋体"/>
          <w:snapToGrid w:val="0"/>
          <w:color w:val="000000" w:themeColor="text1"/>
          <w:kern w:val="0"/>
          <w:szCs w:val="21"/>
          <w:highlight w:val="none"/>
          <w:u w:val="single"/>
          <w14:textFill>
            <w14:solidFill>
              <w14:schemeClr w14:val="tx1"/>
            </w14:solidFill>
          </w14:textFill>
        </w:rPr>
        <w:t>出具项目预算审核报告</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2" w:firstLineChars="200"/>
        <w:jc w:val="left"/>
        <w:rPr>
          <w:rFonts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9"/>
      <w:bookmarkEnd w:id="20"/>
      <w:bookmarkEnd w:id="21"/>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bookmarkStart w:id="22" w:name="_Toc29881"/>
      <w:bookmarkStart w:id="23" w:name="_Toc22348"/>
      <w:bookmarkStart w:id="24" w:name="_Toc26534"/>
      <w:r>
        <w:rPr>
          <w:rFonts w:hint="eastAsia" w:ascii="宋体" w:hAnsi="宋体" w:cs="宋体"/>
          <w:color w:val="000000" w:themeColor="text1"/>
          <w:szCs w:val="21"/>
          <w:highlight w:val="none"/>
          <w14:textFill>
            <w14:solidFill>
              <w14:schemeClr w14:val="tx1"/>
            </w14:solidFill>
          </w14:textFill>
        </w:rPr>
        <w:t>3.1 本次招标要求竞选人须具备以下条件：</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pPr>
        <w:widowControl/>
        <w:tabs>
          <w:tab w:val="center" w:pos="4620"/>
          <w:tab w:val="left" w:pos="8370"/>
        </w:tabs>
        <w:spacing w:line="360" w:lineRule="auto"/>
        <w:ind w:left="53" w:leftChars="25"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竞选人还应在人员、设备、资金等方面具有相应的能力，详见比选文件第二章竞选人须知前附表第1.4.1项内容。</w:t>
      </w:r>
    </w:p>
    <w:p>
      <w:pPr>
        <w:tabs>
          <w:tab w:val="left" w:pos="3045"/>
          <w:tab w:val="left" w:pos="8310"/>
        </w:tabs>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pPr>
        <w:pStyle w:val="25"/>
        <w:widowControl/>
        <w:snapToGrid w:val="0"/>
        <w:spacing w:beforeAutospacing="0" w:afterAutospacing="0" w:line="420" w:lineRule="exact"/>
        <w:ind w:firstLine="442" w:firstLineChars="200"/>
        <w:rPr>
          <w:rFonts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4.1.竞标人在竞标前可在行采家（https://www.gec123.com/）下载招标文件、工程量清单、电子图纸等资料。</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4.2报名和比选文件发售期：</w:t>
      </w:r>
      <w:bookmarkStart w:id="25" w:name="OLE_LINK7"/>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日</w:t>
      </w:r>
      <w:bookmarkEnd w:id="25"/>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11</w:t>
      </w:r>
      <w:r>
        <w:rPr>
          <w:rFonts w:hint="eastAsia" w:ascii="宋体" w:hAnsi="宋体"/>
          <w:snapToGrid w:val="0"/>
          <w:color w:val="000000" w:themeColor="text1"/>
          <w:kern w:val="0"/>
          <w:highlight w:val="none"/>
          <w14:textFill>
            <w14:solidFill>
              <w14:schemeClr w14:val="tx1"/>
            </w14:solidFill>
          </w14:textFill>
        </w:rPr>
        <w:t>日（工作时间）</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4.3.竞争性比选文件发售期内，竞标人可选择以下两种方式报名并获取比选文件：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4.3.1现场报名</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在竞争性比选文件发售期内，供应商须《比选文件发售登记表》（加盖竞标人公章）到</w:t>
      </w:r>
      <w:r>
        <w:rPr>
          <w:rFonts w:ascii="宋体" w:hAnsi="宋体"/>
          <w:snapToGrid w:val="0"/>
          <w:color w:val="000000" w:themeColor="text1"/>
          <w:kern w:val="0"/>
          <w:highlight w:val="none"/>
          <w14:textFill>
            <w14:solidFill>
              <w14:schemeClr w14:val="tx1"/>
            </w14:solidFill>
          </w14:textFill>
        </w:rPr>
        <w:t>重庆昱炀工程咨询有限公司</w:t>
      </w:r>
      <w:r>
        <w:rPr>
          <w:rFonts w:hint="eastAsia" w:ascii="宋体" w:hAnsi="宋体"/>
          <w:snapToGrid w:val="0"/>
          <w:color w:val="000000" w:themeColor="text1"/>
          <w:kern w:val="0"/>
          <w:highlight w:val="none"/>
          <w14:textFill>
            <w14:solidFill>
              <w14:schemeClr w14:val="tx1"/>
            </w14:solidFill>
          </w14:textFill>
        </w:rPr>
        <w:t>（</w:t>
      </w:r>
      <w:r>
        <w:rPr>
          <w:rFonts w:ascii="宋体" w:hAnsi="宋体"/>
          <w:snapToGrid w:val="0"/>
          <w:color w:val="000000" w:themeColor="text1"/>
          <w:kern w:val="0"/>
          <w:highlight w:val="none"/>
          <w14:textFill>
            <w14:solidFill>
              <w14:schemeClr w14:val="tx1"/>
            </w14:solidFill>
          </w14:textFill>
        </w:rPr>
        <w:t>重庆市</w:t>
      </w:r>
      <w:r>
        <w:rPr>
          <w:rFonts w:hint="eastAsia" w:ascii="宋体" w:hAnsi="宋体"/>
          <w:snapToGrid w:val="0"/>
          <w:color w:val="000000" w:themeColor="text1"/>
          <w:kern w:val="0"/>
          <w:highlight w:val="none"/>
          <w14:textFill>
            <w14:solidFill>
              <w14:schemeClr w14:val="tx1"/>
            </w14:solidFill>
          </w14:textFill>
        </w:rPr>
        <w:t>南岸区同景国际城U组团2栋18楼）报名并购买比选文件。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4.3.2非现场报名</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在竞争性比选文件发售期内，竞标人将比选文件购买费用汇至以下账户内进行购买。通过汇款方式购买比选文件的，将比选文件费汇款凭证（注明项目名称）、《比选文件发售登记表》（加盖竞标人公章）扫描后发送至250634682@qq.com（邮箱）进行报名并购买比选文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户名：</w:t>
      </w:r>
      <w:r>
        <w:rPr>
          <w:rFonts w:ascii="宋体" w:hAnsi="宋体"/>
          <w:snapToGrid w:val="0"/>
          <w:color w:val="000000" w:themeColor="text1"/>
          <w:kern w:val="0"/>
          <w:highlight w:val="none"/>
          <w14:textFill>
            <w14:solidFill>
              <w14:schemeClr w14:val="tx1"/>
            </w14:solidFill>
          </w14:textFill>
        </w:rPr>
        <w:t>重庆昱炀工程咨询有限公司</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开户行：</w:t>
      </w:r>
      <w:r>
        <w:rPr>
          <w:rFonts w:ascii="宋体" w:hAnsi="宋体"/>
          <w:snapToGrid w:val="0"/>
          <w:color w:val="000000" w:themeColor="text1"/>
          <w:kern w:val="0"/>
          <w:highlight w:val="none"/>
          <w14:textFill>
            <w14:solidFill>
              <w14:schemeClr w14:val="tx1"/>
            </w14:solidFill>
          </w14:textFill>
        </w:rPr>
        <w:t>中国民生银行重庆龙湖支行</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账号：</w:t>
      </w:r>
      <w:r>
        <w:rPr>
          <w:rFonts w:ascii="宋体" w:hAnsi="宋体"/>
          <w:snapToGrid w:val="0"/>
          <w:color w:val="000000" w:themeColor="text1"/>
          <w:kern w:val="0"/>
          <w:highlight w:val="none"/>
          <w14:textFill>
            <w14:solidFill>
              <w14:schemeClr w14:val="tx1"/>
            </w14:solidFill>
          </w14:textFill>
        </w:rPr>
        <w:t>160612349</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注：在竞争性比选文件发售期限内报名的供应商，其递交响应文件时才能被接收。</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4.4.竞争性比选文件售价：人民币500元/份。</w:t>
      </w:r>
    </w:p>
    <w:p>
      <w:pPr>
        <w:pStyle w:val="25"/>
        <w:widowControl/>
        <w:snapToGrid w:val="0"/>
        <w:spacing w:beforeAutospacing="0" w:afterAutospacing="0" w:line="420" w:lineRule="exact"/>
        <w:ind w:firstLine="442" w:firstLineChars="200"/>
        <w:jc w:val="both"/>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递交的截止时间（</w:t>
      </w:r>
      <w:r>
        <w:rPr>
          <w:rFonts w:hint="eastAsia" w:ascii="宋体" w:hAnsi="宋体"/>
          <w:snapToGrid w:val="0"/>
          <w:color w:val="000000" w:themeColor="text1"/>
          <w:kern w:val="0"/>
          <w:szCs w:val="21"/>
          <w:highlight w:val="none"/>
          <w14:textFill>
            <w14:solidFill>
              <w14:schemeClr w14:val="tx1"/>
            </w14:solidFill>
          </w14:textFill>
        </w:rPr>
        <w:t>竞选截止时间</w:t>
      </w:r>
      <w:r>
        <w:rPr>
          <w:rFonts w:ascii="宋体" w:hAnsi="宋体"/>
          <w:snapToGrid w:val="0"/>
          <w:color w:val="000000" w:themeColor="text1"/>
          <w:kern w:val="0"/>
          <w:szCs w:val="21"/>
          <w:highlight w:val="none"/>
          <w14:textFill>
            <w14:solidFill>
              <w14:schemeClr w14:val="tx1"/>
            </w14:solidFill>
          </w14:textFill>
        </w:rPr>
        <w:t>，下同）为</w:t>
      </w:r>
      <w:r>
        <w:rPr>
          <w:rFonts w:hint="eastAsia" w:ascii="宋体" w:hAnsi="宋体"/>
          <w:snapToGrid w:val="0"/>
          <w:color w:val="000000" w:themeColor="text1"/>
          <w:kern w:val="0"/>
          <w:highlight w:val="none"/>
          <w14:textFill>
            <w14:solidFill>
              <w14:schemeClr w14:val="tx1"/>
            </w14:solidFill>
          </w14:textFill>
        </w:rPr>
        <w:t>202</w:t>
      </w:r>
      <w:r>
        <w:rPr>
          <w:rFonts w:hint="eastAsia" w:ascii="宋体" w:hAnsi="宋体"/>
          <w:snapToGrid w:val="0"/>
          <w:color w:val="000000" w:themeColor="text1"/>
          <w:kern w:val="0"/>
          <w:highlight w:val="none"/>
          <w:lang w:val="en-US" w:eastAsia="zh-CN"/>
          <w14:textFill>
            <w14:solidFill>
              <w14:schemeClr w14:val="tx1"/>
            </w14:solidFill>
          </w14:textFill>
        </w:rPr>
        <w:t>5</w:t>
      </w:r>
      <w:r>
        <w:rPr>
          <w:rFonts w:hint="eastAsia" w:ascii="宋体" w:hAnsi="宋体"/>
          <w:snapToGrid w:val="0"/>
          <w:color w:val="000000" w:themeColor="text1"/>
          <w:kern w:val="0"/>
          <w:highlight w:val="none"/>
          <w14:textFill>
            <w14:solidFill>
              <w14:schemeClr w14:val="tx1"/>
            </w14:solidFill>
          </w14:textFill>
        </w:rPr>
        <w:t>年</w:t>
      </w:r>
      <w:r>
        <w:rPr>
          <w:rFonts w:hint="eastAsia" w:ascii="宋体" w:hAnsi="宋体"/>
          <w:snapToGrid w:val="0"/>
          <w:color w:val="000000" w:themeColor="text1"/>
          <w:kern w:val="0"/>
          <w:highlight w:val="none"/>
          <w:lang w:val="en-US" w:eastAsia="zh-CN"/>
          <w14:textFill>
            <w14:solidFill>
              <w14:schemeClr w14:val="tx1"/>
            </w14:solidFill>
          </w14:textFill>
        </w:rPr>
        <w:t>6</w:t>
      </w:r>
      <w:r>
        <w:rPr>
          <w:rFonts w:hint="eastAsia" w:ascii="宋体" w:hAnsi="宋体"/>
          <w:snapToGrid w:val="0"/>
          <w:color w:val="000000" w:themeColor="text1"/>
          <w:kern w:val="0"/>
          <w:highlight w:val="none"/>
          <w14:textFill>
            <w14:solidFill>
              <w14:schemeClr w14:val="tx1"/>
            </w14:solidFill>
          </w14:textFill>
        </w:rPr>
        <w:t>月</w:t>
      </w:r>
      <w:r>
        <w:rPr>
          <w:rFonts w:hint="eastAsia" w:ascii="宋体" w:hAnsi="宋体"/>
          <w:snapToGrid w:val="0"/>
          <w:color w:val="000000" w:themeColor="text1"/>
          <w:kern w:val="0"/>
          <w:highlight w:val="none"/>
          <w:lang w:val="en-US" w:eastAsia="zh-CN"/>
          <w14:textFill>
            <w14:solidFill>
              <w14:schemeClr w14:val="tx1"/>
            </w14:solidFill>
          </w14:textFill>
        </w:rPr>
        <w:t>12</w:t>
      </w:r>
      <w:r>
        <w:rPr>
          <w:rFonts w:hint="eastAsia" w:ascii="宋体" w:hAnsi="宋体"/>
          <w:snapToGrid w:val="0"/>
          <w:color w:val="000000" w:themeColor="text1"/>
          <w:kern w:val="0"/>
          <w:highlight w:val="none"/>
          <w14:textFill>
            <w14:solidFill>
              <w14:schemeClr w14:val="tx1"/>
            </w14:solidFill>
          </w14:textFill>
        </w:rPr>
        <w:t>日</w:t>
      </w:r>
      <w:r>
        <w:rPr>
          <w:rFonts w:hint="eastAsia" w:ascii="宋体" w:hAnsi="宋体"/>
          <w:snapToGrid w:val="0"/>
          <w:color w:val="000000" w:themeColor="text1"/>
          <w:kern w:val="0"/>
          <w:highlight w:val="none"/>
          <w:lang w:val="en-US" w:eastAsia="zh-CN"/>
          <w14:textFill>
            <w14:solidFill>
              <w14:schemeClr w14:val="tx1"/>
            </w14:solidFill>
          </w14:textFill>
        </w:rPr>
        <w:t>14</w:t>
      </w:r>
      <w:r>
        <w:rPr>
          <w:rFonts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ascii="宋体" w:hAnsi="宋体"/>
          <w:snapToGrid w:val="0"/>
          <w:color w:val="000000" w:themeColor="text1"/>
          <w:kern w:val="0"/>
          <w:szCs w:val="21"/>
          <w:highlight w:val="none"/>
          <w14:textFill>
            <w14:solidFill>
              <w14:schemeClr w14:val="tx1"/>
            </w14:solidFill>
          </w14:textFill>
        </w:rPr>
        <w:t>分，地点为</w:t>
      </w:r>
      <w:r>
        <w:rPr>
          <w:rFonts w:hint="eastAsia" w:ascii="宋体" w:hAnsi="宋体"/>
          <w:snapToGrid w:val="0"/>
          <w:color w:val="000000" w:themeColor="text1"/>
          <w:kern w:val="0"/>
          <w:szCs w:val="21"/>
          <w:highlight w:val="none"/>
          <w:u w:val="single"/>
          <w14:textFill>
            <w14:solidFill>
              <w14:schemeClr w14:val="tx1"/>
            </w14:solidFill>
          </w14:textFill>
        </w:rPr>
        <w:t>重庆市南岸区行政服务中心B区3号楼</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20</w:t>
      </w:r>
      <w:r>
        <w:rPr>
          <w:rFonts w:hint="eastAsia" w:ascii="宋体" w:hAnsi="宋体"/>
          <w:snapToGrid w:val="0"/>
          <w:color w:val="000000" w:themeColor="text1"/>
          <w:kern w:val="0"/>
          <w:szCs w:val="21"/>
          <w:highlight w:val="none"/>
          <w:u w:val="single"/>
          <w14:textFill>
            <w14:solidFill>
              <w14:schemeClr w14:val="tx1"/>
            </w14:solidFill>
          </w14:textFill>
        </w:rPr>
        <w:t>12室</w:t>
      </w:r>
      <w:r>
        <w:rPr>
          <w:rFonts w:ascii="宋体" w:hAnsi="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42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5.2  逾期送达的或者未送达指定地点的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pPr>
        <w:pStyle w:val="25"/>
        <w:widowControl/>
        <w:snapToGrid w:val="0"/>
        <w:spacing w:beforeAutospacing="0" w:afterAutospacing="0" w:line="420" w:lineRule="exact"/>
        <w:ind w:firstLine="442" w:firstLineChars="200"/>
        <w:jc w:val="both"/>
        <w:rPr>
          <w:rFonts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pPr>
        <w:pStyle w:val="25"/>
        <w:widowControl/>
        <w:snapToGrid w:val="0"/>
        <w:spacing w:beforeAutospacing="0" w:afterAutospacing="0" w:line="420" w:lineRule="exact"/>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本次比选公</w:t>
      </w:r>
      <w:r>
        <w:rPr>
          <w:rFonts w:hint="eastAsia" w:ascii="宋体" w:hAnsi="宋体" w:eastAsia="宋体" w:cs="宋体"/>
          <w:snapToGrid w:val="0"/>
          <w:color w:val="000000" w:themeColor="text1"/>
          <w:sz w:val="21"/>
          <w:szCs w:val="21"/>
          <w:highlight w:val="none"/>
          <w14:textFill>
            <w14:solidFill>
              <w14:schemeClr w14:val="tx1"/>
            </w14:solidFill>
          </w14:textFill>
        </w:rPr>
        <w:t>告在“行采家”网站（https://www.gec123.com/）</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和</w:t>
      </w:r>
      <w:r>
        <w:rPr>
          <w:rFonts w:hint="default" w:ascii="宋体" w:hAnsi="宋体" w:eastAsia="宋体" w:cs="宋体"/>
          <w:snapToGrid w:val="0"/>
          <w:color w:val="000000" w:themeColor="text1"/>
          <w:sz w:val="21"/>
          <w:szCs w:val="21"/>
          <w:highlight w:val="none"/>
          <w14:textFill>
            <w14:solidFill>
              <w14:schemeClr w14:val="tx1"/>
            </w14:solidFill>
          </w14:textFill>
        </w:rPr>
        <w:t>中国招标投标公共服务平台http://www.cebpubservice.com/</w:t>
      </w:r>
      <w:r>
        <w:rPr>
          <w:rFonts w:hint="eastAsia" w:ascii="宋体" w:hAnsi="宋体" w:eastAsia="宋体" w:cs="宋体"/>
          <w:snapToGrid w:val="0"/>
          <w:color w:val="000000" w:themeColor="text1"/>
          <w:sz w:val="21"/>
          <w:szCs w:val="21"/>
          <w:highlight w:val="none"/>
          <w14:textFill>
            <w14:solidFill>
              <w14:schemeClr w14:val="tx1"/>
            </w14:solidFill>
          </w14:textFill>
        </w:rPr>
        <w:t>上发布。</w:t>
      </w:r>
    </w:p>
    <w:p>
      <w:pPr>
        <w:pStyle w:val="25"/>
        <w:widowControl/>
        <w:snapToGrid w:val="0"/>
        <w:spacing w:beforeAutospacing="0" w:afterAutospacing="0" w:line="420" w:lineRule="exact"/>
        <w:ind w:firstLine="442" w:firstLineChars="200"/>
        <w:jc w:val="both"/>
        <w:rPr>
          <w:rFonts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22"/>
    <w:bookmarkEnd w:id="23"/>
    <w:bookmarkEnd w:id="24"/>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w:t>
      </w:r>
      <w:r>
        <w:rPr>
          <w:rFonts w:hint="eastAsia" w:ascii="宋体" w:hAnsi="宋体"/>
          <w:color w:val="000000" w:themeColor="text1"/>
          <w:szCs w:val="21"/>
          <w:highlight w:val="none"/>
          <w:lang w:eastAsia="zh-CN"/>
          <w14:textFill>
            <w14:solidFill>
              <w14:schemeClr w14:val="tx1"/>
            </w14:solidFill>
          </w14:textFill>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w:t>
      </w:r>
      <w:r>
        <w:rPr>
          <w:rFonts w:hint="eastAsia" w:ascii="宋体" w:hAnsi="宋体" w:eastAsia="宋体" w:cs="Times New Roman"/>
          <w:color w:val="000000" w:themeColor="text1"/>
          <w:szCs w:val="21"/>
          <w:highlight w:val="none"/>
          <w14:textFill>
            <w14:solidFill>
              <w14:schemeClr w14:val="tx1"/>
            </w14:solidFill>
          </w14:textFill>
        </w:rPr>
        <w:t>系人：</w:t>
      </w:r>
      <w:r>
        <w:rPr>
          <w:rFonts w:hint="eastAsia" w:ascii="宋体" w:hAnsi="宋体" w:eastAsia="宋体" w:cs="Times New Roman"/>
          <w:color w:val="000000" w:themeColor="text1"/>
          <w:szCs w:val="21"/>
          <w:highlight w:val="none"/>
          <w:lang w:val="en-US" w:eastAsia="zh-CN"/>
          <w14:textFill>
            <w14:solidFill>
              <w14:schemeClr w14:val="tx1"/>
            </w14:solidFill>
          </w14:textFill>
        </w:rPr>
        <w:t>李</w:t>
      </w:r>
      <w:r>
        <w:rPr>
          <w:rFonts w:hint="eastAsia" w:ascii="宋体" w:hAnsi="宋体" w:eastAsia="宋体" w:cs="Times New Roman"/>
          <w:color w:val="000000" w:themeColor="text1"/>
          <w:szCs w:val="21"/>
          <w:highlight w:val="none"/>
          <w14:textFill>
            <w14:solidFill>
              <w14:schemeClr w14:val="tx1"/>
            </w14:solidFill>
          </w14:textFill>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话：023-62905607</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  话：13212397888</w:t>
      </w:r>
      <w:bookmarkEnd w:id="15"/>
      <w:bookmarkStart w:id="26" w:name="_Toc224103315"/>
      <w:bookmarkStart w:id="27" w:name="_Toc30449"/>
      <w:bookmarkStart w:id="28" w:name="_Toc430530432"/>
      <w:bookmarkStart w:id="29" w:name="_Toc287620683"/>
      <w:bookmarkStart w:id="30" w:name="_Toc287607744"/>
      <w:bookmarkStart w:id="31" w:name="_Toc1178"/>
    </w:p>
    <w:p>
      <w:pPr>
        <w:tabs>
          <w:tab w:val="left" w:pos="5140"/>
          <w:tab w:val="left" w:pos="8420"/>
        </w:tabs>
        <w:autoSpaceDE w:val="0"/>
        <w:autoSpaceDN w:val="0"/>
        <w:adjustRightInd w:val="0"/>
        <w:snapToGrid w:val="0"/>
        <w:spacing w:line="420" w:lineRule="exact"/>
        <w:ind w:firstLine="420" w:firstLineChars="200"/>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highlight w:val="none"/>
          <w:u w:val="none"/>
          <w14:textFill>
            <w14:solidFill>
              <w14:schemeClr w14:val="tx1"/>
            </w14:solidFill>
          </w14:textFill>
        </w:rPr>
        <w:t>202</w:t>
      </w:r>
      <w:r>
        <w:rPr>
          <w:rFonts w:hint="eastAsia" w:ascii="宋体" w:hAnsi="宋体"/>
          <w:color w:val="000000" w:themeColor="text1"/>
          <w:kern w:val="0"/>
          <w:highlight w:val="none"/>
          <w:u w:val="none"/>
          <w:lang w:val="en-US" w:eastAsia="zh-CN"/>
          <w14:textFill>
            <w14:solidFill>
              <w14:schemeClr w14:val="tx1"/>
            </w14:solidFill>
          </w14:textFill>
        </w:rPr>
        <w:t>5</w:t>
      </w:r>
      <w:r>
        <w:rPr>
          <w:rFonts w:hint="eastAsia" w:ascii="宋体" w:hAnsi="宋体"/>
          <w:color w:val="000000" w:themeColor="text1"/>
          <w:kern w:val="0"/>
          <w:highlight w:val="none"/>
          <w14:textFill>
            <w14:solidFill>
              <w14:schemeClr w14:val="tx1"/>
            </w14:solidFill>
          </w14:textFill>
        </w:rPr>
        <w:t>年</w:t>
      </w:r>
      <w:r>
        <w:rPr>
          <w:rFonts w:hint="eastAsia" w:ascii="宋体" w:hAnsi="宋体"/>
          <w:color w:val="000000" w:themeColor="text1"/>
          <w:kern w:val="0"/>
          <w:highlight w:val="none"/>
          <w:lang w:val="en-US" w:eastAsia="zh-CN"/>
          <w14:textFill>
            <w14:solidFill>
              <w14:schemeClr w14:val="tx1"/>
            </w14:solidFill>
          </w14:textFill>
        </w:rPr>
        <w:t>6</w:t>
      </w:r>
      <w:r>
        <w:rPr>
          <w:rFonts w:hint="eastAsia" w:ascii="宋体" w:hAnsi="宋体"/>
          <w:color w:val="000000" w:themeColor="text1"/>
          <w:kern w:val="0"/>
          <w:highlight w:val="none"/>
          <w14:textFill>
            <w14:solidFill>
              <w14:schemeClr w14:val="tx1"/>
            </w14:solidFill>
          </w14:textFill>
        </w:rPr>
        <w:t>月</w:t>
      </w:r>
      <w:r>
        <w:rPr>
          <w:rFonts w:hint="eastAsia" w:ascii="宋体" w:hAnsi="宋体"/>
          <w:color w:val="000000" w:themeColor="text1"/>
          <w:kern w:val="0"/>
          <w:highlight w:val="none"/>
          <w:lang w:val="en-US" w:eastAsia="zh-CN"/>
          <w14:textFill>
            <w14:solidFill>
              <w14:schemeClr w14:val="tx1"/>
            </w14:solidFill>
          </w14:textFill>
        </w:rPr>
        <w:t>6</w:t>
      </w:r>
      <w:r>
        <w:rPr>
          <w:rFonts w:hint="eastAsia" w:ascii="宋体" w:hAnsi="宋体"/>
          <w:color w:val="000000" w:themeColor="text1"/>
          <w:kern w:val="0"/>
          <w:highlight w:val="none"/>
          <w14:textFill>
            <w14:solidFill>
              <w14:schemeClr w14:val="tx1"/>
            </w14:solidFill>
          </w14:textFill>
        </w:rPr>
        <w:t>日</w:t>
      </w:r>
      <w:r>
        <w:rPr>
          <w:rFonts w:ascii="宋体" w:hAnsi="宋体" w:cs="宋体"/>
          <w:snapToGrid w:val="0"/>
          <w:color w:val="000000" w:themeColor="text1"/>
          <w:kern w:val="0"/>
          <w:highlight w:val="none"/>
          <w14:textFill>
            <w14:solidFill>
              <w14:schemeClr w14:val="tx1"/>
            </w14:solidFill>
          </w14:textFill>
        </w:rPr>
        <w:br w:type="page"/>
      </w:r>
    </w:p>
    <w:p>
      <w:pPr>
        <w:pStyle w:val="2"/>
        <w:spacing w:before="0" w:after="0" w:line="360" w:lineRule="auto"/>
        <w:jc w:val="center"/>
        <w:rPr>
          <w:rFonts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6"/>
      <w:bookmarkEnd w:id="27"/>
      <w:bookmarkEnd w:id="28"/>
      <w:bookmarkEnd w:id="29"/>
      <w:bookmarkEnd w:id="30"/>
      <w:bookmarkEnd w:id="31"/>
      <w:bookmarkStart w:id="32" w:name="_Toc277082551"/>
      <w:bookmarkStart w:id="33" w:name="_Toc430530433"/>
      <w:bookmarkStart w:id="34" w:name="_Toc224103316"/>
      <w:bookmarkStart w:id="35" w:name="_Toc287607745"/>
      <w:bookmarkStart w:id="36" w:name="_Toc287620684"/>
    </w:p>
    <w:p>
      <w:pPr>
        <w:pStyle w:val="3"/>
        <w:spacing w:before="100" w:after="100" w:line="360" w:lineRule="auto"/>
        <w:rPr>
          <w:rFonts w:ascii="宋体" w:hAnsi="宋体" w:cs="宋体"/>
          <w:color w:val="000000" w:themeColor="text1"/>
          <w:highlight w:val="none"/>
          <w14:textFill>
            <w14:solidFill>
              <w14:schemeClr w14:val="tx1"/>
            </w14:solidFill>
          </w14:textFill>
        </w:rPr>
      </w:pPr>
      <w:bookmarkStart w:id="37" w:name="_Toc509218708"/>
      <w:bookmarkStart w:id="38" w:name="_Toc9850"/>
      <w:bookmarkStart w:id="39" w:name="_Toc15182"/>
      <w:bookmarkStart w:id="40" w:name="_Toc4746"/>
      <w:r>
        <w:rPr>
          <w:rFonts w:hint="eastAsia" w:ascii="宋体" w:hAnsi="宋体" w:cs="宋体"/>
          <w:color w:val="000000" w:themeColor="text1"/>
          <w:highlight w:val="none"/>
          <w14:textFill>
            <w14:solidFill>
              <w14:schemeClr w14:val="tx1"/>
            </w14:solidFill>
          </w14:textFill>
        </w:rPr>
        <w:t>竞选人须知前附表</w:t>
      </w:r>
      <w:bookmarkEnd w:id="32"/>
      <w:bookmarkEnd w:id="33"/>
      <w:bookmarkEnd w:id="34"/>
      <w:bookmarkEnd w:id="35"/>
      <w:bookmarkEnd w:id="36"/>
      <w:bookmarkEnd w:id="37"/>
      <w:bookmarkEnd w:id="38"/>
      <w:bookmarkEnd w:id="39"/>
      <w:bookmarkEnd w:id="40"/>
    </w:p>
    <w:p>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8"/>
        <w:tblW w:w="94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11" w:type="dxa"/>
            <w:vAlign w:val="center"/>
          </w:tcPr>
          <w:p>
            <w:pPr>
              <w:snapToGrid w:val="0"/>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比选人：</w:t>
            </w:r>
            <w:r>
              <w:rPr>
                <w:rFonts w:hint="eastAsia" w:ascii="宋体" w:hAnsi="宋体" w:cs="Times New Roman"/>
                <w:color w:val="000000" w:themeColor="text1"/>
                <w:szCs w:val="21"/>
                <w:highlight w:val="none"/>
                <w:lang w:eastAsia="zh-CN"/>
                <w14:textFill>
                  <w14:solidFill>
                    <w14:schemeClr w14:val="tx1"/>
                  </w14:solidFill>
                </w14:textFill>
              </w:rPr>
              <w:t>重庆市南岸城市更新建设发展有限公司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地址：重庆市南岸区行政中心B区三号楼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eastAsia="宋体" w:cs="Times New Roman"/>
                <w:color w:val="000000" w:themeColor="text1"/>
                <w:szCs w:val="21"/>
                <w:highlight w:val="none"/>
                <w:lang w:val="en-US" w:eastAsia="zh-CN"/>
                <w14:textFill>
                  <w14:solidFill>
                    <w14:schemeClr w14:val="tx1"/>
                  </w14:solidFill>
                </w14:textFill>
              </w:rPr>
              <w:t>李</w:t>
            </w:r>
            <w:r>
              <w:rPr>
                <w:rFonts w:hint="eastAsia" w:ascii="宋体" w:hAnsi="宋体" w:eastAsia="宋体" w:cs="Times New Roman"/>
                <w:color w:val="000000" w:themeColor="text1"/>
                <w:szCs w:val="21"/>
                <w:highlight w:val="none"/>
                <w14:textFill>
                  <w14:solidFill>
                    <w14:schemeClr w14:val="tx1"/>
                  </w14:solidFill>
                </w14:textFill>
              </w:rPr>
              <w:t>老师</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话：023-62905607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比选代理机构：重庆昱炀工程咨询有限公司</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地址：重庆市南岸区同景国际城U组团2栋18楼</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联系人：廖老师  </w:t>
            </w:r>
          </w:p>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  话：13212397888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cs="Times New Roman"/>
                <w:color w:val="000000" w:themeColor="text1"/>
                <w:highlight w:val="none"/>
                <w:lang w:eastAsia="zh-CN"/>
                <w14:textFill>
                  <w14:solidFill>
                    <w14:schemeClr w14:val="tx1"/>
                  </w14:solidFill>
                </w14:textFill>
              </w:rPr>
              <w:t>南岸区南坪片区、弹子石片区瓶改管燃气管道及设施建设预算审核项目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11" w:type="dxa"/>
            <w:vAlign w:val="bottom"/>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重庆市南岸区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“瓶改管”燃气管道及设施建设内容为对燃气管道未覆盖片区的城区居民客户实施“瓶改管”建设，将瓶装液化气改造为管道燃气，补全管网建设空白。计划建设中压埋地管道22.14km、低压埋地管道管道 99.87km、调压箱126台、NB物联网表 2097个、输送用不锈钢波纹软管 50.328km、连接用不锈钢波纹软管 4194根、加装安全报警装置2097户、新建DN15自闭阀2097个、燃气安全数字智能化系统1套。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国有资金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对本工程提供</w:t>
            </w:r>
            <w:r>
              <w:rPr>
                <w:rFonts w:hint="eastAsia" w:ascii="宋体" w:hAnsi="宋体"/>
                <w:color w:val="000000" w:themeColor="text1"/>
                <w:szCs w:val="21"/>
                <w:highlight w:val="none"/>
                <w:u w:val="none"/>
                <w:lang w:val="en-US" w:eastAsia="zh-CN"/>
                <w14:textFill>
                  <w14:solidFill>
                    <w14:schemeClr w14:val="tx1"/>
                  </w14:solidFill>
                </w14:textFill>
              </w:rPr>
              <w:t>工程预算审核，并</w:t>
            </w:r>
            <w:r>
              <w:rPr>
                <w:rFonts w:hint="eastAsia" w:ascii="宋体" w:hAnsi="宋体"/>
                <w:snapToGrid w:val="0"/>
                <w:color w:val="000000" w:themeColor="text1"/>
                <w:kern w:val="0"/>
                <w:szCs w:val="21"/>
                <w:highlight w:val="none"/>
                <w:u w:val="none"/>
                <w14:textFill>
                  <w14:solidFill>
                    <w14:schemeClr w14:val="tx1"/>
                  </w14:solidFill>
                </w14:textFill>
              </w:rPr>
              <w:t>出具项目预算审核报告。</w:t>
            </w:r>
            <w:r>
              <w:rPr>
                <w:rFonts w:hint="eastAsia" w:ascii="宋体" w:hAnsi="宋体"/>
                <w:color w:val="000000" w:themeColor="text1"/>
                <w:szCs w:val="21"/>
                <w:highlight w:val="none"/>
                <w:u w:val="none"/>
                <w14:textFill>
                  <w14:solidFill>
                    <w14:schemeClr w14:val="tx1"/>
                  </w14:solidFill>
                </w14:textFill>
              </w:rPr>
              <w:t>详见合同约定。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11" w:type="dxa"/>
            <w:vAlign w:val="center"/>
          </w:tcPr>
          <w:p>
            <w:pPr>
              <w:tabs>
                <w:tab w:val="left" w:pos="5140"/>
                <w:tab w:val="left" w:pos="8420"/>
              </w:tabs>
              <w:autoSpaceDE w:val="0"/>
              <w:autoSpaceDN w:val="0"/>
              <w:adjustRightInd w:val="0"/>
              <w:snapToGrid w:val="0"/>
              <w:spacing w:line="42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本项目服务周期自合同签订之日开始至工程竣工验收及结算审计完成，</w:t>
            </w:r>
            <w:r>
              <w:rPr>
                <w:rFonts w:hint="eastAsia" w:ascii="宋体" w:hAnsi="宋体"/>
                <w:color w:val="000000" w:themeColor="text1"/>
                <w:szCs w:val="21"/>
                <w:highlight w:val="none"/>
                <w:u w:val="none"/>
                <w:lang w:val="en-US" w:eastAsia="zh-CN"/>
                <w14:textFill>
                  <w14:solidFill>
                    <w14:schemeClr w14:val="tx1"/>
                  </w14:solidFill>
                </w14:textFill>
              </w:rPr>
              <w:t>按比选人的时间节点要求</w:t>
            </w:r>
            <w:r>
              <w:rPr>
                <w:rFonts w:hint="eastAsia" w:ascii="宋体" w:hAnsi="宋体"/>
                <w:snapToGrid w:val="0"/>
                <w:color w:val="000000" w:themeColor="text1"/>
                <w:kern w:val="0"/>
                <w:szCs w:val="21"/>
                <w:highlight w:val="none"/>
                <w:u w:val="none"/>
                <w14:textFill>
                  <w14:solidFill>
                    <w14:schemeClr w14:val="tx1"/>
                  </w14:solidFill>
                </w14:textFill>
              </w:rPr>
              <w:t>出具项目预算审核报告</w:t>
            </w:r>
            <w:r>
              <w:rPr>
                <w:rFonts w:hint="eastAsia" w:ascii="宋体" w:hAnsi="宋体"/>
                <w:snapToGrid w:val="0"/>
                <w:color w:val="000000" w:themeColor="text1"/>
                <w:kern w:val="0"/>
                <w:szCs w:val="21"/>
                <w:highlight w:val="none"/>
                <w:u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11" w:type="dxa"/>
            <w:vAlign w:val="center"/>
          </w:tcPr>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snapToGrid w:val="0"/>
              <w:spacing w:line="400" w:lineRule="exact"/>
              <w:rPr>
                <w:rFonts w:ascii="宋体" w:hAnsi="宋体" w:cs="宋体"/>
                <w:color w:val="000000" w:themeColor="text1"/>
                <w:kern w:val="0"/>
                <w:szCs w:val="21"/>
                <w:highlight w:val="none"/>
                <w14:textFill>
                  <w14:solidFill>
                    <w14:schemeClr w14:val="tx1"/>
                  </w14:solidFill>
                </w14:textFill>
              </w:rPr>
            </w:pP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s="宋体"/>
                <w:color w:val="000000" w:themeColor="text1"/>
                <w:kern w:val="0"/>
                <w:szCs w:val="21"/>
                <w:highlight w:val="none"/>
                <w14:textFill>
                  <w14:solidFill>
                    <w14:schemeClr w14:val="tx1"/>
                  </w14:solidFill>
                </w14:textFill>
              </w:rPr>
            </w:pPr>
          </w:p>
          <w:p>
            <w:pPr>
              <w:rPr>
                <w:rFonts w:ascii="宋体" w:hAnsi="宋体" w:cs="宋体"/>
                <w:color w:val="000000" w:themeColor="text1"/>
                <w:kern w:val="0"/>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p>
          <w:p>
            <w:pPr>
              <w:snapToGrid w:val="0"/>
              <w:spacing w:line="400" w:lineRule="exact"/>
              <w:rPr>
                <w:rFonts w:ascii="宋体" w:hAnsi="宋体" w:cs="宋体"/>
                <w:color w:val="000000" w:themeColor="text1"/>
                <w:kern w:val="0"/>
                <w:szCs w:val="21"/>
                <w:highlight w:val="none"/>
                <w14:textFill>
                  <w14:solidFill>
                    <w14:schemeClr w14:val="tx1"/>
                  </w14:solidFill>
                </w14:textFill>
              </w:rPr>
            </w:pPr>
          </w:p>
        </w:tc>
        <w:tc>
          <w:tcPr>
            <w:tcW w:w="6311" w:type="dxa"/>
            <w:vAlign w:val="center"/>
          </w:tcPr>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bookmarkStart w:id="41" w:name="OLE_LINK1"/>
            <w:r>
              <w:rPr>
                <w:rFonts w:hint="eastAsia" w:ascii="宋体" w:hAnsi="宋体" w:cs="宋体"/>
                <w:color w:val="000000" w:themeColor="text1"/>
                <w:highlight w:val="none"/>
                <w14:textFill>
                  <w14:solidFill>
                    <w14:schemeClr w14:val="tx1"/>
                  </w14:solidFill>
                </w14:textFill>
              </w:rPr>
              <w:t>本次比选实行资格后审，</w:t>
            </w:r>
            <w:bookmarkStart w:id="42" w:name="一是"/>
            <w:bookmarkEnd w:id="42"/>
            <w:r>
              <w:rPr>
                <w:rFonts w:hint="eastAsia" w:ascii="宋体" w:hAnsi="宋体" w:cs="宋体"/>
                <w:color w:val="000000" w:themeColor="text1"/>
                <w:highlight w:val="none"/>
                <w14:textFill>
                  <w14:solidFill>
                    <w14:schemeClr w14:val="tx1"/>
                  </w14:solidFill>
                </w14:textFill>
              </w:rPr>
              <w:t>竞选人须具备以下资格条件：</w:t>
            </w:r>
          </w:p>
          <w:bookmarkEnd w:id="41"/>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pPr>
              <w:snapToGrid w:val="0"/>
              <w:spacing w:line="400" w:lineRule="exact"/>
              <w:ind w:firstLine="420" w:firstLineChars="200"/>
              <w:rPr>
                <w:rFonts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pPr>
              <w:snapToGrid w:val="0"/>
              <w:spacing w:line="400" w:lineRule="exact"/>
              <w:ind w:firstLine="42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年度或者202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年度财务状况不亏损。</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pPr>
              <w:snapToGrid w:val="0"/>
              <w:spacing w:line="360" w:lineRule="exact"/>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.比选截止日比选资格情况</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pPr>
              <w:snapToGrid w:val="0"/>
              <w:spacing w:line="400" w:lineRule="exact"/>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.拟派项目人员</w:t>
            </w:r>
          </w:p>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工程类的高级及以上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.2其他项目组成员：</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.1及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pPr>
              <w:snapToGrid w:val="0"/>
              <w:spacing w:line="400" w:lineRule="exact"/>
              <w:ind w:firstLine="420" w:firstLineChars="200"/>
              <w:rPr>
                <w:rFonts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条，有一条不满足，则竞选文件由评选委员会作否决竞选处理；</w:t>
            </w:r>
          </w:p>
          <w:p>
            <w:pPr>
              <w:snapToGrid w:val="0"/>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p>
          <w:p>
            <w:pPr>
              <w:snapToGrid w:val="0"/>
              <w:spacing w:line="400" w:lineRule="exact"/>
              <w:ind w:firstLine="420" w:firstLineChars="200"/>
              <w:rPr>
                <w:rFonts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pPr>
              <w:snapToGrid w:val="0"/>
              <w:spacing w:afterLines="5"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pPr>
              <w:snapToGrid w:val="0"/>
              <w:spacing w:afterLines="5" w:line="400" w:lineRule="exact"/>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pPr>
              <w:snapToGrid w:val="0"/>
              <w:spacing w:afterLines="5"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竞选人对比选文件提出疑问的</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截止时间</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4" w:type="dxa"/>
            <w:tcBorders>
              <w:top w:val="single" w:color="auto" w:sz="4" w:space="0"/>
            </w:tcBorders>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6311" w:type="dxa"/>
            <w:vAlign w:val="center"/>
          </w:tcPr>
          <w:p>
            <w:pPr>
              <w:snapToGrid w:val="0"/>
              <w:spacing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11</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18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00 </w:t>
            </w:r>
            <w:r>
              <w:rPr>
                <w:rFonts w:hint="eastAsia" w:ascii="宋体" w:hAnsi="宋体" w:cs="宋体"/>
                <w:color w:val="000000" w:themeColor="text1"/>
                <w:szCs w:val="21"/>
                <w:highlight w:val="none"/>
                <w14:textFill>
                  <w14:solidFill>
                    <w14:schemeClr w14:val="tx1"/>
                  </w14:solidFill>
                </w14:textFill>
              </w:rPr>
              <w:t>分（北京时间）</w:t>
            </w:r>
            <w:r>
              <w:rPr>
                <w:rFonts w:hint="eastAsia" w:ascii="宋体" w:hAnsi="宋体" w:cs="宋体"/>
                <w:color w:val="000000" w:themeColor="text1"/>
                <w:kern w:val="0"/>
                <w:szCs w:val="21"/>
                <w:highlight w:val="none"/>
                <w14:textFill>
                  <w14:solidFill>
                    <w14:schemeClr w14:val="tx1"/>
                  </w14:solidFill>
                </w14:textFill>
              </w:rPr>
              <w:t>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pPr>
              <w:snapToGrid w:val="0"/>
              <w:spacing w:afterLines="1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pPr>
              <w:snapToGrid w:val="0"/>
              <w:spacing w:afterLines="1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11" w:type="dxa"/>
            <w:vAlign w:val="center"/>
          </w:tcPr>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1.报价原则：采用固定</w:t>
            </w:r>
            <w:r>
              <w:rPr>
                <w:rFonts w:hint="eastAsia"/>
                <w:color w:val="000000" w:themeColor="text1"/>
                <w:highlight w:val="none"/>
                <w:lang w:val="en-US" w:eastAsia="zh-CN"/>
                <w14:textFill>
                  <w14:solidFill>
                    <w14:schemeClr w14:val="tx1"/>
                  </w14:solidFill>
                </w14:textFill>
              </w:rPr>
              <w:t>费率</w:t>
            </w:r>
            <w:r>
              <w:rPr>
                <w:rFonts w:hint="eastAsia"/>
                <w:color w:val="000000" w:themeColor="text1"/>
                <w:highlight w:val="none"/>
                <w14:textFill>
                  <w14:solidFill>
                    <w14:schemeClr w14:val="tx1"/>
                  </w14:solidFill>
                </w14:textFill>
              </w:rPr>
              <w:t>报价。</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所填报的服务</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作为结算使用，参选费率需综合考虑本项目比选范围内的所有工作内容，竞选人应将本工程的相关费用充分考虑进入参选报价的费率中。</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pPr>
              <w:pStyle w:val="47"/>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w:t>
            </w:r>
            <w:r>
              <w:rPr>
                <w:rFonts w:hint="eastAsia" w:ascii="宋体" w:hAnsi="宋体" w:eastAsia="宋体" w:cs="Times New Roman"/>
                <w:b/>
                <w:bCs/>
                <w:color w:val="000000" w:themeColor="text1"/>
                <w:szCs w:val="21"/>
                <w:highlight w:val="none"/>
                <w14:textFill>
                  <w14:solidFill>
                    <w14:schemeClr w14:val="tx1"/>
                  </w14:solidFill>
                </w14:textFill>
              </w:rPr>
              <w:t>工程费</w:t>
            </w:r>
            <w:r>
              <w:rPr>
                <w:rFonts w:hint="eastAsia" w:ascii="宋体" w:hAnsi="宋体" w:cs="Times New Roman"/>
                <w:b/>
                <w:bCs/>
                <w:color w:val="000000" w:themeColor="text1"/>
                <w:szCs w:val="21"/>
                <w:highlight w:val="none"/>
                <w:lang w:val="en-US" w:eastAsia="zh-CN"/>
                <w14:textFill>
                  <w14:solidFill>
                    <w14:schemeClr w14:val="tx1"/>
                  </w14:solidFill>
                </w14:textFill>
              </w:rPr>
              <w:t>6096.54</w:t>
            </w:r>
            <w:r>
              <w:rPr>
                <w:rFonts w:hint="eastAsia" w:ascii="宋体" w:hAnsi="宋体" w:eastAsia="宋体" w:cs="Times New Roman"/>
                <w:b/>
                <w:bCs/>
                <w:color w:val="000000" w:themeColor="text1"/>
                <w:szCs w:val="21"/>
                <w:highlight w:val="none"/>
                <w14:textFill>
                  <w14:solidFill>
                    <w14:schemeClr w14:val="tx1"/>
                  </w14:solidFill>
                </w14:textFill>
              </w:rPr>
              <w:t>万</w:t>
            </w:r>
            <w:r>
              <w:rPr>
                <w:rFonts w:hint="eastAsia" w:ascii="宋体" w:hAnsi="宋体"/>
                <w:b/>
                <w:bCs/>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为计费基数，本项</w:t>
            </w:r>
            <w:r>
              <w:rPr>
                <w:rFonts w:hint="eastAsia" w:ascii="宋体" w:hAnsi="宋体"/>
                <w:color w:val="000000" w:themeColor="text1"/>
                <w:szCs w:val="21"/>
                <w:highlight w:val="none"/>
                <w:lang w:val="en-US" w:eastAsia="zh-CN"/>
                <w14:textFill>
                  <w14:solidFill>
                    <w14:schemeClr w14:val="tx1"/>
                  </w14:solidFill>
                </w14:textFill>
              </w:rPr>
              <w:t>目</w:t>
            </w:r>
            <w:r>
              <w:rPr>
                <w:rFonts w:hint="eastAsia" w:ascii="宋体" w:hAnsi="宋体"/>
                <w:color w:val="000000" w:themeColor="text1"/>
                <w:szCs w:val="21"/>
                <w:highlight w:val="none"/>
                <w:lang w:val="en-US" w:eastAsia="zh-CN"/>
                <w14:textFill>
                  <w14:solidFill>
                    <w14:schemeClr w14:val="tx1"/>
                  </w14:solidFill>
                </w14:textFill>
              </w:rPr>
              <w:t>预算审核</w:t>
            </w:r>
            <w:r>
              <w:rPr>
                <w:rFonts w:hint="eastAsia" w:ascii="宋体" w:hAnsi="宋体"/>
                <w:color w:val="000000" w:themeColor="text1"/>
                <w:szCs w:val="21"/>
                <w:highlight w:val="none"/>
                <w14:textFill>
                  <w14:solidFill>
                    <w14:schemeClr w14:val="tx1"/>
                  </w14:solidFill>
                </w14:textFill>
              </w:rPr>
              <w:t>最高</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lang w:val="en-US" w:eastAsia="zh-CN"/>
                <w14:textFill>
                  <w14:solidFill>
                    <w14:schemeClr w14:val="tx1"/>
                  </w14:solidFill>
                </w14:textFill>
              </w:rPr>
              <w:t xml:space="preserve">0.35 </w:t>
            </w:r>
            <w:r>
              <w:rPr>
                <w:rFonts w:hint="eastAsia" w:ascii="宋体" w:hAnsi="宋体"/>
                <w:b/>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预算审核</w:t>
            </w:r>
            <w:r>
              <w:rPr>
                <w:rFonts w:hint="eastAsia" w:ascii="宋体" w:hAnsi="宋体"/>
                <w:color w:val="000000" w:themeColor="text1"/>
                <w:szCs w:val="21"/>
                <w:highlight w:val="none"/>
                <w14:textFill>
                  <w14:solidFill>
                    <w14:schemeClr w14:val="tx1"/>
                  </w14:solidFill>
                </w14:textFill>
              </w:rPr>
              <w:t>最高</w:t>
            </w:r>
            <w:r>
              <w:rPr>
                <w:rFonts w:hint="eastAsia" w:ascii="宋体" w:hAnsi="宋体"/>
                <w:color w:val="000000" w:themeColor="text1"/>
                <w:szCs w:val="21"/>
                <w:highlight w:val="none"/>
                <w:lang w:val="en-US" w:eastAsia="zh-CN"/>
                <w14:textFill>
                  <w14:solidFill>
                    <w14:schemeClr w14:val="tx1"/>
                  </w14:solidFill>
                </w14:textFill>
              </w:rPr>
              <w:t>限价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216203.12元</w:t>
            </w:r>
            <w:r>
              <w:rPr>
                <w:rFonts w:hint="eastAsia" w:ascii="宋体" w:hAnsi="宋体"/>
                <w:color w:val="000000" w:themeColor="text1"/>
                <w:szCs w:val="21"/>
                <w:highlight w:val="none"/>
                <w:lang w:val="en-US" w:eastAsia="zh-CN"/>
                <w14:textFill>
                  <w14:solidFill>
                    <w14:schemeClr w14:val="tx1"/>
                  </w14:solidFill>
                </w14:textFill>
              </w:rPr>
              <w:t>。</w:t>
            </w:r>
          </w:p>
          <w:p>
            <w:pPr>
              <w:pStyle w:val="47"/>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w:t>
            </w:r>
            <w:r>
              <w:rPr>
                <w:rFonts w:hint="eastAsia" w:ascii="宋体" w:hAnsi="宋体"/>
                <w:color w:val="000000" w:themeColor="text1"/>
                <w:szCs w:val="21"/>
                <w:highlight w:val="none"/>
                <w:lang w:val="en-US" w:eastAsia="zh-CN"/>
                <w14:textFill>
                  <w14:solidFill>
                    <w14:schemeClr w14:val="tx1"/>
                  </w14:solidFill>
                </w14:textFill>
              </w:rPr>
              <w:t>及固定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11" w:type="dxa"/>
            <w:vAlign w:val="center"/>
          </w:tcPr>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1. 竞标保证金金额：</w:t>
            </w:r>
            <w:r>
              <w:rPr>
                <w:rFonts w:hint="eastAsia" w:cs="Times New Roman"/>
                <w:color w:val="000000" w:themeColor="text1"/>
                <w:sz w:val="21"/>
                <w:szCs w:val="21"/>
                <w:highlight w:val="none"/>
                <w:lang w:val="en-US" w:eastAsia="zh-CN"/>
                <w14:textFill>
                  <w14:solidFill>
                    <w14:schemeClr w14:val="tx1"/>
                  </w14:solidFill>
                </w14:textFill>
              </w:rPr>
              <w:t>4</w:t>
            </w:r>
            <w:r>
              <w:rPr>
                <w:rFonts w:cs="Times New Roman"/>
                <w:color w:val="000000" w:themeColor="text1"/>
                <w:sz w:val="21"/>
                <w:szCs w:val="21"/>
                <w:highlight w:val="none"/>
                <w14:textFill>
                  <w14:solidFill>
                    <w14:schemeClr w14:val="tx1"/>
                  </w14:solidFill>
                </w14:textFill>
              </w:rPr>
              <w:t>000</w:t>
            </w:r>
            <w:r>
              <w:rPr>
                <w:rFonts w:hint="eastAsia" w:cs="Times New Roman"/>
                <w:color w:val="000000" w:themeColor="text1"/>
                <w:sz w:val="21"/>
                <w:szCs w:val="21"/>
                <w:highlight w:val="none"/>
                <w14:textFill>
                  <w14:solidFill>
                    <w14:schemeClr w14:val="tx1"/>
                  </w14:solidFill>
                </w14:textFill>
              </w:rPr>
              <w:t>元，（大写：</w:t>
            </w:r>
            <w:r>
              <w:rPr>
                <w:rFonts w:hint="eastAsia" w:cs="Times New Roman"/>
                <w:color w:val="000000" w:themeColor="text1"/>
                <w:sz w:val="21"/>
                <w:szCs w:val="21"/>
                <w:highlight w:val="none"/>
                <w:lang w:val="en-US" w:eastAsia="zh-CN"/>
                <w14:textFill>
                  <w14:solidFill>
                    <w14:schemeClr w14:val="tx1"/>
                  </w14:solidFill>
                </w14:textFill>
              </w:rPr>
              <w:t>肆</w:t>
            </w:r>
            <w:r>
              <w:rPr>
                <w:rFonts w:hint="eastAsia" w:cs="Times New Roman"/>
                <w:color w:val="000000" w:themeColor="text1"/>
                <w:sz w:val="21"/>
                <w:szCs w:val="21"/>
                <w:highlight w:val="none"/>
                <w14:textFill>
                  <w14:solidFill>
                    <w14:schemeClr w14:val="tx1"/>
                  </w14:solidFill>
                </w14:textFill>
              </w:rPr>
              <w:t>仟元</w:t>
            </w:r>
            <w:r>
              <w:rPr>
                <w:rFonts w:hint="eastAsia" w:cs="Times New Roman"/>
                <w:color w:val="000000" w:themeColor="text1"/>
                <w:sz w:val="21"/>
                <w:szCs w:val="21"/>
                <w:highlight w:val="none"/>
                <w14:textFill>
                  <w14:solidFill>
                    <w14:schemeClr w14:val="tx1"/>
                  </w14:solidFill>
                </w14:textFill>
              </w:rPr>
              <w:t>）。</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2.缴纳形式：转账</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3.保证金账户：</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户名：重庆昱炀工程咨询有限公司，</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账号：160612349，</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开户行：中国民生银行重庆龙湖支行。</w:t>
            </w:r>
          </w:p>
          <w:p>
            <w:pPr>
              <w:pStyle w:val="73"/>
              <w:spacing w:line="400" w:lineRule="exact"/>
              <w:ind w:firstLineChars="200"/>
              <w:rPr>
                <w:rFonts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14:textFill>
                  <w14:solidFill>
                    <w14:schemeClr w14:val="tx1"/>
                  </w14:solidFill>
                </w14:textFill>
              </w:rPr>
              <w:t>注明标段名称。</w:t>
            </w:r>
          </w:p>
          <w:p>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4.保证金的退还：中选通知书发出后5个工作日内退还退还未中选竞标人的竞标竞标人的竞标保证金，中选人与比选人合同签订后5个工作日内退还中选人的竞标保证金。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11" w:type="dxa"/>
            <w:vAlign w:val="center"/>
          </w:tcPr>
          <w:p>
            <w:pPr>
              <w:snapToGrid w:val="0"/>
              <w:spacing w:afterLines="3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11" w:type="dxa"/>
            <w:vAlign w:val="center"/>
          </w:tcPr>
          <w:p>
            <w:pPr>
              <w:snapToGrid w:val="0"/>
              <w:spacing w:afterLines="30"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pPr>
              <w:snapToGrid w:val="0"/>
              <w:spacing w:afterLines="3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pPr>
              <w:snapToGrid w:val="0"/>
              <w:spacing w:line="400" w:lineRule="exact"/>
              <w:ind w:firstLine="420" w:firstLineChars="200"/>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pPr>
              <w:snapToGrid w:val="0"/>
              <w:spacing w:line="400" w:lineRule="exact"/>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11" w:type="dxa"/>
            <w:vAlign w:val="center"/>
          </w:tcPr>
          <w:p>
            <w:pPr>
              <w:widowControl/>
              <w:spacing w:line="400" w:lineRule="exact"/>
              <w:ind w:firstLine="45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》不分正副本</w:t>
            </w:r>
            <w:r>
              <w:rPr>
                <w:rFonts w:hint="eastAsia" w:ascii="宋体" w:hAnsi="宋体"/>
                <w:color w:val="000000" w:themeColor="text1"/>
                <w:kern w:val="0"/>
                <w:szCs w:val="21"/>
                <w:highlight w:val="none"/>
                <w14:textFill>
                  <w14:solidFill>
                    <w14:schemeClr w14:val="tx1"/>
                  </w14:solidFill>
                </w14:textFill>
              </w:rPr>
              <w:t>。当副本和正本不一致时，以正本为准。否则由评标委员会作否决投标处理。</w:t>
            </w:r>
          </w:p>
          <w:p>
            <w:pPr>
              <w:widowControl/>
              <w:spacing w:line="400" w:lineRule="exact"/>
              <w:ind w:firstLine="45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电子文档内容</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包括word版比选申请文件正本和签字盖章齐全的比选申请文件正本扫描件PDF版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，内容必须与正本一致，如出现不一致情况以纸质比选申请文件正本为准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（此项不作为否决投标依据，为便于存档请遵照执行）。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11" w:type="dxa"/>
            <w:vAlign w:val="center"/>
          </w:tcPr>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1、本工程技术部分采用暗标评审，应将投标函部分、技术部分、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七</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》面页使用A4厚型白纸面页，用初号仿宋字体居中标明 “</w:t>
            </w:r>
            <w:r>
              <w:rPr>
                <w:rFonts w:hint="eastAsia" w:ascii="宋体" w:hAnsi="宋体"/>
                <w:color w:val="000000" w:themeColor="text1"/>
                <w:kern w:val="0"/>
                <w:szCs w:val="21"/>
                <w:highlight w:val="none"/>
                <w:lang w:val="en-US" w:eastAsia="zh-CN"/>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”；在页面右下角加盖投标单位章后沿密封线折叠成腰约10cm左右的等腰直角三角形密封；面页除了“</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四</w:t>
            </w:r>
            <w:r>
              <w:rPr>
                <w:rFonts w:ascii="宋体" w:hAnsi="宋体"/>
                <w:color w:val="000000" w:themeColor="text1"/>
                <w:kern w:val="0"/>
                <w:szCs w:val="21"/>
                <w:highlight w:val="none"/>
                <w14:textFill>
                  <w14:solidFill>
                    <w14:schemeClr w14:val="tx1"/>
                  </w14:solidFill>
                </w14:textFill>
              </w:rPr>
              <w:t>字和右下角密封处印章外不得有其他印记；密封后的面页及整个《</w:t>
            </w:r>
            <w:r>
              <w:rPr>
                <w:rFonts w:hint="eastAsia" w:ascii="宋体" w:hAnsi="宋体"/>
                <w:color w:val="000000" w:themeColor="text1"/>
                <w:kern w:val="0"/>
                <w:szCs w:val="21"/>
                <w:highlight w:val="none"/>
                <w14:textFill>
                  <w14:solidFill>
                    <w14:schemeClr w14:val="tx1"/>
                  </w14:solidFill>
                </w14:textFill>
              </w:rPr>
              <w:t>服务方案</w:t>
            </w:r>
            <w:r>
              <w:rPr>
                <w:rFonts w:ascii="宋体" w:hAnsi="宋体"/>
                <w:color w:val="000000" w:themeColor="text1"/>
                <w:kern w:val="0"/>
                <w:szCs w:val="21"/>
                <w:highlight w:val="none"/>
                <w14:textFill>
                  <w14:solidFill>
                    <w14:schemeClr w14:val="tx1"/>
                  </w14:solidFill>
                </w14:textFill>
              </w:rPr>
              <w:t>》均不得</w:t>
            </w:r>
            <w:r>
              <w:rPr>
                <w:rFonts w:ascii="宋体" w:hAnsi="宋体"/>
                <w:color w:val="000000" w:themeColor="text1"/>
                <w:szCs w:val="21"/>
                <w:highlight w:val="none"/>
                <w14:textFill>
                  <w14:solidFill>
                    <w14:schemeClr w14:val="tx1"/>
                  </w14:solidFill>
                </w14:textFill>
              </w:rPr>
              <w:t>出现白页、残页和倒页，不得</w:t>
            </w:r>
            <w:r>
              <w:rPr>
                <w:rFonts w:ascii="宋体" w:hAnsi="宋体"/>
                <w:color w:val="000000" w:themeColor="text1"/>
                <w:kern w:val="0"/>
                <w:szCs w:val="21"/>
                <w:highlight w:val="none"/>
                <w14:textFill>
                  <w14:solidFill>
                    <w14:schemeClr w14:val="tx1"/>
                  </w14:solidFill>
                </w14:textFill>
              </w:rPr>
              <w:t>显示与</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企业有关的任何信息</w:t>
            </w:r>
            <w:r>
              <w:rPr>
                <w:rFonts w:hint="eastAsia" w:ascii="宋体" w:hAnsi="宋体"/>
                <w:color w:val="000000" w:themeColor="text1"/>
                <w:kern w:val="0"/>
                <w:szCs w:val="21"/>
                <w:highlight w:val="none"/>
                <w14:textFill>
                  <w14:solidFill>
                    <w14:schemeClr w14:val="tx1"/>
                  </w14:solidFill>
                </w14:textFill>
              </w:rPr>
              <w:t>及与本工程无关内容</w:t>
            </w:r>
            <w:r>
              <w:rPr>
                <w:rFonts w:ascii="宋体" w:hAnsi="宋体"/>
                <w:color w:val="000000" w:themeColor="text1"/>
                <w:kern w:val="0"/>
                <w:szCs w:val="21"/>
                <w:highlight w:val="none"/>
                <w14:textFill>
                  <w14:solidFill>
                    <w14:schemeClr w14:val="tx1"/>
                  </w14:solidFill>
                </w14:textFill>
              </w:rPr>
              <w:t>（面页由</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中提供的电子文档格式用A4厚型白纸打印，加盖</w:t>
            </w:r>
            <w:r>
              <w:rPr>
                <w:rFonts w:hint="eastAsia" w:ascii="宋体" w:hAnsi="宋体"/>
                <w:color w:val="000000" w:themeColor="text1"/>
                <w:kern w:val="0"/>
                <w:szCs w:val="21"/>
                <w:highlight w:val="none"/>
                <w14:textFill>
                  <w14:solidFill>
                    <w14:schemeClr w14:val="tx1"/>
                  </w14:solidFill>
                </w14:textFill>
              </w:rPr>
              <w:t>单位法人章</w:t>
            </w:r>
            <w:r>
              <w:rPr>
                <w:rFonts w:ascii="宋体" w:hAnsi="宋体"/>
                <w:color w:val="000000" w:themeColor="text1"/>
                <w:kern w:val="0"/>
                <w:szCs w:val="21"/>
                <w:highlight w:val="none"/>
                <w14:textFill>
                  <w14:solidFill>
                    <w14:schemeClr w14:val="tx1"/>
                  </w14:solidFill>
                </w14:textFill>
              </w:rPr>
              <w:t>后其面页的反面以不得显示出</w:t>
            </w:r>
            <w:r>
              <w:rPr>
                <w:rFonts w:hint="eastAsia" w:ascii="宋体" w:hAnsi="宋体"/>
                <w:color w:val="000000" w:themeColor="text1"/>
                <w:kern w:val="0"/>
                <w:szCs w:val="21"/>
                <w:highlight w:val="none"/>
                <w14:textFill>
                  <w14:solidFill>
                    <w14:schemeClr w14:val="tx1"/>
                  </w14:solidFill>
                </w14:textFill>
              </w:rPr>
              <w:t>单位</w:t>
            </w:r>
            <w:r>
              <w:rPr>
                <w:rFonts w:ascii="宋体" w:hAnsi="宋体"/>
                <w:color w:val="000000" w:themeColor="text1"/>
                <w:kern w:val="0"/>
                <w:szCs w:val="21"/>
                <w:highlight w:val="none"/>
                <w14:textFill>
                  <w14:solidFill>
                    <w14:schemeClr w14:val="tx1"/>
                  </w14:solidFill>
                </w14:textFill>
              </w:rPr>
              <w:t>法人章单位名称为准）；</w:t>
            </w:r>
            <w:r>
              <w:rPr>
                <w:rFonts w:hint="eastAsia" w:ascii="宋体" w:hAnsi="宋体"/>
                <w:color w:val="000000" w:themeColor="text1"/>
                <w:kern w:val="0"/>
                <w:szCs w:val="21"/>
                <w:highlight w:val="none"/>
                <w14:textFill>
                  <w14:solidFill>
                    <w14:schemeClr w14:val="tx1"/>
                  </w14:solidFill>
                </w14:textFill>
              </w:rPr>
              <w:t>《服务方案》文本部分的纸张采用A4白纸，文本部分的文字采用四号仿宋字体；图表部分的纸张采用A4或A3白纸，图表内的字体、字号大小不限；文字、图表不得使用彩色和不得编制页码。</w:t>
            </w:r>
            <w:r>
              <w:rPr>
                <w:rFonts w:ascii="宋体" w:hAnsi="宋体"/>
                <w:color w:val="000000" w:themeColor="text1"/>
                <w:kern w:val="0"/>
                <w:szCs w:val="21"/>
                <w:highlight w:val="none"/>
                <w14:textFill>
                  <w14:solidFill>
                    <w14:schemeClr w14:val="tx1"/>
                  </w14:solidFill>
                </w14:textFill>
              </w:rPr>
              <w:t>违反上述任何一项，</w:t>
            </w:r>
            <w:r>
              <w:rPr>
                <w:rFonts w:hint="eastAsia" w:ascii="宋体" w:hAnsi="宋体"/>
                <w:color w:val="000000" w:themeColor="text1"/>
                <w:kern w:val="0"/>
                <w:szCs w:val="21"/>
                <w:highlight w:val="none"/>
                <w14:textFill>
                  <w14:solidFill>
                    <w14:schemeClr w14:val="tx1"/>
                  </w14:solidFill>
                </w14:textFill>
              </w:rPr>
              <w:t>其竞选文件《服务方案》部分为零分</w:t>
            </w:r>
            <w:r>
              <w:rPr>
                <w:rFonts w:ascii="宋体" w:hAnsi="宋体"/>
                <w:color w:val="000000" w:themeColor="text1"/>
                <w:kern w:val="0"/>
                <w:szCs w:val="21"/>
                <w:highlight w:val="none"/>
                <w14:textFill>
                  <w14:solidFill>
                    <w14:schemeClr w14:val="tx1"/>
                  </w14:solidFill>
                </w14:textFill>
              </w:rPr>
              <w:t>。</w:t>
            </w:r>
          </w:p>
          <w:p>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pPr>
              <w:adjustRightInd w:val="0"/>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应按照第八章规定格式装订成册，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pPr>
              <w:snapToGrid w:val="0"/>
              <w:spacing w:line="400" w:lineRule="exact"/>
              <w:jc w:val="center"/>
              <w:rPr>
                <w:rFonts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11" w:type="dxa"/>
            <w:vAlign w:val="center"/>
          </w:tcPr>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.本次招标技术部分采用暗标评审，技术部分装入“技术部分”袋中，密封不加盖任何印章。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一个大袋装不下的，可使用多个大袋分册封装。大袋未按要求密封的，比选人或代理机构应该拒收。</w:t>
            </w:r>
          </w:p>
          <w:p>
            <w:pPr>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11" w:type="dxa"/>
            <w:vAlign w:val="center"/>
          </w:tcPr>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（项目名称）竞选文件</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11" w:type="dxa"/>
            <w:vAlign w:val="center"/>
          </w:tcPr>
          <w:p>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pPr>
              <w:snapToGrid w:val="0"/>
              <w:spacing w:line="400" w:lineRule="exact"/>
              <w:ind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11" w:type="dxa"/>
            <w:vAlign w:val="center"/>
          </w:tcPr>
          <w:p>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pPr>
              <w:snapToGrid w:val="0"/>
              <w:spacing w:line="400" w:lineRule="exact"/>
              <w:ind w:firstLine="420" w:firstLineChars="200"/>
              <w:rPr>
                <w:rFonts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ascii="宋体" w:hAnsi="宋体" w:cs="宋体"/>
                <w:color w:val="000000" w:themeColor="text1"/>
                <w:szCs w:val="21"/>
                <w:highlight w:val="none"/>
                <w14:textFill>
                  <w14:solidFill>
                    <w14:schemeClr w14:val="tx1"/>
                  </w14:solidFill>
                </w14:textFill>
              </w:rPr>
              <w:t>重庆市南岸区行政服务中心B区3号楼</w:t>
            </w:r>
            <w:r>
              <w:rPr>
                <w:rFonts w:hint="eastAsia" w:ascii="宋体" w:hAnsi="宋体" w:cs="宋体"/>
                <w:color w:val="000000" w:themeColor="text1"/>
                <w:szCs w:val="21"/>
                <w:highlight w:val="none"/>
                <w:lang w:val="en-US" w:eastAsia="zh-CN"/>
                <w14:textFill>
                  <w14:solidFill>
                    <w14:schemeClr w14:val="tx1"/>
                  </w14:solidFill>
                </w14:textFill>
              </w:rPr>
              <w:t>2012</w:t>
            </w:r>
            <w:r>
              <w:rPr>
                <w:rFonts w:hint="eastAsia" w:ascii="宋体" w:hAnsi="宋体" w:cs="宋体"/>
                <w:color w:val="000000" w:themeColor="text1"/>
                <w:szCs w:val="21"/>
                <w:highlight w:val="none"/>
                <w14:textFill>
                  <w14:solidFill>
                    <w14:schemeClr w14:val="tx1"/>
                  </w14:solidFill>
                </w14:textFill>
              </w:rPr>
              <w:t>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11" w:type="dxa"/>
            <w:vAlign w:val="center"/>
          </w:tcPr>
          <w:p>
            <w:pPr>
              <w:pStyle w:val="8"/>
              <w:spacing w:line="400" w:lineRule="exact"/>
              <w:ind w:firstLine="436" w:firstLineChars="200"/>
              <w:rPr>
                <w:rFonts w:ascii="宋体"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kern w:val="0"/>
                <w:szCs w:val="21"/>
                <w:highlight w:val="none"/>
                <w14:textFill>
                  <w14:solidFill>
                    <w14:schemeClr w14:val="tx1"/>
                  </w14:solidFill>
                </w14:textFill>
              </w:rPr>
              <w:t>由比选人按法律法规及相关规定依法组建评标委员会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11" w:type="dxa"/>
            <w:vAlign w:val="center"/>
          </w:tcPr>
          <w:p>
            <w:pPr>
              <w:snapToGrid w:val="0"/>
              <w:spacing w:line="400" w:lineRule="exact"/>
              <w:ind w:firstLine="210"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pPr>
              <w:snapToGrid w:val="0"/>
              <w:spacing w:line="400" w:lineRule="exact"/>
              <w:ind w:firstLine="210" w:firstLineChars="100"/>
              <w:rPr>
                <w:rFonts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pPr>
              <w:snapToGrid w:val="0"/>
              <w:spacing w:afterLines="20"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11" w:type="dxa"/>
            <w:vAlign w:val="center"/>
          </w:tcPr>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履约担保</w:t>
            </w:r>
          </w:p>
        </w:tc>
        <w:tc>
          <w:tcPr>
            <w:tcW w:w="6311" w:type="dxa"/>
            <w:vAlign w:val="center"/>
          </w:tcPr>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1.</w:t>
            </w:r>
            <w:r>
              <w:rPr>
                <w:rStyle w:val="55"/>
                <w:rFonts w:hint="eastAsia" w:ascii="宋体" w:hAnsi="宋体" w:eastAsia="宋体" w:cs="宋体"/>
                <w:color w:val="000000" w:themeColor="text1"/>
                <w:kern w:val="0"/>
                <w:szCs w:val="21"/>
                <w:highlight w:val="none"/>
                <w14:textFill>
                  <w14:solidFill>
                    <w14:schemeClr w14:val="tx1"/>
                  </w14:solidFill>
                </w14:textFill>
              </w:rPr>
              <w:t>担保形式：</w:t>
            </w:r>
            <w:r>
              <w:rPr>
                <w:rStyle w:val="55"/>
                <w:rFonts w:hint="default" w:ascii="宋体" w:hAnsi="宋体" w:eastAsia="宋体" w:cs="宋体"/>
                <w:color w:val="000000" w:themeColor="text1"/>
                <w:kern w:val="0"/>
                <w:szCs w:val="21"/>
                <w:highlight w:val="none"/>
                <w14:textFill>
                  <w14:solidFill>
                    <w14:schemeClr w14:val="tx1"/>
                  </w14:solidFill>
                </w14:textFill>
              </w:rPr>
              <w:t>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w:t>
            </w:r>
            <w:r>
              <w:rPr>
                <w:rStyle w:val="55"/>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Style w:val="55"/>
                <w:rFonts w:hint="default" w:ascii="宋体" w:hAnsi="宋体" w:eastAsia="宋体" w:cs="宋体"/>
                <w:color w:val="000000" w:themeColor="text1"/>
                <w:kern w:val="0"/>
                <w:szCs w:val="21"/>
                <w:highlight w:val="none"/>
                <w14:textFill>
                  <w14:solidFill>
                    <w14:schemeClr w14:val="tx1"/>
                  </w14:solidFill>
                </w14:textFill>
              </w:rPr>
              <w:t>文件约定要求。</w:t>
            </w:r>
            <w:r>
              <w:rPr>
                <w:rStyle w:val="55"/>
                <w:rFonts w:hint="eastAsia" w:ascii="宋体" w:hAnsi="宋体" w:cs="宋体"/>
                <w:color w:val="000000" w:themeColor="text1"/>
                <w:kern w:val="0"/>
                <w:szCs w:val="21"/>
                <w:highlight w:val="none"/>
                <w14:textFill>
                  <w14:solidFill>
                    <w14:schemeClr w14:val="tx1"/>
                  </w14:solidFill>
                </w14:textFill>
              </w:rPr>
              <w:t>中选人</w:t>
            </w:r>
            <w:r>
              <w:rPr>
                <w:rStyle w:val="55"/>
                <w:rFonts w:hint="default" w:ascii="宋体" w:hAnsi="宋体" w:eastAsia="宋体" w:cs="宋体"/>
                <w:color w:val="000000" w:themeColor="text1"/>
                <w:kern w:val="0"/>
                <w:szCs w:val="21"/>
                <w:highlight w:val="none"/>
                <w14:textFill>
                  <w14:solidFill>
                    <w14:schemeClr w14:val="tx1"/>
                  </w14:solidFill>
                </w14:textFill>
              </w:rPr>
              <w:t>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w:t>
            </w:r>
            <w:r>
              <w:rPr>
                <w:rStyle w:val="55"/>
                <w:rFonts w:hint="eastAsia" w:ascii="宋体" w:hAnsi="宋体" w:cs="宋体"/>
                <w:color w:val="000000" w:themeColor="text1"/>
                <w:kern w:val="0"/>
                <w:szCs w:val="21"/>
                <w:highlight w:val="none"/>
                <w14:textFill>
                  <w14:solidFill>
                    <w14:schemeClr w14:val="tx1"/>
                  </w14:solidFill>
                </w14:textFill>
              </w:rPr>
              <w:t>中选人</w:t>
            </w:r>
            <w:r>
              <w:rPr>
                <w:rStyle w:val="55"/>
                <w:rFonts w:hint="default" w:ascii="宋体" w:hAnsi="宋体" w:eastAsia="宋体" w:cs="宋体"/>
                <w:color w:val="000000" w:themeColor="text1"/>
                <w:kern w:val="0"/>
                <w:szCs w:val="21"/>
                <w:highlight w:val="none"/>
                <w14:textFill>
                  <w14:solidFill>
                    <w14:schemeClr w14:val="tx1"/>
                  </w14:solidFill>
                </w14:textFill>
              </w:rPr>
              <w:t>对所提交的保函的真实性、合法性、有效性负责。</w:t>
            </w:r>
          </w:p>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2.担保金额：中选合同金额的10%；</w:t>
            </w:r>
          </w:p>
          <w:p>
            <w:pPr>
              <w:snapToGrid w:val="0"/>
              <w:spacing w:after="48" w:line="400" w:lineRule="exact"/>
              <w:ind w:firstLine="420" w:firstLineChars="200"/>
              <w:rPr>
                <w:rStyle w:val="55"/>
                <w:rFonts w:ascii="宋体" w:hAnsi="宋体" w:cs="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Cs w:val="21"/>
                <w:highlight w:val="none"/>
                <w14:textFill>
                  <w14:solidFill>
                    <w14:schemeClr w14:val="tx1"/>
                  </w14:solidFill>
                </w14:textFill>
              </w:rPr>
              <w:t>3.提交时间：中选人领取中选通知书后10个工作日内提交，并作为签订合同的必备条件。其中：履约担保为银行转账的，中选人须从其企业基本账户将相应的履约担保金额打入比选人指定账户，账户在签订合同前由比选人提供；</w:t>
            </w:r>
          </w:p>
          <w:p>
            <w:pPr>
              <w:snapToGrid w:val="0"/>
              <w:spacing w:after="48" w:line="400" w:lineRule="exact"/>
              <w:ind w:firstLine="420" w:firstLineChars="200"/>
              <w:rPr>
                <w:rFonts w:ascii="宋体" w:hAnsi="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highlight w:val="none"/>
                <w14:textFill>
                  <w14:solidFill>
                    <w14:schemeClr w14:val="tx1"/>
                  </w14:solidFill>
                </w14:textFill>
              </w:rPr>
              <w:t>4.退还时间：完成合同所有约定事项</w:t>
            </w:r>
            <w:r>
              <w:rPr>
                <w:rFonts w:hint="eastAsia" w:ascii="宋体" w:hAnsi="宋体"/>
                <w:color w:val="000000" w:themeColor="text1"/>
                <w:szCs w:val="21"/>
                <w:highlight w:val="none"/>
                <w14:textFill>
                  <w14:solidFill>
                    <w14:schemeClr w14:val="tx1"/>
                  </w14:solidFill>
                </w14:textFill>
              </w:rPr>
              <w:t>后退还履约保证金（履约保证金不计算利息）</w:t>
            </w:r>
            <w:r>
              <w:rPr>
                <w:rStyle w:val="55"/>
                <w:rFonts w:hint="eastAsia" w:ascii="宋体" w:hAnsi="宋体" w:cs="宋体"/>
                <w:color w:val="000000" w:themeColor="text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11" w:type="dxa"/>
            <w:vAlign w:val="center"/>
          </w:tcPr>
          <w:p>
            <w:pPr>
              <w:autoSpaceDE w:val="0"/>
              <w:autoSpaceDN w:val="0"/>
              <w:adjustRightInd w:val="0"/>
              <w:snapToGrid w:val="0"/>
              <w:spacing w:afterLines="20" w:line="400" w:lineRule="exact"/>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pPr>
              <w:autoSpaceDE w:val="0"/>
              <w:autoSpaceDN w:val="0"/>
              <w:adjustRightInd w:val="0"/>
              <w:snapToGrid w:val="0"/>
              <w:spacing w:afterLines="20" w:line="400" w:lineRule="exact"/>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275" w:type="dxa"/>
            <w:gridSpan w:val="2"/>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10.1</w:t>
            </w:r>
          </w:p>
        </w:tc>
        <w:tc>
          <w:tcPr>
            <w:tcW w:w="1964" w:type="dxa"/>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支付担保</w:t>
            </w:r>
          </w:p>
        </w:tc>
        <w:tc>
          <w:tcPr>
            <w:tcW w:w="6311" w:type="dxa"/>
            <w:vAlign w:val="center"/>
          </w:tcPr>
          <w:p>
            <w:pPr>
              <w:spacing w:line="400" w:lineRule="exact"/>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11" w:type="dxa"/>
            <w:vAlign w:val="center"/>
          </w:tcPr>
          <w:p>
            <w:pPr>
              <w:snapToGrid w:val="0"/>
              <w:spacing w:line="400" w:lineRule="exact"/>
              <w:ind w:firstLine="440" w:firstLineChars="200"/>
              <w:rPr>
                <w:rStyle w:val="55"/>
                <w:rFonts w:hint="eastAsia" w:ascii="宋体" w:hAnsi="宋体" w:eastAsia="宋体" w:cs="宋体"/>
                <w:color w:val="000000" w:themeColor="text1"/>
                <w:kern w:val="0"/>
                <w:sz w:val="22"/>
                <w:szCs w:val="22"/>
                <w:highlight w:val="none"/>
                <w14:textFill>
                  <w14:solidFill>
                    <w14:schemeClr w14:val="tx1"/>
                  </w14:solidFill>
                </w14:textFill>
              </w:rPr>
            </w:pP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本项目招标代理服务费</w:t>
            </w:r>
            <w:r>
              <w:rPr>
                <w:rStyle w:val="55"/>
                <w:rFonts w:hint="eastAsia" w:ascii="宋体" w:hAnsi="宋体" w:eastAsia="宋体" w:cs="宋体"/>
                <w:color w:val="000000" w:themeColor="text1"/>
                <w:kern w:val="0"/>
                <w:sz w:val="22"/>
                <w:szCs w:val="22"/>
                <w:highlight w:val="none"/>
                <w14:textFill>
                  <w14:solidFill>
                    <w14:schemeClr w14:val="tx1"/>
                  </w14:solidFill>
                </w14:textFill>
              </w:rPr>
              <w:t>按照</w:t>
            </w:r>
            <w:r>
              <w:rPr>
                <w:rStyle w:val="55"/>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Style w:val="55"/>
                <w:rFonts w:hint="eastAsia" w:ascii="宋体" w:hAnsi="宋体" w:eastAsia="宋体" w:cs="宋体"/>
                <w:color w:val="000000" w:themeColor="text1"/>
                <w:kern w:val="0"/>
                <w:sz w:val="22"/>
                <w:szCs w:val="22"/>
                <w:highlight w:val="none"/>
                <w14:textFill>
                  <w14:solidFill>
                    <w14:schemeClr w14:val="tx1"/>
                  </w14:solidFill>
                </w14:textFill>
              </w:rPr>
              <w:t>按照《招标代理服务收费管理暂行办法》（计价格[2002]1980号）收费标准</w:t>
            </w: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【70】%</w:t>
            </w:r>
            <w:r>
              <w:rPr>
                <w:rStyle w:val="55"/>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Style w:val="55"/>
                <w:rFonts w:hint="eastAsia" w:ascii="宋体" w:hAnsi="宋体" w:eastAsia="宋体" w:cs="宋体"/>
                <w:color w:val="000000" w:themeColor="text1"/>
                <w:kern w:val="0"/>
                <w:sz w:val="22"/>
                <w:szCs w:val="22"/>
                <w:highlight w:val="none"/>
                <w14:textFill>
                  <w14:solidFill>
                    <w14:schemeClr w14:val="tx1"/>
                  </w14:solidFill>
                </w14:textFill>
              </w:rPr>
              <w:t>计算，</w:t>
            </w:r>
            <w:r>
              <w:rPr>
                <w:rStyle w:val="55"/>
                <w:rFonts w:hint="eastAsia" w:ascii="宋体" w:hAnsi="宋体" w:eastAsia="宋体" w:cs="宋体"/>
                <w:color w:val="000000" w:themeColor="text1"/>
                <w:kern w:val="0"/>
                <w:sz w:val="22"/>
                <w:szCs w:val="22"/>
                <w:highlight w:val="none"/>
                <w:lang w:val="en-US" w:eastAsia="zh-CN"/>
                <w14:textFill>
                  <w14:solidFill>
                    <w14:schemeClr w14:val="tx1"/>
                  </w14:solidFill>
                </w14:textFill>
              </w:rPr>
              <w:t>不足6000元按6000元计。</w:t>
            </w:r>
            <w:r>
              <w:rPr>
                <w:rStyle w:val="55"/>
                <w:rFonts w:hint="eastAsia" w:ascii="宋体" w:hAnsi="宋体" w:eastAsia="宋体" w:cs="宋体"/>
                <w:color w:val="000000" w:themeColor="text1"/>
                <w:kern w:val="0"/>
                <w:sz w:val="22"/>
                <w:szCs w:val="22"/>
                <w:highlight w:val="none"/>
                <w14:textFill>
                  <w14:solidFill>
                    <w14:schemeClr w14:val="tx1"/>
                  </w14:solidFill>
                </w14:textFill>
              </w:rPr>
              <w:t>由中选单位领取中选通知书时一次性支付给代理机构，各比选申请在投标报价时应考虑此费用。</w:t>
            </w:r>
          </w:p>
          <w:p>
            <w:pPr>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代理服务费缴纳账号：</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户名：</w:t>
            </w:r>
            <w:r>
              <w:rPr>
                <w:rFonts w:ascii="宋体" w:hAnsi="宋体"/>
                <w:snapToGrid w:val="0"/>
                <w:color w:val="000000" w:themeColor="text1"/>
                <w:kern w:val="0"/>
                <w:highlight w:val="none"/>
                <w14:textFill>
                  <w14:solidFill>
                    <w14:schemeClr w14:val="tx1"/>
                  </w14:solidFill>
                </w14:textFill>
              </w:rPr>
              <w:t>重庆昱炀工程咨询有限公司</w:t>
            </w:r>
          </w:p>
          <w:p>
            <w:pPr>
              <w:spacing w:line="360" w:lineRule="auto"/>
              <w:ind w:firstLine="420" w:firstLineChars="200"/>
              <w:rPr>
                <w:rFonts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开户行：</w:t>
            </w:r>
            <w:r>
              <w:rPr>
                <w:rFonts w:ascii="宋体" w:hAnsi="宋体"/>
                <w:snapToGrid w:val="0"/>
                <w:color w:val="000000" w:themeColor="text1"/>
                <w:kern w:val="0"/>
                <w:highlight w:val="none"/>
                <w14:textFill>
                  <w14:solidFill>
                    <w14:schemeClr w14:val="tx1"/>
                  </w14:solidFill>
                </w14:textFill>
              </w:rPr>
              <w:t>中国民生银行重庆龙湖支行</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账号：</w:t>
            </w:r>
            <w:r>
              <w:rPr>
                <w:rFonts w:ascii="宋体" w:hAnsi="宋体"/>
                <w:snapToGrid w:val="0"/>
                <w:color w:val="000000" w:themeColor="text1"/>
                <w:kern w:val="0"/>
                <w:highlight w:val="none"/>
                <w14:textFill>
                  <w14:solidFill>
                    <w14:schemeClr w14:val="tx1"/>
                  </w14:solidFill>
                </w14:textFill>
              </w:rPr>
              <w:t>160612349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11" w:type="dxa"/>
            <w:vAlign w:val="center"/>
          </w:tcPr>
          <w:p>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10.4</w:t>
            </w:r>
          </w:p>
        </w:tc>
        <w:tc>
          <w:tcPr>
            <w:tcW w:w="1964" w:type="dxa"/>
            <w:vAlign w:val="center"/>
          </w:tcPr>
          <w:p>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付款方式</w:t>
            </w:r>
          </w:p>
        </w:tc>
        <w:tc>
          <w:tcPr>
            <w:tcW w:w="6311" w:type="dxa"/>
            <w:vAlign w:val="center"/>
          </w:tcPr>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预算审核：工程合同范围内的工程量清单及组价审核完成出具审核报告且委托人收到咨询人开具的等额增值税发票后60日内支付该工程量清单及组价审核酬金的80%，剩余20%待相关部门评审完成后无息支付。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10.5</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11"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10.6</w:t>
            </w:r>
          </w:p>
        </w:tc>
        <w:tc>
          <w:tcPr>
            <w:tcW w:w="1964" w:type="dxa"/>
            <w:vAlign w:val="center"/>
          </w:tcPr>
          <w:p>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Style w:val="55"/>
                <w:rFonts w:hint="eastAsia" w:ascii="宋体" w:hAnsi="宋体" w:cs="宋体"/>
                <w:color w:val="000000" w:themeColor="text1"/>
                <w:kern w:val="0"/>
                <w:sz w:val="22"/>
                <w:szCs w:val="22"/>
                <w:highlight w:val="none"/>
                <w:lang w:val="en-US" w:eastAsia="zh-CN"/>
                <w14:textFill>
                  <w14:solidFill>
                    <w14:schemeClr w14:val="tx1"/>
                  </w14:solidFill>
                </w14:textFill>
              </w:rPr>
              <w:t>低价风险担保</w:t>
            </w:r>
          </w:p>
        </w:tc>
        <w:tc>
          <w:tcPr>
            <w:tcW w:w="6311" w:type="dxa"/>
            <w:vAlign w:val="center"/>
          </w:tcPr>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2．中标人提供低价风险担保的形式、金额及期限：</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（1）低价风险担保的形式：</w:t>
            </w:r>
            <w:r>
              <w:rPr>
                <w:rFonts w:hint="eastAsia" w:ascii="宋体" w:hAnsi="宋体"/>
                <w:color w:val="000000" w:themeColor="text1"/>
                <w:kern w:val="0"/>
                <w:szCs w:val="21"/>
                <w:highlight w:val="none"/>
                <w14:textFill>
                  <w14:solidFill>
                    <w14:schemeClr w14:val="tx1"/>
                  </w14:solidFill>
                </w14:textFill>
              </w:rPr>
              <w:t>现金或银行保函或现金</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银行保函的组合；采用银行保函形式的，保函必须为不可撤销、不可转让且见索即付的独立保函，中标人出具保函时，不得修改“低价风险担保保函”名称，也不得对低价风险担保保函示范文本中付款条件等实质性内容进行修改，否则视为不符合招标文件规定。</w:t>
            </w:r>
          </w:p>
          <w:p>
            <w:pPr>
              <w:autoSpaceDE w:val="0"/>
              <w:autoSpaceDN w:val="0"/>
              <w:adjustRightInd w:val="0"/>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（2）低价风险担保的金额：（最高限价×85%-中标价）×□1□2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3，且最高不超过最高限价的85%</w:t>
            </w:r>
            <w:r>
              <w:rPr>
                <w:rFonts w:hint="eastAsia"/>
                <w:color w:val="000000" w:themeColor="text1"/>
                <w:highlight w:val="none"/>
                <w:lang w:eastAsia="zh-CN"/>
                <w14:textFill>
                  <w14:solidFill>
                    <w14:schemeClr w14:val="tx1"/>
                  </w14:solidFill>
                </w14:textFill>
              </w:rPr>
              <w:t>。</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（3）低价风险担保送达招标人的时间：从招标人中标通知书送达拟中标人之日起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工作日内。</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（5）低价风险担保的期限：见专用合同条款。</w:t>
            </w:r>
          </w:p>
          <w:p>
            <w:pPr>
              <w:widowControl/>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3．低价风险担保的退还时间：见专用合同条款。</w:t>
            </w:r>
          </w:p>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pPr>
              <w:spacing w:line="312" w:lineRule="auto"/>
              <w:ind w:firstLine="480" w:firstLineChars="0"/>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 投标总报价低于最高限价85%的，投标人应在编制投标文件时，在投标函部分中递交低价风险担保提交承诺书。</w:t>
            </w:r>
          </w:p>
        </w:tc>
      </w:tr>
    </w:tbl>
    <w:p>
      <w:pPr>
        <w:pStyle w:val="8"/>
        <w:outlineLvl w:val="1"/>
        <w:rPr>
          <w:rFonts w:ascii="宋体" w:hAnsi="宋体" w:cs="宋体"/>
          <w:bCs/>
          <w:snapToGrid w:val="0"/>
          <w:color w:val="000000" w:themeColor="text1"/>
          <w:sz w:val="24"/>
          <w:highlight w:val="none"/>
          <w14:textFill>
            <w14:solidFill>
              <w14:schemeClr w14:val="tx1"/>
            </w14:solidFill>
          </w14:textFill>
        </w:rPr>
      </w:pPr>
      <w:bookmarkStart w:id="43" w:name="_Toc287607746"/>
      <w:bookmarkStart w:id="44" w:name="_Toc200513126"/>
      <w:bookmarkStart w:id="45" w:name="_Toc509218710"/>
      <w:bookmarkStart w:id="46" w:name="_Toc277082552"/>
      <w:bookmarkStart w:id="47" w:name="_Toc430530435"/>
      <w:bookmarkStart w:id="48" w:name="_Toc224103317"/>
      <w:bookmarkStart w:id="49" w:name="_Toc287620685"/>
    </w:p>
    <w:p>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pPr>
        <w:pStyle w:val="8"/>
        <w:outlineLvl w:val="1"/>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3"/>
      <w:bookmarkEnd w:id="44"/>
      <w:bookmarkEnd w:id="45"/>
      <w:bookmarkEnd w:id="46"/>
      <w:bookmarkEnd w:id="47"/>
      <w:bookmarkEnd w:id="48"/>
      <w:bookmarkEnd w:id="49"/>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0" w:name="_Toc287607747"/>
      <w:bookmarkStart w:id="51" w:name="_Toc3411"/>
      <w:bookmarkStart w:id="52" w:name="_Toc40569046"/>
      <w:bookmarkStart w:id="53" w:name="_Toc40569141"/>
      <w:bookmarkStart w:id="54" w:name="_Toc10890"/>
      <w:bookmarkStart w:id="55" w:name="_Toc200513127"/>
      <w:bookmarkStart w:id="56" w:name="_Toc430530436"/>
      <w:bookmarkStart w:id="57" w:name="_Toc277082553"/>
      <w:bookmarkStart w:id="58" w:name="_Toc287620686"/>
      <w:bookmarkStart w:id="59" w:name="_Toc509218711"/>
      <w:bookmarkStart w:id="60" w:name="_Toc32083"/>
      <w:bookmarkStart w:id="61" w:name="_Toc224103318"/>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50"/>
      <w:bookmarkEnd w:id="51"/>
      <w:bookmarkEnd w:id="52"/>
      <w:bookmarkEnd w:id="53"/>
      <w:bookmarkEnd w:id="54"/>
      <w:bookmarkEnd w:id="55"/>
      <w:bookmarkEnd w:id="56"/>
      <w:bookmarkEnd w:id="57"/>
      <w:bookmarkEnd w:id="58"/>
      <w:bookmarkEnd w:id="59"/>
      <w:bookmarkEnd w:id="60"/>
      <w:bookmarkEnd w:id="61"/>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pPr>
        <w:autoSpaceDE w:val="0"/>
        <w:autoSpaceDN w:val="0"/>
        <w:adjustRightInd w:val="0"/>
        <w:snapToGrid w:val="0"/>
        <w:spacing w:line="360" w:lineRule="auto"/>
        <w:ind w:firstLine="357" w:firstLineChars="17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2" w:name="_Toc40569047"/>
      <w:bookmarkStart w:id="63" w:name="_Toc287620687"/>
      <w:bookmarkStart w:id="64" w:name="_Toc21234"/>
      <w:bookmarkStart w:id="65" w:name="_Toc277082554"/>
      <w:bookmarkStart w:id="66" w:name="_Toc200513128"/>
      <w:bookmarkStart w:id="67" w:name="_Toc25629"/>
      <w:bookmarkStart w:id="68" w:name="_Toc224103319"/>
      <w:bookmarkStart w:id="69" w:name="_Toc2933"/>
      <w:bookmarkStart w:id="70" w:name="_Toc287607748"/>
      <w:bookmarkStart w:id="71" w:name="_Toc40569142"/>
      <w:bookmarkStart w:id="72" w:name="_Toc509218712"/>
      <w:bookmarkStart w:id="73" w:name="_Toc430530437"/>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2"/>
      <w:bookmarkEnd w:id="63"/>
      <w:bookmarkEnd w:id="64"/>
      <w:bookmarkEnd w:id="65"/>
      <w:bookmarkEnd w:id="66"/>
      <w:bookmarkEnd w:id="67"/>
      <w:bookmarkEnd w:id="68"/>
      <w:bookmarkEnd w:id="69"/>
      <w:bookmarkEnd w:id="70"/>
      <w:bookmarkEnd w:id="71"/>
      <w:bookmarkEnd w:id="72"/>
      <w:bookmarkEnd w:id="73"/>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74" w:name="_Toc509218713"/>
      <w:bookmarkStart w:id="75" w:name="_Toc40569048"/>
      <w:bookmarkStart w:id="76" w:name="_Toc40569143"/>
      <w:bookmarkStart w:id="77" w:name="_Toc23212"/>
      <w:bookmarkStart w:id="78" w:name="_Toc430530438"/>
      <w:bookmarkStart w:id="79" w:name="_Toc224103320"/>
      <w:bookmarkStart w:id="80" w:name="_Toc200513129"/>
      <w:bookmarkStart w:id="81" w:name="_Toc3621"/>
      <w:bookmarkStart w:id="82" w:name="_Toc287607749"/>
      <w:bookmarkStart w:id="83" w:name="_Toc287620688"/>
      <w:bookmarkStart w:id="84" w:name="_Toc277082555"/>
      <w:bookmarkStart w:id="85" w:name="_Toc21182"/>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4"/>
      <w:bookmarkEnd w:id="75"/>
      <w:bookmarkEnd w:id="76"/>
      <w:bookmarkEnd w:id="77"/>
      <w:bookmarkEnd w:id="78"/>
      <w:bookmarkEnd w:id="79"/>
      <w:bookmarkEnd w:id="80"/>
      <w:bookmarkEnd w:id="81"/>
      <w:bookmarkEnd w:id="82"/>
      <w:bookmarkEnd w:id="83"/>
      <w:bookmarkEnd w:id="84"/>
      <w:bookmarkEnd w:id="85"/>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86" w:name="_Toc287607750"/>
      <w:bookmarkStart w:id="87" w:name="_Toc200513130"/>
      <w:bookmarkStart w:id="88" w:name="_Toc430530439"/>
      <w:bookmarkStart w:id="89" w:name="_Toc277082556"/>
      <w:bookmarkStart w:id="90" w:name="_Toc224103321"/>
      <w:bookmarkStart w:id="91" w:name="_Toc509218714"/>
      <w:bookmarkStart w:id="92" w:name="_Toc287620689"/>
      <w:bookmarkStart w:id="93" w:name="_Toc40569049"/>
      <w:bookmarkStart w:id="94" w:name="_Toc5712"/>
      <w:bookmarkStart w:id="95" w:name="_Toc28521"/>
      <w:bookmarkStart w:id="96" w:name="_Toc40569144"/>
      <w:bookmarkStart w:id="97" w:name="_Toc30002"/>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6"/>
      <w:bookmarkEnd w:id="87"/>
      <w:bookmarkEnd w:id="88"/>
      <w:bookmarkEnd w:id="89"/>
      <w:bookmarkEnd w:id="90"/>
      <w:bookmarkEnd w:id="91"/>
      <w:bookmarkEnd w:id="92"/>
      <w:bookmarkStart w:id="98" w:name="_Toc430530440"/>
      <w:bookmarkStart w:id="99" w:name="_Toc200513131"/>
      <w:bookmarkStart w:id="100" w:name="_Toc224103322"/>
      <w:bookmarkStart w:id="101" w:name="_Toc287620690"/>
      <w:bookmarkStart w:id="102" w:name="_Toc277082557"/>
      <w:bookmarkStart w:id="103" w:name="_Toc287607751"/>
      <w:bookmarkStart w:id="104" w:name="_Toc509218715"/>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3"/>
      <w:bookmarkEnd w:id="94"/>
      <w:bookmarkEnd w:id="95"/>
      <w:bookmarkEnd w:id="96"/>
      <w:bookmarkEnd w:id="97"/>
      <w:bookmarkEnd w:id="98"/>
      <w:bookmarkEnd w:id="99"/>
      <w:bookmarkEnd w:id="100"/>
      <w:bookmarkEnd w:id="101"/>
      <w:bookmarkEnd w:id="102"/>
      <w:bookmarkEnd w:id="103"/>
      <w:bookmarkEnd w:id="104"/>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（3）业绩要求：见竞选人须知前附表；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（4）人员要求：见竞选人须知前附表；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（5）其他要求：见竞选人须知前附表。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105" w:name="_Toc7266"/>
      <w:bookmarkStart w:id="106" w:name="_Toc509218716"/>
      <w:bookmarkStart w:id="107" w:name="_Toc40569050"/>
      <w:bookmarkStart w:id="108" w:name="_Toc224103323"/>
      <w:bookmarkStart w:id="109" w:name="_Toc277082558"/>
      <w:bookmarkStart w:id="110" w:name="_Toc5221"/>
      <w:bookmarkStart w:id="111" w:name="_Toc430530441"/>
      <w:bookmarkStart w:id="112" w:name="_Toc200513132"/>
      <w:bookmarkStart w:id="113" w:name="_Toc287607752"/>
      <w:bookmarkStart w:id="114" w:name="_Toc40569145"/>
      <w:bookmarkStart w:id="115" w:name="_Toc287620691"/>
      <w:bookmarkStart w:id="116" w:name="_Toc9192"/>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5"/>
      <w:bookmarkEnd w:id="106"/>
      <w:bookmarkEnd w:id="107"/>
      <w:bookmarkEnd w:id="108"/>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17" w:name="_Toc20139"/>
      <w:bookmarkStart w:id="118" w:name="_Toc200513133"/>
      <w:bookmarkStart w:id="119" w:name="_Toc287607753"/>
      <w:bookmarkStart w:id="120" w:name="_Toc224103324"/>
      <w:bookmarkStart w:id="121" w:name="_Toc277082559"/>
      <w:bookmarkStart w:id="122" w:name="_Toc5781"/>
      <w:bookmarkStart w:id="123" w:name="_Toc40569051"/>
      <w:bookmarkStart w:id="124" w:name="_Toc430530442"/>
      <w:bookmarkStart w:id="125" w:name="_Toc509218717"/>
      <w:bookmarkStart w:id="126" w:name="_Toc40569146"/>
      <w:bookmarkStart w:id="127" w:name="_Toc287620692"/>
      <w:bookmarkStart w:id="128" w:name="_Toc5293"/>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7"/>
      <w:bookmarkEnd w:id="118"/>
      <w:bookmarkEnd w:id="119"/>
      <w:bookmarkEnd w:id="120"/>
      <w:bookmarkEnd w:id="121"/>
      <w:bookmarkEnd w:id="122"/>
      <w:bookmarkEnd w:id="123"/>
      <w:bookmarkEnd w:id="124"/>
      <w:bookmarkEnd w:id="125"/>
      <w:bookmarkEnd w:id="126"/>
      <w:bookmarkEnd w:id="127"/>
      <w:bookmarkEnd w:id="128"/>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29" w:name="_Toc509218718"/>
      <w:bookmarkStart w:id="130" w:name="_Toc430530443"/>
      <w:bookmarkStart w:id="131" w:name="_Toc287607754"/>
      <w:bookmarkStart w:id="132" w:name="_Toc277082560"/>
      <w:bookmarkStart w:id="133" w:name="_Toc224103325"/>
      <w:bookmarkStart w:id="134" w:name="_Toc40569147"/>
      <w:bookmarkStart w:id="135" w:name="_Toc7317"/>
      <w:bookmarkStart w:id="136" w:name="_Toc200513134"/>
      <w:bookmarkStart w:id="137" w:name="_Toc10589"/>
      <w:bookmarkStart w:id="138" w:name="_Toc32367"/>
      <w:bookmarkStart w:id="139" w:name="_Toc287620693"/>
      <w:bookmarkStart w:id="140" w:name="_Toc40569052"/>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9"/>
      <w:bookmarkEnd w:id="130"/>
      <w:bookmarkEnd w:id="131"/>
      <w:bookmarkEnd w:id="132"/>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41" w:name="_Toc40569053"/>
      <w:bookmarkStart w:id="142" w:name="_Toc277082561"/>
      <w:bookmarkStart w:id="143" w:name="_Toc40569148"/>
      <w:bookmarkStart w:id="144" w:name="_Toc224103326"/>
      <w:bookmarkStart w:id="145" w:name="_Toc287607755"/>
      <w:bookmarkStart w:id="146" w:name="_Toc430530444"/>
      <w:bookmarkStart w:id="147" w:name="_Toc509218719"/>
      <w:bookmarkStart w:id="148" w:name="_Toc7911"/>
      <w:bookmarkStart w:id="149" w:name="_Toc287620694"/>
      <w:bookmarkStart w:id="150" w:name="_Toc23841"/>
      <w:bookmarkStart w:id="151" w:name="_Toc200513135"/>
      <w:bookmarkStart w:id="152" w:name="_Toc1276"/>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41"/>
      <w:bookmarkEnd w:id="142"/>
      <w:bookmarkEnd w:id="143"/>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53" w:name="_Toc40569054"/>
      <w:bookmarkStart w:id="154" w:name="_Toc224103327"/>
      <w:bookmarkStart w:id="155" w:name="_Toc11881"/>
      <w:bookmarkStart w:id="156" w:name="_Toc5120"/>
      <w:bookmarkStart w:id="157" w:name="_Toc509218720"/>
      <w:bookmarkStart w:id="158" w:name="_Toc5390"/>
      <w:bookmarkStart w:id="159" w:name="_Toc200513136"/>
      <w:bookmarkStart w:id="160" w:name="_Toc287607756"/>
      <w:bookmarkStart w:id="161" w:name="_Toc40569149"/>
      <w:bookmarkStart w:id="162" w:name="_Toc277082562"/>
      <w:bookmarkStart w:id="163" w:name="_Toc287620695"/>
      <w:bookmarkStart w:id="164" w:name="_Toc430530445"/>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3"/>
      <w:bookmarkEnd w:id="154"/>
      <w:bookmarkEnd w:id="155"/>
      <w:bookmarkEnd w:id="156"/>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65" w:name="_Toc200513137"/>
      <w:bookmarkStart w:id="166" w:name="_Toc287620696"/>
      <w:bookmarkStart w:id="167" w:name="_Toc287607757"/>
      <w:bookmarkStart w:id="168" w:name="_Toc40569150"/>
      <w:bookmarkStart w:id="169" w:name="_Toc14731"/>
      <w:bookmarkStart w:id="170" w:name="_Toc430530446"/>
      <w:bookmarkStart w:id="171" w:name="_Toc40569055"/>
      <w:bookmarkStart w:id="172" w:name="_Toc224103328"/>
      <w:bookmarkStart w:id="173" w:name="_Toc10229"/>
      <w:bookmarkStart w:id="174" w:name="_Toc509218721"/>
      <w:bookmarkStart w:id="175" w:name="_Toc27798"/>
      <w:bookmarkStart w:id="176" w:name="_Toc277082563"/>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5"/>
      <w:bookmarkEnd w:id="166"/>
      <w:bookmarkEnd w:id="167"/>
      <w:bookmarkEnd w:id="168"/>
      <w:bookmarkEnd w:id="169"/>
      <w:bookmarkEnd w:id="170"/>
      <w:bookmarkEnd w:id="171"/>
      <w:bookmarkEnd w:id="172"/>
      <w:bookmarkEnd w:id="173"/>
      <w:bookmarkEnd w:id="174"/>
      <w:bookmarkEnd w:id="175"/>
      <w:bookmarkEnd w:id="176"/>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pPr>
        <w:autoSpaceDE w:val="0"/>
        <w:autoSpaceDN w:val="0"/>
        <w:adjustRightInd w:val="0"/>
        <w:snapToGrid w:val="0"/>
        <w:spacing w:line="360" w:lineRule="auto"/>
        <w:ind w:firstLine="424" w:firstLineChars="202"/>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77" w:name="_Toc28064"/>
      <w:bookmarkStart w:id="178" w:name="_Toc200513138"/>
      <w:bookmarkStart w:id="179" w:name="_Toc509218722"/>
      <w:bookmarkStart w:id="180" w:name="_Toc40569151"/>
      <w:bookmarkStart w:id="181" w:name="_Toc21877"/>
      <w:bookmarkStart w:id="182" w:name="_Toc277082564"/>
      <w:bookmarkStart w:id="183" w:name="_Toc287620697"/>
      <w:bookmarkStart w:id="184" w:name="_Toc224103329"/>
      <w:bookmarkStart w:id="185" w:name="_Toc287607758"/>
      <w:bookmarkStart w:id="186" w:name="_Toc430530447"/>
      <w:bookmarkStart w:id="187" w:name="_Toc7176"/>
      <w:bookmarkStart w:id="188" w:name="_Toc40569056"/>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7"/>
      <w:bookmarkEnd w:id="178"/>
      <w:bookmarkEnd w:id="179"/>
      <w:bookmarkEnd w:id="180"/>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189" w:name="_Toc40569152"/>
      <w:bookmarkStart w:id="190" w:name="_Toc40569057"/>
      <w:bookmarkStart w:id="191" w:name="_Toc509218723"/>
      <w:bookmarkStart w:id="192" w:name="_Toc224103330"/>
      <w:bookmarkStart w:id="193" w:name="_Toc430530448"/>
      <w:bookmarkStart w:id="194" w:name="_Toc29373"/>
      <w:bookmarkStart w:id="195" w:name="_Toc23307"/>
      <w:bookmarkStart w:id="196" w:name="_Toc287607759"/>
      <w:bookmarkStart w:id="197" w:name="_Toc277082565"/>
      <w:bookmarkStart w:id="198" w:name="_Toc287620698"/>
      <w:bookmarkStart w:id="199" w:name="_Toc5934"/>
      <w:bookmarkStart w:id="200" w:name="_Toc200513139"/>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9"/>
      <w:bookmarkEnd w:id="190"/>
      <w:bookmarkEnd w:id="191"/>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01" w:name="_Toc200513140"/>
      <w:bookmarkStart w:id="202" w:name="_Toc7676"/>
      <w:bookmarkStart w:id="203" w:name="_Toc10764"/>
      <w:bookmarkStart w:id="204" w:name="_Toc224103331"/>
      <w:bookmarkStart w:id="205" w:name="_Toc277082566"/>
      <w:bookmarkStart w:id="206" w:name="_Toc430530449"/>
      <w:bookmarkStart w:id="207" w:name="_Toc509218724"/>
      <w:bookmarkStart w:id="208" w:name="_Toc287607760"/>
      <w:bookmarkStart w:id="209" w:name="_Toc23017"/>
      <w:bookmarkStart w:id="210" w:name="_Toc287620699"/>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201"/>
      <w:bookmarkEnd w:id="202"/>
      <w:bookmarkEnd w:id="203"/>
      <w:bookmarkEnd w:id="204"/>
      <w:bookmarkEnd w:id="205"/>
      <w:bookmarkEnd w:id="206"/>
      <w:bookmarkEnd w:id="207"/>
      <w:bookmarkEnd w:id="208"/>
      <w:bookmarkEnd w:id="209"/>
      <w:bookmarkEnd w:id="210"/>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11" w:name="_Toc200513141"/>
      <w:bookmarkStart w:id="212" w:name="_Toc40569154"/>
      <w:bookmarkStart w:id="213" w:name="_Toc1329"/>
      <w:bookmarkStart w:id="214" w:name="_Toc287607761"/>
      <w:bookmarkStart w:id="215" w:name="_Toc430530450"/>
      <w:bookmarkStart w:id="216" w:name="_Toc287620700"/>
      <w:bookmarkStart w:id="217" w:name="_Toc509218725"/>
      <w:bookmarkStart w:id="218" w:name="_Toc40569059"/>
      <w:bookmarkStart w:id="219" w:name="_Toc277082567"/>
      <w:bookmarkStart w:id="220" w:name="_Toc21327"/>
      <w:bookmarkStart w:id="221" w:name="_Toc224103332"/>
      <w:bookmarkStart w:id="222" w:name="_Toc31485"/>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11"/>
      <w:bookmarkEnd w:id="212"/>
      <w:bookmarkEnd w:id="213"/>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23" w:name="_Toc20393"/>
      <w:bookmarkStart w:id="224" w:name="_Toc25357"/>
      <w:bookmarkStart w:id="225" w:name="_Toc5751"/>
      <w:bookmarkStart w:id="226" w:name="_Toc509218726"/>
      <w:bookmarkStart w:id="227" w:name="_Toc40569060"/>
      <w:bookmarkStart w:id="228" w:name="_Toc430530451"/>
      <w:bookmarkStart w:id="229" w:name="_Toc40569155"/>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3"/>
      <w:bookmarkEnd w:id="224"/>
      <w:bookmarkEnd w:id="225"/>
      <w:bookmarkEnd w:id="226"/>
      <w:bookmarkEnd w:id="227"/>
      <w:bookmarkEnd w:id="228"/>
      <w:bookmarkEnd w:id="229"/>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30" w:name="_Toc26098"/>
      <w:bookmarkStart w:id="231" w:name="_Toc8378"/>
      <w:bookmarkStart w:id="232" w:name="_Toc287620702"/>
      <w:bookmarkStart w:id="233" w:name="_Toc40569156"/>
      <w:bookmarkStart w:id="234" w:name="_Toc509218727"/>
      <w:bookmarkStart w:id="235" w:name="_Toc200513143"/>
      <w:bookmarkStart w:id="236" w:name="_Toc277082569"/>
      <w:bookmarkStart w:id="237" w:name="_Toc14087"/>
      <w:bookmarkStart w:id="238" w:name="_Toc224103334"/>
      <w:bookmarkStart w:id="239" w:name="_Toc430530452"/>
      <w:bookmarkStart w:id="240" w:name="_Toc287607763"/>
      <w:bookmarkStart w:id="241" w:name="_Toc40569061"/>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30"/>
      <w:bookmarkEnd w:id="231"/>
      <w:bookmarkEnd w:id="232"/>
      <w:bookmarkEnd w:id="233"/>
      <w:bookmarkEnd w:id="234"/>
      <w:bookmarkEnd w:id="235"/>
      <w:bookmarkEnd w:id="236"/>
      <w:bookmarkEnd w:id="237"/>
      <w:bookmarkEnd w:id="238"/>
      <w:bookmarkEnd w:id="239"/>
      <w:bookmarkEnd w:id="240"/>
      <w:bookmarkEnd w:id="241"/>
    </w:p>
    <w:p>
      <w:pPr>
        <w:autoSpaceDE w:val="0"/>
        <w:autoSpaceDN w:val="0"/>
        <w:adjustRightInd w:val="0"/>
        <w:snapToGrid w:val="0"/>
        <w:spacing w:line="360" w:lineRule="auto"/>
        <w:ind w:firstLine="420"/>
        <w:rPr>
          <w:rFonts w:ascii="宋体" w:hAnsi="宋体" w:cs="宋体"/>
          <w:snapToGrid w:val="0"/>
          <w:color w:val="000000" w:themeColor="text1"/>
          <w:highlight w:val="none"/>
          <w14:textFill>
            <w14:solidFill>
              <w14:schemeClr w14:val="tx1"/>
            </w14:solidFill>
          </w14:textFill>
        </w:rPr>
      </w:pPr>
      <w:bookmarkStart w:id="242" w:name="_Toc277082570"/>
      <w:bookmarkStart w:id="243" w:name="_Toc224103335"/>
      <w:bookmarkStart w:id="244" w:name="_Toc287607764"/>
      <w:bookmarkStart w:id="245" w:name="_Toc287620703"/>
      <w:bookmarkStart w:id="246" w:name="_Toc200513144"/>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47" w:name="_Toc6009"/>
      <w:bookmarkStart w:id="248" w:name="_Toc5400"/>
      <w:bookmarkStart w:id="249" w:name="_Toc430530453"/>
      <w:bookmarkStart w:id="250" w:name="_Toc22016"/>
      <w:bookmarkStart w:id="251" w:name="_Toc509218728"/>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2"/>
      <w:bookmarkEnd w:id="243"/>
      <w:bookmarkEnd w:id="244"/>
      <w:bookmarkEnd w:id="245"/>
      <w:bookmarkEnd w:id="246"/>
      <w:bookmarkEnd w:id="247"/>
      <w:bookmarkEnd w:id="248"/>
      <w:bookmarkEnd w:id="249"/>
      <w:bookmarkEnd w:id="250"/>
      <w:bookmarkEnd w:id="251"/>
      <w:r>
        <w:rPr>
          <w:rFonts w:hint="eastAsia" w:ascii="宋体" w:hAnsi="宋体" w:cs="宋体"/>
          <w:b w:val="0"/>
          <w:snapToGrid w:val="0"/>
          <w:color w:val="000000" w:themeColor="text1"/>
          <w:sz w:val="24"/>
          <w:szCs w:val="24"/>
          <w:highlight w:val="none"/>
          <w14:textFill>
            <w14:solidFill>
              <w14:schemeClr w14:val="tx1"/>
            </w14:solidFill>
          </w14:textFill>
        </w:rPr>
        <w:t>竞选文件</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52" w:name="_Toc287607765"/>
      <w:bookmarkStart w:id="253" w:name="_Toc287620704"/>
      <w:bookmarkStart w:id="254" w:name="_Toc200513145"/>
      <w:bookmarkStart w:id="255" w:name="_Toc7795"/>
      <w:bookmarkStart w:id="256" w:name="_Toc40569063"/>
      <w:bookmarkStart w:id="257" w:name="_Toc509218729"/>
      <w:bookmarkStart w:id="258" w:name="_Toc29196"/>
      <w:bookmarkStart w:id="259" w:name="_Toc13714"/>
      <w:bookmarkStart w:id="260" w:name="_Toc277082571"/>
      <w:bookmarkStart w:id="261" w:name="_Toc430530454"/>
      <w:bookmarkStart w:id="262" w:name="_Toc224103336"/>
      <w:bookmarkStart w:id="263" w:name="_Toc40569158"/>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2"/>
      <w:bookmarkEnd w:id="253"/>
      <w:bookmarkEnd w:id="254"/>
      <w:bookmarkEnd w:id="255"/>
      <w:bookmarkEnd w:id="256"/>
      <w:bookmarkEnd w:id="257"/>
      <w:bookmarkEnd w:id="258"/>
      <w:bookmarkEnd w:id="259"/>
      <w:bookmarkEnd w:id="260"/>
      <w:bookmarkEnd w:id="261"/>
      <w:bookmarkEnd w:id="262"/>
      <w:bookmarkEnd w:id="26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pPr>
        <w:autoSpaceDE w:val="0"/>
        <w:autoSpaceDN w:val="0"/>
        <w:adjustRightInd w:val="0"/>
        <w:snapToGrid w:val="0"/>
        <w:spacing w:line="360" w:lineRule="auto"/>
        <w:ind w:left="359" w:leftChars="171"/>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64" w:name="_Toc287620705"/>
      <w:bookmarkStart w:id="265" w:name="_Toc509218730"/>
      <w:bookmarkStart w:id="266" w:name="_Toc3265"/>
      <w:bookmarkStart w:id="267" w:name="_Toc224103337"/>
      <w:bookmarkStart w:id="268" w:name="_Toc277082572"/>
      <w:bookmarkStart w:id="269" w:name="_Toc200513146"/>
      <w:bookmarkStart w:id="270" w:name="_Toc430530455"/>
      <w:bookmarkStart w:id="271" w:name="_Toc40569159"/>
      <w:bookmarkStart w:id="272" w:name="_Toc2578"/>
      <w:bookmarkStart w:id="273" w:name="_Toc40569064"/>
      <w:bookmarkStart w:id="274" w:name="_Toc287607766"/>
      <w:bookmarkStart w:id="275" w:name="_Toc5935"/>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4"/>
      <w:bookmarkEnd w:id="265"/>
      <w:bookmarkEnd w:id="266"/>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76" w:name="_Toc40569065"/>
      <w:bookmarkStart w:id="277" w:name="_Toc509218731"/>
      <w:bookmarkStart w:id="278" w:name="_Toc224103338"/>
      <w:bookmarkStart w:id="279" w:name="_Toc27583"/>
      <w:bookmarkStart w:id="280" w:name="_Toc287620706"/>
      <w:bookmarkStart w:id="281" w:name="_Toc430530456"/>
      <w:bookmarkStart w:id="282" w:name="_Toc277082573"/>
      <w:bookmarkStart w:id="283" w:name="_Toc200513147"/>
      <w:bookmarkStart w:id="284" w:name="_Toc15462"/>
      <w:bookmarkStart w:id="285" w:name="_Toc287607767"/>
      <w:bookmarkStart w:id="286" w:name="_Toc40569160"/>
      <w:bookmarkStart w:id="287" w:name="_Toc915"/>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6"/>
      <w:bookmarkEnd w:id="277"/>
      <w:bookmarkEnd w:id="278"/>
      <w:bookmarkEnd w:id="279"/>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288" w:name="_Toc277082574"/>
      <w:bookmarkStart w:id="289" w:name="_Toc40569161"/>
      <w:bookmarkStart w:id="290" w:name="_Toc287607768"/>
      <w:bookmarkStart w:id="291" w:name="_Toc430530457"/>
      <w:bookmarkStart w:id="292" w:name="_Toc40569066"/>
      <w:bookmarkStart w:id="293" w:name="_Toc224103339"/>
      <w:bookmarkStart w:id="294" w:name="_Toc14235"/>
      <w:bookmarkStart w:id="295" w:name="_Toc19857"/>
      <w:bookmarkStart w:id="296" w:name="_Toc287620707"/>
      <w:bookmarkStart w:id="297" w:name="_Toc509218732"/>
      <w:bookmarkStart w:id="298" w:name="_Toc200513148"/>
      <w:bookmarkStart w:id="299" w:name="_Toc26206"/>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8"/>
      <w:bookmarkEnd w:id="289"/>
      <w:bookmarkEnd w:id="290"/>
      <w:bookmarkEnd w:id="291"/>
      <w:bookmarkEnd w:id="292"/>
      <w:bookmarkEnd w:id="293"/>
      <w:bookmarkEnd w:id="294"/>
      <w:bookmarkEnd w:id="295"/>
      <w:bookmarkEnd w:id="296"/>
      <w:bookmarkEnd w:id="297"/>
      <w:bookmarkEnd w:id="298"/>
      <w:bookmarkEnd w:id="299"/>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pPr>
        <w:autoSpaceDE w:val="0"/>
        <w:autoSpaceDN w:val="0"/>
        <w:adjustRightInd w:val="0"/>
        <w:snapToGrid w:val="0"/>
        <w:spacing w:line="360" w:lineRule="auto"/>
        <w:ind w:left="13" w:leftChars="6" w:firstLine="405" w:firstLineChars="193"/>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pPr>
        <w:tabs>
          <w:tab w:val="left" w:pos="611"/>
          <w:tab w:val="left" w:pos="669"/>
        </w:tabs>
        <w:snapToGrid w:val="0"/>
        <w:spacing w:line="360" w:lineRule="auto"/>
        <w:ind w:firstLine="42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pPr>
        <w:tabs>
          <w:tab w:val="left" w:pos="611"/>
          <w:tab w:val="left" w:pos="669"/>
        </w:tabs>
        <w:snapToGrid w:val="0"/>
        <w:spacing w:line="360" w:lineRule="auto"/>
        <w:ind w:firstLine="945" w:firstLineChars="45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00" w:name="_Toc287607770"/>
      <w:bookmarkStart w:id="301" w:name="_Toc430530459"/>
      <w:bookmarkStart w:id="302" w:name="_Toc30972"/>
      <w:bookmarkStart w:id="303" w:name="_Toc200513150"/>
      <w:bookmarkStart w:id="304" w:name="_Toc40569067"/>
      <w:bookmarkStart w:id="305" w:name="_Toc277082576"/>
      <w:bookmarkStart w:id="306" w:name="_Toc509218734"/>
      <w:bookmarkStart w:id="307" w:name="_Toc40569162"/>
      <w:bookmarkStart w:id="308" w:name="_Toc287620709"/>
      <w:bookmarkStart w:id="309" w:name="_Toc7055"/>
      <w:bookmarkStart w:id="310" w:name="_Toc8188"/>
      <w:bookmarkStart w:id="311" w:name="_Toc224103341"/>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300"/>
      <w:bookmarkEnd w:id="301"/>
      <w:bookmarkEnd w:id="302"/>
      <w:bookmarkEnd w:id="303"/>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left="103" w:leftChars="49" w:right="37"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pPr>
        <w:autoSpaceDE w:val="0"/>
        <w:autoSpaceDN w:val="0"/>
        <w:adjustRightInd w:val="0"/>
        <w:snapToGrid w:val="0"/>
        <w:spacing w:line="360" w:lineRule="auto"/>
        <w:ind w:left="103" w:leftChars="49" w:right="37"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12" w:name="_Toc7522"/>
      <w:bookmarkStart w:id="313" w:name="_Toc287607771"/>
      <w:bookmarkStart w:id="314" w:name="_Toc509218735"/>
      <w:bookmarkStart w:id="315" w:name="_Toc287620710"/>
      <w:bookmarkStart w:id="316" w:name="_Toc430530460"/>
      <w:bookmarkStart w:id="317" w:name="_Toc9341"/>
      <w:bookmarkStart w:id="318" w:name="_Toc40569068"/>
      <w:bookmarkStart w:id="319" w:name="_Toc277082577"/>
      <w:bookmarkStart w:id="320" w:name="_Toc224103342"/>
      <w:bookmarkStart w:id="321" w:name="_Toc40569163"/>
      <w:bookmarkStart w:id="322" w:name="_Toc200513151"/>
      <w:bookmarkStart w:id="323" w:name="_Toc26526"/>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2"/>
      <w:bookmarkEnd w:id="313"/>
      <w:bookmarkEnd w:id="314"/>
      <w:bookmarkEnd w:id="315"/>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24" w:name="_Toc224103343"/>
      <w:bookmarkStart w:id="325" w:name="_Toc40569164"/>
      <w:bookmarkStart w:id="326" w:name="_Toc509218736"/>
      <w:bookmarkStart w:id="327" w:name="_Toc277082578"/>
      <w:bookmarkStart w:id="328" w:name="_Toc430530461"/>
      <w:bookmarkStart w:id="329" w:name="_Toc40569069"/>
      <w:bookmarkStart w:id="330" w:name="_Toc29561"/>
      <w:bookmarkStart w:id="331" w:name="_Toc200513152"/>
      <w:bookmarkStart w:id="332" w:name="_Toc25048"/>
      <w:bookmarkStart w:id="333" w:name="_Toc29274"/>
      <w:bookmarkStart w:id="334" w:name="_Toc287620711"/>
      <w:bookmarkStart w:id="335" w:name="_Toc287607772"/>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4"/>
      <w:bookmarkEnd w:id="325"/>
      <w:bookmarkEnd w:id="326"/>
      <w:bookmarkEnd w:id="327"/>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pPr>
        <w:autoSpaceDE w:val="0"/>
        <w:autoSpaceDN w:val="0"/>
        <w:adjustRightInd w:val="0"/>
        <w:snapToGrid w:val="0"/>
        <w:spacing w:line="360" w:lineRule="auto"/>
        <w:ind w:right="-164" w:firstLine="420" w:firstLineChars="200"/>
        <w:rPr>
          <w:rFonts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pPr>
        <w:autoSpaceDE w:val="0"/>
        <w:autoSpaceDN w:val="0"/>
        <w:adjustRightInd w:val="0"/>
        <w:snapToGrid w:val="0"/>
        <w:spacing w:line="360" w:lineRule="auto"/>
        <w:ind w:right="-109"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36" w:name="_Toc287620712"/>
      <w:bookmarkStart w:id="337" w:name="_Toc430530462"/>
      <w:bookmarkStart w:id="338" w:name="_Toc26662"/>
      <w:bookmarkStart w:id="339" w:name="_Toc224103344"/>
      <w:bookmarkStart w:id="340" w:name="_Toc287607773"/>
      <w:bookmarkStart w:id="341" w:name="_Toc17781"/>
      <w:bookmarkStart w:id="342" w:name="_Toc509218737"/>
      <w:bookmarkStart w:id="343" w:name="_Toc31627"/>
      <w:bookmarkStart w:id="344" w:name="_Toc277082579"/>
      <w:bookmarkStart w:id="345" w:name="_Toc200513153"/>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6"/>
      <w:bookmarkEnd w:id="337"/>
      <w:bookmarkEnd w:id="338"/>
      <w:bookmarkEnd w:id="339"/>
      <w:bookmarkEnd w:id="340"/>
      <w:bookmarkEnd w:id="341"/>
      <w:bookmarkEnd w:id="342"/>
      <w:bookmarkEnd w:id="343"/>
      <w:bookmarkEnd w:id="344"/>
      <w:bookmarkEnd w:id="345"/>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46" w:name="_Toc40569071"/>
      <w:bookmarkStart w:id="347" w:name="_Toc287620713"/>
      <w:bookmarkStart w:id="348" w:name="_Toc430530463"/>
      <w:bookmarkStart w:id="349" w:name="_Toc30123"/>
      <w:bookmarkStart w:id="350" w:name="_Toc224103345"/>
      <w:bookmarkStart w:id="351" w:name="_Toc40569166"/>
      <w:bookmarkStart w:id="352" w:name="_Toc509218738"/>
      <w:bookmarkStart w:id="353" w:name="_Toc277082580"/>
      <w:bookmarkStart w:id="354" w:name="_Toc21526"/>
      <w:bookmarkStart w:id="355" w:name="_Toc287607774"/>
      <w:bookmarkStart w:id="356" w:name="_Toc1906"/>
      <w:bookmarkStart w:id="357" w:name="_Toc200513154"/>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6"/>
      <w:bookmarkEnd w:id="347"/>
      <w:bookmarkEnd w:id="348"/>
      <w:bookmarkEnd w:id="349"/>
      <w:bookmarkEnd w:id="350"/>
      <w:bookmarkEnd w:id="351"/>
      <w:bookmarkEnd w:id="352"/>
      <w:bookmarkEnd w:id="353"/>
      <w:bookmarkEnd w:id="354"/>
      <w:bookmarkEnd w:id="355"/>
      <w:bookmarkEnd w:id="356"/>
      <w:bookmarkEnd w:id="357"/>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bookmarkStart w:id="358"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59" w:name="_Toc509218739"/>
      <w:bookmarkStart w:id="360" w:name="_Toc40569072"/>
      <w:bookmarkStart w:id="361" w:name="_Toc224103346"/>
      <w:bookmarkStart w:id="362" w:name="_Toc11740"/>
      <w:bookmarkStart w:id="363" w:name="_Toc287620714"/>
      <w:bookmarkStart w:id="364" w:name="_Toc7699"/>
      <w:bookmarkStart w:id="365" w:name="_Toc430530464"/>
      <w:bookmarkStart w:id="366" w:name="_Toc40569167"/>
      <w:bookmarkStart w:id="367" w:name="_Toc287607775"/>
      <w:bookmarkStart w:id="368" w:name="_Toc277082581"/>
      <w:bookmarkStart w:id="369" w:name="_Toc26108"/>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8"/>
      <w:bookmarkEnd w:id="359"/>
      <w:bookmarkEnd w:id="360"/>
      <w:bookmarkEnd w:id="361"/>
      <w:bookmarkEnd w:id="362"/>
      <w:bookmarkEnd w:id="363"/>
      <w:bookmarkEnd w:id="364"/>
      <w:bookmarkEnd w:id="365"/>
      <w:bookmarkEnd w:id="366"/>
      <w:bookmarkEnd w:id="367"/>
      <w:bookmarkEnd w:id="368"/>
      <w:bookmarkEnd w:id="36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70" w:name="_Toc430530465"/>
      <w:bookmarkStart w:id="371" w:name="_Toc287620715"/>
      <w:bookmarkStart w:id="372" w:name="_Toc277082582"/>
      <w:bookmarkStart w:id="373" w:name="_Toc40569073"/>
      <w:bookmarkStart w:id="374" w:name="_Toc224103347"/>
      <w:bookmarkStart w:id="375" w:name="_Toc23344"/>
      <w:bookmarkStart w:id="376" w:name="_Toc40569168"/>
      <w:bookmarkStart w:id="377" w:name="_Toc30961"/>
      <w:bookmarkStart w:id="378" w:name="_Toc287607776"/>
      <w:bookmarkStart w:id="379" w:name="_Toc200513156"/>
      <w:bookmarkStart w:id="380" w:name="_Toc13850"/>
      <w:bookmarkStart w:id="381" w:name="_Toc509218740"/>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70"/>
      <w:bookmarkEnd w:id="371"/>
      <w:bookmarkEnd w:id="372"/>
      <w:bookmarkEnd w:id="373"/>
      <w:bookmarkEnd w:id="374"/>
      <w:bookmarkEnd w:id="375"/>
      <w:bookmarkEnd w:id="376"/>
      <w:bookmarkEnd w:id="377"/>
      <w:bookmarkEnd w:id="378"/>
      <w:bookmarkEnd w:id="379"/>
      <w:bookmarkEnd w:id="380"/>
      <w:bookmarkEnd w:id="381"/>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82" w:name="_Toc509218741"/>
      <w:bookmarkStart w:id="383" w:name="_Toc7310"/>
      <w:bookmarkStart w:id="384" w:name="_Toc277082583"/>
      <w:bookmarkStart w:id="385" w:name="_Toc18092"/>
      <w:bookmarkStart w:id="386" w:name="_Toc24445"/>
      <w:bookmarkStart w:id="387" w:name="_Toc287607777"/>
      <w:bookmarkStart w:id="388" w:name="_Toc224103348"/>
      <w:bookmarkStart w:id="389" w:name="_Toc430530466"/>
      <w:bookmarkStart w:id="390" w:name="_Toc287620716"/>
      <w:bookmarkStart w:id="391" w:name="_Toc200513157"/>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2"/>
      <w:bookmarkEnd w:id="383"/>
      <w:bookmarkEnd w:id="384"/>
      <w:bookmarkEnd w:id="385"/>
      <w:bookmarkEnd w:id="386"/>
      <w:bookmarkEnd w:id="387"/>
      <w:bookmarkEnd w:id="388"/>
      <w:bookmarkEnd w:id="389"/>
      <w:bookmarkEnd w:id="390"/>
      <w:bookmarkEnd w:id="391"/>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392" w:name="_Toc40569075"/>
      <w:bookmarkStart w:id="393" w:name="_Toc287620717"/>
      <w:bookmarkStart w:id="394" w:name="_Toc430530467"/>
      <w:bookmarkStart w:id="395" w:name="_Toc23360"/>
      <w:bookmarkStart w:id="396" w:name="_Toc40569170"/>
      <w:bookmarkStart w:id="397" w:name="_Toc224103349"/>
      <w:bookmarkStart w:id="398" w:name="_Toc21177"/>
      <w:bookmarkStart w:id="399" w:name="_Toc509218742"/>
      <w:bookmarkStart w:id="400" w:name="_Toc277082584"/>
      <w:bookmarkStart w:id="401" w:name="_Toc287607778"/>
      <w:bookmarkStart w:id="402" w:name="_Toc21647"/>
      <w:bookmarkStart w:id="403" w:name="_Toc200513158"/>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2"/>
      <w:bookmarkEnd w:id="393"/>
      <w:bookmarkEnd w:id="394"/>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04" w:name="_Toc277082585"/>
      <w:bookmarkStart w:id="405" w:name="_Toc2116"/>
      <w:bookmarkStart w:id="406" w:name="_Toc40569171"/>
      <w:bookmarkStart w:id="407" w:name="_Toc9819"/>
      <w:bookmarkStart w:id="408" w:name="_Toc430530468"/>
      <w:bookmarkStart w:id="409" w:name="_Toc4086"/>
      <w:bookmarkStart w:id="410" w:name="_Toc200513159"/>
      <w:bookmarkStart w:id="411" w:name="_Toc224103350"/>
      <w:bookmarkStart w:id="412" w:name="_Toc509218743"/>
      <w:bookmarkStart w:id="413" w:name="_Toc287620718"/>
      <w:bookmarkStart w:id="414" w:name="_Toc40569076"/>
      <w:bookmarkStart w:id="415" w:name="_Toc287607779"/>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4"/>
      <w:bookmarkEnd w:id="405"/>
      <w:bookmarkEnd w:id="406"/>
      <w:bookmarkEnd w:id="407"/>
      <w:bookmarkEnd w:id="408"/>
      <w:bookmarkEnd w:id="409"/>
      <w:bookmarkEnd w:id="410"/>
      <w:bookmarkEnd w:id="411"/>
      <w:bookmarkEnd w:id="412"/>
      <w:bookmarkEnd w:id="413"/>
      <w:bookmarkEnd w:id="414"/>
      <w:bookmarkEnd w:id="415"/>
    </w:p>
    <w:p>
      <w:pPr>
        <w:autoSpaceDE w:val="0"/>
        <w:autoSpaceDN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416" w:name="_Toc277082586"/>
      <w:bookmarkStart w:id="417" w:name="_Toc200513160"/>
      <w:bookmarkStart w:id="418" w:name="_Toc224103351"/>
      <w:bookmarkStart w:id="419" w:name="_Toc287607780"/>
      <w:bookmarkStart w:id="420" w:name="_Toc287620719"/>
      <w:r>
        <w:rPr>
          <w:rFonts w:hint="eastAsia" w:ascii="宋体" w:hAnsi="宋体" w:cs="宋体"/>
          <w:color w:val="000000" w:themeColor="text1"/>
          <w:szCs w:val="21"/>
          <w:highlight w:val="none"/>
          <w14:textFill>
            <w14:solidFill>
              <w14:schemeClr w14:val="tx1"/>
            </w14:solidFill>
          </w14:textFill>
        </w:rPr>
        <w:t>详见竞选人须知前附表5.2开标程序。</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21" w:name="_Toc29670"/>
      <w:bookmarkStart w:id="422" w:name="_Toc430530469"/>
      <w:bookmarkStart w:id="423" w:name="_Toc28222"/>
      <w:bookmarkStart w:id="424" w:name="_Toc509218744"/>
      <w:bookmarkStart w:id="425" w:name="_Toc20444"/>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6"/>
      <w:bookmarkEnd w:id="417"/>
      <w:bookmarkEnd w:id="418"/>
      <w:bookmarkEnd w:id="419"/>
      <w:bookmarkEnd w:id="420"/>
      <w:bookmarkEnd w:id="421"/>
      <w:bookmarkEnd w:id="422"/>
      <w:bookmarkEnd w:id="423"/>
      <w:bookmarkEnd w:id="424"/>
      <w:bookmarkEnd w:id="425"/>
      <w:r>
        <w:rPr>
          <w:rFonts w:hint="eastAsia" w:ascii="宋体" w:hAnsi="宋体" w:cs="宋体"/>
          <w:b w:val="0"/>
          <w:snapToGrid w:val="0"/>
          <w:color w:val="000000" w:themeColor="text1"/>
          <w:sz w:val="24"/>
          <w:szCs w:val="24"/>
          <w:highlight w:val="none"/>
          <w14:textFill>
            <w14:solidFill>
              <w14:schemeClr w14:val="tx1"/>
            </w14:solidFill>
          </w14:textFill>
        </w:rPr>
        <w:t>评选</w:t>
      </w:r>
    </w:p>
    <w:p>
      <w:pPr>
        <w:pStyle w:val="4"/>
        <w:keepNext w:val="0"/>
        <w:keepLines w:val="0"/>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26" w:name="_Toc430530470"/>
      <w:bookmarkStart w:id="427" w:name="_Toc40569078"/>
      <w:bookmarkStart w:id="428" w:name="_Toc287607781"/>
      <w:bookmarkStart w:id="429" w:name="_Toc200513161"/>
      <w:bookmarkStart w:id="430" w:name="_Toc11628"/>
      <w:bookmarkStart w:id="431" w:name="_Toc224103352"/>
      <w:bookmarkStart w:id="432" w:name="_Toc40569173"/>
      <w:bookmarkStart w:id="433" w:name="_Toc287620720"/>
      <w:bookmarkStart w:id="434" w:name="_Toc509218745"/>
      <w:bookmarkStart w:id="435" w:name="_Toc8411"/>
      <w:bookmarkStart w:id="436" w:name="_Toc277082587"/>
      <w:bookmarkStart w:id="437" w:name="_Toc1171"/>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6"/>
      <w:bookmarkEnd w:id="427"/>
      <w:bookmarkEnd w:id="428"/>
      <w:bookmarkEnd w:id="429"/>
      <w:bookmarkEnd w:id="430"/>
      <w:bookmarkEnd w:id="431"/>
      <w:bookmarkEnd w:id="432"/>
      <w:bookmarkEnd w:id="433"/>
      <w:bookmarkEnd w:id="434"/>
      <w:bookmarkEnd w:id="435"/>
      <w:bookmarkEnd w:id="436"/>
      <w:bookmarkEnd w:id="437"/>
    </w:p>
    <w:p>
      <w:pPr>
        <w:autoSpaceDE w:val="0"/>
        <w:autoSpaceDN w:val="0"/>
        <w:adjustRightInd w:val="0"/>
        <w:snapToGrid w:val="0"/>
        <w:spacing w:line="360" w:lineRule="auto"/>
        <w:ind w:firstLine="420" w:firstLineChars="200"/>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38" w:name="_Toc1737"/>
      <w:bookmarkStart w:id="439" w:name="_Toc224103353"/>
      <w:bookmarkStart w:id="440" w:name="_Toc509218746"/>
      <w:bookmarkStart w:id="441" w:name="_Toc19907"/>
      <w:bookmarkStart w:id="442" w:name="_Toc287620721"/>
      <w:bookmarkStart w:id="443" w:name="_Toc5380"/>
      <w:bookmarkStart w:id="444" w:name="_Toc40569174"/>
      <w:bookmarkStart w:id="445" w:name="_Toc200513162"/>
      <w:bookmarkStart w:id="446" w:name="_Toc287607782"/>
      <w:bookmarkStart w:id="447" w:name="_Toc430530471"/>
      <w:bookmarkStart w:id="448" w:name="_Toc40569079"/>
      <w:bookmarkStart w:id="449" w:name="_Toc277082588"/>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8"/>
      <w:bookmarkEnd w:id="439"/>
      <w:bookmarkEnd w:id="440"/>
      <w:bookmarkEnd w:id="441"/>
      <w:bookmarkEnd w:id="442"/>
      <w:bookmarkEnd w:id="443"/>
      <w:bookmarkEnd w:id="444"/>
      <w:bookmarkEnd w:id="445"/>
      <w:bookmarkEnd w:id="446"/>
      <w:bookmarkEnd w:id="447"/>
      <w:bookmarkEnd w:id="448"/>
      <w:bookmarkEnd w:id="449"/>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50" w:name="_Toc287607783"/>
      <w:bookmarkStart w:id="451" w:name="_Toc430530472"/>
      <w:bookmarkStart w:id="452" w:name="_Toc509218747"/>
      <w:bookmarkStart w:id="453" w:name="_Toc224103354"/>
      <w:bookmarkStart w:id="454" w:name="_Toc40569175"/>
      <w:bookmarkStart w:id="455" w:name="_Toc287620722"/>
      <w:bookmarkStart w:id="456" w:name="_Toc29814"/>
      <w:bookmarkStart w:id="457" w:name="_Toc40569080"/>
      <w:bookmarkStart w:id="458" w:name="_Toc200513163"/>
      <w:bookmarkStart w:id="459" w:name="_Toc32653"/>
      <w:bookmarkStart w:id="460" w:name="_Toc17901"/>
      <w:bookmarkStart w:id="461" w:name="_Toc277082589"/>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b w:val="0"/>
          <w:snapToGrid w:val="0"/>
          <w:color w:val="000000" w:themeColor="text1"/>
          <w:sz w:val="24"/>
          <w:szCs w:val="24"/>
          <w:highlight w:val="none"/>
          <w14:textFill>
            <w14:solidFill>
              <w14:schemeClr w14:val="tx1"/>
            </w14:solidFill>
          </w14:textFill>
        </w:rPr>
        <w:t>评选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62" w:name="_Toc287607784"/>
      <w:bookmarkStart w:id="463" w:name="_Toc430530473"/>
      <w:bookmarkStart w:id="464" w:name="_Toc200513164"/>
      <w:bookmarkStart w:id="465" w:name="_Toc509218748"/>
      <w:bookmarkStart w:id="466" w:name="_Toc224103355"/>
      <w:bookmarkStart w:id="467" w:name="_Toc23357"/>
      <w:bookmarkStart w:id="468" w:name="_Toc27760"/>
      <w:bookmarkStart w:id="469" w:name="_Toc677"/>
      <w:bookmarkStart w:id="470" w:name="_Toc287620723"/>
      <w:bookmarkStart w:id="471" w:name="_Toc277082590"/>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2"/>
      <w:bookmarkEnd w:id="463"/>
      <w:bookmarkEnd w:id="464"/>
      <w:bookmarkEnd w:id="465"/>
      <w:bookmarkEnd w:id="466"/>
      <w:bookmarkEnd w:id="467"/>
      <w:bookmarkEnd w:id="468"/>
      <w:bookmarkEnd w:id="469"/>
      <w:bookmarkEnd w:id="470"/>
      <w:bookmarkEnd w:id="471"/>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72" w:name="_Toc200513165"/>
      <w:bookmarkStart w:id="473" w:name="_Toc14144"/>
      <w:bookmarkStart w:id="474" w:name="_Toc12014"/>
      <w:bookmarkStart w:id="475" w:name="_Toc40569082"/>
      <w:bookmarkStart w:id="476" w:name="_Toc287607785"/>
      <w:bookmarkStart w:id="477" w:name="_Toc430530474"/>
      <w:bookmarkStart w:id="478" w:name="_Toc224103356"/>
      <w:bookmarkStart w:id="479" w:name="_Toc277082591"/>
      <w:bookmarkStart w:id="480" w:name="_Toc40569177"/>
      <w:bookmarkStart w:id="481" w:name="_Toc287620724"/>
      <w:bookmarkStart w:id="482" w:name="_Toc509218749"/>
      <w:bookmarkStart w:id="483" w:name="_Toc12616"/>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2"/>
      <w:bookmarkEnd w:id="473"/>
      <w:bookmarkEnd w:id="474"/>
      <w:bookmarkEnd w:id="475"/>
      <w:bookmarkEnd w:id="476"/>
      <w:bookmarkEnd w:id="477"/>
      <w:bookmarkEnd w:id="478"/>
      <w:bookmarkEnd w:id="479"/>
      <w:bookmarkEnd w:id="480"/>
      <w:bookmarkEnd w:id="481"/>
      <w:bookmarkEnd w:id="482"/>
      <w:bookmarkEnd w:id="483"/>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84" w:name="_Toc23600"/>
      <w:bookmarkStart w:id="485" w:name="_Toc509218750"/>
      <w:bookmarkStart w:id="486" w:name="_Toc430530475"/>
      <w:bookmarkStart w:id="487" w:name="_Toc3480"/>
      <w:bookmarkStart w:id="488" w:name="_Toc40569083"/>
      <w:bookmarkStart w:id="489" w:name="_Toc757"/>
      <w:bookmarkStart w:id="490" w:name="_Toc40569178"/>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4"/>
      <w:bookmarkEnd w:id="485"/>
      <w:bookmarkEnd w:id="486"/>
      <w:bookmarkEnd w:id="487"/>
      <w:bookmarkEnd w:id="488"/>
      <w:bookmarkEnd w:id="489"/>
      <w:bookmarkEnd w:id="490"/>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491" w:name="_Toc40569084"/>
      <w:bookmarkStart w:id="492" w:name="_Toc31150"/>
      <w:bookmarkStart w:id="493" w:name="_Toc277082593"/>
      <w:bookmarkStart w:id="494" w:name="_Toc509218751"/>
      <w:bookmarkStart w:id="495" w:name="_Toc20679"/>
      <w:bookmarkStart w:id="496" w:name="_Toc1444"/>
      <w:bookmarkStart w:id="497" w:name="_Toc287607787"/>
      <w:bookmarkStart w:id="498" w:name="_Toc287620726"/>
      <w:bookmarkStart w:id="499" w:name="_Toc40569179"/>
      <w:bookmarkStart w:id="500" w:name="_Toc200513167"/>
      <w:bookmarkStart w:id="501" w:name="_Toc430530476"/>
      <w:bookmarkStart w:id="502" w:name="_Toc224103358"/>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91"/>
      <w:bookmarkEnd w:id="492"/>
      <w:bookmarkEnd w:id="493"/>
      <w:bookmarkEnd w:id="494"/>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03" w:name="_Toc23731"/>
      <w:bookmarkStart w:id="504" w:name="_Toc40569180"/>
      <w:bookmarkStart w:id="505" w:name="_Toc224103359"/>
      <w:bookmarkStart w:id="506" w:name="_Toc430530477"/>
      <w:bookmarkStart w:id="507" w:name="_Toc287620727"/>
      <w:bookmarkStart w:id="508" w:name="_Toc509218752"/>
      <w:bookmarkStart w:id="509" w:name="_Toc3209"/>
      <w:bookmarkStart w:id="510" w:name="_Toc287607788"/>
      <w:bookmarkStart w:id="511" w:name="_Toc40569085"/>
      <w:bookmarkStart w:id="512" w:name="_Toc1871"/>
      <w:bookmarkStart w:id="513" w:name="_Toc200513168"/>
      <w:bookmarkStart w:id="514" w:name="_Toc277082594"/>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15" w:name="_Toc200513169"/>
      <w:bookmarkStart w:id="516" w:name="_Toc277082595"/>
      <w:bookmarkStart w:id="517" w:name="_Toc430530478"/>
      <w:bookmarkStart w:id="518" w:name="_Toc387"/>
      <w:bookmarkStart w:id="519" w:name="_Toc4906"/>
      <w:bookmarkStart w:id="520" w:name="_Toc287607789"/>
      <w:bookmarkStart w:id="521" w:name="_Toc287620728"/>
      <w:bookmarkStart w:id="522" w:name="_Toc224103360"/>
      <w:bookmarkStart w:id="523" w:name="_Toc32452"/>
      <w:bookmarkStart w:id="524" w:name="_Toc509218753"/>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5"/>
      <w:bookmarkEnd w:id="516"/>
      <w:bookmarkEnd w:id="517"/>
      <w:bookmarkEnd w:id="518"/>
      <w:bookmarkEnd w:id="519"/>
      <w:bookmarkEnd w:id="520"/>
      <w:bookmarkEnd w:id="521"/>
      <w:bookmarkEnd w:id="522"/>
      <w:bookmarkEnd w:id="523"/>
      <w:bookmarkEnd w:id="524"/>
      <w:r>
        <w:rPr>
          <w:rFonts w:hint="eastAsia" w:ascii="宋体" w:hAnsi="宋体" w:cs="宋体"/>
          <w:b w:val="0"/>
          <w:snapToGrid w:val="0"/>
          <w:color w:val="000000" w:themeColor="text1"/>
          <w:sz w:val="24"/>
          <w:szCs w:val="24"/>
          <w:highlight w:val="none"/>
          <w14:textFill>
            <w14:solidFill>
              <w14:schemeClr w14:val="tx1"/>
            </w14:solidFill>
          </w14:textFill>
        </w:rPr>
        <w:t>比选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25" w:name="_Toc430530479"/>
      <w:bookmarkStart w:id="526" w:name="_Toc40569182"/>
      <w:bookmarkStart w:id="527" w:name="_Toc287620729"/>
      <w:bookmarkStart w:id="528" w:name="_Toc509218754"/>
      <w:bookmarkStart w:id="529" w:name="_Toc287607790"/>
      <w:bookmarkStart w:id="530" w:name="_Toc40569087"/>
      <w:bookmarkStart w:id="531" w:name="_Toc23599"/>
      <w:bookmarkStart w:id="532" w:name="_Toc16710"/>
      <w:bookmarkStart w:id="533" w:name="_Toc5411"/>
      <w:bookmarkStart w:id="534" w:name="_Toc200513170"/>
      <w:bookmarkStart w:id="535" w:name="_Toc224103361"/>
      <w:bookmarkStart w:id="536" w:name="_Toc277082596"/>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5"/>
      <w:bookmarkEnd w:id="526"/>
      <w:bookmarkEnd w:id="527"/>
      <w:bookmarkEnd w:id="528"/>
      <w:bookmarkEnd w:id="529"/>
      <w:bookmarkEnd w:id="530"/>
      <w:bookmarkEnd w:id="531"/>
      <w:bookmarkEnd w:id="532"/>
      <w:bookmarkEnd w:id="533"/>
      <w:bookmarkEnd w:id="534"/>
      <w:bookmarkEnd w:id="535"/>
      <w:bookmarkEnd w:id="536"/>
      <w:r>
        <w:rPr>
          <w:rFonts w:hint="eastAsia" w:ascii="宋体" w:hAnsi="宋体" w:cs="宋体"/>
          <w:b w:val="0"/>
          <w:snapToGrid w:val="0"/>
          <w:color w:val="000000" w:themeColor="text1"/>
          <w:sz w:val="24"/>
          <w:szCs w:val="24"/>
          <w:highlight w:val="none"/>
          <w14:textFill>
            <w14:solidFill>
              <w14:schemeClr w14:val="tx1"/>
            </w14:solidFill>
          </w14:textFill>
        </w:rPr>
        <w:t>比选</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pPr>
        <w:widowControl/>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pPr>
        <w:widowControl/>
        <w:spacing w:line="360" w:lineRule="auto"/>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pPr>
        <w:widowControl/>
        <w:spacing w:line="360" w:lineRule="auto"/>
        <w:ind w:firstLine="420" w:firstLineChars="20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pPr>
        <w:pStyle w:val="3"/>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37" w:name="_Toc287620731"/>
      <w:bookmarkStart w:id="538" w:name="_Toc430530481"/>
      <w:bookmarkStart w:id="539" w:name="_Toc7059"/>
      <w:bookmarkStart w:id="540" w:name="_Toc200513172"/>
      <w:bookmarkStart w:id="541" w:name="_Toc224103363"/>
      <w:bookmarkStart w:id="542" w:name="_Toc30342"/>
      <w:bookmarkStart w:id="543" w:name="_Toc287607792"/>
      <w:bookmarkStart w:id="544" w:name="_Toc509218756"/>
      <w:bookmarkStart w:id="545" w:name="_Toc32459"/>
      <w:bookmarkStart w:id="546" w:name="_Toc277082598"/>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7"/>
      <w:bookmarkEnd w:id="538"/>
      <w:bookmarkEnd w:id="539"/>
      <w:bookmarkEnd w:id="540"/>
      <w:bookmarkEnd w:id="541"/>
      <w:bookmarkEnd w:id="542"/>
      <w:bookmarkEnd w:id="543"/>
      <w:bookmarkEnd w:id="544"/>
      <w:bookmarkEnd w:id="545"/>
      <w:bookmarkEnd w:id="546"/>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47" w:name="_Toc430530482"/>
      <w:bookmarkStart w:id="548" w:name="_Toc287607793"/>
      <w:bookmarkStart w:id="549" w:name="_Toc287620732"/>
      <w:bookmarkStart w:id="550" w:name="_Toc14823"/>
      <w:bookmarkStart w:id="551" w:name="_Toc277082599"/>
      <w:bookmarkStart w:id="552" w:name="_Toc40569185"/>
      <w:bookmarkStart w:id="553" w:name="_Toc40569090"/>
      <w:bookmarkStart w:id="554" w:name="_Toc200513173"/>
      <w:bookmarkStart w:id="555" w:name="_Toc509218757"/>
      <w:bookmarkStart w:id="556" w:name="_Toc224103364"/>
      <w:bookmarkStart w:id="557" w:name="_Toc15838"/>
      <w:bookmarkStart w:id="558" w:name="_Toc20555"/>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7"/>
      <w:bookmarkEnd w:id="548"/>
      <w:bookmarkEnd w:id="549"/>
      <w:bookmarkEnd w:id="550"/>
      <w:bookmarkEnd w:id="551"/>
      <w:bookmarkEnd w:id="552"/>
      <w:bookmarkEnd w:id="553"/>
      <w:bookmarkEnd w:id="554"/>
      <w:bookmarkEnd w:id="555"/>
      <w:bookmarkEnd w:id="556"/>
      <w:bookmarkEnd w:id="557"/>
      <w:bookmarkEnd w:id="558"/>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pPr>
        <w:autoSpaceDE w:val="0"/>
        <w:autoSpaceDN w:val="0"/>
        <w:adjustRightInd w:val="0"/>
        <w:snapToGrid w:val="0"/>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pPr>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59" w:name="_Toc40569186"/>
      <w:bookmarkStart w:id="560" w:name="_Toc1612"/>
      <w:bookmarkStart w:id="561" w:name="_Toc287620733"/>
      <w:bookmarkStart w:id="562" w:name="_Toc277082600"/>
      <w:bookmarkStart w:id="563" w:name="_Toc287607794"/>
      <w:bookmarkStart w:id="564" w:name="_Toc509218758"/>
      <w:bookmarkStart w:id="565" w:name="_Toc200513174"/>
      <w:bookmarkStart w:id="566" w:name="_Toc430530483"/>
      <w:bookmarkStart w:id="567" w:name="_Toc13914"/>
      <w:bookmarkStart w:id="568" w:name="_Toc40569091"/>
      <w:bookmarkStart w:id="569" w:name="_Toc224103365"/>
      <w:bookmarkStart w:id="570" w:name="_Toc26842"/>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9"/>
      <w:bookmarkEnd w:id="560"/>
      <w:bookmarkEnd w:id="561"/>
      <w:bookmarkEnd w:id="562"/>
      <w:bookmarkEnd w:id="563"/>
      <w:bookmarkEnd w:id="564"/>
      <w:bookmarkEnd w:id="565"/>
      <w:bookmarkEnd w:id="566"/>
      <w:bookmarkEnd w:id="567"/>
      <w:bookmarkEnd w:id="568"/>
      <w:bookmarkEnd w:id="569"/>
      <w:bookmarkEnd w:id="570"/>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71" w:name="_Toc287607795"/>
      <w:bookmarkStart w:id="572" w:name="_Toc224103366"/>
      <w:bookmarkStart w:id="573" w:name="_Toc30347"/>
      <w:bookmarkStart w:id="574" w:name="_Toc287620734"/>
      <w:bookmarkStart w:id="575" w:name="_Toc15322"/>
      <w:bookmarkStart w:id="576" w:name="_Toc277082601"/>
      <w:bookmarkStart w:id="577" w:name="_Toc3385"/>
      <w:bookmarkStart w:id="578" w:name="_Toc509218759"/>
      <w:bookmarkStart w:id="579" w:name="_Toc40569187"/>
      <w:bookmarkStart w:id="580" w:name="_Toc430530484"/>
      <w:bookmarkStart w:id="581" w:name="_Toc40569092"/>
      <w:bookmarkStart w:id="582" w:name="_Toc200513175"/>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71"/>
      <w:bookmarkEnd w:id="572"/>
      <w:bookmarkEnd w:id="573"/>
      <w:bookmarkEnd w:id="574"/>
      <w:bookmarkEnd w:id="575"/>
      <w:bookmarkEnd w:id="576"/>
      <w:bookmarkEnd w:id="577"/>
      <w:bookmarkEnd w:id="578"/>
      <w:bookmarkEnd w:id="579"/>
      <w:bookmarkEnd w:id="580"/>
      <w:bookmarkEnd w:id="581"/>
      <w:bookmarkEnd w:id="582"/>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83" w:name="_Toc509218760"/>
      <w:bookmarkStart w:id="584" w:name="_Toc224103367"/>
      <w:bookmarkStart w:id="585" w:name="_Toc200513176"/>
      <w:bookmarkStart w:id="586" w:name="_Toc40569188"/>
      <w:bookmarkStart w:id="587" w:name="_Toc430530485"/>
      <w:bookmarkStart w:id="588" w:name="_Toc40569093"/>
      <w:bookmarkStart w:id="589" w:name="_Toc19795"/>
      <w:bookmarkStart w:id="590" w:name="_Toc14712"/>
      <w:bookmarkStart w:id="591" w:name="_Toc277082602"/>
      <w:bookmarkStart w:id="592" w:name="_Toc287607796"/>
      <w:bookmarkStart w:id="593" w:name="_Toc287620735"/>
      <w:bookmarkStart w:id="594" w:name="_Toc24901"/>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595" w:name="_Toc40569094"/>
      <w:bookmarkStart w:id="596" w:name="_Toc24405"/>
      <w:bookmarkStart w:id="597" w:name="_Toc430530486"/>
      <w:bookmarkStart w:id="598" w:name="_Toc287607797"/>
      <w:bookmarkStart w:id="599" w:name="_Toc224103368"/>
      <w:bookmarkStart w:id="600" w:name="_Toc287620736"/>
      <w:bookmarkStart w:id="601" w:name="_Toc509218761"/>
      <w:bookmarkStart w:id="602" w:name="_Toc40569189"/>
      <w:bookmarkStart w:id="603" w:name="_Toc9443"/>
      <w:bookmarkStart w:id="604" w:name="_Toc200513177"/>
      <w:bookmarkStart w:id="605" w:name="_Toc7152"/>
      <w:bookmarkStart w:id="606" w:name="_Toc277082603"/>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5"/>
      <w:bookmarkEnd w:id="596"/>
      <w:bookmarkEnd w:id="597"/>
      <w:bookmarkEnd w:id="598"/>
      <w:bookmarkEnd w:id="599"/>
      <w:bookmarkEnd w:id="600"/>
      <w:bookmarkEnd w:id="601"/>
      <w:bookmarkEnd w:id="602"/>
      <w:bookmarkEnd w:id="603"/>
      <w:bookmarkEnd w:id="604"/>
      <w:bookmarkEnd w:id="605"/>
      <w:bookmarkEnd w:id="606"/>
    </w:p>
    <w:p>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pPr>
        <w:pStyle w:val="4"/>
        <w:snapToGrid w:val="0"/>
        <w:spacing w:before="0" w:after="0" w:line="360" w:lineRule="auto"/>
        <w:rPr>
          <w:rFonts w:ascii="宋体" w:hAnsi="宋体" w:cs="宋体"/>
          <w:b w:val="0"/>
          <w:snapToGrid w:val="0"/>
          <w:color w:val="000000" w:themeColor="text1"/>
          <w:sz w:val="24"/>
          <w:szCs w:val="24"/>
          <w:highlight w:val="none"/>
          <w14:textFill>
            <w14:solidFill>
              <w14:schemeClr w14:val="tx1"/>
            </w14:solidFill>
          </w14:textFill>
        </w:rPr>
      </w:pPr>
      <w:bookmarkStart w:id="607" w:name="_Toc32650"/>
      <w:bookmarkStart w:id="608" w:name="_Toc18945"/>
      <w:bookmarkStart w:id="609" w:name="_Toc287620737"/>
      <w:bookmarkStart w:id="610" w:name="_Toc430530487"/>
      <w:bookmarkStart w:id="611" w:name="_Toc6297"/>
      <w:bookmarkStart w:id="612" w:name="_Toc277082604"/>
      <w:bookmarkStart w:id="613" w:name="_Toc200513178"/>
      <w:bookmarkStart w:id="614" w:name="_Toc224103369"/>
      <w:bookmarkStart w:id="615" w:name="_Toc509218762"/>
      <w:bookmarkStart w:id="616" w:name="_Toc287607798"/>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7"/>
      <w:bookmarkEnd w:id="608"/>
      <w:bookmarkEnd w:id="609"/>
      <w:bookmarkEnd w:id="610"/>
      <w:bookmarkEnd w:id="611"/>
      <w:bookmarkEnd w:id="612"/>
      <w:bookmarkEnd w:id="613"/>
      <w:bookmarkEnd w:id="614"/>
      <w:bookmarkEnd w:id="615"/>
      <w:bookmarkEnd w:id="616"/>
    </w:p>
    <w:p>
      <w:pPr>
        <w:pStyle w:val="4"/>
        <w:snapToGrid w:val="0"/>
        <w:spacing w:before="0" w:after="0" w:line="360" w:lineRule="auto"/>
        <w:ind w:firstLine="480" w:firstLineChars="200"/>
        <w:rPr>
          <w:rFonts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spacing w:line="360" w:lineRule="auto"/>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pPr>
        <w:tabs>
          <w:tab w:val="left" w:pos="2260"/>
          <w:tab w:val="left" w:pos="5060"/>
        </w:tabs>
        <w:autoSpaceDE w:val="0"/>
        <w:autoSpaceDN w:val="0"/>
        <w:adjustRightInd w:val="0"/>
        <w:snapToGrid w:val="0"/>
        <w:spacing w:line="360" w:lineRule="auto"/>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8"/>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pPr>
              <w:autoSpaceDE w:val="0"/>
              <w:autoSpaceDN w:val="0"/>
              <w:adjustRightInd w:val="0"/>
              <w:snapToGrid w:val="0"/>
              <w:spacing w:line="360" w:lineRule="auto"/>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pPr>
              <w:autoSpaceDE w:val="0"/>
              <w:autoSpaceDN w:val="0"/>
              <w:adjustRightInd w:val="0"/>
              <w:snapToGrid w:val="0"/>
              <w:spacing w:line="360" w:lineRule="auto"/>
              <w:jc w:val="center"/>
              <w:rPr>
                <w:rFonts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tc>
      </w:tr>
    </w:tbl>
    <w:p>
      <w:pPr>
        <w:tabs>
          <w:tab w:val="left" w:pos="2740"/>
          <w:tab w:val="left" w:pos="4940"/>
          <w:tab w:val="left" w:pos="714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beforeLines="20" w:line="360" w:lineRule="auto"/>
        <w:jc w:val="righ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附表二：问题澄清通知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ind w:firstLine="140" w:firstLineChars="50"/>
        <w:rPr>
          <w:rFonts w:ascii="宋体" w:hAnsi="宋体" w:cs="宋体"/>
          <w:snapToGrid w:val="0"/>
          <w:color w:val="000000" w:themeColor="text1"/>
          <w:kern w:val="0"/>
          <w:sz w:val="28"/>
          <w:szCs w:val="28"/>
          <w:highlight w:val="none"/>
          <w14:textFill>
            <w14:solidFill>
              <w14:schemeClr w14:val="tx1"/>
            </w14:solidFill>
          </w14:textFill>
        </w:rPr>
      </w:pPr>
    </w:p>
    <w:p>
      <w:pPr>
        <w:tabs>
          <w:tab w:val="left" w:pos="158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pPr>
        <w:tabs>
          <w:tab w:val="left" w:pos="2320"/>
        </w:tabs>
        <w:autoSpaceDE w:val="0"/>
        <w:autoSpaceDN w:val="0"/>
        <w:adjustRightInd w:val="0"/>
        <w:snapToGrid w:val="0"/>
        <w:spacing w:line="360" w:lineRule="auto"/>
        <w:ind w:firstLine="212" w:firstLineChars="10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4"/>
          <w:szCs w:val="1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8"/>
          <w:szCs w:val="28"/>
          <w:highlight w:val="none"/>
          <w14:textFill>
            <w14:solidFill>
              <w14:schemeClr w14:val="tx1"/>
            </w14:solidFill>
          </w14:textFill>
        </w:rPr>
      </w:pPr>
    </w:p>
    <w:p>
      <w:pPr>
        <w:tabs>
          <w:tab w:val="left" w:pos="6400"/>
        </w:tabs>
        <w:autoSpaceDE w:val="0"/>
        <w:autoSpaceDN w:val="0"/>
        <w:adjustRightInd w:val="0"/>
        <w:snapToGrid w:val="0"/>
        <w:spacing w:line="360" w:lineRule="auto"/>
        <w:jc w:val="righ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pPr>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14:textFill>
            <w14:solidFill>
              <w14:schemeClr w14:val="tx1"/>
            </w14:solidFill>
          </w14:textFill>
        </w:rPr>
      </w:pPr>
    </w:p>
    <w:p>
      <w:pPr>
        <w:wordWrap w:val="0"/>
        <w:autoSpaceDE w:val="0"/>
        <w:autoSpaceDN w:val="0"/>
        <w:adjustRightInd w:val="0"/>
        <w:snapToGrid w:val="0"/>
        <w:spacing w:line="360" w:lineRule="auto"/>
        <w:ind w:firstLine="850" w:firstLineChars="40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pPr>
        <w:autoSpaceDE w:val="0"/>
        <w:autoSpaceDN w:val="0"/>
        <w:adjustRightInd w:val="0"/>
        <w:snapToGrid w:val="0"/>
        <w:spacing w:line="360" w:lineRule="auto"/>
        <w:jc w:val="left"/>
        <w:rPr>
          <w:rFonts w:ascii="宋体" w:hAnsi="宋体" w:cs="宋体"/>
          <w:b/>
          <w:snapToGrid w:val="0"/>
          <w:color w:val="000000" w:themeColor="text1"/>
          <w:kern w:val="0"/>
          <w:sz w:val="10"/>
          <w:szCs w:val="10"/>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255" w:firstLineChars="1550"/>
        <w:jc w:val="left"/>
        <w:rPr>
          <w:rFonts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p>
    <w:p>
      <w:pPr>
        <w:tabs>
          <w:tab w:val="left" w:pos="2415"/>
          <w:tab w:val="left" w:pos="3480"/>
          <w:tab w:val="left" w:pos="4200"/>
        </w:tabs>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pPr>
        <w:tabs>
          <w:tab w:val="left" w:pos="2000"/>
          <w:tab w:val="left" w:pos="3480"/>
          <w:tab w:val="left" w:pos="4200"/>
        </w:tabs>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2"/>
          <w:szCs w:val="22"/>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jc w:val="left"/>
        <w:rPr>
          <w:rFonts w:ascii="宋体" w:hAnsi="宋体" w:cs="宋体"/>
          <w:snapToGrid w:val="0"/>
          <w:color w:val="000000" w:themeColor="text1"/>
          <w:kern w:val="0"/>
          <w:sz w:val="18"/>
          <w:szCs w:val="18"/>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tabs>
          <w:tab w:val="left" w:pos="7035"/>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pPr>
        <w:tabs>
          <w:tab w:val="left" w:pos="6620"/>
          <w:tab w:val="left" w:pos="7040"/>
        </w:tabs>
        <w:autoSpaceDE w:val="0"/>
        <w:autoSpaceDN w:val="0"/>
        <w:adjustRightInd w:val="0"/>
        <w:snapToGrid w:val="0"/>
        <w:spacing w:line="360" w:lineRule="auto"/>
        <w:ind w:firstLine="2551" w:firstLineChars="1215"/>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pPr>
        <w:autoSpaceDE w:val="0"/>
        <w:autoSpaceDN w:val="0"/>
        <w:adjustRightInd w:val="0"/>
        <w:snapToGrid w:val="0"/>
        <w:spacing w:line="360" w:lineRule="auto"/>
        <w:jc w:val="right"/>
        <w:rPr>
          <w:rFonts w:ascii="宋体" w:hAnsi="宋体" w:cs="宋体"/>
          <w:snapToGrid w:val="0"/>
          <w:color w:val="000000" w:themeColor="text1"/>
          <w:kern w:val="0"/>
          <w:sz w:val="20"/>
          <w:szCs w:val="20"/>
          <w:highlight w:val="none"/>
          <w14:textFill>
            <w14:solidFill>
              <w14:schemeClr w14:val="tx1"/>
            </w14:solidFill>
          </w14:textFill>
        </w:rPr>
      </w:pPr>
    </w:p>
    <w:p>
      <w:pPr>
        <w:wordWrap w:val="0"/>
        <w:autoSpaceDE w:val="0"/>
        <w:autoSpaceDN w:val="0"/>
        <w:adjustRightInd w:val="0"/>
        <w:snapToGrid w:val="0"/>
        <w:spacing w:line="360" w:lineRule="auto"/>
        <w:ind w:firstLine="315" w:firstLineChars="150"/>
        <w:jc w:val="righ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pPr>
        <w:autoSpaceDE w:val="0"/>
        <w:autoSpaceDN w:val="0"/>
        <w:adjustRightInd w:val="0"/>
        <w:snapToGrid w:val="0"/>
        <w:spacing w:line="360" w:lineRule="auto"/>
        <w:jc w:val="left"/>
        <w:rPr>
          <w:rFonts w:ascii="宋体" w:hAnsi="宋体" w:cs="宋体"/>
          <w:b/>
          <w:snapToGrid w:val="0"/>
          <w:color w:val="000000" w:themeColor="text1"/>
          <w:kern w:val="0"/>
          <w:sz w:val="24"/>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宋体"/>
          <w:b/>
          <w:snapToGrid w:val="0"/>
          <w:color w:val="000000" w:themeColor="text1"/>
          <w:kern w:val="0"/>
          <w:highlight w:val="none"/>
          <w14:textFill>
            <w14:solidFill>
              <w14:schemeClr w14:val="tx1"/>
            </w14:solidFill>
          </w14:textFill>
        </w:rPr>
      </w:pPr>
    </w:p>
    <w:p>
      <w:pPr>
        <w:widowControl/>
        <w:jc w:val="left"/>
        <w:rPr>
          <w:rFonts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pPr>
        <w:autoSpaceDE w:val="0"/>
        <w:autoSpaceDN w:val="0"/>
        <w:adjustRightInd w:val="0"/>
        <w:snapToGrid w:val="0"/>
        <w:spacing w:line="360" w:lineRule="auto"/>
        <w:jc w:val="left"/>
        <w:outlineLvl w:val="2"/>
        <w:rPr>
          <w:rFonts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pPr>
        <w:autoSpaceDE w:val="0"/>
        <w:autoSpaceDN w:val="0"/>
        <w:adjustRightInd w:val="0"/>
        <w:spacing w:line="360" w:lineRule="auto"/>
        <w:jc w:val="left"/>
        <w:rPr>
          <w:rFonts w:ascii="宋体" w:hAnsi="宋体" w:cs="宋体"/>
          <w:snapToGrid w:val="0"/>
          <w:color w:val="000000" w:themeColor="text1"/>
          <w:kern w:val="0"/>
          <w:sz w:val="20"/>
          <w:szCs w:val="20"/>
          <w:highlight w:val="none"/>
          <w14:textFill>
            <w14:solidFill>
              <w14:schemeClr w14:val="tx1"/>
            </w14:solidFill>
          </w14:textFill>
        </w:rPr>
      </w:pPr>
    </w:p>
    <w:p>
      <w:pPr>
        <w:spacing w:line="360" w:lineRule="auto"/>
        <w:rPr>
          <w:rFonts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pPr>
        <w:spacing w:line="360" w:lineRule="auto"/>
        <w:ind w:firstLine="3780" w:firstLineChars="18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pPr>
        <w:spacing w:line="360" w:lineRule="auto"/>
        <w:jc w:val="left"/>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pPr>
        <w:spacing w:line="360" w:lineRule="auto"/>
        <w:ind w:firstLine="3780" w:firstLineChars="18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pPr>
        <w:spacing w:line="360" w:lineRule="auto"/>
        <w:ind w:firstLine="883"/>
        <w:jc w:val="center"/>
        <w:rPr>
          <w:rFonts w:ascii="宋体" w:hAnsi="宋体" w:cs="宋体"/>
          <w:color w:val="000000" w:themeColor="text1"/>
          <w:kern w:val="1"/>
          <w:highlight w:val="none"/>
          <w14:textFill>
            <w14:solidFill>
              <w14:schemeClr w14:val="tx1"/>
            </w14:solidFill>
          </w14:textFill>
        </w:rPr>
      </w:pPr>
      <w:bookmarkStart w:id="617" w:name="_Toc29866"/>
      <w:bookmarkStart w:id="618" w:name="_Toc21320"/>
    </w:p>
    <w:p>
      <w:pPr>
        <w:spacing w:line="360" w:lineRule="auto"/>
        <w:ind w:firstLine="883"/>
        <w:jc w:val="center"/>
        <w:rPr>
          <w:rFonts w:ascii="宋体" w:hAnsi="宋体" w:cs="宋体"/>
          <w:color w:val="000000" w:themeColor="text1"/>
          <w:kern w:val="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p>
    <w:p>
      <w:pPr>
        <w:spacing w:line="360" w:lineRule="auto"/>
        <w:jc w:val="center"/>
        <w:rPr>
          <w:rFonts w:ascii="宋体" w:hAnsi="宋体" w:cs="宋体"/>
          <w:color w:val="000000" w:themeColor="text1"/>
          <w:kern w:val="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p>
    <w:p>
      <w:pPr>
        <w:pStyle w:val="8"/>
        <w:rPr>
          <w:rFonts w:ascii="宋体" w:hAnsi="宋体" w:cs="宋体"/>
          <w:color w:val="000000" w:themeColor="text1"/>
          <w:kern w:val="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kern w:val="1"/>
          <w:highlight w:val="none"/>
          <w14:textFill>
            <w14:solidFill>
              <w14:schemeClr w14:val="tx1"/>
            </w14:solidFill>
          </w14:textFill>
        </w:rPr>
      </w:pPr>
    </w:p>
    <w:p>
      <w:pPr>
        <w:pStyle w:val="8"/>
        <w:rPr>
          <w:rFonts w:ascii="宋体" w:hAnsi="宋体" w:cs="宋体"/>
          <w:color w:val="000000" w:themeColor="text1"/>
          <w:kern w:val="1"/>
          <w:highlight w:val="none"/>
          <w14:textFill>
            <w14:solidFill>
              <w14:schemeClr w14:val="tx1"/>
            </w14:solidFill>
          </w14:textFill>
        </w:rPr>
      </w:pPr>
    </w:p>
    <w:p>
      <w:pPr>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pPr>
        <w:pStyle w:val="2"/>
        <w:spacing w:line="360" w:lineRule="auto"/>
        <w:jc w:val="center"/>
        <w:rPr>
          <w:rFonts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7"/>
      <w:bookmarkEnd w:id="618"/>
    </w:p>
    <w:p>
      <w:pPr>
        <w:pStyle w:val="3"/>
        <w:spacing w:before="100" w:after="100"/>
        <w:rPr>
          <w:rFonts w:ascii="宋体" w:hAnsi="宋体"/>
          <w:color w:val="000000" w:themeColor="text1"/>
          <w:highlight w:val="none"/>
          <w14:textFill>
            <w14:solidFill>
              <w14:schemeClr w14:val="tx1"/>
            </w14:solidFill>
          </w14:textFill>
        </w:rPr>
      </w:pPr>
      <w:bookmarkStart w:id="619" w:name="_Toc509218775"/>
      <w:bookmarkStart w:id="620" w:name="_Toc721"/>
      <w:bookmarkStart w:id="621" w:name="_Toc122515229"/>
      <w:bookmarkStart w:id="622" w:name="_Toc29600"/>
      <w:bookmarkStart w:id="623" w:name="_Toc32462"/>
      <w:r>
        <w:rPr>
          <w:rFonts w:hint="eastAsia" w:ascii="宋体" w:hAnsi="宋体"/>
          <w:color w:val="000000" w:themeColor="text1"/>
          <w:highlight w:val="none"/>
          <w14:textFill>
            <w14:solidFill>
              <w14:schemeClr w14:val="tx1"/>
            </w14:solidFill>
          </w14:textFill>
        </w:rPr>
        <w:t>评标办法前附表</w:t>
      </w:r>
      <w:bookmarkEnd w:id="619"/>
      <w:bookmarkEnd w:id="620"/>
      <w:bookmarkEnd w:id="621"/>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8"/>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14:textFill>
                  <w14:solidFill>
                    <w14:schemeClr w14:val="tx1"/>
                  </w14:solidFill>
                </w14:textFill>
              </w:rPr>
              <w:t>抽签</w:t>
            </w:r>
            <w:r>
              <w:rPr>
                <w:rFonts w:hint="eastAsia" w:ascii="宋体" w:hAnsi="宋体"/>
                <w:color w:val="000000" w:themeColor="text1"/>
                <w:kern w:val="0"/>
                <w:highlight w:val="none"/>
                <w14:textFill>
                  <w14:solidFill>
                    <w14:schemeClr w14:val="tx1"/>
                  </w14:solidFill>
                </w14:textFill>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pPr>
              <w:spacing w:line="400" w:lineRule="exact"/>
              <w:jc w:val="center"/>
              <w:rPr>
                <w:rFonts w:ascii="宋体" w:hAnsi="宋体"/>
                <w:color w:val="000000" w:themeColor="text1"/>
                <w:highlight w:val="none"/>
                <w14:textFill>
                  <w14:solidFill>
                    <w14:schemeClr w14:val="tx1"/>
                  </w14:solidFill>
                </w14:textFill>
              </w:rPr>
            </w:pP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pPr>
              <w:spacing w:line="400" w:lineRule="exact"/>
              <w:rPr>
                <w:rFonts w:ascii="宋体" w:hAnsi="宋体"/>
                <w:color w:val="000000" w:themeColor="text1"/>
                <w:highlight w:val="none"/>
                <w14:textFill>
                  <w14:solidFill>
                    <w14:schemeClr w14:val="tx1"/>
                  </w14:solidFill>
                </w14:textFill>
              </w:rPr>
            </w:pPr>
          </w:p>
        </w:tc>
        <w:tc>
          <w:tcPr>
            <w:tcW w:w="2492" w:type="dxa"/>
            <w:vAlign w:val="center"/>
          </w:tcPr>
          <w:p>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pPr>
              <w:spacing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pPr>
              <w:snapToGrid w:val="0"/>
              <w:spacing w:line="400" w:lineRule="exact"/>
              <w:ind w:firstLine="420" w:firstLineChars="200"/>
              <w:rPr>
                <w:rFonts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pPr>
              <w:snapToGrid w:val="0"/>
              <w:spacing w:line="40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pPr>
              <w:snapToGrid w:val="0"/>
              <w:spacing w:line="400" w:lineRule="exact"/>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pPr>
              <w:tabs>
                <w:tab w:val="left" w:pos="1875"/>
              </w:tabs>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pPr>
        <w:rPr>
          <w:rFonts w:ascii="宋体" w:hAnsi="宋体"/>
          <w:color w:val="000000" w:themeColor="text1"/>
          <w:highlight w:val="none"/>
          <w14:textFill>
            <w14:solidFill>
              <w14:schemeClr w14:val="tx1"/>
            </w14:solidFill>
          </w14:textFill>
        </w:rPr>
      </w:pPr>
    </w:p>
    <w:tbl>
      <w:tblPr>
        <w:tblStyle w:val="28"/>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pPr>
              <w:pStyle w:val="8"/>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pPr>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造价控制咨询工作大纲（</w:t>
            </w:r>
            <w:r>
              <w:rPr>
                <w:rStyle w:val="55"/>
                <w:rFonts w:hint="eastAsia" w:ascii="宋体" w:hAnsi="宋体"/>
                <w:color w:val="000000" w:themeColor="text1"/>
                <w:szCs w:val="21"/>
                <w:highlight w:val="none"/>
                <w:lang w:val="en-US" w:eastAsia="zh-CN"/>
                <w14:textFill>
                  <w14:solidFill>
                    <w14:schemeClr w14:val="tx1"/>
                  </w14:solidFill>
                </w14:textFill>
              </w:rPr>
              <w:t>15</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编制要点：各有效竞选人针对本项目造价服务大纲编制内容的总体思路、内容是否完善等；优得</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w:t>
            </w:r>
            <w:r>
              <w:rPr>
                <w:rStyle w:val="55"/>
                <w:rFonts w:hint="eastAsia" w:ascii="宋体" w:hAnsi="宋体"/>
                <w:color w:val="000000" w:themeColor="text1"/>
                <w:szCs w:val="21"/>
                <w:highlight w:val="none"/>
                <w14:textFill>
                  <w14:solidFill>
                    <w14:schemeClr w14:val="tx1"/>
                  </w14:solidFill>
                </w14:textFill>
              </w:rPr>
              <w:t>5分；良得</w:t>
            </w:r>
            <w:r>
              <w:rPr>
                <w:rStyle w:val="55"/>
                <w:rFonts w:hint="eastAsia" w:ascii="宋体" w:hAnsi="宋体"/>
                <w:color w:val="000000" w:themeColor="text1"/>
                <w:szCs w:val="21"/>
                <w:highlight w:val="none"/>
                <w:lang w:val="en-US" w:eastAsia="zh-CN"/>
                <w14:textFill>
                  <w14:solidFill>
                    <w14:schemeClr w14:val="tx1"/>
                  </w14:solidFill>
                </w14:textFill>
              </w:rPr>
              <w:t>5</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0-5</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造价控制岗位职责和职业守则（</w:t>
            </w:r>
            <w:r>
              <w:rPr>
                <w:rStyle w:val="55"/>
                <w:rFonts w:hint="eastAsia" w:ascii="宋体" w:hAnsi="宋体"/>
                <w:color w:val="000000" w:themeColor="text1"/>
                <w:szCs w:val="21"/>
                <w:highlight w:val="none"/>
                <w:lang w:val="en-US" w:eastAsia="zh-CN"/>
                <w14:textFill>
                  <w14:solidFill>
                    <w14:schemeClr w14:val="tx1"/>
                  </w14:solidFill>
                </w14:textFill>
              </w:rPr>
              <w:t>15</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编制要点：各有效竞选人针对造价控制咨询机构配置是否完整且合理，分工明确，造价控制人员岗位职责及制度是否健全，专业人员是否配置合理，优得</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w:t>
            </w:r>
            <w:r>
              <w:rPr>
                <w:rStyle w:val="55"/>
                <w:rFonts w:hint="eastAsia" w:ascii="宋体" w:hAnsi="宋体"/>
                <w:color w:val="000000" w:themeColor="text1"/>
                <w:szCs w:val="21"/>
                <w:highlight w:val="none"/>
                <w14:textFill>
                  <w14:solidFill>
                    <w14:schemeClr w14:val="tx1"/>
                  </w14:solidFill>
                </w14:textFill>
              </w:rPr>
              <w:t>5分；良得</w:t>
            </w:r>
            <w:r>
              <w:rPr>
                <w:rStyle w:val="55"/>
                <w:rFonts w:hint="eastAsia" w:ascii="宋体" w:hAnsi="宋体"/>
                <w:color w:val="000000" w:themeColor="text1"/>
                <w:szCs w:val="21"/>
                <w:highlight w:val="none"/>
                <w:lang w:val="en-US" w:eastAsia="zh-CN"/>
                <w14:textFill>
                  <w14:solidFill>
                    <w14:schemeClr w14:val="tx1"/>
                  </w14:solidFill>
                </w14:textFill>
              </w:rPr>
              <w:t>5</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0-5</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造价控制措施（含企业内部组织管理体系、对本工程造价控制的重难点分析）（</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编制要点：各有效竞选人针对本工程造价控制难点提出可行的措施，同时针对本工程分析重难点及合理化建议，提出问题的解决方法，以及企业内部组织管理体系等；优得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s="宋体"/>
                <w:color w:val="000000" w:themeColor="text1"/>
                <w:kern w:val="0"/>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工程投资的控制措施（</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编制要点：各有效竞选人针对本工程造价</w:t>
            </w:r>
            <w:r>
              <w:rPr>
                <w:rStyle w:val="55"/>
                <w:rFonts w:ascii="宋体" w:hAnsi="宋体"/>
                <w:color w:val="000000" w:themeColor="text1"/>
                <w:szCs w:val="21"/>
                <w:highlight w:val="none"/>
                <w14:textFill>
                  <w14:solidFill>
                    <w14:schemeClr w14:val="tx1"/>
                  </w14:solidFill>
                </w14:textFill>
              </w:rPr>
              <w:t>控制措施</w:t>
            </w:r>
            <w:r>
              <w:rPr>
                <w:rStyle w:val="55"/>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pPr>
              <w:tabs>
                <w:tab w:val="left" w:pos="1875"/>
              </w:tabs>
              <w:spacing w:line="400" w:lineRule="exact"/>
              <w:jc w:val="center"/>
              <w:rPr>
                <w:rFonts w:ascii="宋体" w:hAnsi="宋体"/>
                <w:color w:val="000000" w:themeColor="text1"/>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造价控制进度控制的措施（</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编制要点：各有效竞选人针对本工程造价</w:t>
            </w:r>
            <w:r>
              <w:rPr>
                <w:rStyle w:val="55"/>
                <w:rFonts w:ascii="宋体" w:hAnsi="宋体"/>
                <w:color w:val="000000" w:themeColor="text1"/>
                <w:szCs w:val="21"/>
                <w:highlight w:val="none"/>
                <w14:textFill>
                  <w14:solidFill>
                    <w14:schemeClr w14:val="tx1"/>
                  </w14:solidFill>
                </w14:textFill>
              </w:rPr>
              <w:t>控制</w:t>
            </w:r>
            <w:r>
              <w:rPr>
                <w:rStyle w:val="55"/>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pPr>
              <w:tabs>
                <w:tab w:val="left" w:pos="1875"/>
              </w:tabs>
              <w:spacing w:line="400" w:lineRule="exact"/>
              <w:jc w:val="center"/>
              <w:rPr>
                <w:rFonts w:ascii="宋体" w:hAnsi="宋体"/>
                <w:color w:val="000000" w:themeColor="text1"/>
                <w:szCs w:val="21"/>
                <w:highlight w:val="none"/>
                <w14:textFill>
                  <w14:solidFill>
                    <w14:schemeClr w14:val="tx1"/>
                  </w14:solidFill>
                </w14:textFill>
              </w:rPr>
            </w:pPr>
            <w:r>
              <w:rPr>
                <w:rStyle w:val="55"/>
                <w:rFonts w:ascii="宋体" w:hAnsi="宋体"/>
                <w:color w:val="000000" w:themeColor="text1"/>
                <w:szCs w:val="21"/>
                <w:highlight w:val="none"/>
                <w14:textFill>
                  <w14:solidFill>
                    <w14:schemeClr w14:val="tx1"/>
                  </w14:solidFill>
                </w14:textFill>
              </w:rPr>
              <w:t>成本管控方案（</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ascii="宋体" w:hAnsi="宋体"/>
                <w:color w:val="000000" w:themeColor="text1"/>
                <w:szCs w:val="21"/>
                <w:highlight w:val="none"/>
                <w14:textFill>
                  <w14:solidFill>
                    <w14:schemeClr w14:val="tx1"/>
                  </w14:solidFill>
                </w14:textFill>
              </w:rPr>
              <w:t>分）</w:t>
            </w:r>
          </w:p>
        </w:tc>
        <w:tc>
          <w:tcPr>
            <w:tcW w:w="5738" w:type="dxa"/>
            <w:vAlign w:val="center"/>
          </w:tcPr>
          <w:p>
            <w:pPr>
              <w:snapToGrid w:val="0"/>
              <w:spacing w:line="380" w:lineRule="exact"/>
              <w:ind w:firstLine="420" w:firstLineChars="200"/>
              <w:jc w:val="left"/>
              <w:rPr>
                <w:rFonts w:ascii="宋体" w:hAnsi="宋体"/>
                <w:color w:val="000000" w:themeColor="text1"/>
                <w:highlight w:val="none"/>
                <w:u w:val="single"/>
                <w14:textFill>
                  <w14:solidFill>
                    <w14:schemeClr w14:val="tx1"/>
                  </w14:solidFill>
                </w14:textFill>
              </w:rPr>
            </w:pPr>
            <w:r>
              <w:rPr>
                <w:rStyle w:val="55"/>
                <w:rFonts w:hint="eastAsia" w:ascii="宋体" w:hAnsi="宋体"/>
                <w:color w:val="000000" w:themeColor="text1"/>
                <w:szCs w:val="21"/>
                <w:highlight w:val="none"/>
                <w14:textFill>
                  <w14:solidFill>
                    <w14:schemeClr w14:val="tx1"/>
                  </w14:solidFill>
                </w14:textFill>
              </w:rPr>
              <w:t>编制要点：各有效竞选人针对本工程造价</w:t>
            </w:r>
            <w:r>
              <w:rPr>
                <w:rStyle w:val="55"/>
                <w:rFonts w:ascii="宋体" w:hAnsi="宋体"/>
                <w:color w:val="000000" w:themeColor="text1"/>
                <w:szCs w:val="21"/>
                <w:highlight w:val="none"/>
                <w14:textFill>
                  <w14:solidFill>
                    <w14:schemeClr w14:val="tx1"/>
                  </w14:solidFill>
                </w14:textFill>
              </w:rPr>
              <w:t>成本管控方案</w:t>
            </w:r>
            <w:r>
              <w:rPr>
                <w:rStyle w:val="55"/>
                <w:rFonts w:hint="eastAsia" w:ascii="宋体" w:hAnsi="宋体"/>
                <w:color w:val="000000" w:themeColor="text1"/>
                <w:szCs w:val="21"/>
                <w:highlight w:val="none"/>
                <w14:textFill>
                  <w14:solidFill>
                    <w14:schemeClr w14:val="tx1"/>
                  </w14:solidFill>
                </w14:textFill>
              </w:rPr>
              <w:t>，提出合理化建议、拟定</w:t>
            </w:r>
            <w:r>
              <w:rPr>
                <w:rStyle w:val="55"/>
                <w:rFonts w:ascii="宋体" w:hAnsi="宋体"/>
                <w:color w:val="000000" w:themeColor="text1"/>
                <w:szCs w:val="21"/>
                <w:highlight w:val="none"/>
                <w14:textFill>
                  <w14:solidFill>
                    <w14:schemeClr w14:val="tx1"/>
                  </w14:solidFill>
                </w14:textFill>
              </w:rPr>
              <w:t>成本管控</w:t>
            </w:r>
            <w:r>
              <w:rPr>
                <w:rStyle w:val="55"/>
                <w:rFonts w:hint="eastAsia" w:ascii="宋体" w:hAnsi="宋体"/>
                <w:color w:val="000000" w:themeColor="text1"/>
                <w:szCs w:val="21"/>
                <w:highlight w:val="none"/>
                <w14:textFill>
                  <w14:solidFill>
                    <w14:schemeClr w14:val="tx1"/>
                  </w14:solidFill>
                </w14:textFill>
              </w:rPr>
              <w:t>的方案和切实可行的；优得</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10</w:t>
            </w:r>
            <w:r>
              <w:rPr>
                <w:rStyle w:val="55"/>
                <w:rFonts w:hint="eastAsia" w:ascii="宋体" w:hAnsi="宋体"/>
                <w:color w:val="000000" w:themeColor="text1"/>
                <w:szCs w:val="21"/>
                <w:highlight w:val="none"/>
                <w14:textFill>
                  <w14:solidFill>
                    <w14:schemeClr w14:val="tx1"/>
                  </w14:solidFill>
                </w14:textFill>
              </w:rPr>
              <w:t>分；良得</w:t>
            </w:r>
            <w:r>
              <w:rPr>
                <w:rStyle w:val="55"/>
                <w:rFonts w:hint="eastAsia" w:ascii="宋体" w:hAnsi="宋体"/>
                <w:color w:val="000000" w:themeColor="text1"/>
                <w:szCs w:val="21"/>
                <w:highlight w:val="none"/>
                <w:lang w:val="en-US" w:eastAsia="zh-CN"/>
                <w14:textFill>
                  <w14:solidFill>
                    <w14:schemeClr w14:val="tx1"/>
                  </w14:solidFill>
                </w14:textFill>
              </w:rPr>
              <w:t>3</w:t>
            </w:r>
            <w:r>
              <w:rPr>
                <w:rStyle w:val="55"/>
                <w:rFonts w:ascii="宋体" w:hAnsi="宋体"/>
                <w:color w:val="000000" w:themeColor="text1"/>
                <w:szCs w:val="21"/>
                <w:highlight w:val="none"/>
                <w14:textFill>
                  <w14:solidFill>
                    <w14:schemeClr w14:val="tx1"/>
                  </w14:solidFill>
                </w14:textFill>
              </w:rPr>
              <w:t>-</w:t>
            </w:r>
            <w:r>
              <w:rPr>
                <w:rStyle w:val="55"/>
                <w:rFonts w:hint="eastAsia" w:ascii="宋体" w:hAnsi="宋体"/>
                <w:color w:val="000000" w:themeColor="text1"/>
                <w:szCs w:val="21"/>
                <w:highlight w:val="none"/>
                <w:lang w:val="en-US" w:eastAsia="zh-CN"/>
                <w14:textFill>
                  <w14:solidFill>
                    <w14:schemeClr w14:val="tx1"/>
                  </w14:solidFill>
                </w14:textFill>
              </w:rPr>
              <w:t>7</w:t>
            </w:r>
            <w:r>
              <w:rPr>
                <w:rStyle w:val="55"/>
                <w:rFonts w:hint="eastAsia" w:ascii="宋体" w:hAnsi="宋体"/>
                <w:color w:val="000000" w:themeColor="text1"/>
                <w:szCs w:val="21"/>
                <w:highlight w:val="none"/>
                <w14:textFill>
                  <w14:solidFill>
                    <w14:schemeClr w14:val="tx1"/>
                  </w14:solidFill>
                </w14:textFill>
              </w:rPr>
              <w:t>；一般得</w:t>
            </w:r>
            <w:r>
              <w:rPr>
                <w:rStyle w:val="55"/>
                <w:rFonts w:hint="eastAsia" w:ascii="宋体" w:hAnsi="宋体"/>
                <w:color w:val="000000" w:themeColor="text1"/>
                <w:szCs w:val="21"/>
                <w:highlight w:val="none"/>
                <w:lang w:val="en-US" w:eastAsia="zh-CN"/>
                <w14:textFill>
                  <w14:solidFill>
                    <w14:schemeClr w14:val="tx1"/>
                  </w14:solidFill>
                </w14:textFill>
              </w:rPr>
              <w:t>0-3</w:t>
            </w:r>
            <w:r>
              <w:rPr>
                <w:rStyle w:val="55"/>
                <w:rFonts w:hint="eastAsia" w:ascii="宋体" w:hAnsi="宋体"/>
                <w:color w:val="000000" w:themeColor="text1"/>
                <w:szCs w:val="21"/>
                <w:highlight w:val="none"/>
                <w14:textFill>
                  <w14:solidFill>
                    <w14:schemeClr w14:val="tx1"/>
                  </w14:solidFill>
                </w14:textFill>
              </w:rPr>
              <w:t>分；差不得分。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所有通过初步评审评审合格的比选申请人，比选申请报价得本附表第2.2.1项规定分值的满分</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3</w:t>
            </w:r>
            <w:r>
              <w:rPr>
                <w:rFonts w:hint="eastAsia" w:ascii="宋体" w:hAnsi="宋体" w:cs="宋体"/>
                <w:color w:val="000000" w:themeColor="text1"/>
                <w:kern w:val="0"/>
                <w:sz w:val="22"/>
                <w:szCs w:val="22"/>
                <w:highlight w:val="none"/>
                <w:u w:val="single"/>
                <w14:textFill>
                  <w14:solidFill>
                    <w14:schemeClr w14:val="tx1"/>
                  </w14:solidFill>
                </w14:textFill>
              </w:rPr>
              <w:t xml:space="preserve">0 </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14:textFill>
                  <w14:solidFill>
                    <w14:schemeClr w14:val="tx1"/>
                  </w14:solidFill>
                </w14:textFill>
              </w:rPr>
              <w:t>在此基础上，比选申请报价与评标基准价相比，每增加1%扣</w:t>
            </w:r>
            <w:r>
              <w:rPr>
                <w:rFonts w:hint="eastAsia" w:ascii="宋体" w:hAnsi="宋体" w:cs="宋体"/>
                <w:color w:val="000000" w:themeColor="text1"/>
                <w:sz w:val="22"/>
                <w:szCs w:val="22"/>
                <w:highlight w:val="none"/>
                <w:u w:val="single"/>
                <w14:textFill>
                  <w14:solidFill>
                    <w14:schemeClr w14:val="tx1"/>
                  </w14:solidFill>
                </w14:textFill>
              </w:rPr>
              <w:t>　0.</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cs="宋体"/>
                <w:color w:val="000000" w:themeColor="text1"/>
                <w:sz w:val="22"/>
                <w:szCs w:val="22"/>
                <w:highlight w:val="none"/>
                <w:u w:val="single"/>
                <w14:textFill>
                  <w14:solidFill>
                    <w14:schemeClr w14:val="tx1"/>
                  </w14:solidFill>
                </w14:textFill>
              </w:rPr>
              <w:t>　</w:t>
            </w:r>
            <w:r>
              <w:rPr>
                <w:rFonts w:hint="eastAsia" w:ascii="宋体" w:hAnsi="宋体" w:cs="宋体"/>
                <w:color w:val="000000" w:themeColor="text1"/>
                <w:sz w:val="22"/>
                <w:szCs w:val="22"/>
                <w:highlight w:val="none"/>
                <w14:textFill>
                  <w14:solidFill>
                    <w14:schemeClr w14:val="tx1"/>
                  </w14:solidFill>
                </w14:textFill>
              </w:rPr>
              <w:t>分，每减少1%扣</w:t>
            </w:r>
            <w:r>
              <w:rPr>
                <w:rFonts w:hint="eastAsia" w:ascii="宋体" w:hAnsi="宋体" w:cs="宋体"/>
                <w:color w:val="000000" w:themeColor="text1"/>
                <w:sz w:val="22"/>
                <w:szCs w:val="22"/>
                <w:highlight w:val="none"/>
                <w:u w:val="single"/>
                <w14:textFill>
                  <w14:solidFill>
                    <w14:schemeClr w14:val="tx1"/>
                  </w14:solidFill>
                </w14:textFill>
              </w:rPr>
              <w:t>　0.2</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分，最多扣</w:t>
            </w:r>
            <w:r>
              <w:rPr>
                <w:rFonts w:hint="eastAsia" w:ascii="宋体" w:hAnsi="宋体" w:cs="宋体"/>
                <w:color w:val="000000" w:themeColor="text1"/>
                <w:sz w:val="22"/>
                <w:szCs w:val="22"/>
                <w:highlight w:val="none"/>
                <w:u w:val="single"/>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w:t>
            </w:r>
          </w:p>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按插入法计算得分。</w:t>
            </w:r>
          </w:p>
          <w:p>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未参与评标基准价计算的竞标报价，仍应参加计算相应分值。</w:t>
            </w:r>
          </w:p>
          <w:p>
            <w:pPr>
              <w:spacing w:line="400" w:lineRule="exact"/>
              <w:ind w:firstLine="44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比选申请报价最终结果取小数点后两位，第三位四舍五入。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pPr>
        <w:pStyle w:val="3"/>
        <w:rPr>
          <w:rFonts w:ascii="宋体" w:hAnsi="宋体"/>
          <w:b w:val="0"/>
          <w:snapToGrid w:val="0"/>
          <w:color w:val="000000" w:themeColor="text1"/>
          <w:highlight w:val="none"/>
          <w14:textFill>
            <w14:solidFill>
              <w14:schemeClr w14:val="tx1"/>
            </w14:solidFill>
          </w14:textFill>
        </w:rPr>
      </w:pPr>
      <w:bookmarkStart w:id="624" w:name="_Toc509218776"/>
      <w:r>
        <w:rPr>
          <w:rFonts w:ascii="宋体" w:hAnsi="宋体"/>
          <w:b w:val="0"/>
          <w:snapToGrid w:val="0"/>
          <w:color w:val="000000" w:themeColor="text1"/>
          <w:highlight w:val="none"/>
          <w14:textFill>
            <w14:solidFill>
              <w14:schemeClr w14:val="tx1"/>
            </w14:solidFill>
          </w14:textFill>
        </w:rPr>
        <w:br w:type="page"/>
      </w:r>
      <w:bookmarkStart w:id="625" w:name="_Toc2468"/>
      <w:bookmarkStart w:id="626" w:name="_Toc122515230"/>
      <w:r>
        <w:rPr>
          <w:rFonts w:ascii="宋体" w:hAnsi="宋体"/>
          <w:b w:val="0"/>
          <w:snapToGrid w:val="0"/>
          <w:color w:val="000000" w:themeColor="text1"/>
          <w:highlight w:val="none"/>
          <w14:textFill>
            <w14:solidFill>
              <w14:schemeClr w14:val="tx1"/>
            </w14:solidFill>
          </w14:textFill>
        </w:rPr>
        <w:t>1.  评标方法</w:t>
      </w:r>
      <w:bookmarkEnd w:id="624"/>
      <w:bookmarkEnd w:id="625"/>
      <w:bookmarkEnd w:id="626"/>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pPr>
        <w:pStyle w:val="3"/>
        <w:rPr>
          <w:rFonts w:ascii="宋体" w:hAnsi="宋体"/>
          <w:b w:val="0"/>
          <w:snapToGrid w:val="0"/>
          <w:color w:val="000000" w:themeColor="text1"/>
          <w:highlight w:val="none"/>
          <w14:textFill>
            <w14:solidFill>
              <w14:schemeClr w14:val="tx1"/>
            </w14:solidFill>
          </w14:textFill>
        </w:rPr>
      </w:pPr>
      <w:bookmarkStart w:id="627" w:name="_Toc122515231"/>
      <w:bookmarkStart w:id="628" w:name="_Toc509218777"/>
      <w:bookmarkStart w:id="629" w:name="_Toc8451"/>
      <w:r>
        <w:rPr>
          <w:rFonts w:ascii="宋体" w:hAnsi="宋体"/>
          <w:b w:val="0"/>
          <w:snapToGrid w:val="0"/>
          <w:color w:val="000000" w:themeColor="text1"/>
          <w:highlight w:val="none"/>
          <w14:textFill>
            <w14:solidFill>
              <w14:schemeClr w14:val="tx1"/>
            </w14:solidFill>
          </w14:textFill>
        </w:rPr>
        <w:t>2.  评审标准</w:t>
      </w:r>
      <w:bookmarkEnd w:id="627"/>
      <w:bookmarkEnd w:id="628"/>
      <w:bookmarkEnd w:id="629"/>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0" w:name="_Toc509218778"/>
      <w:bookmarkStart w:id="631" w:name="_Toc11473"/>
      <w:bookmarkStart w:id="632" w:name="_Toc122515232"/>
      <w:r>
        <w:rPr>
          <w:rFonts w:ascii="宋体" w:hAnsi="宋体"/>
          <w:b w:val="0"/>
          <w:snapToGrid w:val="0"/>
          <w:color w:val="000000" w:themeColor="text1"/>
          <w:szCs w:val="24"/>
          <w:highlight w:val="none"/>
          <w14:textFill>
            <w14:solidFill>
              <w14:schemeClr w14:val="tx1"/>
            </w14:solidFill>
          </w14:textFill>
        </w:rPr>
        <w:t>2.1  初步评审标准</w:t>
      </w:r>
      <w:bookmarkEnd w:id="630"/>
      <w:bookmarkEnd w:id="631"/>
      <w:bookmarkEnd w:id="632"/>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3" w:name="_Toc509218779"/>
      <w:bookmarkStart w:id="634" w:name="_Toc122515233"/>
      <w:bookmarkStart w:id="635" w:name="_Toc21330"/>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3"/>
      <w:bookmarkEnd w:id="634"/>
      <w:bookmarkEnd w:id="635"/>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pPr>
        <w:pStyle w:val="3"/>
        <w:rPr>
          <w:rFonts w:ascii="宋体" w:hAnsi="宋体"/>
          <w:b w:val="0"/>
          <w:snapToGrid w:val="0"/>
          <w:color w:val="000000" w:themeColor="text1"/>
          <w:highlight w:val="none"/>
          <w14:textFill>
            <w14:solidFill>
              <w14:schemeClr w14:val="tx1"/>
            </w14:solidFill>
          </w14:textFill>
        </w:rPr>
      </w:pPr>
      <w:bookmarkStart w:id="636" w:name="_Toc765"/>
      <w:bookmarkStart w:id="637" w:name="_Toc122515234"/>
      <w:bookmarkStart w:id="638" w:name="_Toc509218780"/>
      <w:r>
        <w:rPr>
          <w:rFonts w:ascii="宋体" w:hAnsi="宋体"/>
          <w:b w:val="0"/>
          <w:snapToGrid w:val="0"/>
          <w:color w:val="000000" w:themeColor="text1"/>
          <w:highlight w:val="none"/>
          <w14:textFill>
            <w14:solidFill>
              <w14:schemeClr w14:val="tx1"/>
            </w14:solidFill>
          </w14:textFill>
        </w:rPr>
        <w:t>3.  评标程序</w:t>
      </w:r>
      <w:bookmarkEnd w:id="636"/>
      <w:bookmarkEnd w:id="637"/>
      <w:bookmarkEnd w:id="638"/>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39" w:name="_Toc18340"/>
      <w:bookmarkStart w:id="640" w:name="_Toc509218781"/>
      <w:bookmarkStart w:id="641" w:name="_Toc122515235"/>
      <w:r>
        <w:rPr>
          <w:rFonts w:ascii="宋体" w:hAnsi="宋体"/>
          <w:b w:val="0"/>
          <w:snapToGrid w:val="0"/>
          <w:color w:val="000000" w:themeColor="text1"/>
          <w:szCs w:val="24"/>
          <w:highlight w:val="none"/>
          <w14:textFill>
            <w14:solidFill>
              <w14:schemeClr w14:val="tx1"/>
            </w14:solidFill>
          </w14:textFill>
        </w:rPr>
        <w:t>3.1  初步评审</w:t>
      </w:r>
      <w:bookmarkEnd w:id="639"/>
      <w:bookmarkEnd w:id="640"/>
      <w:bookmarkEnd w:id="641"/>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pPr>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642" w:name="_Toc509218782"/>
      <w:bookmarkStart w:id="643"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4" w:name="_Toc122515236"/>
      <w:r>
        <w:rPr>
          <w:rFonts w:ascii="宋体" w:hAnsi="宋体"/>
          <w:b w:val="0"/>
          <w:snapToGrid w:val="0"/>
          <w:color w:val="000000" w:themeColor="text1"/>
          <w:szCs w:val="24"/>
          <w:highlight w:val="none"/>
          <w14:textFill>
            <w14:solidFill>
              <w14:schemeClr w14:val="tx1"/>
            </w14:solidFill>
          </w14:textFill>
        </w:rPr>
        <w:t>3.2  详细评审</w:t>
      </w:r>
      <w:bookmarkEnd w:id="642"/>
      <w:bookmarkEnd w:id="643"/>
      <w:bookmarkEnd w:id="644"/>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5" w:name="_Toc122515237"/>
      <w:bookmarkStart w:id="646" w:name="_Toc18143"/>
      <w:bookmarkStart w:id="647" w:name="_Toc509218783"/>
      <w:r>
        <w:rPr>
          <w:rFonts w:ascii="宋体" w:hAnsi="宋体"/>
          <w:b w:val="0"/>
          <w:snapToGrid w:val="0"/>
          <w:color w:val="000000" w:themeColor="text1"/>
          <w:szCs w:val="24"/>
          <w:highlight w:val="none"/>
          <w14:textFill>
            <w14:solidFill>
              <w14:schemeClr w14:val="tx1"/>
            </w14:solidFill>
          </w14:textFill>
        </w:rPr>
        <w:t>3.3  竞选文件的澄清</w:t>
      </w:r>
      <w:bookmarkEnd w:id="645"/>
      <w:bookmarkEnd w:id="646"/>
      <w:bookmarkEnd w:id="647"/>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648"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8"/>
    </w:p>
    <w:p>
      <w:pPr>
        <w:pStyle w:val="4"/>
        <w:snapToGrid w:val="0"/>
        <w:spacing w:before="0" w:line="360" w:lineRule="auto"/>
        <w:rPr>
          <w:rFonts w:ascii="宋体" w:hAnsi="宋体"/>
          <w:b w:val="0"/>
          <w:snapToGrid w:val="0"/>
          <w:color w:val="000000" w:themeColor="text1"/>
          <w:szCs w:val="24"/>
          <w:highlight w:val="none"/>
          <w14:textFill>
            <w14:solidFill>
              <w14:schemeClr w14:val="tx1"/>
            </w14:solidFill>
          </w14:textFill>
        </w:rPr>
      </w:pPr>
      <w:bookmarkStart w:id="649" w:name="_Toc509218784"/>
      <w:bookmarkStart w:id="650" w:name="_Toc22756"/>
      <w:bookmarkStart w:id="651" w:name="_Toc122515238"/>
      <w:r>
        <w:rPr>
          <w:rFonts w:ascii="宋体" w:hAnsi="宋体"/>
          <w:b w:val="0"/>
          <w:snapToGrid w:val="0"/>
          <w:color w:val="000000" w:themeColor="text1"/>
          <w:szCs w:val="24"/>
          <w:highlight w:val="none"/>
          <w14:textFill>
            <w14:solidFill>
              <w14:schemeClr w14:val="tx1"/>
            </w14:solidFill>
          </w14:textFill>
        </w:rPr>
        <w:t>3.4  评标结果</w:t>
      </w:r>
      <w:bookmarkEnd w:id="649"/>
      <w:bookmarkEnd w:id="650"/>
      <w:bookmarkEnd w:id="651"/>
    </w:p>
    <w:p>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pPr>
        <w:pStyle w:val="8"/>
        <w:rPr>
          <w:rFonts w:ascii="宋体" w:hAnsi="宋体"/>
          <w:color w:val="000000" w:themeColor="text1"/>
          <w:highlight w:val="none"/>
          <w14:textFill>
            <w14:solidFill>
              <w14:schemeClr w14:val="tx1"/>
            </w14:solidFill>
          </w14:textFill>
        </w:rPr>
      </w:pPr>
    </w:p>
    <w:p>
      <w:pPr>
        <w:spacing w:line="400" w:lineRule="atLeast"/>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pPr>
        <w:pStyle w:val="21"/>
        <w:spacing w:line="360" w:lineRule="auto"/>
        <w:rPr>
          <w:rFonts w:ascii="宋体" w:hAnsi="宋体"/>
          <w:color w:val="000000" w:themeColor="text1"/>
          <w:sz w:val="28"/>
          <w:szCs w:val="28"/>
          <w:highlight w:val="none"/>
          <w:lang w:eastAsia="zh-CN"/>
          <w14:textFill>
            <w14:solidFill>
              <w14:schemeClr w14:val="tx1"/>
            </w14:solidFill>
          </w14:textFill>
        </w:rPr>
      </w:pPr>
      <w:bookmarkStart w:id="652" w:name="招标文件03章02评标办法综合评估法02附件02"/>
      <w:bookmarkEnd w:id="652"/>
      <w:bookmarkStart w:id="653" w:name="招标文件04章合同条款及格式"/>
      <w:bookmarkEnd w:id="653"/>
      <w:bookmarkStart w:id="654" w:name="_Toc230410480"/>
      <w:bookmarkStart w:id="655"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4"/>
    </w:p>
    <w:p>
      <w:pPr>
        <w:pStyle w:val="21"/>
        <w:spacing w:line="360" w:lineRule="auto"/>
        <w:jc w:val="both"/>
        <w:rPr>
          <w:rFonts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8"/>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pPr>
              <w:autoSpaceDE w:val="0"/>
              <w:autoSpaceDN w:val="0"/>
              <w:adjustRightInd w:val="0"/>
              <w:snapToGrid w:val="0"/>
              <w:spacing w:line="360" w:lineRule="auto"/>
              <w:ind w:firstLine="315" w:firstLineChars="150"/>
              <w:jc w:val="left"/>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pPr>
              <w:spacing w:line="360" w:lineRule="auto"/>
              <w:ind w:firstLine="315" w:firstLineChars="15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pPr>
              <w:spacing w:line="360" w:lineRule="auto"/>
              <w:ind w:firstLine="315" w:firstLineChars="150"/>
              <w:rPr>
                <w:rFonts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pPr>
              <w:spacing w:line="360" w:lineRule="auto"/>
              <w:ind w:firstLine="315" w:firstLineChars="150"/>
              <w:rPr>
                <w:rFonts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5"/>
    </w:tbl>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jc w:val="center"/>
        <w:rPr>
          <w:rFonts w:ascii="宋体" w:hAnsi="宋体"/>
          <w:color w:val="000000" w:themeColor="text1"/>
          <w:sz w:val="21"/>
          <w:szCs w:val="21"/>
          <w:highlight w:val="none"/>
          <w14:textFill>
            <w14:solidFill>
              <w14:schemeClr w14:val="tx1"/>
            </w14:solidFill>
          </w14:textFill>
        </w:rPr>
      </w:pPr>
    </w:p>
    <w:p>
      <w:pPr>
        <w:pStyle w:val="2"/>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pPr>
        <w:rPr>
          <w:rFonts w:ascii="宋体" w:hAnsi="宋体"/>
          <w:color w:val="000000" w:themeColor="text1"/>
          <w:highlight w:val="none"/>
          <w14:textFill>
            <w14:solidFill>
              <w14:schemeClr w14:val="tx1"/>
            </w14:solidFill>
          </w14:textFill>
        </w:rPr>
      </w:pPr>
    </w:p>
    <w:p>
      <w:pPr>
        <w:overflowPunct w:val="0"/>
        <w:autoSpaceDE w:val="0"/>
        <w:autoSpaceDN w:val="0"/>
        <w:adjustRightInd w:val="0"/>
        <w:snapToGrid w:val="0"/>
        <w:spacing w:line="720" w:lineRule="exact"/>
        <w:ind w:firstLine="2168" w:firstLineChars="300"/>
        <w:rPr>
          <w:rFonts w:ascii="宋体" w:hAnsi="宋体"/>
          <w:b/>
          <w:bCs/>
          <w:color w:val="000000" w:themeColor="text1"/>
          <w:sz w:val="72"/>
          <w:szCs w:val="72"/>
          <w:highlight w:val="none"/>
          <w14:textFill>
            <w14:solidFill>
              <w14:schemeClr w14:val="tx1"/>
            </w14:solidFill>
          </w14:textFill>
        </w:rPr>
      </w:pPr>
    </w:p>
    <w:p>
      <w:pPr>
        <w:pStyle w:val="13"/>
        <w:ind w:firstLine="6325" w:firstLineChars="1750"/>
        <w:rPr>
          <w:rFonts w:hAnsi="宋体"/>
          <w:b/>
          <w:color w:val="000000" w:themeColor="text1"/>
          <w:sz w:val="36"/>
          <w:szCs w:val="36"/>
          <w:highlight w:val="none"/>
          <w14:textFill>
            <w14:solidFill>
              <w14:schemeClr w14:val="tx1"/>
            </w14:solidFill>
          </w14:textFill>
        </w:rPr>
      </w:pPr>
      <w:bookmarkStart w:id="656" w:name="_Toc27983310"/>
      <w:bookmarkStart w:id="657" w:name="_Toc25082183"/>
      <w:bookmarkStart w:id="658" w:name="_Toc42694323"/>
      <w:bookmarkStart w:id="659" w:name="_Toc509218786"/>
      <w:bookmarkStart w:id="660" w:name="_Toc505679277"/>
      <w:bookmarkStart w:id="661" w:name="_Toc534185765"/>
      <w:r>
        <w:rPr>
          <w:rFonts w:hAnsi="宋体"/>
          <w:b/>
          <w:color w:val="000000" w:themeColor="text1"/>
          <w:sz w:val="36"/>
          <w:szCs w:val="36"/>
          <w:highlight w:val="none"/>
          <w14:textFill>
            <w14:solidFill>
              <w14:schemeClr w14:val="tx1"/>
            </w14:solidFill>
          </w14:textFill>
        </w:rPr>
        <w:br w:type="page"/>
      </w:r>
      <w:bookmarkEnd w:id="656"/>
      <w:bookmarkEnd w:id="657"/>
      <w:bookmarkEnd w:id="658"/>
      <w:bookmarkEnd w:id="659"/>
      <w:bookmarkEnd w:id="660"/>
      <w:bookmarkEnd w:id="661"/>
      <w:bookmarkStart w:id="662" w:name="_Toc351203494"/>
    </w:p>
    <w:bookmarkEnd w:id="622"/>
    <w:bookmarkEnd w:id="623"/>
    <w:bookmarkEnd w:id="662"/>
    <w:p>
      <w:pPr>
        <w:pStyle w:val="8"/>
        <w:rPr>
          <w:rFonts w:ascii="宋体" w:hAnsi="宋体"/>
          <w:color w:val="000000" w:themeColor="text1"/>
          <w:szCs w:val="21"/>
          <w:highlight w:val="none"/>
          <w14:textFill>
            <w14:solidFill>
              <w14:schemeClr w14:val="tx1"/>
            </w14:solidFill>
          </w14:textFill>
        </w:rPr>
      </w:pPr>
      <w:bookmarkStart w:id="663" w:name="baidusnap7"/>
      <w:bookmarkEnd w:id="663"/>
      <w:bookmarkStart w:id="664" w:name="_Toc30057"/>
      <w:bookmarkEnd w:id="664"/>
      <w:bookmarkStart w:id="665" w:name="baidusnap3"/>
      <w:bookmarkEnd w:id="665"/>
      <w:bookmarkStart w:id="666" w:name="招标文件06章图纸"/>
      <w:bookmarkEnd w:id="666"/>
      <w:bookmarkStart w:id="667" w:name="招标文件06章图纸01"/>
      <w:bookmarkEnd w:id="667"/>
      <w:bookmarkStart w:id="668" w:name="_Toc6677"/>
      <w:bookmarkStart w:id="669" w:name="_Toc30930"/>
      <w:bookmarkStart w:id="670" w:name="_Toc7551"/>
      <w:bookmarkStart w:id="671" w:name="_Toc287620804"/>
      <w:bookmarkStart w:id="672" w:name="_Toc430530520"/>
      <w:bookmarkStart w:id="673" w:name="_Toc296890982"/>
      <w:bookmarkStart w:id="674" w:name="_Toc351203480"/>
      <w:bookmarkStart w:id="675" w:name="_Toc296503025"/>
    </w:p>
    <w:p>
      <w:pPr>
        <w:wordWrap w:val="0"/>
        <w:ind w:right="1440" w:firstLine="720"/>
        <w:rPr>
          <w:color w:val="000000" w:themeColor="text1"/>
          <w:sz w:val="36"/>
          <w:szCs w:val="36"/>
          <w:highlight w:val="none"/>
          <w:u w:val="single"/>
          <w14:textFill>
            <w14:solidFill>
              <w14:schemeClr w14:val="tx1"/>
            </w14:solidFill>
          </w14:textFill>
        </w:rPr>
      </w:pPr>
      <w:r>
        <w:rPr>
          <w:rFonts w:hint="eastAsia"/>
          <w:color w:val="000000" w:themeColor="text1"/>
          <w:sz w:val="36"/>
          <w:szCs w:val="36"/>
          <w:highlight w:val="none"/>
          <w14:textFill>
            <w14:solidFill>
              <w14:schemeClr w14:val="tx1"/>
            </w14:solidFill>
          </w14:textFill>
        </w:rPr>
        <w:t>合同编号：</w:t>
      </w:r>
    </w:p>
    <w:p>
      <w:pPr>
        <w:ind w:firstLine="720"/>
        <w:jc w:val="center"/>
        <w:rPr>
          <w:color w:val="000000" w:themeColor="text1"/>
          <w:sz w:val="36"/>
          <w:szCs w:val="36"/>
          <w:highlight w:val="none"/>
          <w14:textFill>
            <w14:solidFill>
              <w14:schemeClr w14:val="tx1"/>
            </w14:solidFill>
          </w14:textFill>
        </w:rPr>
      </w:pPr>
    </w:p>
    <w:p>
      <w:pPr>
        <w:ind w:firstLine="1440"/>
        <w:jc w:val="center"/>
        <w:rPr>
          <w:color w:val="000000" w:themeColor="text1"/>
          <w:sz w:val="72"/>
          <w:szCs w:val="72"/>
          <w:highlight w:val="none"/>
          <w14:textFill>
            <w14:solidFill>
              <w14:schemeClr w14:val="tx1"/>
            </w14:solidFill>
          </w14:textFill>
        </w:rPr>
      </w:pPr>
    </w:p>
    <w:p>
      <w:pPr>
        <w:ind w:firstLine="1440"/>
        <w:jc w:val="center"/>
        <w:rPr>
          <w:color w:val="000000" w:themeColor="text1"/>
          <w:sz w:val="72"/>
          <w:szCs w:val="72"/>
          <w:highlight w:val="none"/>
          <w14:textFill>
            <w14:solidFill>
              <w14:schemeClr w14:val="tx1"/>
            </w14:solidFill>
          </w14:textFill>
        </w:rPr>
      </w:pPr>
    </w:p>
    <w:p>
      <w:pPr>
        <w:ind w:firstLine="144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建设工程造价咨询合同</w:t>
      </w:r>
    </w:p>
    <w:p>
      <w:pPr>
        <w:ind w:firstLine="880"/>
        <w:jc w:val="center"/>
        <w:rPr>
          <w:color w:val="000000" w:themeColor="text1"/>
          <w:sz w:val="44"/>
          <w:szCs w:val="44"/>
          <w:highlight w:val="none"/>
          <w14:textFill>
            <w14:solidFill>
              <w14:schemeClr w14:val="tx1"/>
            </w14:solidFill>
          </w14:textFill>
        </w:rPr>
      </w:pPr>
    </w:p>
    <w:p>
      <w:pPr>
        <w:ind w:firstLine="880"/>
        <w:jc w:val="center"/>
        <w:rPr>
          <w:color w:val="000000" w:themeColor="text1"/>
          <w:sz w:val="44"/>
          <w:szCs w:val="44"/>
          <w:highlight w:val="none"/>
          <w14:textFill>
            <w14:solidFill>
              <w14:schemeClr w14:val="tx1"/>
            </w14:solidFill>
          </w14:textFill>
        </w:rPr>
      </w:pPr>
    </w:p>
    <w:p>
      <w:pPr>
        <w:ind w:firstLine="880"/>
        <w:jc w:val="center"/>
        <w:rPr>
          <w:color w:val="000000" w:themeColor="text1"/>
          <w:sz w:val="44"/>
          <w:szCs w:val="44"/>
          <w:highlight w:val="none"/>
          <w14:textFill>
            <w14:solidFill>
              <w14:schemeClr w14:val="tx1"/>
            </w14:solidFill>
          </w14:textFill>
        </w:rPr>
      </w:pPr>
    </w:p>
    <w:p>
      <w:pPr>
        <w:ind w:firstLine="880"/>
        <w:jc w:val="center"/>
        <w:rPr>
          <w:color w:val="000000" w:themeColor="text1"/>
          <w:sz w:val="44"/>
          <w:szCs w:val="44"/>
          <w:highlight w:val="none"/>
          <w14:textFill>
            <w14:solidFill>
              <w14:schemeClr w14:val="tx1"/>
            </w14:solidFill>
          </w14:textFill>
        </w:rPr>
      </w:pPr>
    </w:p>
    <w:p>
      <w:pPr>
        <w:ind w:firstLine="880"/>
        <w:jc w:val="center"/>
        <w:rPr>
          <w:color w:val="000000" w:themeColor="text1"/>
          <w:sz w:val="44"/>
          <w:szCs w:val="44"/>
          <w:highlight w:val="none"/>
          <w14:textFill>
            <w14:solidFill>
              <w14:schemeClr w14:val="tx1"/>
            </w14:solidFill>
          </w14:textFill>
        </w:rPr>
      </w:pPr>
    </w:p>
    <w:p>
      <w:pPr>
        <w:ind w:firstLine="880"/>
        <w:jc w:val="center"/>
        <w:rPr>
          <w:color w:val="000000" w:themeColor="text1"/>
          <w:sz w:val="44"/>
          <w:szCs w:val="44"/>
          <w:highlight w:val="none"/>
          <w14:textFill>
            <w14:solidFill>
              <w14:schemeClr w14:val="tx1"/>
            </w14:solidFill>
          </w14:textFill>
        </w:rPr>
      </w:pPr>
    </w:p>
    <w:p>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年</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月</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firstLine="880"/>
        <w:jc w:val="center"/>
        <w:rPr>
          <w:rFonts w:asciiTheme="minorEastAsia" w:hAnsiTheme="minorEastAsia"/>
          <w:color w:val="000000" w:themeColor="text1"/>
          <w:sz w:val="44"/>
          <w:szCs w:val="44"/>
          <w:highlight w:val="none"/>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14:textFill>
            <w14:solidFill>
              <w14:schemeClr w14:val="tx1"/>
            </w14:solidFill>
          </w14:textFill>
        </w:rPr>
        <w:id w:val="147476762"/>
        <w:docPartObj>
          <w:docPartGallery w:val="Table of Contents"/>
          <w:docPartUnique/>
        </w:docPartObj>
      </w:sdtPr>
      <w:sdtEndPr>
        <w:rPr>
          <w:rFonts w:ascii="宋体" w:hAnsi="宋体" w:eastAsia="宋体"/>
          <w:color w:val="000000" w:themeColor="text1"/>
          <w:sz w:val="24"/>
          <w:szCs w:val="24"/>
          <w:highlight w:val="none"/>
          <w14:textFill>
            <w14:solidFill>
              <w14:schemeClr w14:val="tx1"/>
            </w14:solidFill>
          </w14:textFill>
        </w:rPr>
      </w:sdtEndPr>
      <w:sdtContent>
        <w:p>
          <w:pPr>
            <w:jc w:val="center"/>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目录</w:t>
          </w:r>
        </w:p>
        <w:p>
          <w:pPr>
            <w:pStyle w:val="19"/>
            <w:tabs>
              <w:tab w:val="right" w:leader="dot" w:pos="872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"1-3" \h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"_Toc76398630" </w:instrText>
          </w:r>
          <w:r>
            <w:rPr>
              <w:color w:val="000000" w:themeColor="text1"/>
              <w:highlight w:val="none"/>
              <w14:textFill>
                <w14:solidFill>
                  <w14:schemeClr w14:val="tx1"/>
                </w14:solidFill>
              </w14:textFill>
            </w:rPr>
            <w:fldChar w:fldCharType="separate"/>
          </w:r>
          <w:r>
            <w:rPr>
              <w:rStyle w:val="38"/>
              <w:rFonts w:hint="eastAsia"/>
              <w:b/>
              <w:color w:val="000000" w:themeColor="text1"/>
              <w:highlight w:val="none"/>
              <w14:textFill>
                <w14:solidFill>
                  <w14:schemeClr w14:val="tx1"/>
                </w14:solidFill>
              </w14:textFill>
            </w:rPr>
            <w:t>第一部分协议书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"_Toc76398631"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一、工程概况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"_Toc76398632"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二、服务范围及工作内容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"_Toc76398633"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三、服务期限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"_Toc76398634"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四、质量标准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"_Toc76398635"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五、酬金或计取方式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"_Toc76398636"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六、合同文件的构成本协议书与下列文件一起构成合同文件</w:t>
          </w:r>
          <w:r>
            <w:rPr>
              <w:rStyle w:val="38"/>
              <w:rFonts w:asciiTheme="minorEastAsia" w:hAnsi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"_Toc76398637"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七、词语定义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"_Toc76398638"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八、合同订立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"_Toc76398639"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九、合同生效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"_Toc76398640"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color w:val="000000" w:themeColor="text1"/>
              <w:highlight w:val="none"/>
              <w14:textFill>
                <w14:solidFill>
                  <w14:schemeClr w14:val="tx1"/>
                </w14:solidFill>
              </w14:textFill>
            </w:rPr>
            <w:t>十、合同份数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"_Toc76398641"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b/>
              <w:color w:val="000000" w:themeColor="text1"/>
              <w:highlight w:val="none"/>
              <w14:textFill>
                <w14:solidFill>
                  <w14:schemeClr w14:val="tx1"/>
                </w14:solidFill>
              </w14:textFill>
            </w:rPr>
            <w:t>第二部分通用条件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1.</w:t>
          </w:r>
          <w:r>
            <w:rPr>
              <w:rStyle w:val="38"/>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1.1 </w:t>
          </w:r>
          <w:r>
            <w:rPr>
              <w:rStyle w:val="38"/>
              <w:rFonts w:hint="eastAsia" w:asciiTheme="minorEastAsia" w:hAnsiTheme="minorEastAsia"/>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1.2 </w:t>
          </w:r>
          <w:r>
            <w:rPr>
              <w:rStyle w:val="38"/>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1.3 </w:t>
          </w:r>
          <w:r>
            <w:rPr>
              <w:rStyle w:val="38"/>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1.4 </w:t>
          </w:r>
          <w:r>
            <w:rPr>
              <w:rStyle w:val="38"/>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2.</w:t>
          </w:r>
          <w:r>
            <w:rPr>
              <w:rStyle w:val="38"/>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2.1 </w:t>
          </w:r>
          <w:r>
            <w:rPr>
              <w:rStyle w:val="38"/>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2.2 </w:t>
          </w:r>
          <w:r>
            <w:rPr>
              <w:rStyle w:val="38"/>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2.3 </w:t>
          </w:r>
          <w:r>
            <w:rPr>
              <w:rStyle w:val="38"/>
              <w:rFonts w:hint="eastAsia" w:asciiTheme="minorEastAsia" w:hAnsiTheme="minorEastAsia"/>
              <w:color w:val="000000" w:themeColor="text1"/>
              <w:highlight w:val="none"/>
              <w14:textFill>
                <w14:solidFill>
                  <w14:schemeClr w14:val="tx1"/>
                </w14:solidFill>
              </w14:textFill>
            </w:rPr>
            <w:t>合理工作时限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2.4 </w:t>
          </w:r>
          <w:r>
            <w:rPr>
              <w:rStyle w:val="38"/>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2.5 </w:t>
          </w:r>
          <w:r>
            <w:rPr>
              <w:rStyle w:val="38"/>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2.6 </w:t>
          </w:r>
          <w:r>
            <w:rPr>
              <w:rStyle w:val="38"/>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3.</w:t>
          </w:r>
          <w:r>
            <w:rPr>
              <w:rStyle w:val="38"/>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3.1 </w:t>
          </w:r>
          <w:r>
            <w:rPr>
              <w:rStyle w:val="38"/>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3.2 </w:t>
          </w:r>
          <w:r>
            <w:rPr>
              <w:rStyle w:val="38"/>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3.3 </w:t>
          </w:r>
          <w:r>
            <w:rPr>
              <w:rStyle w:val="38"/>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3.4 </w:t>
          </w:r>
          <w:r>
            <w:rPr>
              <w:rStyle w:val="38"/>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4.</w:t>
          </w:r>
          <w:r>
            <w:rPr>
              <w:rStyle w:val="38"/>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4.1 </w:t>
          </w:r>
          <w:r>
            <w:rPr>
              <w:rStyle w:val="38"/>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4.2 </w:t>
          </w:r>
          <w:r>
            <w:rPr>
              <w:rStyle w:val="38"/>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5.</w:t>
          </w:r>
          <w:r>
            <w:rPr>
              <w:rStyle w:val="38"/>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5.1 </w:t>
          </w:r>
          <w:r>
            <w:rPr>
              <w:rStyle w:val="38"/>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5.2 </w:t>
          </w:r>
          <w:r>
            <w:rPr>
              <w:rStyle w:val="38"/>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5.3 </w:t>
          </w:r>
          <w:r>
            <w:rPr>
              <w:rStyle w:val="38"/>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5.4 </w:t>
          </w:r>
          <w:r>
            <w:rPr>
              <w:rStyle w:val="38"/>
              <w:rFonts w:hint="eastAsia" w:asciiTheme="minorEastAsia" w:hAnsiTheme="minorEastAsia"/>
              <w:color w:val="000000" w:themeColor="text1"/>
              <w:highlight w:val="none"/>
              <w14:textFill>
                <w14:solidFill>
                  <w14:schemeClr w14:val="tx1"/>
                </w14:solidFill>
              </w14:textFill>
            </w:rPr>
            <w:t>有异议部分的支付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6.</w:t>
          </w:r>
          <w:r>
            <w:rPr>
              <w:rStyle w:val="38"/>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6.1 </w:t>
          </w:r>
          <w:r>
            <w:rPr>
              <w:rStyle w:val="38"/>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6.2 </w:t>
          </w:r>
          <w:r>
            <w:rPr>
              <w:rStyle w:val="38"/>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6.3 </w:t>
          </w:r>
          <w:r>
            <w:rPr>
              <w:rStyle w:val="38"/>
              <w:rFonts w:hint="eastAsia" w:asciiTheme="minorEastAsia" w:hAnsiTheme="minorEastAsia"/>
              <w:color w:val="000000" w:themeColor="text1"/>
              <w:highlight w:val="none"/>
              <w14:textFill>
                <w14:solidFill>
                  <w14:schemeClr w14:val="tx1"/>
                </w14:solidFill>
              </w14:textFill>
            </w:rPr>
            <w:t>合同终止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7.</w:t>
          </w:r>
          <w:r>
            <w:rPr>
              <w:rStyle w:val="38"/>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7.1 </w:t>
          </w:r>
          <w:r>
            <w:rPr>
              <w:rStyle w:val="38"/>
              <w:rFonts w:hint="eastAsia" w:asciiTheme="minorEastAsia" w:hAnsiTheme="minorEastAsia"/>
              <w:color w:val="000000" w:themeColor="text1"/>
              <w:highlight w:val="none"/>
              <w14:textFill>
                <w14:solidFill>
                  <w14:schemeClr w14:val="tx1"/>
                </w14:solidFill>
              </w14:textFill>
            </w:rPr>
            <w:t>协商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7.2 </w:t>
          </w:r>
          <w:r>
            <w:rPr>
              <w:rStyle w:val="38"/>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7.3 </w:t>
          </w:r>
          <w:r>
            <w:rPr>
              <w:rStyle w:val="38"/>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8.</w:t>
          </w:r>
          <w:r>
            <w:rPr>
              <w:rStyle w:val="38"/>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8.1 </w:t>
          </w:r>
          <w:r>
            <w:rPr>
              <w:rStyle w:val="38"/>
              <w:rFonts w:hint="eastAsia" w:asciiTheme="minorEastAsia" w:hAnsiTheme="minorEastAsia"/>
              <w:color w:val="000000" w:themeColor="text1"/>
              <w:highlight w:val="none"/>
              <w14:textFill>
                <w14:solidFill>
                  <w14:schemeClr w14:val="tx1"/>
                </w14:solidFill>
              </w14:textFill>
            </w:rPr>
            <w:t>考察及相关费用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8.2 </w:t>
          </w:r>
          <w:r>
            <w:rPr>
              <w:rStyle w:val="38"/>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8.3 </w:t>
          </w:r>
          <w:r>
            <w:rPr>
              <w:rStyle w:val="38"/>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8.4 </w:t>
          </w:r>
          <w:r>
            <w:rPr>
              <w:rStyle w:val="38"/>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8.5 </w:t>
          </w:r>
          <w:r>
            <w:rPr>
              <w:rStyle w:val="38"/>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"_Toc76398681" </w:instrText>
          </w:r>
          <w:r>
            <w:rPr>
              <w:color w:val="000000" w:themeColor="text1"/>
              <w:highlight w:val="none"/>
              <w14:textFill>
                <w14:solidFill>
                  <w14:schemeClr w14:val="tx1"/>
                </w14:solidFill>
              </w14:textFill>
            </w:rPr>
            <w:fldChar w:fldCharType="separate"/>
          </w:r>
          <w:r>
            <w:rPr>
              <w:rStyle w:val="38"/>
              <w:rFonts w:hint="eastAsia" w:asciiTheme="minorEastAsia" w:hAnsiTheme="minorEastAsia"/>
              <w:b/>
              <w:color w:val="000000" w:themeColor="text1"/>
              <w:highlight w:val="none"/>
              <w14:textFill>
                <w14:solidFill>
                  <w14:schemeClr w14:val="tx1"/>
                </w14:solidFill>
              </w14:textFill>
            </w:rPr>
            <w:t>第三部分专用条件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1.</w:t>
          </w:r>
          <w:r>
            <w:rPr>
              <w:rStyle w:val="38"/>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1.2 </w:t>
          </w:r>
          <w:r>
            <w:rPr>
              <w:rStyle w:val="38"/>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1.3 </w:t>
          </w:r>
          <w:r>
            <w:rPr>
              <w:rStyle w:val="38"/>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1.4 </w:t>
          </w:r>
          <w:r>
            <w:rPr>
              <w:rStyle w:val="38"/>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2.</w:t>
          </w:r>
          <w:r>
            <w:rPr>
              <w:rStyle w:val="38"/>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2.1 </w:t>
          </w:r>
          <w:r>
            <w:rPr>
              <w:rStyle w:val="38"/>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2.2 </w:t>
          </w:r>
          <w:r>
            <w:rPr>
              <w:rStyle w:val="38"/>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2.4 </w:t>
          </w:r>
          <w:r>
            <w:rPr>
              <w:rStyle w:val="38"/>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2.5 </w:t>
          </w:r>
          <w:r>
            <w:rPr>
              <w:rStyle w:val="38"/>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3.</w:t>
          </w:r>
          <w:r>
            <w:rPr>
              <w:rStyle w:val="38"/>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3.1 </w:t>
          </w:r>
          <w:r>
            <w:rPr>
              <w:rStyle w:val="38"/>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3.2 </w:t>
          </w:r>
          <w:r>
            <w:rPr>
              <w:rStyle w:val="38"/>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3.3 </w:t>
          </w:r>
          <w:r>
            <w:rPr>
              <w:rStyle w:val="38"/>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3.4 </w:t>
          </w:r>
          <w:r>
            <w:rPr>
              <w:rStyle w:val="38"/>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4. </w:t>
          </w:r>
          <w:r>
            <w:rPr>
              <w:rStyle w:val="38"/>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4.1 </w:t>
          </w:r>
          <w:r>
            <w:rPr>
              <w:rStyle w:val="38"/>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4.2 </w:t>
          </w:r>
          <w:r>
            <w:rPr>
              <w:rStyle w:val="38"/>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 </w:t>
          </w:r>
          <w:r>
            <w:rPr>
              <w:rStyle w:val="38"/>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5.1 </w:t>
          </w:r>
          <w:r>
            <w:rPr>
              <w:rStyle w:val="38"/>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5.2 </w:t>
          </w:r>
          <w:r>
            <w:rPr>
              <w:rStyle w:val="38"/>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5.3 </w:t>
          </w:r>
          <w:r>
            <w:rPr>
              <w:rStyle w:val="38"/>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 </w:t>
          </w:r>
          <w:r>
            <w:rPr>
              <w:rStyle w:val="38"/>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6.1 </w:t>
          </w:r>
          <w:r>
            <w:rPr>
              <w:rStyle w:val="38"/>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6.2 </w:t>
          </w:r>
          <w:r>
            <w:rPr>
              <w:rStyle w:val="38"/>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"_Toc76398706"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 </w:t>
          </w:r>
          <w:r>
            <w:rPr>
              <w:rStyle w:val="38"/>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"_Toc76398707"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7.2 </w:t>
          </w:r>
          <w:r>
            <w:rPr>
              <w:rStyle w:val="38"/>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"_Toc76398708"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7.3 </w:t>
          </w:r>
          <w:r>
            <w:rPr>
              <w:rStyle w:val="38"/>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"_Toc76398709"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 </w:t>
          </w:r>
          <w:r>
            <w:rPr>
              <w:rStyle w:val="38"/>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"_Toc76398710"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8.1 </w:t>
          </w:r>
          <w:r>
            <w:rPr>
              <w:rStyle w:val="38"/>
              <w:rFonts w:hint="eastAsia" w:asciiTheme="minorEastAsia" w:hAnsiTheme="minorEastAsia"/>
              <w:color w:val="000000" w:themeColor="text1"/>
              <w:highlight w:val="none"/>
              <w14:textFill>
                <w14:solidFill>
                  <w14:schemeClr w14:val="tx1"/>
                </w14:solidFill>
              </w14:textFill>
            </w:rPr>
            <w:t>考察及相关费用咨询人经委托人同意进行考察发生的费用由</w:t>
          </w:r>
          <w:r>
            <w:rPr>
              <w:rStyle w:val="38"/>
              <w:rFonts w:asciiTheme="minorEastAsia" w:hAnsiTheme="minorEastAsia"/>
              <w:color w:val="000000" w:themeColor="text1"/>
              <w:highlight w:val="none"/>
              <w14:textFill>
                <w14:solidFill>
                  <w14:schemeClr w14:val="tx1"/>
                </w14:solidFill>
              </w14:textFill>
            </w:rPr>
            <w:t xml:space="preserve">  /  </w:t>
          </w:r>
          <w:r>
            <w:rPr>
              <w:rStyle w:val="38"/>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"_Toc76398711"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8.2 </w:t>
          </w:r>
          <w:r>
            <w:rPr>
              <w:rStyle w:val="38"/>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"_Toc76398712"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8.3 </w:t>
          </w:r>
          <w:r>
            <w:rPr>
              <w:rStyle w:val="38"/>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"_Toc76398713"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8.4 </w:t>
          </w:r>
          <w:r>
            <w:rPr>
              <w:rStyle w:val="38"/>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"_Toc76398714"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 xml:space="preserve">8.5 </w:t>
          </w:r>
          <w:r>
            <w:rPr>
              <w:rStyle w:val="38"/>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"_Toc76398715" </w:instrText>
          </w:r>
          <w:r>
            <w:rPr>
              <w:color w:val="000000" w:themeColor="text1"/>
              <w:highlight w:val="none"/>
              <w14:textFill>
                <w14:solidFill>
                  <w14:schemeClr w14:val="tx1"/>
                </w14:solidFill>
              </w14:textFill>
            </w:rPr>
            <w:fldChar w:fldCharType="separate"/>
          </w:r>
          <w:r>
            <w:rPr>
              <w:rStyle w:val="38"/>
              <w:rFonts w:asciiTheme="minorEastAsia" w:hAnsiTheme="minorEastAsia"/>
              <w:color w:val="000000" w:themeColor="text1"/>
              <w:highlight w:val="none"/>
              <w14:textFill>
                <w14:solidFill>
                  <w14:schemeClr w14:val="tx1"/>
                </w14:solidFill>
              </w14:textFill>
            </w:rPr>
            <w:t>9.</w:t>
          </w:r>
          <w:r>
            <w:rPr>
              <w:rStyle w:val="38"/>
              <w:rFonts w:hint="eastAsia" w:asciiTheme="minorEastAsia" w:hAnsiTheme="minorEastAsia"/>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"_Toc76398716"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附录</w:t>
          </w:r>
          <w:r>
            <w:rPr>
              <w:rStyle w:val="38"/>
              <w:color w:val="000000" w:themeColor="text1"/>
              <w:highlight w:val="none"/>
              <w14:textFill>
                <w14:solidFill>
                  <w14:schemeClr w14:val="tx1"/>
                </w14:solidFill>
              </w14:textFill>
            </w:rPr>
            <w:t xml:space="preserve"> A</w:t>
          </w:r>
          <w:r>
            <w:rPr>
              <w:rFonts w:hint="eastAsia"/>
              <w:color w:val="000000" w:themeColor="text1"/>
              <w:highlight w:val="none"/>
              <w14:textFill>
                <w14:solidFill>
                  <w14:schemeClr w14:val="tx1"/>
                </w14:solidFill>
              </w14:textFill>
            </w:rPr>
            <w:t>咨询人人员配置一览表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"_Toc76398717"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附录</w:t>
          </w:r>
          <w:r>
            <w:rPr>
              <w:rStyle w:val="38"/>
              <w:color w:val="000000" w:themeColor="text1"/>
              <w:highlight w:val="none"/>
              <w14:textFill>
                <w14:solidFill>
                  <w14:schemeClr w14:val="tx1"/>
                </w14:solidFill>
              </w14:textFill>
            </w:rPr>
            <w:t xml:space="preserve"> B </w:t>
          </w:r>
          <w:r>
            <w:rPr>
              <w:rStyle w:val="38"/>
              <w:rFonts w:hint="eastAsia"/>
              <w:color w:val="000000" w:themeColor="text1"/>
              <w:highlight w:val="none"/>
              <w14:textFill>
                <w14:solidFill>
                  <w14:schemeClr w14:val="tx1"/>
                </w14:solidFill>
              </w14:textFill>
            </w:rPr>
            <w:t>咨询人提交成果文件一览表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9"/>
            <w:tabs>
              <w:tab w:val="right" w:leader="dot" w:pos="872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"_Toc76398718" </w:instrText>
          </w:r>
          <w:r>
            <w:rPr>
              <w:color w:val="000000" w:themeColor="text1"/>
              <w:highlight w:val="none"/>
              <w14:textFill>
                <w14:solidFill>
                  <w14:schemeClr w14:val="tx1"/>
                </w14:solidFill>
              </w14:textFill>
            </w:rPr>
            <w:fldChar w:fldCharType="separate"/>
          </w:r>
          <w:r>
            <w:rPr>
              <w:rStyle w:val="38"/>
              <w:rFonts w:hint="eastAsia"/>
              <w:color w:val="000000" w:themeColor="text1"/>
              <w:highlight w:val="none"/>
              <w14:textFill>
                <w14:solidFill>
                  <w14:schemeClr w14:val="tx1"/>
                </w14:solidFill>
              </w14:textFill>
            </w:rPr>
            <w:t>附录</w:t>
          </w:r>
          <w:r>
            <w:rPr>
              <w:rStyle w:val="38"/>
              <w:color w:val="000000" w:themeColor="text1"/>
              <w:highlight w:val="none"/>
              <w14:textFill>
                <w14:solidFill>
                  <w14:schemeClr w14:val="tx1"/>
                </w14:solidFill>
              </w14:textFill>
            </w:rPr>
            <w:t xml:space="preserve"> C</w:t>
          </w:r>
          <w:r>
            <w:rPr>
              <w:rStyle w:val="38"/>
              <w:rFonts w:hint="eastAsia"/>
              <w:color w:val="000000" w:themeColor="text1"/>
              <w:highlight w:val="none"/>
              <w14:textFill>
                <w14:solidFill>
                  <w14:schemeClr w14:val="tx1"/>
                </w14:solidFill>
              </w14:textFill>
            </w:rPr>
            <w:t>委托人提供资料一览表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sdtContent>
    </w:sdt>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bookmarkStart w:id="676" w:name="_Toc76398630"/>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rFonts w:hint="eastAsia"/>
          <w:b/>
          <w:color w:val="000000" w:themeColor="text1"/>
          <w:sz w:val="32"/>
          <w:szCs w:val="32"/>
          <w:highlight w:val="none"/>
          <w14:textFill>
            <w14:solidFill>
              <w14:schemeClr w14:val="tx1"/>
            </w14:solidFill>
          </w14:textFill>
        </w:rPr>
      </w:pPr>
    </w:p>
    <w:p>
      <w:pPr>
        <w:spacing w:line="360" w:lineRule="auto"/>
        <w:jc w:val="both"/>
        <w:outlineLvl w:val="0"/>
        <w:rPr>
          <w:rFonts w:hint="eastAsia"/>
          <w:b/>
          <w:color w:val="000000" w:themeColor="text1"/>
          <w:sz w:val="32"/>
          <w:szCs w:val="32"/>
          <w:highlight w:val="none"/>
          <w14:textFill>
            <w14:solidFill>
              <w14:schemeClr w14:val="tx1"/>
            </w14:solidFill>
          </w14:textFill>
        </w:rPr>
      </w:pPr>
    </w:p>
    <w:p>
      <w:pPr>
        <w:spacing w:line="360" w:lineRule="auto"/>
        <w:ind w:firstLine="643"/>
        <w:jc w:val="center"/>
        <w:outlineLvl w:val="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第一部分 协议书</w:t>
      </w:r>
      <w:bookmarkEnd w:id="676"/>
    </w:p>
    <w:p>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7" w:name="_Toc76398631"/>
      <w:r>
        <w:rPr>
          <w:rFonts w:hint="eastAsia" w:asciiTheme="minorEastAsia" w:hAnsiTheme="minorEastAsia"/>
          <w:color w:val="000000" w:themeColor="text1"/>
          <w:sz w:val="24"/>
          <w:szCs w:val="24"/>
          <w:highlight w:val="none"/>
          <w14:textFill>
            <w14:solidFill>
              <w14:schemeClr w14:val="tx1"/>
            </w14:solidFill>
          </w14:textFill>
        </w:rPr>
        <w:t>一、工程概况</w:t>
      </w:r>
      <w:bookmarkEnd w:id="677"/>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pPr>
        <w:adjustRightInd w:val="0"/>
        <w:snapToGrid w:val="0"/>
        <w:spacing w:line="360" w:lineRule="auto"/>
        <w:ind w:firstLine="475" w:firstLineChars="198"/>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4.投资金额：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8" w:name="_Toc76398632"/>
      <w:r>
        <w:rPr>
          <w:rFonts w:hint="eastAsia" w:asciiTheme="minorEastAsia" w:hAnsiTheme="minorEastAsia"/>
          <w:color w:val="000000" w:themeColor="text1"/>
          <w:sz w:val="24"/>
          <w:szCs w:val="24"/>
          <w:highlight w:val="none"/>
          <w14:textFill>
            <w14:solidFill>
              <w14:schemeClr w14:val="tx1"/>
            </w14:solidFill>
          </w14:textFill>
        </w:rPr>
        <w:t>二、服务范围及工作内容</w:t>
      </w:r>
      <w:bookmarkEnd w:id="678"/>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根据委托项目有关资料，依据国家及行业现行规定、规范、设计图纸、合同等资料文件完成本项目的</w:t>
      </w:r>
      <w:r>
        <w:rPr>
          <w:rFonts w:hint="eastAsia" w:asciiTheme="minorEastAsia" w:hAnsiTheme="minorEastAsia"/>
          <w:color w:val="000000" w:themeColor="text1"/>
          <w:sz w:val="24"/>
          <w:szCs w:val="24"/>
          <w:highlight w:val="none"/>
          <w:u w:val="single"/>
          <w14:textFill>
            <w14:solidFill>
              <w14:schemeClr w14:val="tx1"/>
            </w14:solidFill>
          </w14:textFill>
        </w:rPr>
        <w:t>工程量清单及组价审核</w:t>
      </w:r>
      <w:r>
        <w:rPr>
          <w:rFonts w:hint="eastAsia" w:asciiTheme="minorEastAsia" w:hAnsiTheme="minorEastAsia"/>
          <w:color w:val="000000" w:themeColor="text1"/>
          <w:sz w:val="24"/>
          <w:szCs w:val="24"/>
          <w:highlight w:val="none"/>
          <w:u w:val="single"/>
          <w14:textFill>
            <w14:solidFill>
              <w14:schemeClr w14:val="tx1"/>
            </w14:solidFill>
          </w14:textFill>
        </w:rPr>
        <w:t>。内容包括但不限于完成：</w:t>
      </w:r>
    </w:p>
    <w:p>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A:工程量清单及组价编制（审核）或招标控制价编制（审核）：</w:t>
      </w:r>
      <w:r>
        <w:rPr>
          <w:rFonts w:hint="eastAsia" w:asciiTheme="minorEastAsia" w:hAnsiTheme="minorEastAsia"/>
          <w:color w:val="000000" w:themeColor="text1"/>
          <w:sz w:val="24"/>
          <w:szCs w:val="24"/>
          <w:highlight w:val="none"/>
          <w:u w:val="single"/>
          <w14:textFill>
            <w14:solidFill>
              <w14:schemeClr w14:val="tx1"/>
            </w14:solidFill>
          </w14:textFill>
        </w:rPr>
        <w:t>本工程的工程量清单及组价编制（审核）并核对成果；建筑安装材料设备认（审）价、施工方案的经济评价（如有时）</w:t>
      </w:r>
      <w:r>
        <w:rPr>
          <w:rFonts w:asciiTheme="minorEastAsia" w:hAnsiTheme="minorEastAsia"/>
          <w:color w:val="000000" w:themeColor="text1"/>
          <w:sz w:val="24"/>
          <w:szCs w:val="24"/>
          <w:highlight w:val="none"/>
          <w:u w:val="single"/>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配合招标采购；优化设计方案和二次设计后预算编制（审核或评审）；设计图纸的优化建议。接受造价方面的口头咨询和委托人要求咨询的其它事项。</w:t>
      </w:r>
    </w:p>
    <w:p>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000000" w:themeColor="text1"/>
          <w:sz w:val="24"/>
          <w:szCs w:val="24"/>
          <w:highlight w:val="none"/>
          <w:u w:val="single"/>
          <w14:textFill>
            <w14:solidFill>
              <w14:schemeClr w14:val="tx1"/>
            </w14:solidFill>
          </w14:textFill>
        </w:rPr>
        <w:t>。</w:t>
      </w:r>
    </w:p>
    <w:p>
      <w:pPr>
        <w:spacing w:line="360" w:lineRule="auto"/>
        <w:ind w:firstLine="482" w:firstLineChars="200"/>
        <w:outlineLvl w:val="0"/>
        <w:rPr>
          <w:b/>
          <w:bCs/>
          <w:color w:val="000000" w:themeColor="text1"/>
          <w:highlight w:val="none"/>
          <w14:textFill>
            <w14:solidFill>
              <w14:schemeClr w14:val="tx1"/>
            </w14:solidFill>
          </w14:textFill>
        </w:rPr>
      </w:pPr>
      <w:r>
        <w:rPr>
          <w:rFonts w:asciiTheme="minorEastAsia" w:hAnsiTheme="minorEastAsia"/>
          <w:b/>
          <w:bCs/>
          <w:color w:val="000000" w:themeColor="text1"/>
          <w:sz w:val="24"/>
          <w:szCs w:val="24"/>
          <w:highlight w:val="none"/>
          <w:u w:val="single"/>
          <w14:textFill>
            <w14:solidFill>
              <w14:schemeClr w14:val="tx1"/>
            </w14:solidFill>
          </w14:textFill>
        </w:rPr>
        <w:t>注：若需委托人给咨询人提供工作条件，产生的费用由咨询人承担，委托人与第三方另有约定按照约定执行。</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9" w:name="_Toc76398633"/>
      <w:r>
        <w:rPr>
          <w:rFonts w:hint="eastAsia" w:asciiTheme="minorEastAsia" w:hAnsiTheme="minorEastAsia"/>
          <w:color w:val="000000" w:themeColor="text1"/>
          <w:sz w:val="24"/>
          <w:szCs w:val="24"/>
          <w:highlight w:val="none"/>
          <w14:textFill>
            <w14:solidFill>
              <w14:schemeClr w14:val="tx1"/>
            </w14:solidFill>
          </w14:textFill>
        </w:rPr>
        <w:t>三、服务期限</w:t>
      </w:r>
      <w:bookmarkEnd w:id="67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本合同约定的建设工程造价咨询服务自</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日开始实施，暂定至</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日终结。</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0" w:name="_Toc76398634"/>
      <w:r>
        <w:rPr>
          <w:rFonts w:hint="eastAsia" w:asciiTheme="minorEastAsia" w:hAnsiTheme="minorEastAsia"/>
          <w:color w:val="000000" w:themeColor="text1"/>
          <w:sz w:val="24"/>
          <w:szCs w:val="24"/>
          <w:highlight w:val="none"/>
          <w14:textFill>
            <w14:solidFill>
              <w14:schemeClr w14:val="tx1"/>
            </w14:solidFill>
          </w14:textFill>
        </w:rPr>
        <w:t>四、质量标准</w:t>
      </w:r>
      <w:bookmarkEnd w:id="680"/>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工程造价咨询成果文件应符合：</w:t>
      </w:r>
      <w:r>
        <w:rPr>
          <w:rFonts w:hint="eastAsia" w:asciiTheme="minorEastAsia" w:hAnsiTheme="minorEastAsia"/>
          <w:color w:val="000000" w:themeColor="text1"/>
          <w:sz w:val="24"/>
          <w:szCs w:val="24"/>
          <w:highlight w:val="none"/>
          <w:u w:val="single"/>
          <w14:textFill>
            <w14:solidFill>
              <w14:schemeClr w14:val="tx1"/>
            </w14:solidFill>
          </w14:textFill>
        </w:rPr>
        <w:t>《建设工程造价咨询成果文件质量标准》</w:t>
      </w:r>
      <w:r>
        <w:rPr>
          <w:rFonts w:asciiTheme="minorEastAsia" w:hAnsiTheme="minorEastAsia"/>
          <w:color w:val="000000" w:themeColor="text1"/>
          <w:sz w:val="24"/>
          <w:szCs w:val="24"/>
          <w:highlight w:val="none"/>
          <w:u w:val="single"/>
          <w14:textFill>
            <w14:solidFill>
              <w14:schemeClr w14:val="tx1"/>
            </w14:solidFill>
          </w14:textFill>
        </w:rPr>
        <w:t>CECA/GC7-2012</w:t>
      </w:r>
      <w:r>
        <w:rPr>
          <w:rFonts w:hint="eastAsia" w:asciiTheme="minorEastAsia" w:hAnsiTheme="minorEastAsia"/>
          <w:color w:val="000000" w:themeColor="text1"/>
          <w:sz w:val="24"/>
          <w:szCs w:val="24"/>
          <w:highlight w:val="none"/>
          <w:u w:val="single"/>
          <w14:textFill>
            <w14:solidFill>
              <w14:schemeClr w14:val="tx1"/>
            </w14:solidFill>
          </w14:textFill>
        </w:rPr>
        <w:t>；《建设工程招标控制价编审规程》</w:t>
      </w:r>
      <w:r>
        <w:rPr>
          <w:rFonts w:asciiTheme="minorEastAsia" w:hAnsiTheme="minorEastAsia"/>
          <w:color w:val="000000" w:themeColor="text1"/>
          <w:sz w:val="24"/>
          <w:szCs w:val="24"/>
          <w:highlight w:val="none"/>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highlight w:val="none"/>
          <w:u w:val="single"/>
          <w14:textFill>
            <w14:solidFill>
              <w14:schemeClr w14:val="tx1"/>
            </w14:solidFill>
          </w14:textFill>
        </w:rPr>
        <w:t>文</w:t>
      </w:r>
      <w:r>
        <w:rPr>
          <w:rFonts w:hint="eastAsia" w:asciiTheme="minorEastAsia" w:hAnsiTheme="minorEastAsia"/>
          <w:color w:val="000000" w:themeColor="text1"/>
          <w:sz w:val="24"/>
          <w:szCs w:val="24"/>
          <w:highlight w:val="none"/>
          <w:u w:val="single"/>
          <w14:textFill>
            <w14:solidFill>
              <w14:schemeClr w14:val="tx1"/>
            </w14:solidFill>
          </w14:textFill>
        </w:rPr>
        <w:t>件、</w:t>
      </w:r>
      <w:r>
        <w:rPr>
          <w:rFonts w:hint="eastAsia" w:asciiTheme="minorEastAsia" w:hAnsiTheme="minorEastAsia"/>
          <w:color w:val="000000" w:themeColor="text1"/>
          <w:sz w:val="24"/>
          <w:szCs w:val="24"/>
          <w:highlight w:val="none"/>
          <w:u w:val="single"/>
          <w14:textFill>
            <w14:solidFill>
              <w14:schemeClr w14:val="tx1"/>
            </w14:solidFill>
          </w14:textFill>
        </w:rPr>
        <w:t>渝建发〔</w:t>
      </w:r>
      <w:r>
        <w:rPr>
          <w:rFonts w:asciiTheme="minorEastAsia" w:hAnsiTheme="minorEastAsia"/>
          <w:color w:val="000000" w:themeColor="text1"/>
          <w:sz w:val="24"/>
          <w:szCs w:val="24"/>
          <w:highlight w:val="none"/>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14:textFill>
            <w14:solidFill>
              <w14:schemeClr w14:val="tx1"/>
            </w14:solidFill>
          </w14:textFill>
        </w:rPr>
        <w:t>规定</w:t>
      </w:r>
      <w:r>
        <w:rPr>
          <w:rFonts w:hint="eastAsia" w:asciiTheme="minorEastAsia" w:hAnsiTheme="minorEastAsia"/>
          <w:color w:val="000000" w:themeColor="text1"/>
          <w:sz w:val="24"/>
          <w:szCs w:val="24"/>
          <w:highlight w:val="none"/>
          <w:u w:val="single"/>
          <w14:textFill>
            <w14:solidFill>
              <w14:schemeClr w14:val="tx1"/>
            </w14:solidFill>
          </w14:textFill>
        </w:rPr>
        <w:t>及委托人的要求。</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1" w:name="_Toc76398635"/>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681"/>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1.签约酬金：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）；中标费率/签约费率：     %，税率：     %。</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固定酬金/固定费率</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u w:val="single"/>
          <w14:textFill>
            <w14:solidFill>
              <w14:schemeClr w14:val="tx1"/>
            </w14:solidFill>
          </w14:textFill>
        </w:rPr>
        <w:t>（本条固定费率合同使用）</w:t>
      </w:r>
      <w:r>
        <w:rPr>
          <w:rFonts w:asciiTheme="minorEastAsia" w:hAnsiTheme="minorEastAsia"/>
          <w:color w:val="000000" w:themeColor="text1"/>
          <w:sz w:val="24"/>
          <w:szCs w:val="24"/>
          <w:highlight w:val="none"/>
          <w14:textFill>
            <w14:solidFill>
              <w14:schemeClr w14:val="tx1"/>
            </w14:solidFill>
          </w14:textFill>
        </w:rPr>
        <w:t>完成本合同</w:t>
      </w:r>
      <w:r>
        <w:rPr>
          <w:rFonts w:hint="eastAsia" w:asciiTheme="minorEastAsia" w:hAnsiTheme="minorEastAsia"/>
          <w:color w:val="000000" w:themeColor="text1"/>
          <w:sz w:val="24"/>
          <w:szCs w:val="24"/>
          <w:highlight w:val="none"/>
          <w14:textFill>
            <w14:solidFill>
              <w14:schemeClr w14:val="tx1"/>
            </w14:solidFill>
          </w14:textFill>
        </w:rPr>
        <w:t>服务范围及工作内容，</w:t>
      </w:r>
      <w:r>
        <w:rPr>
          <w:rFonts w:asciiTheme="minorEastAsia" w:hAnsiTheme="minorEastAsia"/>
          <w:color w:val="000000" w:themeColor="text1"/>
          <w:sz w:val="24"/>
          <w:szCs w:val="24"/>
          <w:highlight w:val="none"/>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14:textFill>
            <w14:solidFill>
              <w14:schemeClr w14:val="tx1"/>
            </w14:solidFill>
          </w14:textFill>
        </w:rPr>
        <w:t>签约</w:t>
      </w:r>
      <w:r>
        <w:rPr>
          <w:rFonts w:asciiTheme="minorEastAsia" w:hAnsiTheme="minorEastAsia"/>
          <w:color w:val="000000" w:themeColor="text1"/>
          <w:sz w:val="24"/>
          <w:szCs w:val="24"/>
          <w:highlight w:val="none"/>
          <w14:textFill>
            <w14:solidFill>
              <w14:schemeClr w14:val="tx1"/>
            </w14:solidFill>
          </w14:textFill>
        </w:rPr>
        <w:t>金额</w:t>
      </w:r>
      <w:r>
        <w:rPr>
          <w:rFonts w:hint="eastAsia" w:asciiTheme="minorEastAsia" w:hAnsiTheme="minorEastAsia"/>
          <w:color w:val="000000" w:themeColor="text1"/>
          <w:sz w:val="24"/>
          <w:szCs w:val="24"/>
          <w:highlight w:val="none"/>
          <w14:textFill>
            <w14:solidFill>
              <w14:schemeClr w14:val="tx1"/>
            </w14:solidFill>
          </w14:textFill>
        </w:rPr>
        <w:t>。</w:t>
      </w:r>
    </w:p>
    <w:p>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asciiTheme="minorEastAsia" w:hAnsiTheme="minorEastAsia" w:eastAsiaTheme="minorEastAsia"/>
          <w:color w:val="000000" w:themeColor="text1"/>
          <w:sz w:val="24"/>
          <w:highlight w:val="none"/>
          <w14:textFill>
            <w14:solidFill>
              <w14:schemeClr w14:val="tx1"/>
            </w14:solidFill>
          </w14:textFill>
        </w:rPr>
        <w:t>工程量清单及组价审核</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以预算审定的建安工程费金额为基数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2" w:name="_Toc76398636"/>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682"/>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4.投标函及投标函附录或造价咨询服务建议书（如果有）；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3" w:name="_Toc76398637"/>
      <w:r>
        <w:rPr>
          <w:rFonts w:hint="eastAsia" w:asciiTheme="minorEastAsia" w:hAnsiTheme="minorEastAsia"/>
          <w:color w:val="000000" w:themeColor="text1"/>
          <w:sz w:val="24"/>
          <w:szCs w:val="24"/>
          <w:highlight w:val="none"/>
          <w14:textFill>
            <w14:solidFill>
              <w14:schemeClr w14:val="tx1"/>
            </w14:solidFill>
          </w14:textFill>
        </w:rPr>
        <w:t>七、词语定义</w:t>
      </w:r>
      <w:bookmarkEnd w:id="683"/>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4" w:name="_Toc76398638"/>
      <w:r>
        <w:rPr>
          <w:rFonts w:hint="eastAsia" w:asciiTheme="minorEastAsia" w:hAnsiTheme="minorEastAsia"/>
          <w:color w:val="000000" w:themeColor="text1"/>
          <w:sz w:val="24"/>
          <w:szCs w:val="24"/>
          <w:highlight w:val="none"/>
          <w14:textFill>
            <w14:solidFill>
              <w14:schemeClr w14:val="tx1"/>
            </w14:solidFill>
          </w14:textFill>
        </w:rPr>
        <w:t>八、其他</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九合同订立</w:t>
      </w:r>
      <w:bookmarkEnd w:id="68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5" w:name="_Toc76398639"/>
      <w:r>
        <w:rPr>
          <w:rFonts w:hint="eastAsia" w:asciiTheme="minorEastAsia" w:hAnsiTheme="minorEastAsia"/>
          <w:color w:val="000000" w:themeColor="text1"/>
          <w:sz w:val="24"/>
          <w:szCs w:val="24"/>
          <w:highlight w:val="none"/>
          <w14:textFill>
            <w14:solidFill>
              <w14:schemeClr w14:val="tx1"/>
            </w14:solidFill>
          </w14:textFill>
        </w:rPr>
        <w:t>十、合同生效</w:t>
      </w:r>
      <w:bookmarkEnd w:id="685"/>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w:t>
      </w:r>
      <w:r>
        <w:rPr>
          <w:rFonts w:hint="eastAsia" w:asciiTheme="minorEastAsia" w:hAnsiTheme="minorEastAsia"/>
          <w:color w:val="000000" w:themeColor="text1"/>
          <w:sz w:val="24"/>
          <w:szCs w:val="24"/>
          <w:highlight w:val="none"/>
          <w:u w:val="single"/>
          <w14:textFill>
            <w14:solidFill>
              <w14:schemeClr w14:val="tx1"/>
            </w14:solidFill>
          </w14:textFill>
        </w:rPr>
        <w:t>盖章完成之日</w:t>
      </w:r>
      <w:r>
        <w:rPr>
          <w:rFonts w:hint="eastAsia" w:asciiTheme="minorEastAsia" w:hAnsiTheme="minorEastAsia"/>
          <w:color w:val="000000" w:themeColor="text1"/>
          <w:sz w:val="24"/>
          <w:szCs w:val="24"/>
          <w:highlight w:val="none"/>
          <w:u w:val="single"/>
          <w14:textFill>
            <w14:solidFill>
              <w14:schemeClr w14:val="tx1"/>
            </w14:solidFill>
          </w14:textFill>
        </w:rPr>
        <w:t>起</w:t>
      </w:r>
      <w:r>
        <w:rPr>
          <w:rFonts w:hint="eastAsia" w:asciiTheme="minorEastAsia" w:hAnsiTheme="minorEastAsia"/>
          <w:color w:val="000000" w:themeColor="text1"/>
          <w:sz w:val="24"/>
          <w:szCs w:val="24"/>
          <w:highlight w:val="none"/>
          <w14:textFill>
            <w14:solidFill>
              <w14:schemeClr w14:val="tx1"/>
            </w14:solidFill>
          </w14:textFill>
        </w:rPr>
        <w:t>生效。</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6" w:name="_Toc76398640"/>
      <w:r>
        <w:rPr>
          <w:rFonts w:hint="eastAsia" w:asciiTheme="minorEastAsia" w:hAnsiTheme="minorEastAsia"/>
          <w:color w:val="000000" w:themeColor="text1"/>
          <w:sz w:val="24"/>
          <w:szCs w:val="24"/>
          <w:highlight w:val="none"/>
          <w14:textFill>
            <w14:solidFill>
              <w14:schemeClr w14:val="tx1"/>
            </w14:solidFill>
          </w14:textFill>
        </w:rPr>
        <w:t>十、合同份数</w:t>
      </w:r>
      <w:bookmarkEnd w:id="68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陆</w:t>
      </w:r>
      <w:r>
        <w:rPr>
          <w:rFonts w:hint="eastAsia" w:asciiTheme="minorEastAsia" w:hAnsiTheme="minorEastAsia"/>
          <w:color w:val="000000" w:themeColor="text1"/>
          <w:sz w:val="24"/>
          <w:szCs w:val="24"/>
          <w:highlight w:val="none"/>
          <w14:textFill>
            <w14:solidFill>
              <w14:schemeClr w14:val="tx1"/>
            </w14:solidFill>
          </w14:textFill>
        </w:rPr>
        <w:t>份，具有同等法律效力，双方各持叁份。</w:t>
      </w:r>
      <w:r>
        <w:rPr>
          <w:rFonts w:hint="eastAsia" w:asciiTheme="minorEastAsia" w:hAnsiTheme="minorEastAsia"/>
          <w:color w:val="000000" w:themeColor="text1"/>
          <w:sz w:val="24"/>
          <w:szCs w:val="24"/>
          <w:highlight w:val="none"/>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color w:val="000000" w:themeColor="text1"/>
          <w:sz w:val="24"/>
          <w:szCs w:val="24"/>
          <w:highlight w:val="none"/>
          <w:lang w:val="zh-CN"/>
          <w14:textFill>
            <w14:solidFill>
              <w14:schemeClr w14:val="tx1"/>
            </w14:solidFill>
          </w14:textFill>
        </w:rPr>
        <w:t>未经书面授权，仅代表在本合同签名，其他单方承诺和认可内容无效。</w:t>
      </w:r>
    </w:p>
    <w:p>
      <w:pPr>
        <w:spacing w:line="360" w:lineRule="auto"/>
        <w:ind w:left="5280" w:hanging="5280" w:hangingChars="2200"/>
        <w:rPr>
          <w:rFonts w:asciiTheme="minorEastAsia" w:hAnsiTheme="minorEastAsia"/>
          <w:color w:val="000000" w:themeColor="text1"/>
          <w:sz w:val="24"/>
          <w:szCs w:val="24"/>
          <w:highlight w:val="none"/>
          <w14:textFill>
            <w14:solidFill>
              <w14:schemeClr w14:val="tx1"/>
            </w14:solidFill>
          </w14:textFill>
        </w:rPr>
      </w:pPr>
    </w:p>
    <w:tbl>
      <w:tblPr>
        <w:tblStyle w:val="28"/>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tblPrEx>
          <w:tblCellMar>
            <w:top w:w="0" w:type="dxa"/>
            <w:left w:w="108" w:type="dxa"/>
            <w:bottom w:w="0" w:type="dxa"/>
            <w:right w:w="108" w:type="dxa"/>
          </w:tblCellMar>
        </w:tblPrEx>
        <w:trPr>
          <w:trHeight w:val="884" w:hRule="atLeast"/>
        </w:trPr>
        <w:tc>
          <w:tcPr>
            <w:tcW w:w="4752" w:type="dxa"/>
          </w:tcPr>
          <w:p>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c>
          <w:tcPr>
            <w:tcW w:w="4752" w:type="dxa"/>
          </w:tcPr>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tblPrEx>
          <w:tblCellMar>
            <w:top w:w="0" w:type="dxa"/>
            <w:left w:w="108" w:type="dxa"/>
            <w:bottom w:w="0" w:type="dxa"/>
            <w:right w:w="108" w:type="dxa"/>
          </w:tblCellMar>
        </w:tblPrEx>
        <w:trPr>
          <w:trHeight w:val="1834" w:hRule="atLeast"/>
        </w:trPr>
        <w:tc>
          <w:tcPr>
            <w:tcW w:w="4752" w:type="dxa"/>
            <w:vAlign w:val="center"/>
          </w:tcPr>
          <w:p>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r>
              <w:rPr>
                <w:rFonts w:asciiTheme="minorEastAsia" w:hAnsiTheme="minorEastAsia"/>
                <w:color w:val="000000" w:themeColor="text1"/>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1120" w:hRule="atLeast"/>
        </w:trPr>
        <w:tc>
          <w:tcPr>
            <w:tcW w:w="4752" w:type="dxa"/>
          </w:tcPr>
          <w:p>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经办人：</w:t>
            </w:r>
          </w:p>
        </w:tc>
        <w:tc>
          <w:tcPr>
            <w:tcW w:w="4599" w:type="dxa"/>
          </w:tcPr>
          <w:p>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经办人：         </w:t>
            </w:r>
          </w:p>
        </w:tc>
      </w:tr>
      <w:tr>
        <w:tblPrEx>
          <w:tblCellMar>
            <w:top w:w="0" w:type="dxa"/>
            <w:left w:w="108" w:type="dxa"/>
            <w:bottom w:w="0" w:type="dxa"/>
            <w:right w:w="108" w:type="dxa"/>
          </w:tblCellMar>
        </w:tblPrEx>
        <w:trPr>
          <w:trHeight w:val="572" w:hRule="atLeast"/>
        </w:trPr>
        <w:tc>
          <w:tcPr>
            <w:tcW w:w="4752" w:type="dxa"/>
          </w:tcPr>
          <w:p>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地    址： </w:t>
            </w:r>
          </w:p>
        </w:tc>
        <w:tc>
          <w:tcPr>
            <w:tcW w:w="4599" w:type="dxa"/>
          </w:tcPr>
          <w:p>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址：</w:t>
            </w:r>
            <w:r>
              <w:rPr>
                <w:rFonts w:asciiTheme="minorEastAsia" w:hAnsiTheme="minorEastAsia"/>
                <w:color w:val="000000" w:themeColor="text1"/>
                <w:sz w:val="24"/>
                <w:szCs w:val="24"/>
                <w:highlight w:val="none"/>
                <w14:textFill>
                  <w14:solidFill>
                    <w14:schemeClr w14:val="tx1"/>
                  </w14:solidFill>
                </w14:textFill>
              </w:rPr>
              <w:t xml:space="preserve"> </w:t>
            </w:r>
          </w:p>
        </w:tc>
      </w:tr>
    </w:tbl>
    <w:p>
      <w:pPr>
        <w:pStyle w:val="4"/>
        <w:ind w:firstLine="7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ind w:firstLine="643"/>
        <w:jc w:val="center"/>
        <w:rPr>
          <w:rFonts w:asciiTheme="minorEastAsia" w:hAnsiTheme="minorEastAsia"/>
          <w:b/>
          <w:color w:val="000000" w:themeColor="text1"/>
          <w:sz w:val="32"/>
          <w:szCs w:val="32"/>
          <w:highlight w:val="none"/>
          <w14:textFill>
            <w14:solidFill>
              <w14:schemeClr w14:val="tx1"/>
            </w14:solidFill>
          </w14:textFill>
        </w:rPr>
      </w:pPr>
      <w:bookmarkStart w:id="687" w:name="_Toc76398641"/>
      <w:r>
        <w:rPr>
          <w:rFonts w:hint="eastAsia" w:asciiTheme="minorEastAsia" w:hAnsiTheme="minorEastAsia"/>
          <w:b/>
          <w:color w:val="000000" w:themeColor="text1"/>
          <w:sz w:val="32"/>
          <w:szCs w:val="32"/>
          <w:highlight w:val="none"/>
          <w14:textFill>
            <w14:solidFill>
              <w14:schemeClr w14:val="tx1"/>
            </w14:solidFill>
          </w14:textFill>
        </w:rPr>
        <w:t>第二部分通用条件</w:t>
      </w:r>
      <w:bookmarkEnd w:id="687"/>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8" w:name="_Toc7639864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688"/>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9" w:name="_Toc76398643"/>
      <w:r>
        <w:rPr>
          <w:rFonts w:hint="eastAsia" w:asciiTheme="minorEastAsia" w:hAnsiTheme="minorEastAsia"/>
          <w:color w:val="000000" w:themeColor="text1"/>
          <w:sz w:val="24"/>
          <w:szCs w:val="24"/>
          <w:highlight w:val="none"/>
          <w14:textFill>
            <w14:solidFill>
              <w14:schemeClr w14:val="tx1"/>
            </w14:solidFill>
          </w14:textFill>
        </w:rPr>
        <w:t>1.1 词语定义</w:t>
      </w:r>
      <w:bookmarkEnd w:id="68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组成本合同的全部文件中的下列名词和用语应具有本款所赋予的含义：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1.1.1“工程”是指按照本合同约定实施造价咨询与其他服务的建设工程。</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1.1.2“工程造价”是指工程项目建设过程中预计或实际支出的全部费用。</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1.1.3“委托人”是指本合同中委托造价咨询与其他服务的一方，及其合法的继承人或受让人。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1.1.4“咨询人”是指本合同中提供造价咨询与其他服务的一方，及其合法的继承人。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1.1.5“第三人”是指除委托人、咨询人以外与本咨询业务有关的当事人。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1.1.6“正常工作”是指本合同订立时通用条件和专用条件中约定的咨询人的工作。</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1.1.7“附加工作”是指咨询人根据合同条件完成的正常工作以外的工作。</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1.1.8“项目咨询团队”是指咨询人指派负责履行本合同的团队，其团队成员为本合同的项目咨询人员。</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1.1.9“项目负责人”是指由咨询人的法定代表人书面授权，在授权范围内负责履行本合同、主持项目咨询团队工作的负责人。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1.1.10“委托人代表”是指由委托人的法定代表人书面授权，在授权范围内行使委托人权利的人。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1.1.11“酬金”是指咨询人履行本合同义务，委托人按照本合同约定给付咨询人的金额。</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1.1.12“正常工作酬金”是指在协议书中载明的，咨询人完成正常工作，委托人应给付咨询人的酬金。</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1.1.13“附加工作酬金”是指咨询人完成附加工作，委托人应给付咨询人的酬金。</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1.1.14 “书面形式”是指合同书、信件和数据电文（包括电报、电传、传真、电子数据交换和电子邮件）等可以有形地表现所载内容的形式。</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0" w:name="_Toc76398644"/>
      <w:r>
        <w:rPr>
          <w:rFonts w:hint="eastAsia" w:asciiTheme="minorEastAsia" w:hAnsiTheme="minorEastAsia"/>
          <w:color w:val="000000" w:themeColor="text1"/>
          <w:sz w:val="24"/>
          <w:szCs w:val="24"/>
          <w:highlight w:val="none"/>
          <w14:textFill>
            <w14:solidFill>
              <w14:schemeClr w14:val="tx1"/>
            </w14:solidFill>
          </w14:textFill>
        </w:rPr>
        <w:t>1.2 语言</w:t>
      </w:r>
      <w:bookmarkEnd w:id="690"/>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本合同使用中文书写、解释和说明。如专用条件约定使用两种及以上语言文字时，应以中文为准。</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1" w:name="_Toc76398645"/>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691"/>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组成本合同的下列文件彼此应能相互解释、互为说明。除专用条件另有约定外，本合同文件的解释顺序如下：</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1.协议书</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2.中标通知书或委托书（如果有）；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3.专用条件及附录；</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4.通用条件；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5.投标函及投标函附录或造价咨询服务建议书（如果有）；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6.其他合同文件。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2" w:name="_Toc76398646"/>
      <w:r>
        <w:rPr>
          <w:rFonts w:hint="eastAsia" w:asciiTheme="minorEastAsia" w:hAnsiTheme="minorEastAsia"/>
          <w:color w:val="000000" w:themeColor="text1"/>
          <w:sz w:val="24"/>
          <w:szCs w:val="24"/>
          <w:highlight w:val="none"/>
          <w14:textFill>
            <w14:solidFill>
              <w14:schemeClr w14:val="tx1"/>
            </w14:solidFill>
          </w14:textFill>
        </w:rPr>
        <w:t>1.4 适用法律</w:t>
      </w:r>
      <w:bookmarkEnd w:id="692"/>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本合同适用中华人民共和国法律、行政法规、部门规章以及工程所在地的地方性法规、自治条例、单行条例和地方政府规章等。</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合同当事人可以在专用条件中约定本合同适用的其他规范、规程、定额、技术标准等规范性文件。</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3" w:name="_Toc76398647"/>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693"/>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4" w:name="_Toc76398648"/>
      <w:r>
        <w:rPr>
          <w:rFonts w:hint="eastAsia" w:asciiTheme="minorEastAsia" w:hAnsiTheme="minorEastAsia"/>
          <w:color w:val="000000" w:themeColor="text1"/>
          <w:sz w:val="24"/>
          <w:szCs w:val="24"/>
          <w:highlight w:val="none"/>
          <w14:textFill>
            <w14:solidFill>
              <w14:schemeClr w14:val="tx1"/>
            </w14:solidFill>
          </w14:textFill>
        </w:rPr>
        <w:t>2.1 提供资料</w:t>
      </w:r>
      <w:bookmarkEnd w:id="69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5" w:name="_Toc76398649"/>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695"/>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委托人应为咨询人完成造价咨询提供必要的条件。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委托人需要咨询人派驻项目现场咨询人员的，除专用条件另有约定</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外，不提供的房屋及设备。</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2.2.2 委托人应负责与本工程造价咨询业务有关的外部关系的协调，为咨询人履行本合同提供必要的外部条件；</w:t>
      </w:r>
      <w:r>
        <w:rPr>
          <w:rFonts w:hint="eastAsia" w:asciiTheme="minorEastAsia" w:hAnsiTheme="minorEastAsia"/>
          <w:color w:val="000000" w:themeColor="text1"/>
          <w:sz w:val="24"/>
          <w:szCs w:val="24"/>
          <w:highlight w:val="none"/>
          <w14:textFill>
            <w14:solidFill>
              <w14:schemeClr w14:val="tx1"/>
            </w14:solidFill>
          </w14:textFill>
        </w:rPr>
        <w:t>需要咨询人联系的由咨询人自行协调。</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6" w:name="_Toc76398650"/>
      <w:r>
        <w:rPr>
          <w:rFonts w:hint="eastAsia" w:asciiTheme="minorEastAsia" w:hAnsiTheme="minorEastAsia"/>
          <w:color w:val="000000" w:themeColor="text1"/>
          <w:sz w:val="24"/>
          <w:szCs w:val="24"/>
          <w:highlight w:val="none"/>
          <w14:textFill>
            <w14:solidFill>
              <w14:schemeClr w14:val="tx1"/>
            </w14:solidFill>
          </w14:textFill>
        </w:rPr>
        <w:t>2.3 合理工作时限</w:t>
      </w:r>
      <w:bookmarkEnd w:id="69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委托人应当为咨询人完成其咨询工作，设定合理的工作时限。</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7" w:name="_Toc76398651"/>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697"/>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8" w:name="_Toc76398652"/>
      <w:r>
        <w:rPr>
          <w:rFonts w:hint="eastAsia" w:asciiTheme="minorEastAsia" w:hAnsiTheme="minorEastAsia"/>
          <w:color w:val="000000" w:themeColor="text1"/>
          <w:sz w:val="24"/>
          <w:szCs w:val="24"/>
          <w:highlight w:val="none"/>
          <w14:textFill>
            <w14:solidFill>
              <w14:schemeClr w14:val="tx1"/>
            </w14:solidFill>
          </w14:textFill>
        </w:rPr>
        <w:t>2.5 答复</w:t>
      </w:r>
      <w:bookmarkEnd w:id="698"/>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委托人应当在专用条件约定的时间内就咨询人以书面形式提交并要求做出答复的事宜给予书面答复。</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9" w:name="_Toc76398653"/>
      <w:r>
        <w:rPr>
          <w:rFonts w:hint="eastAsia" w:asciiTheme="minorEastAsia" w:hAnsiTheme="minorEastAsia"/>
          <w:color w:val="000000" w:themeColor="text1"/>
          <w:sz w:val="24"/>
          <w:szCs w:val="24"/>
          <w:highlight w:val="none"/>
          <w14:textFill>
            <w14:solidFill>
              <w14:schemeClr w14:val="tx1"/>
            </w14:solidFill>
          </w14:textFill>
        </w:rPr>
        <w:t>2.6 支付</w:t>
      </w:r>
      <w:bookmarkEnd w:id="69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委托人应当按照合同的约定，向咨询人支付酬金。</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0" w:name="_Toc76398654"/>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00"/>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1" w:name="_Toc76398655"/>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01"/>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项目咨询团队的主要人员应具有专用条件约定的资格条件，团队人员的数量应符合专用条件的约定。</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咨询人员有下列情形之一，委托人要求咨询人更换的，咨询人应当更换：</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（1）存在严重过失行为的；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（2）存在违法行为不能履行职责的；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（3）涉嫌犯罪的；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（4）不能胜任岗位职责的；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（5）严重违反职业道德的；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w:t>
      </w:r>
      <w:r>
        <w:rPr>
          <w:rFonts w:hint="eastAsia" w:asciiTheme="minorEastAsia" w:hAnsiTheme="minorEastAsia"/>
          <w:color w:val="000000" w:themeColor="text1"/>
          <w:sz w:val="24"/>
          <w:szCs w:val="24"/>
          <w:highlight w:val="none"/>
          <w14:textFill>
            <w14:solidFill>
              <w14:schemeClr w14:val="tx1"/>
            </w14:solidFill>
          </w14:textFill>
        </w:rPr>
        <w:t>）不满意的；</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（7）专用条件约定的其他情形。</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2" w:name="_Toc76398656"/>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02"/>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3.2.1 </w:t>
      </w:r>
      <w:r>
        <w:rPr>
          <w:rFonts w:hint="eastAsia" w:asciiTheme="minorEastAsia" w:hAnsiTheme="minorEastAsia"/>
          <w:color w:val="000000" w:themeColor="text1"/>
          <w:sz w:val="24"/>
          <w:szCs w:val="24"/>
          <w:highlight w:val="none"/>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咨询人应在专用条件约定的时间内，对委托人以书面形式提出的建议或者异议给予书面答复。</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3.2.5 咨询人从事工程造价咨询活动，应当遵循独立、客观、公正、诚实信用的原则，不得损害社会公共利益和他人的合法权益。</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3.2.6 咨询人承诺按照法律规定及合同约定，完成合同范围内的建设工程造价咨询服务，不转包承接的造价咨询服务业务。</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3" w:name="_Toc76398657"/>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03"/>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4" w:name="_Toc76398658"/>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0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5" w:name="_Toc76398659"/>
      <w:r>
        <w:rPr>
          <w:rFonts w:hint="eastAsia" w:asciiTheme="minorEastAsia" w:hAnsiTheme="minorEastAsia"/>
          <w:color w:val="000000" w:themeColor="text1"/>
          <w:sz w:val="24"/>
          <w:szCs w:val="24"/>
          <w:highlight w:val="none"/>
          <w14:textFill>
            <w14:solidFill>
              <w14:schemeClr w14:val="tx1"/>
            </w14:solidFill>
          </w14:textFill>
        </w:rPr>
        <w:t>4.违约责任</w:t>
      </w:r>
      <w:bookmarkEnd w:id="705"/>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6" w:name="_Toc76398660"/>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0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委托人违反本合同约定造成咨询人损失的，委托人应予以赔偿。双方可在专用条件中约定赔偿金额的确定及支付方法。</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7" w:name="_Toc76398661"/>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07"/>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咨询人不履行本合同义务或者履行义务不符合本合同约定的，应承担违约责任。双方可在专用条件中约定违约金的计算及支付方法。</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因咨询人违反本合同约定给委托人造成损失的，咨询人应当赔偿委托人损失。双方可在专用条件中约定赔偿金额的确定及支付方法。</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8" w:name="_Toc76398662"/>
      <w:r>
        <w:rPr>
          <w:rFonts w:hint="eastAsia" w:asciiTheme="minorEastAsia" w:hAnsiTheme="minorEastAsia"/>
          <w:color w:val="000000" w:themeColor="text1"/>
          <w:sz w:val="24"/>
          <w:szCs w:val="24"/>
          <w:highlight w:val="none"/>
          <w14:textFill>
            <w14:solidFill>
              <w14:schemeClr w14:val="tx1"/>
            </w14:solidFill>
          </w14:textFill>
        </w:rPr>
        <w:t>5.支付</w:t>
      </w:r>
      <w:bookmarkEnd w:id="708"/>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9" w:name="_Toc76398663"/>
      <w:r>
        <w:rPr>
          <w:rFonts w:hint="eastAsia" w:asciiTheme="minorEastAsia" w:hAnsiTheme="minorEastAsia"/>
          <w:color w:val="000000" w:themeColor="text1"/>
          <w:sz w:val="24"/>
          <w:szCs w:val="24"/>
          <w:highlight w:val="none"/>
          <w14:textFill>
            <w14:solidFill>
              <w14:schemeClr w14:val="tx1"/>
            </w14:solidFill>
          </w14:textFill>
        </w:rPr>
        <w:t>5.1 支付货币</w:t>
      </w:r>
      <w:bookmarkEnd w:id="70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除专用条件另有约定外，酬金均以人民币支付。涉及外币支付的，所采用的货币种类和汇率等在专用条件中约定。</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0" w:name="_Toc76398664"/>
      <w:r>
        <w:rPr>
          <w:rFonts w:hint="eastAsia" w:asciiTheme="minorEastAsia" w:hAnsiTheme="minorEastAsia"/>
          <w:color w:val="000000" w:themeColor="text1"/>
          <w:sz w:val="24"/>
          <w:szCs w:val="24"/>
          <w:highlight w:val="none"/>
          <w14:textFill>
            <w14:solidFill>
              <w14:schemeClr w14:val="tx1"/>
            </w14:solidFill>
          </w14:textFill>
        </w:rPr>
        <w:t>5.2 支付申请</w:t>
      </w:r>
      <w:bookmarkEnd w:id="710"/>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1" w:name="_Toc76398665"/>
      <w:r>
        <w:rPr>
          <w:rFonts w:hint="eastAsia" w:asciiTheme="minorEastAsia" w:hAnsiTheme="minorEastAsia"/>
          <w:color w:val="000000" w:themeColor="text1"/>
          <w:sz w:val="24"/>
          <w:szCs w:val="24"/>
          <w:highlight w:val="none"/>
          <w14:textFill>
            <w14:solidFill>
              <w14:schemeClr w14:val="tx1"/>
            </w14:solidFill>
          </w14:textFill>
        </w:rPr>
        <w:t>5.3 支付酬金</w:t>
      </w:r>
      <w:bookmarkEnd w:id="711"/>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支付酬金包括正常工作酬金、附加工作酬金、合理化建议奖励金额及费用。</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2" w:name="_Toc76398666"/>
      <w:r>
        <w:rPr>
          <w:rFonts w:hint="eastAsia" w:asciiTheme="minorEastAsia" w:hAnsiTheme="minorEastAsia"/>
          <w:color w:val="000000" w:themeColor="text1"/>
          <w:sz w:val="24"/>
          <w:szCs w:val="24"/>
          <w:highlight w:val="none"/>
          <w14:textFill>
            <w14:solidFill>
              <w14:schemeClr w14:val="tx1"/>
            </w14:solidFill>
          </w14:textFill>
        </w:rPr>
        <w:t>5.4 有异议部分的支付</w:t>
      </w:r>
      <w:bookmarkEnd w:id="712"/>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3" w:name="_Toc76398667"/>
      <w:r>
        <w:rPr>
          <w:rFonts w:hint="eastAsia" w:asciiTheme="minorEastAsia" w:hAnsiTheme="minorEastAsia"/>
          <w:color w:val="000000" w:themeColor="text1"/>
          <w:sz w:val="24"/>
          <w:szCs w:val="24"/>
          <w:highlight w:val="none"/>
          <w14:textFill>
            <w14:solidFill>
              <w14:schemeClr w14:val="tx1"/>
            </w14:solidFill>
          </w14:textFill>
        </w:rPr>
        <w:t>6.合同变更、解除与终止</w:t>
      </w:r>
      <w:bookmarkEnd w:id="713"/>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4" w:name="_Toc76398668"/>
      <w:r>
        <w:rPr>
          <w:rFonts w:hint="eastAsia" w:asciiTheme="minorEastAsia" w:hAnsiTheme="minorEastAsia"/>
          <w:color w:val="000000" w:themeColor="text1"/>
          <w:sz w:val="24"/>
          <w:szCs w:val="24"/>
          <w:highlight w:val="none"/>
          <w14:textFill>
            <w14:solidFill>
              <w14:schemeClr w14:val="tx1"/>
            </w14:solidFill>
          </w14:textFill>
        </w:rPr>
        <w:t>6.1 合同变更</w:t>
      </w:r>
      <w:bookmarkEnd w:id="71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6.1.1 任何一方以书面形式提出变更请求时，双方经协商一致后可进行变更。</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因工程规模、服务范围及工作内容的变化等导致咨询人的工作量增减时，服务酬金应作相应调整，调整方法由双方在专用条件中约定。</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5" w:name="_Toc76398669"/>
      <w:r>
        <w:rPr>
          <w:rFonts w:hint="eastAsia" w:asciiTheme="minorEastAsia" w:hAnsiTheme="minorEastAsia"/>
          <w:color w:val="000000" w:themeColor="text1"/>
          <w:sz w:val="24"/>
          <w:szCs w:val="24"/>
          <w:highlight w:val="none"/>
          <w14:textFill>
            <w14:solidFill>
              <w14:schemeClr w14:val="tx1"/>
            </w14:solidFill>
          </w14:textFill>
        </w:rPr>
        <w:t>6.2 合同解除</w:t>
      </w:r>
      <w:bookmarkEnd w:id="715"/>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6.2.1 委托人与咨询人协商一致，可以解除合同。</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6.2.2 有下列情形之一的，合同当事人一方或双方可以解除合同：</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（1）咨询人将本合同约定的工程造价咨询服务工作全部或部分转包给他人，委托人可以解除合同；</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（2）咨询人提供的造价咨询服务不符合合同约定的要求，经委托人催告仍不能达到合同约定要求的，委托人可以解除合同；</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（3）因不可抗力致使合同无法履行；</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（4）因一方违约致使合同无法实际履行或实际履行已无必要。</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除上述情形外，双方可以根据委托的服务范围及工作内容，在专用条件中约定解除合同的其他条件。</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6.2.3 任何一方提出解除合同的，应提前 30 天书面通知对方，无法提前通知解除的情形除外。</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6.2.5 本合同解除后，本合同约定的有关结算、争议解决方式的条款仍然有效。</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6" w:name="_Toc76398670"/>
      <w:r>
        <w:rPr>
          <w:rFonts w:hint="eastAsia" w:asciiTheme="minorEastAsia" w:hAnsiTheme="minorEastAsia"/>
          <w:color w:val="000000" w:themeColor="text1"/>
          <w:sz w:val="24"/>
          <w:szCs w:val="24"/>
          <w:highlight w:val="none"/>
          <w14:textFill>
            <w14:solidFill>
              <w14:schemeClr w14:val="tx1"/>
            </w14:solidFill>
          </w14:textFill>
        </w:rPr>
        <w:t>6.3 合同终止</w:t>
      </w:r>
      <w:bookmarkEnd w:id="71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除合同解除外，以下条件全部满足时，本合同终止：</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（1）咨询人完成本合同约定的全部工作；</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（2）委托人与咨询人结清并支付酬金；</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（3）咨询人将委托人提供的资料交还。</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7" w:name="_Toc76398671"/>
      <w:r>
        <w:rPr>
          <w:rFonts w:hint="eastAsia" w:asciiTheme="minorEastAsia" w:hAnsiTheme="minorEastAsia"/>
          <w:color w:val="000000" w:themeColor="text1"/>
          <w:sz w:val="24"/>
          <w:szCs w:val="24"/>
          <w:highlight w:val="none"/>
          <w14:textFill>
            <w14:solidFill>
              <w14:schemeClr w14:val="tx1"/>
            </w14:solidFill>
          </w14:textFill>
        </w:rPr>
        <w:t>7.争议解决</w:t>
      </w:r>
      <w:bookmarkEnd w:id="717"/>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8" w:name="_Toc76398672"/>
      <w:r>
        <w:rPr>
          <w:rFonts w:hint="eastAsia" w:asciiTheme="minorEastAsia" w:hAnsiTheme="minorEastAsia"/>
          <w:color w:val="000000" w:themeColor="text1"/>
          <w:sz w:val="24"/>
          <w:szCs w:val="24"/>
          <w:highlight w:val="none"/>
          <w14:textFill>
            <w14:solidFill>
              <w14:schemeClr w14:val="tx1"/>
            </w14:solidFill>
          </w14:textFill>
        </w:rPr>
        <w:t>7.1 协商</w:t>
      </w:r>
      <w:bookmarkEnd w:id="718"/>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双方应本着诚实信用的原则协商解决本合同履行过程中发生的争议。</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9" w:name="_Toc76398673"/>
      <w:r>
        <w:rPr>
          <w:rFonts w:hint="eastAsia" w:asciiTheme="minorEastAsia" w:hAnsiTheme="minorEastAsia"/>
          <w:color w:val="000000" w:themeColor="text1"/>
          <w:sz w:val="24"/>
          <w:szCs w:val="24"/>
          <w:highlight w:val="none"/>
          <w14:textFill>
            <w14:solidFill>
              <w14:schemeClr w14:val="tx1"/>
            </w14:solidFill>
          </w14:textFill>
        </w:rPr>
        <w:t>7.2 调解</w:t>
      </w:r>
      <w:bookmarkEnd w:id="71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 14 日内或双方商定的其他时间内解决本合同争议，可以将其提交给专用条件约定的或事后达成协议的调解人进行调解。</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0" w:name="_Toc76398674"/>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20"/>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1" w:name="_Toc76398675"/>
      <w:r>
        <w:rPr>
          <w:rFonts w:hint="eastAsia" w:asciiTheme="minorEastAsia" w:hAnsiTheme="minorEastAsia"/>
          <w:color w:val="000000" w:themeColor="text1"/>
          <w:sz w:val="24"/>
          <w:szCs w:val="24"/>
          <w:highlight w:val="none"/>
          <w14:textFill>
            <w14:solidFill>
              <w14:schemeClr w14:val="tx1"/>
            </w14:solidFill>
          </w14:textFill>
        </w:rPr>
        <w:t>8.其他</w:t>
      </w:r>
      <w:bookmarkEnd w:id="721"/>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2" w:name="_Toc76398676"/>
      <w:r>
        <w:rPr>
          <w:rFonts w:hint="eastAsia" w:asciiTheme="minorEastAsia" w:hAnsiTheme="minorEastAsia"/>
          <w:color w:val="000000" w:themeColor="text1"/>
          <w:sz w:val="24"/>
          <w:szCs w:val="24"/>
          <w:highlight w:val="none"/>
          <w14:textFill>
            <w14:solidFill>
              <w14:schemeClr w14:val="tx1"/>
            </w14:solidFill>
          </w14:textFill>
        </w:rPr>
        <w:t>8.1 考察及相关费用</w:t>
      </w:r>
      <w:bookmarkEnd w:id="722"/>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3" w:name="_Toc76398677"/>
      <w:r>
        <w:rPr>
          <w:rFonts w:hint="eastAsia" w:asciiTheme="minorEastAsia" w:hAnsiTheme="minorEastAsia"/>
          <w:color w:val="000000" w:themeColor="text1"/>
          <w:sz w:val="24"/>
          <w:szCs w:val="24"/>
          <w:highlight w:val="none"/>
          <w14:textFill>
            <w14:solidFill>
              <w14:schemeClr w14:val="tx1"/>
            </w14:solidFill>
          </w14:textFill>
        </w:rPr>
        <w:t>8.2 奖励</w:t>
      </w:r>
      <w:bookmarkEnd w:id="723"/>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4" w:name="_Toc76398678"/>
      <w:r>
        <w:rPr>
          <w:rFonts w:hint="eastAsia" w:asciiTheme="minorEastAsia" w:hAnsiTheme="minorEastAsia"/>
          <w:color w:val="000000" w:themeColor="text1"/>
          <w:sz w:val="24"/>
          <w:szCs w:val="24"/>
          <w:highlight w:val="none"/>
          <w14:textFill>
            <w14:solidFill>
              <w14:schemeClr w14:val="tx1"/>
            </w14:solidFill>
          </w14:textFill>
        </w:rPr>
        <w:t>8.3 保密</w:t>
      </w:r>
      <w:bookmarkEnd w:id="72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5" w:name="_Toc76398679"/>
      <w:r>
        <w:rPr>
          <w:rFonts w:hint="eastAsia" w:asciiTheme="minorEastAsia" w:hAnsiTheme="minorEastAsia"/>
          <w:color w:val="000000" w:themeColor="text1"/>
          <w:sz w:val="24"/>
          <w:szCs w:val="24"/>
          <w:highlight w:val="none"/>
          <w14:textFill>
            <w14:solidFill>
              <w14:schemeClr w14:val="tx1"/>
            </w14:solidFill>
          </w14:textFill>
        </w:rPr>
        <w:t>8.4 联络</w:t>
      </w:r>
      <w:bookmarkEnd w:id="725"/>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与合同有关的通知、指示、要求、决定等，均应采用书面形式，并应在专用条件约定的期限内送达接收人和送达地点。</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6" w:name="_Toc76398680"/>
      <w:r>
        <w:rPr>
          <w:rFonts w:hint="eastAsia" w:asciiTheme="minorEastAsia" w:hAnsiTheme="minorEastAsia"/>
          <w:color w:val="000000" w:themeColor="text1"/>
          <w:sz w:val="24"/>
          <w:szCs w:val="24"/>
          <w:highlight w:val="none"/>
          <w14:textFill>
            <w14:solidFill>
              <w14:schemeClr w14:val="tx1"/>
            </w14:solidFill>
          </w14:textFill>
        </w:rPr>
        <w:t>8.5 知识产权</w:t>
      </w:r>
      <w:bookmarkEnd w:id="72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widowControl/>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pPr>
        <w:spacing w:line="360" w:lineRule="auto"/>
        <w:ind w:firstLine="643"/>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727" w:name="_Toc76398681"/>
      <w:r>
        <w:rPr>
          <w:rFonts w:hint="eastAsia" w:asciiTheme="minorEastAsia" w:hAnsiTheme="minorEastAsia"/>
          <w:b/>
          <w:color w:val="000000" w:themeColor="text1"/>
          <w:sz w:val="32"/>
          <w:szCs w:val="32"/>
          <w:highlight w:val="none"/>
          <w14:textFill>
            <w14:solidFill>
              <w14:schemeClr w14:val="tx1"/>
            </w14:solidFill>
          </w14:textFill>
        </w:rPr>
        <w:t>第三部分专用条件</w:t>
      </w:r>
      <w:bookmarkEnd w:id="727"/>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8" w:name="_Toc7639868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728"/>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9" w:name="_Toc76398683"/>
      <w:r>
        <w:rPr>
          <w:rFonts w:hint="eastAsia" w:asciiTheme="minorEastAsia" w:hAnsiTheme="minorEastAsia"/>
          <w:color w:val="000000" w:themeColor="text1"/>
          <w:sz w:val="24"/>
          <w:szCs w:val="24"/>
          <w:highlight w:val="none"/>
          <w14:textFill>
            <w14:solidFill>
              <w14:schemeClr w14:val="tx1"/>
            </w14:solidFill>
          </w14:textFill>
        </w:rPr>
        <w:t>1.2 语言</w:t>
      </w:r>
      <w:bookmarkEnd w:id="72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0" w:name="_Toc76398684"/>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730"/>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1.3.3.专用条件及附录；</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1.3.4.通用条件；</w:t>
      </w:r>
    </w:p>
    <w:p>
      <w:pPr>
        <w:pStyle w:val="68"/>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1.3.6.投标函及投标函附录或造价咨询服务建议书（如果有）；</w:t>
      </w:r>
    </w:p>
    <w:p>
      <w:pPr>
        <w:pStyle w:val="68"/>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1" w:name="_Toc76398685"/>
      <w:r>
        <w:rPr>
          <w:rFonts w:hint="eastAsia" w:asciiTheme="minorEastAsia" w:hAnsiTheme="minorEastAsia"/>
          <w:color w:val="000000" w:themeColor="text1"/>
          <w:sz w:val="24"/>
          <w:szCs w:val="24"/>
          <w:highlight w:val="none"/>
          <w14:textFill>
            <w14:solidFill>
              <w14:schemeClr w14:val="tx1"/>
            </w14:solidFill>
          </w14:textFill>
        </w:rPr>
        <w:t>1.4 适用法律</w:t>
      </w:r>
      <w:bookmarkEnd w:id="731"/>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2" w:name="_Toc7639868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732"/>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3" w:name="_Toc76398687"/>
      <w:r>
        <w:rPr>
          <w:rFonts w:hint="eastAsia" w:asciiTheme="minorEastAsia" w:hAnsiTheme="minorEastAsia"/>
          <w:color w:val="000000" w:themeColor="text1"/>
          <w:sz w:val="24"/>
          <w:szCs w:val="24"/>
          <w:highlight w:val="none"/>
          <w14:textFill>
            <w14:solidFill>
              <w14:schemeClr w14:val="tx1"/>
            </w14:solidFill>
          </w14:textFill>
        </w:rPr>
        <w:t>2.1 提供资料</w:t>
      </w:r>
      <w:bookmarkEnd w:id="733"/>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4" w:name="_Toc76398688"/>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73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5" w:name="_Toc76398689"/>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735"/>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成本控制代表：</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6" w:name="_Toc76398690"/>
      <w:r>
        <w:rPr>
          <w:rFonts w:hint="eastAsia" w:asciiTheme="minorEastAsia" w:hAnsiTheme="minorEastAsia"/>
          <w:color w:val="000000" w:themeColor="text1"/>
          <w:sz w:val="24"/>
          <w:szCs w:val="24"/>
          <w:highlight w:val="none"/>
          <w14:textFill>
            <w14:solidFill>
              <w14:schemeClr w14:val="tx1"/>
            </w14:solidFill>
          </w14:textFill>
        </w:rPr>
        <w:t>2.5 答复</w:t>
      </w:r>
      <w:bookmarkEnd w:id="73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7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7" w:name="_Toc76398691"/>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37"/>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8" w:name="_Toc76398692"/>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38"/>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施工阶段工程造价全过程控制补充3.1.5条</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本合同中约定的拟派人员无法满足现场管理的实际需要，特别是在抢工期间时段，咨询人必须按委托人要求无条件增加驻场人员，且不调整合同价。</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咨询人擅自更换人员，视为咨询人违约，委托人有权解除本合同，且咨询人按照本合同约定总服务费用的30%向委托人承担违约金。</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咨询人未按照本协议约定更换人员，视为咨询人违约，委托人有权解除本合同，且咨询人按照本合同约定总服务费用的30%向委托人承担违约金。</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9" w:name="_Toc76398693"/>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39"/>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w:t>
      </w:r>
    </w:p>
    <w:p>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A:工程量清单</w:t>
      </w:r>
      <w:r>
        <w:rPr>
          <w:rFonts w:hint="eastAsia" w:asciiTheme="minorEastAsia" w:hAnsiTheme="minorEastAsia"/>
          <w:color w:val="000000" w:themeColor="text1"/>
          <w:sz w:val="24"/>
          <w:szCs w:val="24"/>
          <w:highlight w:val="none"/>
          <w14:textFill>
            <w14:solidFill>
              <w14:schemeClr w14:val="tx1"/>
            </w14:solidFill>
          </w14:textFill>
        </w:rPr>
        <w:t>及组价审核或招标控制价编制（审核）：</w:t>
      </w:r>
      <w:r>
        <w:rPr>
          <w:rFonts w:asciiTheme="minorEastAsia" w:hAnsiTheme="minorEastAsia"/>
          <w:color w:val="000000" w:themeColor="text1"/>
          <w:sz w:val="24"/>
          <w:szCs w:val="24"/>
          <w:highlight w:val="none"/>
          <w14:textFill>
            <w14:solidFill>
              <w14:schemeClr w14:val="tx1"/>
            </w14:solidFill>
          </w14:textFill>
        </w:rPr>
        <w:t xml:space="preserve">    年   月  日前提交</w:t>
      </w:r>
      <w:r>
        <w:rPr>
          <w:rFonts w:hint="eastAsia" w:asciiTheme="minorEastAsia" w:hAnsiTheme="minorEastAsia"/>
          <w:color w:val="000000" w:themeColor="text1"/>
          <w:sz w:val="24"/>
          <w:szCs w:val="24"/>
          <w:highlight w:val="none"/>
          <w14:textFill>
            <w14:solidFill>
              <w14:schemeClr w14:val="tx1"/>
            </w14:solidFill>
          </w14:textFill>
        </w:rPr>
        <w:t>编制成果资料；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日前完成工程量清单及组价核对并提交最终报告。</w:t>
      </w:r>
    </w:p>
    <w:p>
      <w:pPr>
        <w:pStyle w:val="4"/>
        <w:ind w:firstLine="480"/>
        <w:jc w:val="left"/>
        <w:rPr>
          <w:color w:val="000000" w:themeColor="text1"/>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B：施工阶段工程造价全过程控制：</w:t>
      </w:r>
      <w:r>
        <w:rPr>
          <w:color w:val="000000" w:themeColor="text1"/>
          <w:highlight w:val="none"/>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highlight w:val="none"/>
          <w:u w:val="single"/>
          <w14:textFill>
            <w14:solidFill>
              <w14:schemeClr w14:val="tx1"/>
            </w14:solidFill>
          </w14:textFill>
        </w:rPr>
        <w:t xml:space="preserve"> 1000-10000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日未提交，委托人有权解除本合同，咨询人按照本合同约定金额的30%委托人承担违约金，同时，咨询人承担给委托人造成的一切损失。</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咨询人向委托人提供的资料还包括：</w:t>
      </w:r>
      <w:r>
        <w:rPr>
          <w:rFonts w:hint="eastAsia" w:asciiTheme="minorEastAsia" w:hAnsiTheme="minorEastAsia"/>
          <w:color w:val="000000" w:themeColor="text1"/>
          <w:sz w:val="24"/>
          <w:szCs w:val="24"/>
          <w:highlight w:val="none"/>
          <w:u w:val="single"/>
          <w14:textFill>
            <w14:solidFill>
              <w14:schemeClr w14:val="tx1"/>
            </w14:solidFill>
          </w14:textFill>
        </w:rPr>
        <w:t>详见</w:t>
      </w:r>
      <w:r>
        <w:rPr>
          <w:rFonts w:asciiTheme="minorEastAsia" w:hAnsiTheme="minorEastAsia"/>
          <w:color w:val="000000" w:themeColor="text1"/>
          <w:sz w:val="24"/>
          <w:szCs w:val="24"/>
          <w:highlight w:val="none"/>
          <w:u w:val="single"/>
          <w14:textFill>
            <w14:solidFill>
              <w14:schemeClr w14:val="tx1"/>
            </w14:solidFill>
          </w14:textFill>
        </w:rPr>
        <w:t>附</w:t>
      </w:r>
      <w:r>
        <w:rPr>
          <w:rFonts w:hint="eastAsia" w:asciiTheme="minorEastAsia" w:hAnsiTheme="minorEastAsia"/>
          <w:color w:val="000000" w:themeColor="text1"/>
          <w:sz w:val="24"/>
          <w:szCs w:val="24"/>
          <w:highlight w:val="none"/>
          <w:u w:val="single"/>
          <w14:textFill>
            <w14:solidFill>
              <w14:schemeClr w14:val="tx1"/>
            </w14:solidFill>
          </w14:textFill>
        </w:rPr>
        <w:t>录B</w:t>
      </w:r>
      <w:r>
        <w:rPr>
          <w:rFonts w:asciiTheme="minorEastAsia" w:hAnsiTheme="minorEastAsia"/>
          <w:color w:val="000000" w:themeColor="text1"/>
          <w:sz w:val="24"/>
          <w:szCs w:val="24"/>
          <w:highlight w:val="none"/>
          <w:u w:val="singl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highlight w:val="none"/>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0" w:name="_Toc76398694"/>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40"/>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1" w:name="_Toc76398695"/>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41"/>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返还，逾期返还，委托人有权强制返还，场地内留有咨询人的物品视为遗弃物，委托人有权任意处置</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42" w:name="_Toc76398696"/>
      <w:r>
        <w:rPr>
          <w:rFonts w:hint="eastAsia" w:asciiTheme="minorEastAsia" w:hAnsiTheme="minorEastAsia"/>
          <w:color w:val="000000" w:themeColor="text1"/>
          <w:sz w:val="24"/>
          <w:szCs w:val="24"/>
          <w:highlight w:val="none"/>
          <w14:textFill>
            <w14:solidFill>
              <w14:schemeClr w14:val="tx1"/>
            </w14:solidFill>
          </w14:textFill>
        </w:rPr>
        <w:t>4. 违约责任</w:t>
      </w:r>
      <w:bookmarkEnd w:id="742"/>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3" w:name="_Toc76398697"/>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43"/>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4" w:name="_Toc76398698"/>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44"/>
    </w:p>
    <w:p>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咨询人成果误差赔偿金额按下列方法确定并支付：</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w:t>
      </w:r>
      <w:r>
        <w:rPr>
          <w:rFonts w:hint="eastAsia" w:asciiTheme="minorEastAsia" w:hAnsiTheme="minorEastAsia"/>
          <w:color w:val="000000" w:themeColor="text1"/>
          <w:sz w:val="24"/>
          <w:szCs w:val="24"/>
          <w:highlight w:val="none"/>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w:t>
      </w:r>
      <w:r>
        <w:rPr>
          <w:rFonts w:hint="eastAsia" w:asciiTheme="minorEastAsia" w:hAnsiTheme="minorEastAsia"/>
          <w:color w:val="000000" w:themeColor="text1"/>
          <w:sz w:val="24"/>
          <w:szCs w:val="24"/>
          <w:highlight w:val="none"/>
          <w:u w:val="single"/>
          <w14:textFill>
            <w14:solidFill>
              <w14:schemeClr w14:val="tx1"/>
            </w14:solidFill>
          </w14:textFill>
        </w:rPr>
        <w:t xml:space="preserve"> 2000</w:t>
      </w:r>
      <w:r>
        <w:rPr>
          <w:rFonts w:hint="eastAsia" w:asciiTheme="minorEastAsia" w:hAnsiTheme="minorEastAsia"/>
          <w:color w:val="000000" w:themeColor="text1"/>
          <w:sz w:val="24"/>
          <w:szCs w:val="24"/>
          <w:highlight w:val="none"/>
          <w:u w:val="single"/>
          <w14:textFill>
            <w14:solidFill>
              <w14:schemeClr w14:val="tx1"/>
            </w14:solidFill>
          </w14:textFill>
        </w:rPr>
        <w:t>元的违约金。</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w:t>
      </w:r>
      <w:r>
        <w:rPr>
          <w:rFonts w:hint="eastAsia" w:asciiTheme="minorEastAsia" w:hAnsiTheme="minorEastAsia"/>
          <w:color w:val="000000" w:themeColor="text1"/>
          <w:sz w:val="24"/>
          <w:szCs w:val="24"/>
          <w:highlight w:val="none"/>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咨询人未提供完成的工程量清单、工程量计算过程的计算式给委托人，则扣减咨询费用的20% 。</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4.2.3.2</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4.2.3.3</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pPr>
        <w:pStyle w:val="4"/>
        <w:ind w:firstLine="480" w:firstLineChars="200"/>
        <w:jc w:val="left"/>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4.2.</w:t>
      </w: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b w:val="0"/>
          <w:bCs w:val="0"/>
          <w:color w:val="000000" w:themeColor="text1"/>
          <w:sz w:val="24"/>
          <w:szCs w:val="24"/>
          <w:highlight w:val="none"/>
          <w14:textFill>
            <w14:solidFill>
              <w14:schemeClr w14:val="tx1"/>
            </w14:solidFill>
          </w14:textFill>
        </w:rPr>
        <w:t>组织责任：</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5.1</w:t>
      </w:r>
      <w:r>
        <w:rPr>
          <w:rFonts w:hint="eastAsia" w:asciiTheme="minorEastAsia" w:hAnsiTheme="minorEastAsia"/>
          <w:color w:val="000000" w:themeColor="text1"/>
          <w:sz w:val="24"/>
          <w:szCs w:val="24"/>
          <w:highlight w:val="none"/>
          <w14:textFill>
            <w14:solidFill>
              <w14:schemeClr w14:val="tx1"/>
            </w14:solidFill>
          </w14:textFill>
        </w:rPr>
        <w:t xml:space="preserve">未取得委托人同意咨询人项目人员缺席现场收方、验收、例会等，每出现一次处1000元违约金，累计发生3次时（含本数），视为咨询人违约。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5.2</w:t>
      </w:r>
      <w:r>
        <w:rPr>
          <w:rFonts w:hint="eastAsia" w:asciiTheme="minorEastAsia" w:hAnsiTheme="minorEastAsia"/>
          <w:color w:val="000000" w:themeColor="text1"/>
          <w:sz w:val="24"/>
          <w:szCs w:val="24"/>
          <w:highlight w:val="none"/>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14:textFill>
            <w14:solidFill>
              <w14:schemeClr w14:val="tx1"/>
            </w14:solidFill>
          </w14:textFill>
        </w:rPr>
        <w:t>，累计发生3次时（含本数），视为咨询人违约</w:t>
      </w:r>
      <w:r>
        <w:rPr>
          <w:rFonts w:hint="eastAsia" w:asciiTheme="minorEastAsia" w:hAnsiTheme="minorEastAsia"/>
          <w:color w:val="000000" w:themeColor="text1"/>
          <w:sz w:val="24"/>
          <w:szCs w:val="24"/>
          <w:highlight w:val="none"/>
          <w14:textFill>
            <w14:solidFill>
              <w14:schemeClr w14:val="tx1"/>
            </w14:solidFill>
          </w14:textFill>
        </w:rPr>
        <w:t xml:space="preserve">。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5.3</w:t>
      </w:r>
      <w:r>
        <w:rPr>
          <w:rFonts w:hint="eastAsia" w:asciiTheme="minorEastAsia" w:hAnsiTheme="minorEastAsia"/>
          <w:color w:val="000000" w:themeColor="text1"/>
          <w:sz w:val="24"/>
          <w:szCs w:val="24"/>
          <w:highlight w:val="none"/>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5.4</w:t>
      </w:r>
      <w:r>
        <w:rPr>
          <w:rFonts w:hint="eastAsia" w:asciiTheme="minorEastAsia" w:hAnsiTheme="minorEastAsia"/>
          <w:color w:val="000000" w:themeColor="text1"/>
          <w:sz w:val="24"/>
          <w:szCs w:val="24"/>
          <w:highlight w:val="none"/>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5.5</w:t>
      </w:r>
      <w:r>
        <w:rPr>
          <w:rFonts w:hint="eastAsia" w:asciiTheme="minorEastAsia" w:hAnsiTheme="minorEastAsia"/>
          <w:color w:val="000000" w:themeColor="text1"/>
          <w:sz w:val="24"/>
          <w:szCs w:val="24"/>
          <w:highlight w:val="none"/>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5.6</w:t>
      </w:r>
      <w:r>
        <w:rPr>
          <w:rFonts w:hint="eastAsia" w:asciiTheme="minorEastAsia" w:hAnsiTheme="minorEastAsia"/>
          <w:color w:val="000000" w:themeColor="text1"/>
          <w:sz w:val="24"/>
          <w:szCs w:val="24"/>
          <w:highlight w:val="none"/>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5.7</w:t>
      </w:r>
      <w:r>
        <w:rPr>
          <w:rFonts w:hint="eastAsia" w:asciiTheme="minorEastAsia" w:hAnsiTheme="minorEastAsia"/>
          <w:color w:val="000000" w:themeColor="text1"/>
          <w:sz w:val="24"/>
          <w:szCs w:val="24"/>
          <w:highlight w:val="none"/>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45" w:name="_Toc76398699"/>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 支付</w:t>
      </w:r>
      <w:bookmarkEnd w:id="745"/>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6" w:name="_Toc76398700"/>
      <w:r>
        <w:rPr>
          <w:rFonts w:hint="eastAsia" w:asciiTheme="minorEastAsia" w:hAnsiTheme="minorEastAsia"/>
          <w:color w:val="000000" w:themeColor="text1"/>
          <w:sz w:val="24"/>
          <w:szCs w:val="24"/>
          <w:highlight w:val="none"/>
          <w14:textFill>
            <w14:solidFill>
              <w14:schemeClr w14:val="tx1"/>
            </w14:solidFill>
          </w14:textFill>
        </w:rPr>
        <w:t>5.1 支付货币</w:t>
      </w:r>
      <w:bookmarkEnd w:id="746"/>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7" w:name="_Toc76398701"/>
      <w:r>
        <w:rPr>
          <w:rFonts w:hint="eastAsia" w:asciiTheme="minorEastAsia" w:hAnsiTheme="minorEastAsia"/>
          <w:color w:val="000000" w:themeColor="text1"/>
          <w:sz w:val="24"/>
          <w:szCs w:val="24"/>
          <w:highlight w:val="none"/>
          <w14:textFill>
            <w14:solidFill>
              <w14:schemeClr w14:val="tx1"/>
            </w14:solidFill>
          </w14:textFill>
        </w:rPr>
        <w:t>5.2 支付申请</w:t>
      </w:r>
      <w:bookmarkEnd w:id="747"/>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w:t>
      </w:r>
      <w:r>
        <w:rPr>
          <w:rFonts w:hint="eastAsia" w:cs="Times New Roman" w:asciiTheme="minorEastAsia" w:hAnsiTheme="minorEastAsia"/>
          <w:color w:val="000000" w:themeColor="text1"/>
          <w:sz w:val="24"/>
          <w:szCs w:val="24"/>
          <w:highlight w:val="none"/>
          <w14:textFill>
            <w14:solidFill>
              <w14:schemeClr w14:val="tx1"/>
            </w14:solidFill>
          </w14:textFill>
        </w:rPr>
        <w:t>提交正式报告7天后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48" w:name="_Toc76398702"/>
      <w:r>
        <w:rPr>
          <w:rFonts w:hint="eastAsia" w:asciiTheme="minorEastAsia" w:hAnsiTheme="minorEastAsia"/>
          <w:color w:val="000000" w:themeColor="text1"/>
          <w:sz w:val="24"/>
          <w:szCs w:val="24"/>
          <w:highlight w:val="none"/>
          <w14:textFill>
            <w14:solidFill>
              <w14:schemeClr w14:val="tx1"/>
            </w14:solidFill>
          </w14:textFill>
        </w:rPr>
        <w:t>5.3 支付酬金</w:t>
      </w:r>
      <w:bookmarkEnd w:id="748"/>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5.3.1正常工作酬金的支付：本委托合同无预付款。</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5.3.2付款参考：</w:t>
      </w:r>
      <w:r>
        <w:rPr>
          <w:rFonts w:hint="eastAsia" w:asciiTheme="minorEastAsia" w:hAnsiTheme="minorEastAsia"/>
          <w:color w:val="000000" w:themeColor="text1"/>
          <w:sz w:val="24"/>
          <w:szCs w:val="24"/>
          <w:highlight w:val="none"/>
          <w14:textFill>
            <w14:solidFill>
              <w14:schemeClr w14:val="tx1"/>
            </w14:solidFill>
          </w14:textFill>
        </w:rPr>
        <w:t>工程量清单及组价审核：工程合同范围内的工程量清单及组价审核</w:t>
      </w:r>
      <w:r>
        <w:rPr>
          <w:rFonts w:hint="eastAsia" w:asciiTheme="minorEastAsia" w:hAnsiTheme="minorEastAsia"/>
          <w:color w:val="000000" w:themeColor="text1"/>
          <w:sz w:val="24"/>
          <w:szCs w:val="24"/>
          <w:highlight w:val="none"/>
          <w:lang w:val="en-US" w:eastAsia="zh-CN"/>
          <w14:textFill>
            <w14:solidFill>
              <w14:schemeClr w14:val="tx1"/>
            </w14:solidFill>
          </w14:textFill>
        </w:rPr>
        <w:t>完成出具审核</w:t>
      </w:r>
      <w:r>
        <w:rPr>
          <w:rFonts w:hint="eastAsia" w:asciiTheme="minorEastAsia" w:hAnsiTheme="minorEastAsia"/>
          <w:color w:val="000000" w:themeColor="text1"/>
          <w:sz w:val="24"/>
          <w:szCs w:val="24"/>
          <w:highlight w:val="none"/>
          <w14:textFill>
            <w14:solidFill>
              <w14:schemeClr w14:val="tx1"/>
            </w14:solidFill>
          </w14:textFill>
        </w:rPr>
        <w:t>报告且委托人收到咨询人开具的等额增值税发票后60日内支付该工程量清单及组价审核酬金的</w:t>
      </w:r>
      <w:r>
        <w:rPr>
          <w:rFonts w:hint="eastAsia" w:asciiTheme="minorEastAsia" w:hAnsiTheme="minorEastAsia"/>
          <w:color w:val="000000" w:themeColor="text1"/>
          <w:sz w:val="24"/>
          <w:szCs w:val="24"/>
          <w:highlight w:val="none"/>
          <w14:textFill>
            <w14:solidFill>
              <w14:schemeClr w14:val="tx1"/>
            </w14:solidFill>
          </w14:textFill>
        </w:rPr>
        <w:t>80%，剩余20%待相关部门评审完成后无息支付</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5.3.3双方确认付款按照下列【     】方式付款。</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注：若存在下列情形时，下列情形作为付款条件之一，同时适用，若涉及进度款则不包括下列情形第3种：</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（1）若合同计算酬金在支付款项时尚无法确定，则以         标准计算酬金；</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（3）若需对工程进行审计或财评，则在审计或财评结果未出之前，委托人有权迟延付款且不承担违约责任。</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49" w:name="_Toc76398703"/>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749"/>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0" w:name="_Toc76398704"/>
      <w:r>
        <w:rPr>
          <w:rFonts w:hint="eastAsia" w:asciiTheme="minorEastAsia" w:hAnsiTheme="minorEastAsia"/>
          <w:color w:val="000000" w:themeColor="text1"/>
          <w:sz w:val="24"/>
          <w:szCs w:val="24"/>
          <w:highlight w:val="none"/>
          <w14:textFill>
            <w14:solidFill>
              <w14:schemeClr w14:val="tx1"/>
            </w14:solidFill>
          </w14:textFill>
        </w:rPr>
        <w:t>6.1 合同变更</w:t>
      </w:r>
      <w:bookmarkEnd w:id="750"/>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。且在前述情形下，委托人不因此另行向咨询人支付任何补偿或赔偿。</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固定费率不调整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宋体" w:hAnsi="宋体"/>
          <w:color w:val="000000" w:themeColor="text1"/>
          <w:sz w:val="24"/>
          <w:szCs w:val="24"/>
          <w:highlight w:val="none"/>
          <w14:textFill>
            <w14:solidFill>
              <w14:schemeClr w14:val="tx1"/>
            </w14:solidFill>
          </w14:textFill>
        </w:rPr>
      </w:pPr>
      <w:bookmarkStart w:id="751" w:name="_Toc76398705"/>
      <w:r>
        <w:rPr>
          <w:rFonts w:hint="eastAsia" w:ascii="宋体" w:hAnsi="宋体"/>
          <w:color w:val="000000" w:themeColor="text1"/>
          <w:sz w:val="24"/>
          <w:szCs w:val="24"/>
          <w:highlight w:val="none"/>
          <w14:textFill>
            <w14:solidFill>
              <w14:schemeClr w14:val="tx1"/>
            </w14:solidFill>
          </w14:textFill>
        </w:rPr>
        <w:t>6.2 合同解除</w:t>
      </w:r>
    </w:p>
    <w:p>
      <w:pPr>
        <w:spacing w:line="360" w:lineRule="auto"/>
        <w:ind w:firstLine="480" w:firstLineChars="2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除其他条款约定外，如出现下列情形时，委托人有权单方解除本合同，且视为咨询人违约，咨询人按照本合同约定酬金的30%向委托人承担违约金，并</w:t>
      </w:r>
      <w:r>
        <w:rPr>
          <w:rFonts w:hint="eastAsia" w:ascii="宋体" w:hAnsi="宋体"/>
          <w:color w:val="000000" w:themeColor="text1"/>
          <w:sz w:val="24"/>
          <w:szCs w:val="24"/>
          <w:highlight w:val="none"/>
          <w14:textFill>
            <w14:solidFill>
              <w14:schemeClr w14:val="tx1"/>
            </w14:solidFill>
          </w14:textFill>
        </w:rPr>
        <w:t>承担给委托人造成的一切损失（该损失包括但不限于</w:t>
      </w:r>
      <w:r>
        <w:rPr>
          <w:rFonts w:hint="eastAsia" w:ascii="宋体" w:hAnsi="宋体"/>
          <w:color w:val="000000" w:themeColor="text1"/>
          <w:sz w:val="24"/>
          <w:szCs w:val="24"/>
          <w:highlight w:val="none"/>
          <w14:textFill>
            <w14:solidFill>
              <w14:schemeClr w14:val="tx1"/>
            </w14:solidFill>
          </w14:textFill>
        </w:rPr>
        <w:t>委托人另行委托第三方履行义务产生的费用</w:t>
      </w:r>
      <w:r>
        <w:rPr>
          <w:rFonts w:hint="eastAsia" w:ascii="宋体" w:hAnsi="宋体"/>
          <w:color w:val="000000" w:themeColor="text1"/>
          <w:sz w:val="24"/>
          <w:szCs w:val="24"/>
          <w:highlight w:val="none"/>
          <w14:textFill>
            <w14:solidFill>
              <w14:schemeClr w14:val="tx1"/>
            </w14:solidFill>
          </w14:textFill>
        </w:rPr>
        <w:t>、委托人给第三方造成的损失、给委托人造成实际损失、委托人的可期待利益损失等）</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6.2.2.1咨询人擅自将本合同约定事项转委托或再次分包；</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6.2.2.2委托人提出整改意见，咨询人拒不履行的；</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6.2.2.3咨询人的员工到委托人处投诉咨询人拖欠工资的；</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6.2.2.4咨询人员工因咨询人拖欠工资上访、信访的；</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6.2.2.5咨询人应免费向委托人提供口头或现场咨询服务，咨询人未履行咨询服务的；</w:t>
      </w:r>
    </w:p>
    <w:p>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6.2.2.6咨询人未按照合同约定履行其他义务的。</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highlight w:val="none"/>
          <w:u w:val="single"/>
          <w14:textFill>
            <w14:solidFill>
              <w14:schemeClr w14:val="tx1"/>
            </w14:solidFill>
          </w14:textFill>
        </w:rPr>
        <w:t xml:space="preserve">  自行承担各自损失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51"/>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52" w:name="_Toc76398706"/>
      <w:r>
        <w:rPr>
          <w:rFonts w:hint="eastAsia" w:asciiTheme="minorEastAsia" w:hAnsiTheme="minorEastAsia"/>
          <w:color w:val="000000" w:themeColor="text1"/>
          <w:sz w:val="24"/>
          <w:szCs w:val="24"/>
          <w:highlight w:val="none"/>
          <w14:textFill>
            <w14:solidFill>
              <w14:schemeClr w14:val="tx1"/>
            </w14:solidFill>
          </w14:textFill>
        </w:rPr>
        <w:t>7. 争议解决</w:t>
      </w:r>
      <w:bookmarkEnd w:id="752"/>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3" w:name="_Toc76398707"/>
      <w:r>
        <w:rPr>
          <w:rFonts w:hint="eastAsia" w:asciiTheme="minorEastAsia" w:hAnsiTheme="minorEastAsia"/>
          <w:color w:val="000000" w:themeColor="text1"/>
          <w:sz w:val="24"/>
          <w:szCs w:val="24"/>
          <w:highlight w:val="none"/>
          <w14:textFill>
            <w14:solidFill>
              <w14:schemeClr w14:val="tx1"/>
            </w14:solidFill>
          </w14:textFill>
        </w:rPr>
        <w:t>7.2 调解</w:t>
      </w:r>
      <w:bookmarkEnd w:id="753"/>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进行调解。双方确认，调解并非诉讼的前置程序。</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4" w:name="_Toc76398708"/>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54"/>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55" w:name="_Toc76398709"/>
      <w:r>
        <w:rPr>
          <w:rFonts w:hint="eastAsia" w:asciiTheme="minorEastAsia" w:hAnsiTheme="minorEastAsia"/>
          <w:color w:val="000000" w:themeColor="text1"/>
          <w:sz w:val="24"/>
          <w:szCs w:val="24"/>
          <w:highlight w:val="none"/>
          <w14:textFill>
            <w14:solidFill>
              <w14:schemeClr w14:val="tx1"/>
            </w14:solidFill>
          </w14:textFill>
        </w:rPr>
        <w:t>8. 其他</w:t>
      </w:r>
      <w:bookmarkEnd w:id="755"/>
    </w:p>
    <w:p>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756" w:name="_Toc76398710"/>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支付，相关费用已包含在合同费用中，委托人不另行支付。</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14:textFill>
            <w14:solidFill>
              <w14:schemeClr w14:val="tx1"/>
            </w14:solidFill>
          </w14:textFill>
        </w:rPr>
        <w:t>。</w:t>
      </w:r>
    </w:p>
    <w:bookmarkEnd w:id="756"/>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7" w:name="_Toc76398711"/>
      <w:r>
        <w:rPr>
          <w:rFonts w:hint="eastAsia" w:asciiTheme="minorEastAsia" w:hAnsiTheme="minorEastAsia"/>
          <w:color w:val="000000" w:themeColor="text1"/>
          <w:sz w:val="24"/>
          <w:szCs w:val="24"/>
          <w:highlight w:val="none"/>
          <w14:textFill>
            <w14:solidFill>
              <w14:schemeClr w14:val="tx1"/>
            </w14:solidFill>
          </w14:textFill>
        </w:rPr>
        <w:t>8.2奖励</w:t>
      </w:r>
      <w:bookmarkEnd w:id="757"/>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u w:val="single"/>
          <w14:textFill>
            <w14:solidFill>
              <w14:schemeClr w14:val="tx1"/>
            </w14:solidFill>
          </w14:textFill>
        </w:rPr>
        <w:t>/</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8" w:name="_Toc76398712"/>
      <w:r>
        <w:rPr>
          <w:rFonts w:hint="eastAsia" w:asciiTheme="minorEastAsia" w:hAnsiTheme="minorEastAsia"/>
          <w:color w:val="000000" w:themeColor="text1"/>
          <w:sz w:val="24"/>
          <w:szCs w:val="24"/>
          <w:highlight w:val="none"/>
          <w14:textFill>
            <w14:solidFill>
              <w14:schemeClr w14:val="tx1"/>
            </w14:solidFill>
          </w14:textFill>
        </w:rPr>
        <w:t>8.3 保密</w:t>
      </w:r>
      <w:bookmarkEnd w:id="758"/>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。未经委托人事先书面同意，咨询人不得对外透露本项目的任何信息，否则咨询人应赔偿委托人的一切损失。</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59" w:name="_Toc76398713"/>
      <w:r>
        <w:rPr>
          <w:rFonts w:hint="eastAsia" w:asciiTheme="minorEastAsia" w:hAnsiTheme="minorEastAsia"/>
          <w:color w:val="000000" w:themeColor="text1"/>
          <w:sz w:val="24"/>
          <w:szCs w:val="24"/>
          <w:highlight w:val="none"/>
          <w14:textFill>
            <w14:solidFill>
              <w14:schemeClr w14:val="tx1"/>
            </w14:solidFill>
          </w14:textFill>
        </w:rPr>
        <w:t>8.4 联络</w:t>
      </w:r>
      <w:bookmarkEnd w:id="759"/>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__   _</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60" w:name="_Toc76398714"/>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8.4.3若地址为空白，则以国家企业信用信息公示系统查询的住所作为通讯地址。。</w:t>
      </w:r>
    </w:p>
    <w:p>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8.5 知识产权</w:t>
      </w:r>
      <w:bookmarkEnd w:id="760"/>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highlight w:val="none"/>
          <w14:textFill>
            <w14:solidFill>
              <w14:schemeClr w14:val="tx1"/>
            </w14:solidFill>
          </w14:textFill>
        </w:rPr>
        <w:t>。</w:t>
      </w:r>
    </w:p>
    <w:p>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61" w:name="_Toc76398715"/>
      <w:r>
        <w:rPr>
          <w:rFonts w:hint="eastAsia" w:asciiTheme="minorEastAsia" w:hAnsiTheme="minorEastAsia"/>
          <w:color w:val="000000" w:themeColor="text1"/>
          <w:sz w:val="24"/>
          <w:szCs w:val="24"/>
          <w:highlight w:val="none"/>
          <w14:textFill>
            <w14:solidFill>
              <w14:schemeClr w14:val="tx1"/>
            </w14:solidFill>
          </w14:textFill>
        </w:rPr>
        <w:t>9.补充条款</w:t>
      </w:r>
      <w:bookmarkEnd w:id="761"/>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w:t>
      </w:r>
      <w:r>
        <w:rPr>
          <w:rFonts w:hint="eastAsia" w:ascii="宋体" w:hAnsi="宋体"/>
          <w:color w:val="000000" w:themeColor="text1"/>
          <w:sz w:val="24"/>
          <w:szCs w:val="24"/>
          <w:highlight w:val="none"/>
          <w14:textFill>
            <w14:solidFill>
              <w14:schemeClr w14:val="tx1"/>
            </w14:solidFill>
          </w14:textFill>
        </w:rPr>
        <w:t>，否则视为咨询人违约</w:t>
      </w:r>
      <w:r>
        <w:rPr>
          <w:rFonts w:hint="eastAsia" w:asciiTheme="minorEastAsia" w:hAnsiTheme="minorEastAsia"/>
          <w:color w:val="000000" w:themeColor="text1"/>
          <w:sz w:val="24"/>
          <w:szCs w:val="24"/>
          <w:highlight w:val="none"/>
          <w14:textFill>
            <w14:solidFill>
              <w14:schemeClr w14:val="tx1"/>
            </w14:solidFill>
          </w14:textFill>
        </w:rPr>
        <w:t>。</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w:t>
      </w:r>
      <w:r>
        <w:rPr>
          <w:rFonts w:hint="eastAsia" w:ascii="宋体" w:hAnsi="宋体"/>
          <w:color w:val="000000" w:themeColor="text1"/>
          <w:sz w:val="24"/>
          <w:szCs w:val="24"/>
          <w:highlight w:val="none"/>
          <w14:textFill>
            <w14:solidFill>
              <w14:schemeClr w14:val="tx1"/>
            </w14:solidFill>
          </w14:textFill>
        </w:rPr>
        <w:t>咨询人违约时，</w:t>
      </w:r>
      <w:r>
        <w:rPr>
          <w:rFonts w:hint="eastAsia" w:asciiTheme="minorEastAsia" w:hAnsiTheme="minorEastAsia"/>
          <w:color w:val="000000" w:themeColor="text1"/>
          <w:sz w:val="24"/>
          <w:szCs w:val="24"/>
          <w:highlight w:val="none"/>
          <w14:textFill>
            <w14:solidFill>
              <w14:schemeClr w14:val="tx1"/>
            </w14:solidFill>
          </w14:textFill>
        </w:rPr>
        <w:t>委托人有权解除本合同</w:t>
      </w:r>
      <w:r>
        <w:rPr>
          <w:rFonts w:hint="eastAsia" w:ascii="宋体" w:hAnsi="宋体"/>
          <w:color w:val="000000" w:themeColor="text1"/>
          <w:sz w:val="24"/>
          <w:szCs w:val="24"/>
          <w:highlight w:val="none"/>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14:textFill>
            <w14:solidFill>
              <w14:schemeClr w14:val="tx1"/>
            </w14:solidFill>
          </w14:textFill>
        </w:rPr>
        <w:t>。咨询人承担给委托人造成的一切损失。</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9.7禁止咨询人将本合同约定事项再进行分包或转委托，否则，视为咨询人违约。</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10如有时，咨询人承担万分之二且不少于500元的建设智慧平台管理费。</w:t>
      </w:r>
    </w:p>
    <w:p>
      <w:pPr>
        <w:numPr>
          <w:ilvl w:val="255"/>
          <w:numId w:val="0"/>
        </w:num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62" w:name="_Toc76398716"/>
      <w:r>
        <w:rPr>
          <w:rFonts w:hint="eastAsia" w:asciiTheme="minorEastAsia" w:hAnsiTheme="minorEastAsia"/>
          <w:color w:val="000000" w:themeColor="text1"/>
          <w:sz w:val="24"/>
          <w:szCs w:val="24"/>
          <w:highlight w:val="none"/>
          <w14:textFill>
            <w14:solidFill>
              <w14:schemeClr w14:val="tx1"/>
            </w14:solidFill>
          </w14:textFill>
        </w:rPr>
        <w:t>11履约担保：</w:t>
      </w:r>
      <w:r>
        <w:rPr>
          <w:rFonts w:hint="eastAsia" w:asciiTheme="minorEastAsia" w:hAnsiTheme="minorEastAsia"/>
          <w:color w:val="000000" w:themeColor="text1"/>
          <w:sz w:val="24"/>
          <w:szCs w:val="24"/>
          <w:highlight w:val="none"/>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none"/>
          <w14:textFill>
            <w14:solidFill>
              <w14:schemeClr w14:val="tx1"/>
            </w14:solidFill>
          </w14:textFill>
        </w:rPr>
        <w:t>。（20万元以上的合同金额需要履约担保）</w:t>
      </w:r>
    </w:p>
    <w:p>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工程咨询人应按工程咨询合同约定向委托人提交履约担保，履约担保的提交形式、提交时间及退还约定为：</w:t>
      </w:r>
      <w:r>
        <w:rPr>
          <w:rFonts w:hint="eastAsia" w:asciiTheme="minorEastAsia" w:hAnsiTheme="minorEastAsia"/>
          <w:color w:val="000000" w:themeColor="text1"/>
          <w:sz w:val="24"/>
          <w:szCs w:val="24"/>
          <w:highlight w:val="none"/>
          <w14:textFill>
            <w14:solidFill>
              <w14:schemeClr w14:val="tx1"/>
            </w14:solidFill>
          </w14:textFill>
        </w:rPr>
        <w:t>现金或咨询人认可的单位出具的履约保函，</w:t>
      </w:r>
      <w:r>
        <w:rPr>
          <w:rFonts w:hint="eastAsia" w:asciiTheme="minorEastAsia" w:hAnsiTheme="minorEastAsia"/>
          <w:color w:val="000000" w:themeColor="text1"/>
          <w:sz w:val="24"/>
          <w:szCs w:val="24"/>
          <w:highlight w:val="none"/>
          <w14:textFill>
            <w14:solidFill>
              <w14:schemeClr w14:val="tx1"/>
            </w14:solidFill>
          </w14:textFill>
        </w:rPr>
        <w:t>中标通知书发出后10日内，签订合同之前，逾期未提供，委托人有权终止双方的合同关系，一切责任由咨询人承担；退还约定为工程办理完结算、且咨询人无违约的情形下60日内一次性解保或无息退还</w:t>
      </w:r>
      <w:r>
        <w:rPr>
          <w:rFonts w:hint="eastAsia" w:asciiTheme="minorEastAsia" w:hAnsiTheme="minorEastAsia"/>
          <w:color w:val="000000" w:themeColor="text1"/>
          <w:sz w:val="24"/>
          <w:szCs w:val="24"/>
          <w:highlight w:val="none"/>
          <w14:textFill>
            <w14:solidFill>
              <w14:schemeClr w14:val="tx1"/>
            </w14:solidFill>
          </w14:textFill>
        </w:rPr>
        <w:t>。</w:t>
      </w:r>
    </w:p>
    <w:p>
      <w:pPr>
        <w:pStyle w:val="4"/>
        <w:ind w:firstLine="723"/>
        <w:rPr>
          <w:color w:val="000000" w:themeColor="text1"/>
          <w:highlight w:val="none"/>
          <w14:textFill>
            <w14:solidFill>
              <w14:schemeClr w14:val="tx1"/>
            </w14:solidFill>
          </w14:textFill>
        </w:rPr>
      </w:pPr>
    </w:p>
    <w:p>
      <w:pPr>
        <w:jc w:val="center"/>
        <w:outlineLvl w:val="0"/>
        <w:rPr>
          <w:color w:val="000000" w:themeColor="text1"/>
          <w:highlight w:val="none"/>
          <w14:textFill>
            <w14:solidFill>
              <w14:schemeClr w14:val="tx1"/>
            </w14:solidFill>
          </w14:textFill>
        </w:rPr>
      </w:pPr>
    </w:p>
    <w:p>
      <w:pPr>
        <w:jc w:val="center"/>
        <w:outlineLvl w:val="0"/>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jc w:val="center"/>
        <w:outlineLvl w:val="0"/>
        <w:rPr>
          <w:color w:val="000000" w:themeColor="text1"/>
          <w:highlight w:val="none"/>
          <w14:textFill>
            <w14:solidFill>
              <w14:schemeClr w14:val="tx1"/>
            </w14:solidFill>
          </w14:textFill>
        </w:rPr>
      </w:pPr>
    </w:p>
    <w:p>
      <w:pPr>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附录 A 咨询人人员配置一览表</w:t>
      </w:r>
      <w:bookmarkEnd w:id="762"/>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525"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48"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1359"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2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63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14:textFill>
                  <w14:solidFill>
                    <w14:schemeClr w14:val="tx1"/>
                  </w14:solidFill>
                </w14:textFill>
              </w:rPr>
            </w:pPr>
          </w:p>
        </w:tc>
        <w:tc>
          <w:tcPr>
            <w:tcW w:w="1525" w:type="dxa"/>
            <w:vAlign w:val="center"/>
          </w:tcPr>
          <w:p>
            <w:pPr>
              <w:jc w:val="center"/>
              <w:rPr>
                <w:color w:val="000000" w:themeColor="text1"/>
                <w:highlight w:val="none"/>
                <w14:textFill>
                  <w14:solidFill>
                    <w14:schemeClr w14:val="tx1"/>
                  </w14:solidFill>
                </w14:textFill>
              </w:rPr>
            </w:pPr>
          </w:p>
        </w:tc>
        <w:tc>
          <w:tcPr>
            <w:tcW w:w="1348" w:type="dxa"/>
          </w:tcPr>
          <w:p>
            <w:pPr>
              <w:jc w:val="center"/>
              <w:rPr>
                <w:color w:val="000000" w:themeColor="text1"/>
                <w:highlight w:val="none"/>
                <w14:textFill>
                  <w14:solidFill>
                    <w14:schemeClr w14:val="tx1"/>
                  </w14:solidFill>
                </w14:textFill>
              </w:rPr>
            </w:pPr>
          </w:p>
        </w:tc>
        <w:tc>
          <w:tcPr>
            <w:tcW w:w="1359" w:type="dxa"/>
            <w:vAlign w:val="center"/>
          </w:tcPr>
          <w:p>
            <w:pPr>
              <w:jc w:val="center"/>
              <w:rPr>
                <w:color w:val="000000" w:themeColor="text1"/>
                <w:sz w:val="24"/>
                <w:szCs w:val="24"/>
                <w:highlight w:val="none"/>
                <w14:textFill>
                  <w14:solidFill>
                    <w14:schemeClr w14:val="tx1"/>
                  </w14:solidFill>
                </w14:textFill>
              </w:rPr>
            </w:pPr>
          </w:p>
        </w:tc>
        <w:tc>
          <w:tcPr>
            <w:tcW w:w="1623" w:type="dxa"/>
            <w:vAlign w:val="center"/>
          </w:tcPr>
          <w:p>
            <w:pPr>
              <w:jc w:val="center"/>
              <w:rPr>
                <w:color w:val="000000" w:themeColor="text1"/>
                <w:highlight w:val="none"/>
                <w14:textFill>
                  <w14:solidFill>
                    <w14:schemeClr w14:val="tx1"/>
                  </w14:solidFill>
                </w14:textFill>
              </w:rPr>
            </w:pPr>
          </w:p>
        </w:tc>
        <w:tc>
          <w:tcPr>
            <w:tcW w:w="163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14:textFill>
                  <w14:solidFill>
                    <w14:schemeClr w14:val="tx1"/>
                  </w14:solidFill>
                </w14:textFill>
              </w:rPr>
            </w:pPr>
          </w:p>
        </w:tc>
        <w:tc>
          <w:tcPr>
            <w:tcW w:w="1525" w:type="dxa"/>
            <w:vAlign w:val="center"/>
          </w:tcPr>
          <w:p>
            <w:pPr>
              <w:jc w:val="center"/>
              <w:rPr>
                <w:color w:val="000000" w:themeColor="text1"/>
                <w:highlight w:val="none"/>
                <w14:textFill>
                  <w14:solidFill>
                    <w14:schemeClr w14:val="tx1"/>
                  </w14:solidFill>
                </w14:textFill>
              </w:rPr>
            </w:pPr>
          </w:p>
        </w:tc>
        <w:tc>
          <w:tcPr>
            <w:tcW w:w="1348" w:type="dxa"/>
          </w:tcPr>
          <w:p>
            <w:pPr>
              <w:jc w:val="center"/>
              <w:rPr>
                <w:color w:val="000000" w:themeColor="text1"/>
                <w:highlight w:val="none"/>
                <w14:textFill>
                  <w14:solidFill>
                    <w14:schemeClr w14:val="tx1"/>
                  </w14:solidFill>
                </w14:textFill>
              </w:rPr>
            </w:pPr>
          </w:p>
        </w:tc>
        <w:tc>
          <w:tcPr>
            <w:tcW w:w="1359" w:type="dxa"/>
            <w:vAlign w:val="center"/>
          </w:tcPr>
          <w:p>
            <w:pPr>
              <w:jc w:val="center"/>
              <w:rPr>
                <w:color w:val="000000" w:themeColor="text1"/>
                <w:sz w:val="24"/>
                <w:szCs w:val="24"/>
                <w:highlight w:val="none"/>
                <w14:textFill>
                  <w14:solidFill>
                    <w14:schemeClr w14:val="tx1"/>
                  </w14:solidFill>
                </w14:textFill>
              </w:rPr>
            </w:pPr>
          </w:p>
        </w:tc>
        <w:tc>
          <w:tcPr>
            <w:tcW w:w="1623" w:type="dxa"/>
            <w:vAlign w:val="center"/>
          </w:tcPr>
          <w:p>
            <w:pPr>
              <w:jc w:val="center"/>
              <w:rPr>
                <w:color w:val="000000" w:themeColor="text1"/>
                <w:highlight w:val="none"/>
                <w14:textFill>
                  <w14:solidFill>
                    <w14:schemeClr w14:val="tx1"/>
                  </w14:solidFill>
                </w14:textFill>
              </w:rPr>
            </w:pPr>
          </w:p>
        </w:tc>
        <w:tc>
          <w:tcPr>
            <w:tcW w:w="163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pPr>
              <w:jc w:val="center"/>
              <w:rPr>
                <w:color w:val="000000" w:themeColor="text1"/>
                <w:sz w:val="24"/>
                <w:szCs w:val="24"/>
                <w:highlight w:val="none"/>
                <w14:textFill>
                  <w14:solidFill>
                    <w14:schemeClr w14:val="tx1"/>
                  </w14:solidFill>
                </w14:textFill>
              </w:rPr>
            </w:pPr>
          </w:p>
        </w:tc>
        <w:tc>
          <w:tcPr>
            <w:tcW w:w="1525" w:type="dxa"/>
            <w:vAlign w:val="center"/>
          </w:tcPr>
          <w:p>
            <w:pPr>
              <w:jc w:val="center"/>
              <w:rPr>
                <w:color w:val="000000" w:themeColor="text1"/>
                <w:highlight w:val="none"/>
                <w14:textFill>
                  <w14:solidFill>
                    <w14:schemeClr w14:val="tx1"/>
                  </w14:solidFill>
                </w14:textFill>
              </w:rPr>
            </w:pPr>
          </w:p>
        </w:tc>
        <w:tc>
          <w:tcPr>
            <w:tcW w:w="1348" w:type="dxa"/>
          </w:tcPr>
          <w:p>
            <w:pPr>
              <w:jc w:val="center"/>
              <w:rPr>
                <w:color w:val="000000" w:themeColor="text1"/>
                <w:highlight w:val="none"/>
                <w14:textFill>
                  <w14:solidFill>
                    <w14:schemeClr w14:val="tx1"/>
                  </w14:solidFill>
                </w14:textFill>
              </w:rPr>
            </w:pPr>
          </w:p>
        </w:tc>
        <w:tc>
          <w:tcPr>
            <w:tcW w:w="1359" w:type="dxa"/>
            <w:vAlign w:val="center"/>
          </w:tcPr>
          <w:p>
            <w:pPr>
              <w:jc w:val="center"/>
              <w:rPr>
                <w:color w:val="000000" w:themeColor="text1"/>
                <w:sz w:val="24"/>
                <w:szCs w:val="24"/>
                <w:highlight w:val="none"/>
                <w14:textFill>
                  <w14:solidFill>
                    <w14:schemeClr w14:val="tx1"/>
                  </w14:solidFill>
                </w14:textFill>
              </w:rPr>
            </w:pPr>
          </w:p>
        </w:tc>
        <w:tc>
          <w:tcPr>
            <w:tcW w:w="1623" w:type="dxa"/>
            <w:vAlign w:val="center"/>
          </w:tcPr>
          <w:p>
            <w:pPr>
              <w:jc w:val="center"/>
              <w:rPr>
                <w:color w:val="000000" w:themeColor="text1"/>
                <w:highlight w:val="none"/>
                <w14:textFill>
                  <w14:solidFill>
                    <w14:schemeClr w14:val="tx1"/>
                  </w14:solidFill>
                </w14:textFill>
              </w:rPr>
            </w:pPr>
          </w:p>
        </w:tc>
        <w:tc>
          <w:tcPr>
            <w:tcW w:w="163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highlight w:val="none"/>
                <w14:textFill>
                  <w14:solidFill>
                    <w14:schemeClr w14:val="tx1"/>
                  </w14:solidFill>
                </w14:textFill>
              </w:rPr>
            </w:pPr>
          </w:p>
        </w:tc>
        <w:tc>
          <w:tcPr>
            <w:tcW w:w="1525" w:type="dxa"/>
          </w:tcPr>
          <w:p>
            <w:pPr>
              <w:jc w:val="center"/>
              <w:rPr>
                <w:color w:val="000000" w:themeColor="text1"/>
                <w:highlight w:val="none"/>
                <w14:textFill>
                  <w14:solidFill>
                    <w14:schemeClr w14:val="tx1"/>
                  </w14:solidFill>
                </w14:textFill>
              </w:rPr>
            </w:pPr>
          </w:p>
        </w:tc>
        <w:tc>
          <w:tcPr>
            <w:tcW w:w="1348" w:type="dxa"/>
          </w:tcPr>
          <w:p>
            <w:pPr>
              <w:jc w:val="center"/>
              <w:rPr>
                <w:color w:val="000000" w:themeColor="text1"/>
                <w:highlight w:val="none"/>
                <w14:textFill>
                  <w14:solidFill>
                    <w14:schemeClr w14:val="tx1"/>
                  </w14:solidFill>
                </w14:textFill>
              </w:rPr>
            </w:pPr>
          </w:p>
        </w:tc>
        <w:tc>
          <w:tcPr>
            <w:tcW w:w="1359" w:type="dxa"/>
          </w:tcPr>
          <w:p>
            <w:pPr>
              <w:jc w:val="center"/>
              <w:rPr>
                <w:color w:val="000000" w:themeColor="text1"/>
                <w:highlight w:val="none"/>
                <w14:textFill>
                  <w14:solidFill>
                    <w14:schemeClr w14:val="tx1"/>
                  </w14:solidFill>
                </w14:textFill>
              </w:rPr>
            </w:pPr>
          </w:p>
        </w:tc>
        <w:tc>
          <w:tcPr>
            <w:tcW w:w="1623" w:type="dxa"/>
          </w:tcPr>
          <w:p>
            <w:pPr>
              <w:jc w:val="center"/>
              <w:rPr>
                <w:color w:val="000000" w:themeColor="text1"/>
                <w:highlight w:val="none"/>
                <w14:textFill>
                  <w14:solidFill>
                    <w14:schemeClr w14:val="tx1"/>
                  </w14:solidFill>
                </w14:textFill>
              </w:rPr>
            </w:pPr>
          </w:p>
        </w:tc>
        <w:tc>
          <w:tcPr>
            <w:tcW w:w="163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pPr>
              <w:jc w:val="center"/>
              <w:rPr>
                <w:color w:val="000000" w:themeColor="text1"/>
                <w:highlight w:val="none"/>
                <w14:textFill>
                  <w14:solidFill>
                    <w14:schemeClr w14:val="tx1"/>
                  </w14:solidFill>
                </w14:textFill>
              </w:rPr>
            </w:pPr>
          </w:p>
        </w:tc>
        <w:tc>
          <w:tcPr>
            <w:tcW w:w="1525" w:type="dxa"/>
          </w:tcPr>
          <w:p>
            <w:pPr>
              <w:jc w:val="center"/>
              <w:rPr>
                <w:color w:val="000000" w:themeColor="text1"/>
                <w:highlight w:val="none"/>
                <w14:textFill>
                  <w14:solidFill>
                    <w14:schemeClr w14:val="tx1"/>
                  </w14:solidFill>
                </w14:textFill>
              </w:rPr>
            </w:pPr>
          </w:p>
        </w:tc>
        <w:tc>
          <w:tcPr>
            <w:tcW w:w="1348" w:type="dxa"/>
          </w:tcPr>
          <w:p>
            <w:pPr>
              <w:jc w:val="center"/>
              <w:rPr>
                <w:color w:val="000000" w:themeColor="text1"/>
                <w:highlight w:val="none"/>
                <w14:textFill>
                  <w14:solidFill>
                    <w14:schemeClr w14:val="tx1"/>
                  </w14:solidFill>
                </w14:textFill>
              </w:rPr>
            </w:pPr>
          </w:p>
        </w:tc>
        <w:tc>
          <w:tcPr>
            <w:tcW w:w="1359" w:type="dxa"/>
          </w:tcPr>
          <w:p>
            <w:pPr>
              <w:jc w:val="center"/>
              <w:rPr>
                <w:color w:val="000000" w:themeColor="text1"/>
                <w:highlight w:val="none"/>
                <w14:textFill>
                  <w14:solidFill>
                    <w14:schemeClr w14:val="tx1"/>
                  </w14:solidFill>
                </w14:textFill>
              </w:rPr>
            </w:pPr>
          </w:p>
        </w:tc>
        <w:tc>
          <w:tcPr>
            <w:tcW w:w="1623" w:type="dxa"/>
          </w:tcPr>
          <w:p>
            <w:pPr>
              <w:jc w:val="center"/>
              <w:rPr>
                <w:color w:val="000000" w:themeColor="text1"/>
                <w:highlight w:val="none"/>
                <w14:textFill>
                  <w14:solidFill>
                    <w14:schemeClr w14:val="tx1"/>
                  </w14:solidFill>
                </w14:textFill>
              </w:rPr>
            </w:pPr>
          </w:p>
        </w:tc>
        <w:tc>
          <w:tcPr>
            <w:tcW w:w="1633" w:type="dxa"/>
          </w:tcPr>
          <w:p>
            <w:pPr>
              <w:jc w:val="center"/>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pPr>
        <w:jc w:val="center"/>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jc w:val="center"/>
        <w:rPr>
          <w:color w:val="000000" w:themeColor="text1"/>
          <w:highlight w:val="none"/>
          <w14:textFill>
            <w14:solidFill>
              <w14:schemeClr w14:val="tx1"/>
            </w14:solidFill>
          </w14:textFill>
        </w:rPr>
      </w:pPr>
    </w:p>
    <w:p>
      <w:pPr>
        <w:jc w:val="center"/>
        <w:outlineLvl w:val="0"/>
        <w:rPr>
          <w:color w:val="000000" w:themeColor="text1"/>
          <w:highlight w:val="none"/>
          <w14:textFill>
            <w14:solidFill>
              <w14:schemeClr w14:val="tx1"/>
            </w14:solidFill>
          </w14:textFill>
        </w:rPr>
      </w:pPr>
      <w:bookmarkStart w:id="763" w:name="_Toc76398717"/>
      <w:r>
        <w:rPr>
          <w:rFonts w:hint="eastAsia"/>
          <w:color w:val="000000" w:themeColor="text1"/>
          <w:highlight w:val="none"/>
          <w14:textFill>
            <w14:solidFill>
              <w14:schemeClr w14:val="tx1"/>
            </w14:solidFill>
          </w14:textFill>
        </w:rPr>
        <w:t>附录 B 咨询人提交成果文件一览表</w:t>
      </w:r>
      <w:bookmarkEnd w:id="763"/>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实施阶段</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项目开工前</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收方签证单</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收方单、签证单</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施工单位提交收方签证单之日起三日内</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施工单位提交认质核价单之日起七日内</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变更核算</w:t>
            </w:r>
          </w:p>
        </w:tc>
        <w:tc>
          <w:tcPr>
            <w:tcW w:w="1483" w:type="dxa"/>
            <w:vAlign w:val="center"/>
          </w:tcPr>
          <w:p>
            <w:pP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预算书</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施工单位提交变更预算书之日起七日内</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进度款支付情况表</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进度款审批表及附件</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施工单位提交进度款支付申请之日起七日内</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每月28号</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竣工阶段</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竣工结算报告、结算书、营业执照、造价资质证书</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施工单位提交竣工结算资料之日起14日内</w:t>
            </w: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pPr>
              <w:jc w:val="center"/>
              <w:rPr>
                <w:rFonts w:asciiTheme="minorEastAsia" w:hAnsiTheme="minorEastAsia"/>
                <w:color w:val="000000" w:themeColor="text1"/>
                <w:szCs w:val="2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其他服务</w:t>
            </w: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c>
          <w:tcPr>
            <w:tcW w:w="1483" w:type="dxa"/>
          </w:tcPr>
          <w:p>
            <w:pPr>
              <w:jc w:val="center"/>
              <w:rPr>
                <w:color w:val="000000" w:themeColor="text1"/>
                <w:highlight w:val="none"/>
                <w14:textFill>
                  <w14:solidFill>
                    <w14:schemeClr w14:val="tx1"/>
                  </w14:solidFill>
                </w14:textFill>
              </w:rPr>
            </w:pPr>
          </w:p>
        </w:tc>
      </w:tr>
    </w:tbl>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jc w:val="center"/>
        <w:rPr>
          <w:color w:val="000000" w:themeColor="text1"/>
          <w:highlight w:val="none"/>
          <w14:textFill>
            <w14:solidFill>
              <w14:schemeClr w14:val="tx1"/>
            </w14:solidFill>
          </w14:textFill>
        </w:rPr>
      </w:pPr>
    </w:p>
    <w:p>
      <w:pPr>
        <w:jc w:val="center"/>
        <w:outlineLvl w:val="0"/>
        <w:rPr>
          <w:color w:val="000000" w:themeColor="text1"/>
          <w:highlight w:val="none"/>
          <w14:textFill>
            <w14:solidFill>
              <w14:schemeClr w14:val="tx1"/>
            </w14:solidFill>
          </w14:textFill>
        </w:rPr>
      </w:pPr>
      <w:bookmarkStart w:id="764" w:name="_Toc76398718"/>
      <w:r>
        <w:rPr>
          <w:rFonts w:hint="eastAsia"/>
          <w:color w:val="000000" w:themeColor="text1"/>
          <w:highlight w:val="none"/>
          <w14:textFill>
            <w14:solidFill>
              <w14:schemeClr w14:val="tx1"/>
            </w14:solidFill>
          </w14:textFill>
        </w:rPr>
        <w:t>附录 C委托人提供资料一览表</w:t>
      </w:r>
      <w:bookmarkEnd w:id="764"/>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2189"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2189"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2189" w:type="dxa"/>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vAlign w:val="center"/>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c>
          <w:tcPr>
            <w:tcW w:w="2189" w:type="dxa"/>
          </w:tcPr>
          <w:p>
            <w:pPr>
              <w:jc w:val="center"/>
              <w:rPr>
                <w:color w:val="000000" w:themeColor="text1"/>
                <w:highlight w:val="none"/>
                <w14:textFill>
                  <w14:solidFill>
                    <w14:schemeClr w14:val="tx1"/>
                  </w14:solidFill>
                </w14:textFill>
              </w:rPr>
            </w:pPr>
          </w:p>
        </w:tc>
      </w:tr>
    </w:tbl>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spacing w:line="360" w:lineRule="auto"/>
        <w:ind w:firstLine="643"/>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pPr>
        <w:pStyle w:val="4"/>
        <w:ind w:firstLine="723"/>
        <w:rPr>
          <w:color w:val="000000" w:themeColor="text1"/>
          <w:highlight w:val="none"/>
          <w14:textFill>
            <w14:solidFill>
              <w14:schemeClr w14:val="tx1"/>
            </w14:solidFill>
          </w14:textFill>
        </w:rPr>
      </w:pP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pPr>
        <w:pStyle w:val="4"/>
        <w:ind w:firstLine="72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pPr>
        <w:jc w:val="center"/>
        <w:rPr>
          <w:color w:val="000000" w:themeColor="text1"/>
          <w:highlight w:val="none"/>
          <w14:textFill>
            <w14:solidFill>
              <w14:schemeClr w14:val="tx1"/>
            </w14:solidFill>
          </w14:textFill>
        </w:rPr>
      </w:pPr>
    </w:p>
    <w:p>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p>
    <w:p>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widowControl/>
        <w:ind w:firstLine="720"/>
        <w:jc w:val="center"/>
        <w:rPr>
          <w:rFonts w:asciiTheme="minorEastAsia" w:hAnsiTheme="minorEastAsia"/>
          <w:color w:val="000000" w:themeColor="text1"/>
          <w:sz w:val="36"/>
          <w:szCs w:val="36"/>
          <w:highlight w:val="none"/>
          <w14:textFill>
            <w14:solidFill>
              <w14:schemeClr w14:val="tx1"/>
            </w14:solidFill>
          </w14:textFill>
        </w:rPr>
      </w:pPr>
      <w:r>
        <w:rPr>
          <w:rFonts w:hint="eastAsia" w:asciiTheme="minorEastAsia" w:hAnsiTheme="minorEastAsia"/>
          <w:color w:val="000000" w:themeColor="text1"/>
          <w:sz w:val="36"/>
          <w:szCs w:val="36"/>
          <w:highlight w:val="none"/>
          <w14:textFill>
            <w14:solidFill>
              <w14:schemeClr w14:val="tx1"/>
            </w14:solidFill>
          </w14:textFill>
        </w:rPr>
        <w:t>质量标准</w:t>
      </w:r>
    </w:p>
    <w:p>
      <w:pPr>
        <w:widowControl/>
        <w:jc w:val="left"/>
        <w:rPr>
          <w:rFonts w:asciiTheme="minorEastAsia" w:hAnsiTheme="minorEastAsia"/>
          <w:color w:val="000000" w:themeColor="text1"/>
          <w:szCs w:val="21"/>
          <w:highlight w:val="none"/>
          <w14:textFill>
            <w14:solidFill>
              <w14:schemeClr w14:val="tx1"/>
            </w14:solidFill>
          </w14:textFill>
        </w:rPr>
      </w:pP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《建设工程造价鉴定规程》CECA/GC 8-2012</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4-2009）实施手册2021-12-11</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《建设项目工程结算编审规程》CECA/GC3-2007</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w:t>
      </w:r>
      <w:r>
        <w:rPr>
          <w:color w:val="000000" w:themeColor="text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3-2010</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《建设工程造价咨询成果文件质量标准》CECA/GC7-2012</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建设项目投资估算编审规程CECA/GC1-2007</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4-2009）实施手册《建设项目工程结算编审规程》CECA/GC3-20072021-12-11</w:t>
      </w:r>
    </w:p>
    <w:p>
      <w:pPr>
        <w:widowControl/>
        <w:ind w:firstLine="720"/>
        <w:jc w:val="left"/>
        <w:rPr>
          <w:rFonts w:ascii="宋体" w:hAnsi="宋体"/>
          <w:color w:val="000000" w:themeColor="text1"/>
          <w:szCs w:val="21"/>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rPr>
          <w:rFonts w:ascii="宋体" w:hAnsi="宋体"/>
          <w:color w:val="000000" w:themeColor="text1"/>
          <w:highlight w:val="none"/>
          <w14:textFill>
            <w14:solidFill>
              <w14:schemeClr w14:val="tx1"/>
            </w14:solidFill>
          </w14:textFill>
        </w:rPr>
      </w:pPr>
    </w:p>
    <w:p>
      <w:pPr>
        <w:widowControl/>
        <w:jc w:val="left"/>
        <w:rPr>
          <w:rFonts w:ascii="宋体" w:hAnsi="宋体"/>
          <w:color w:val="000000" w:themeColor="text1"/>
          <w:szCs w:val="22"/>
          <w:highlight w:val="none"/>
          <w14:textFill>
            <w14:solidFill>
              <w14:schemeClr w14:val="tx1"/>
            </w14:solidFill>
          </w14:textFill>
        </w:rPr>
      </w:pPr>
    </w:p>
    <w:p>
      <w:pPr>
        <w:pStyle w:val="2"/>
        <w:numPr>
          <w:ilvl w:val="0"/>
          <w:numId w:val="1"/>
        </w:num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发包人要求</w:t>
      </w:r>
      <w:bookmarkEnd w:id="668"/>
      <w:bookmarkEnd w:id="669"/>
      <w:bookmarkEnd w:id="670"/>
    </w:p>
    <w:p>
      <w:pPr>
        <w:jc w:val="center"/>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8"/>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bookmarkEnd w:id="671"/>
    <w:bookmarkEnd w:id="672"/>
    <w:p>
      <w:pPr>
        <w:spacing w:line="360" w:lineRule="auto"/>
        <w:ind w:firstLine="1050" w:firstLineChars="500"/>
        <w:rPr>
          <w:rFonts w:ascii="宋体" w:hAnsi="宋体" w:cs="宋体"/>
          <w:color w:val="000000" w:themeColor="text1"/>
          <w:highlight w:val="none"/>
          <w14:textFill>
            <w14:solidFill>
              <w14:schemeClr w14:val="tx1"/>
            </w14:solidFill>
          </w14:textFill>
        </w:rPr>
      </w:pPr>
      <w:bookmarkStart w:id="765" w:name="_Toc430530528"/>
      <w:bookmarkStart w:id="766" w:name="_Toc287607865"/>
      <w:bookmarkStart w:id="767" w:name="_Toc14772"/>
      <w:bookmarkStart w:id="768" w:name="_Toc287620812"/>
      <w:bookmarkStart w:id="769" w:name="_Toc534185829"/>
      <w:bookmarkStart w:id="770" w:name="_Toc5129"/>
      <w:bookmarkStart w:id="771" w:name="_Toc509218852"/>
    </w:p>
    <w:p>
      <w:pPr>
        <w:pStyle w:val="2"/>
        <w:spacing w:line="360" w:lineRule="auto"/>
        <w:ind w:firstLine="2209"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65"/>
      <w:bookmarkEnd w:id="766"/>
      <w:bookmarkEnd w:id="767"/>
      <w:bookmarkEnd w:id="768"/>
      <w:bookmarkEnd w:id="769"/>
      <w:bookmarkEnd w:id="770"/>
      <w:bookmarkEnd w:id="771"/>
    </w:p>
    <w:p>
      <w:pPr>
        <w:spacing w:line="360" w:lineRule="auto"/>
        <w:rPr>
          <w:rFonts w:ascii="宋体" w:hAnsi="宋体" w:cs="宋体"/>
          <w:color w:val="000000" w:themeColor="text1"/>
          <w:sz w:val="32"/>
          <w:szCs w:val="32"/>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19"/>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8"/>
        <w:rPr>
          <w:rFonts w:ascii="宋体" w:hAnsi="宋体" w:cs="宋体"/>
          <w:color w:val="000000" w:themeColor="text1"/>
          <w:sz w:val="36"/>
          <w:szCs w:val="36"/>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pPr>
        <w:spacing w:line="360" w:lineRule="auto"/>
        <w:jc w:val="center"/>
        <w:outlineLvl w:val="1"/>
        <w:rPr>
          <w:rFonts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pict>
          <v:rect id="_x0000_s1026" o:spid="_x0000_s1026" o:spt="1" style="position:absolute;left:0pt;margin-left:186.25pt;margin-top:666.6pt;height:54.6pt;width:63.6pt;z-index:251659264;mso-width-relative:page;mso-height-relative:page;"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path/>
            <v:fill focussize="0,0"/>
            <v:stroke on="f"/>
            <v:imagedata o:title=""/>
            <o:lock v:ext="edit"/>
            <v:textbox>
              <w:txbxContent>
                <w:p/>
              </w:txbxContent>
            </v:textbox>
          </v:rect>
        </w:pict>
      </w:r>
      <w:bookmarkStart w:id="772" w:name="_Toc224103493"/>
      <w:r>
        <w:rPr>
          <w:rFonts w:hint="eastAsia" w:ascii="宋体" w:hAnsi="宋体" w:cs="宋体"/>
          <w:color w:val="000000" w:themeColor="text1"/>
          <w:sz w:val="36"/>
          <w:szCs w:val="36"/>
          <w:highlight w:val="none"/>
          <w14:textFill>
            <w14:solidFill>
              <w14:schemeClr w14:val="tx1"/>
            </w14:solidFill>
          </w14:textFill>
        </w:rPr>
        <w:t>目  录</w:t>
      </w:r>
      <w:bookmarkEnd w:id="772"/>
    </w:p>
    <w:p>
      <w:pPr>
        <w:pStyle w:val="8"/>
        <w:rPr>
          <w:rFonts w:ascii="宋体" w:hAnsi="宋体"/>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pPr>
        <w:spacing w:line="360" w:lineRule="auto"/>
        <w:rPr>
          <w:rFonts w:ascii="宋体" w:hAnsi="宋体" w:cs="宋体"/>
          <w:b/>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kern w:val="0"/>
          <w:sz w:val="24"/>
          <w:highlight w:val="none"/>
          <w14:textFill>
            <w14:solidFill>
              <w14:schemeClr w14:val="tx1"/>
            </w14:solidFill>
          </w14:textFill>
        </w:rPr>
      </w:pPr>
      <w:bookmarkStart w:id="773" w:name="_Toc6306"/>
      <w:bookmarkStart w:id="774" w:name="_Toc534185830"/>
      <w:bookmarkStart w:id="775" w:name="_Toc509218853"/>
      <w:bookmarkStart w:id="776" w:name="_Toc15801"/>
      <w:bookmarkStart w:id="777" w:name="_Toc27983320"/>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p>
      <w:pPr>
        <w:spacing w:line="360" w:lineRule="auto"/>
        <w:jc w:val="center"/>
        <w:rPr>
          <w:rFonts w:ascii="宋体" w:hAnsi="宋体"/>
          <w:color w:val="000000" w:themeColor="text1"/>
          <w:sz w:val="44"/>
          <w:szCs w:val="44"/>
          <w:highlight w:val="none"/>
          <w14:textFill>
            <w14:solidFill>
              <w14:schemeClr w14:val="tx1"/>
            </w14:solidFill>
          </w14:textFill>
        </w:rPr>
      </w:pPr>
    </w:p>
    <w:bookmarkEnd w:id="773"/>
    <w:bookmarkEnd w:id="774"/>
    <w:bookmarkEnd w:id="775"/>
    <w:bookmarkEnd w:id="776"/>
    <w:bookmarkEnd w:id="777"/>
    <w:p>
      <w:pPr>
        <w:spacing w:line="360" w:lineRule="auto"/>
        <w:jc w:val="center"/>
        <w:rPr>
          <w:rFonts w:ascii="宋体" w:hAnsi="宋体" w:cs="宋体"/>
          <w:color w:val="000000" w:themeColor="text1"/>
          <w:sz w:val="44"/>
          <w:szCs w:val="44"/>
          <w:highlight w:val="none"/>
          <w14:textFill>
            <w14:solidFill>
              <w14:schemeClr w14:val="tx1"/>
            </w14:solidFill>
          </w14:textFill>
        </w:rPr>
      </w:pPr>
      <w:bookmarkStart w:id="778" w:name="_Toc287620821"/>
      <w:bookmarkStart w:id="779" w:name="_Toc287607874"/>
      <w:bookmarkStart w:id="780" w:name="_Toc430530536"/>
      <w:bookmarkStart w:id="781" w:name="_Toc28457"/>
      <w:bookmarkStart w:id="782" w:name="_Toc15678"/>
      <w:bookmarkStart w:id="783" w:name="_Toc224103502"/>
      <w:bookmarkStart w:id="784" w:name="_Toc3391"/>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p>
    <w:bookmarkEnd w:id="673"/>
    <w:bookmarkEnd w:id="674"/>
    <w:bookmarkEnd w:id="675"/>
    <w:bookmarkEnd w:id="778"/>
    <w:bookmarkEnd w:id="779"/>
    <w:bookmarkEnd w:id="780"/>
    <w:bookmarkEnd w:id="781"/>
    <w:bookmarkEnd w:id="782"/>
    <w:bookmarkEnd w:id="783"/>
    <w:bookmarkEnd w:id="784"/>
    <w:p>
      <w:pPr>
        <w:jc w:val="center"/>
        <w:outlineLvl w:val="1"/>
        <w:rPr>
          <w:rFonts w:ascii="宋体" w:hAnsi="宋体"/>
          <w:b/>
          <w:color w:val="000000" w:themeColor="text1"/>
          <w:sz w:val="44"/>
          <w:szCs w:val="44"/>
          <w:highlight w:val="none"/>
          <w14:textFill>
            <w14:solidFill>
              <w14:schemeClr w14:val="tx1"/>
            </w14:solidFill>
          </w14:textFill>
        </w:rPr>
      </w:pPr>
      <w:bookmarkStart w:id="785" w:name="_Toc27983321"/>
    </w:p>
    <w:p>
      <w:pPr>
        <w:jc w:val="center"/>
        <w:outlineLvl w:val="1"/>
        <w:rPr>
          <w:rFonts w:ascii="宋体" w:hAnsi="宋体"/>
          <w:b/>
          <w:color w:val="000000" w:themeColor="text1"/>
          <w:sz w:val="44"/>
          <w:szCs w:val="44"/>
          <w:highlight w:val="none"/>
          <w14:textFill>
            <w14:solidFill>
              <w14:schemeClr w14:val="tx1"/>
            </w14:solidFill>
          </w14:textFill>
        </w:rPr>
      </w:pPr>
    </w:p>
    <w:p>
      <w:pPr>
        <w:jc w:val="center"/>
        <w:outlineLvl w:val="1"/>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85"/>
    </w:p>
    <w:p>
      <w:pPr>
        <w:pStyle w:val="8"/>
        <w:rPr>
          <w:rFonts w:ascii="宋体" w:hAnsi="宋体"/>
          <w:color w:val="000000" w:themeColor="text1"/>
          <w:highlight w:val="none"/>
          <w14:textFill>
            <w14:solidFill>
              <w14:schemeClr w14:val="tx1"/>
            </w14:solidFill>
          </w14:textFill>
        </w:rPr>
      </w:pPr>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pPr>
        <w:autoSpaceDE w:val="0"/>
        <w:autoSpaceDN w:val="0"/>
        <w:adjustRightInd w:val="0"/>
        <w:snapToGrid w:val="0"/>
        <w:spacing w:line="360" w:lineRule="auto"/>
        <w:ind w:firstLine="554"/>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ind w:firstLine="554"/>
        <w:jc w:val="center"/>
        <w:rPr>
          <w:rFonts w:ascii="宋体" w:hAnsi="宋体"/>
          <w:color w:val="000000" w:themeColor="text1"/>
          <w:kern w:val="0"/>
          <w:sz w:val="24"/>
          <w:szCs w:val="2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pPr>
        <w:autoSpaceDE w:val="0"/>
        <w:autoSpaceDN w:val="0"/>
        <w:adjustRightInd w:val="0"/>
        <w:snapToGrid w:val="0"/>
        <w:spacing w:line="360" w:lineRule="auto"/>
        <w:ind w:firstLine="554"/>
        <w:rPr>
          <w:rFonts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pPr>
        <w:autoSpaceDE w:val="0"/>
        <w:autoSpaceDN w:val="0"/>
        <w:adjustRightInd w:val="0"/>
        <w:snapToGrid w:val="0"/>
        <w:spacing w:line="480" w:lineRule="auto"/>
        <w:jc w:val="center"/>
        <w:rPr>
          <w:rFonts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pPr>
        <w:tabs>
          <w:tab w:val="left" w:pos="2640"/>
        </w:tabs>
        <w:autoSpaceDE w:val="0"/>
        <w:autoSpaceDN w:val="0"/>
        <w:adjustRightIn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pPr>
        <w:tabs>
          <w:tab w:val="left" w:pos="3495"/>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olor w:val="000000" w:themeColor="text1"/>
          <w:szCs w:val="21"/>
          <w:highlight w:val="none"/>
          <w14:textFill>
            <w14:solidFill>
              <w14:schemeClr w14:val="tx1"/>
            </w14:solidFill>
          </w14:textFill>
        </w:rPr>
        <w:t>工程量清单编制及组价</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工程量清单编制及组价</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 xml:space="preserve">    元</w:t>
      </w:r>
      <w:r>
        <w:rPr>
          <w:rFonts w:hint="eastAsia" w:ascii="宋体" w:hAnsi="宋体"/>
          <w:b/>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本项施工阶段工程造价全过程控制（全过程跟踪审计）</w:t>
      </w:r>
      <w:r>
        <w:rPr>
          <w:rFonts w:hint="eastAsia" w:ascii="宋体" w:hAnsi="宋体"/>
          <w:color w:val="000000" w:themeColor="text1"/>
          <w:szCs w:val="21"/>
          <w:highlight w:val="none"/>
          <w:lang w:val="en-US" w:eastAsia="zh-CN"/>
          <w14:textFill>
            <w14:solidFill>
              <w14:schemeClr w14:val="tx1"/>
            </w14:solidFill>
          </w14:textFill>
        </w:rPr>
        <w:t>固定</w:t>
      </w:r>
      <w:r>
        <w:rPr>
          <w:rFonts w:hint="eastAsia"/>
          <w:color w:val="000000" w:themeColor="text1"/>
          <w:highlight w:val="none"/>
          <w:lang w:val="en-US" w:eastAsia="zh-CN"/>
          <w14:textFill>
            <w14:solidFill>
              <w14:schemeClr w14:val="tx1"/>
            </w14:solidFill>
          </w14:textFill>
        </w:rPr>
        <w:t>费率</w:t>
      </w:r>
      <w:r>
        <w:rPr>
          <w:rFonts w:hint="eastAsia" w:ascii="宋体" w:hAnsi="宋体"/>
          <w:color w:val="000000" w:themeColor="text1"/>
          <w:szCs w:val="21"/>
          <w:highlight w:val="none"/>
          <w14:textFill>
            <w14:solidFill>
              <w14:schemeClr w14:val="tx1"/>
            </w14:solidFill>
          </w14:textFill>
        </w:rPr>
        <w:t>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工程造价全过程控制（全过程跟踪审计）</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 xml:space="preserve">    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pPr>
        <w:tabs>
          <w:tab w:val="left" w:pos="2445"/>
          <w:tab w:val="left" w:pos="3520"/>
          <w:tab w:val="left" w:pos="4920"/>
          <w:tab w:val="left" w:pos="6105"/>
          <w:tab w:val="left" w:pos="798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pPr>
        <w:tabs>
          <w:tab w:val="left" w:pos="2730"/>
          <w:tab w:val="left" w:pos="7350"/>
        </w:tabs>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pPr>
        <w:autoSpaceDE w:val="0"/>
        <w:autoSpaceDN w:val="0"/>
        <w:adjustRightInd w:val="0"/>
        <w:spacing w:line="360" w:lineRule="auto"/>
        <w:ind w:firstLine="420" w:firstLineChars="200"/>
        <w:rPr>
          <w:rFonts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pPr>
        <w:tabs>
          <w:tab w:val="left" w:pos="7140"/>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pPr>
        <w:tabs>
          <w:tab w:val="left" w:pos="7035"/>
          <w:tab w:val="left" w:pos="7560"/>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pPr>
        <w:tabs>
          <w:tab w:val="left" w:pos="8300"/>
        </w:tabs>
        <w:autoSpaceDE w:val="0"/>
        <w:autoSpaceDN w:val="0"/>
        <w:adjustRightInd w:val="0"/>
        <w:spacing w:line="360" w:lineRule="auto"/>
        <w:ind w:firstLine="3150" w:firstLineChars="15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pPr>
        <w:spacing w:line="360" w:lineRule="auto"/>
        <w:jc w:val="right"/>
        <w:rPr>
          <w:rFonts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pPr>
        <w:jc w:val="center"/>
        <w:rPr>
          <w:rFonts w:ascii="宋体" w:hAnsi="宋体" w:cs="宋体"/>
          <w:b/>
          <w:snapToGrid w:val="0"/>
          <w:color w:val="000000" w:themeColor="text1"/>
          <w:w w:val="99"/>
          <w:sz w:val="36"/>
          <w:szCs w:val="32"/>
          <w:highlight w:val="none"/>
          <w14:textFill>
            <w14:solidFill>
              <w14:schemeClr w14:val="tx1"/>
            </w14:solidFill>
          </w14:textFill>
        </w:rPr>
      </w:pPr>
    </w:p>
    <w:p>
      <w:pPr>
        <w:spacing w:line="360" w:lineRule="auto"/>
        <w:jc w:val="center"/>
        <w:rPr>
          <w:rFonts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pPr>
        <w:pStyle w:val="4"/>
        <w:jc w:val="center"/>
        <w:rPr>
          <w:rFonts w:ascii="宋体" w:hAnsi="宋体"/>
          <w:b w:val="0"/>
          <w:snapToGrid w:val="0"/>
          <w:color w:val="000000" w:themeColor="text1"/>
          <w:kern w:val="0"/>
          <w:sz w:val="30"/>
          <w:szCs w:val="30"/>
          <w:highlight w:val="none"/>
          <w14:textFill>
            <w14:solidFill>
              <w14:schemeClr w14:val="tx1"/>
            </w14:solidFill>
          </w14:textFill>
        </w:rPr>
      </w:pPr>
      <w:bookmarkStart w:id="786" w:name="_Toc8650"/>
      <w:bookmarkStart w:id="787" w:name="_Toc430530532"/>
      <w:bookmarkStart w:id="788" w:name="_Toc277082645"/>
      <w:bookmarkStart w:id="789" w:name="_Toc57905921"/>
      <w:bookmarkStart w:id="790" w:name="_Toc287607869"/>
      <w:bookmarkStart w:id="791" w:name="_Toc287620816"/>
      <w:bookmarkStart w:id="792" w:name="_Toc224103497"/>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6"/>
      <w:bookmarkEnd w:id="787"/>
      <w:bookmarkEnd w:id="788"/>
      <w:bookmarkEnd w:id="789"/>
      <w:bookmarkEnd w:id="790"/>
      <w:bookmarkEnd w:id="791"/>
      <w:bookmarkEnd w:id="792"/>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pPr>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jc w:val="center"/>
        <w:rPr>
          <w:rFonts w:ascii="宋体" w:hAnsi="宋体"/>
          <w:b/>
          <w:color w:val="000000" w:themeColor="text1"/>
          <w:sz w:val="44"/>
          <w:szCs w:val="44"/>
          <w:highlight w:val="none"/>
          <w14:textFill>
            <w14:solidFill>
              <w14:schemeClr w14:val="tx1"/>
            </w14:solidFill>
          </w14:textFill>
        </w:rPr>
      </w:pPr>
    </w:p>
    <w:p>
      <w:pPr>
        <w:jc w:val="center"/>
        <w:outlineLvl w:val="1"/>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rPr>
          <w:rFonts w:ascii="宋体" w:hAnsi="宋体"/>
          <w:b/>
          <w:color w:val="000000" w:themeColor="text1"/>
          <w:sz w:val="44"/>
          <w:szCs w:val="44"/>
          <w:highlight w:val="none"/>
          <w14:textFill>
            <w14:solidFill>
              <w14:schemeClr w14:val="tx1"/>
            </w14:solidFill>
          </w14:textFill>
        </w:rPr>
      </w:pPr>
    </w:p>
    <w:p>
      <w:pPr>
        <w:pStyle w:val="8"/>
        <w:rPr>
          <w:rFonts w:ascii="宋体" w:hAnsi="宋体"/>
          <w:b/>
          <w:color w:val="000000" w:themeColor="text1"/>
          <w:sz w:val="44"/>
          <w:szCs w:val="4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jc w:val="center"/>
        <w:outlineLvl w:val="1"/>
        <w:rPr>
          <w:rFonts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pPr>
        <w:jc w:val="center"/>
        <w:outlineLvl w:val="1"/>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pPr>
        <w:spacing w:line="480" w:lineRule="auto"/>
        <w:ind w:right="-152"/>
        <w:jc w:val="center"/>
        <w:rPr>
          <w:rFonts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djustRightInd w:val="0"/>
        <w:snapToGrid w:val="0"/>
        <w:spacing w:line="264"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pPr>
        <w:jc w:val="center"/>
        <w:rPr>
          <w:rFonts w:ascii="宋体" w:hAnsi="宋体" w:cs="宋体"/>
          <w:b/>
          <w:color w:val="000000" w:themeColor="text1"/>
          <w:kern w:val="0"/>
          <w:sz w:val="48"/>
          <w:szCs w:val="48"/>
          <w:highlight w:val="none"/>
          <w14:textFill>
            <w14:solidFill>
              <w14:schemeClr w14:val="tx1"/>
            </w14:solidFill>
          </w14:textFill>
        </w:rPr>
      </w:pPr>
    </w:p>
    <w:p>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pPr>
        <w:spacing w:line="360" w:lineRule="auto"/>
        <w:jc w:val="center"/>
        <w:rPr>
          <w:rFonts w:ascii="宋体" w:hAnsi="宋体"/>
          <w:b/>
          <w:color w:val="000000" w:themeColor="text1"/>
          <w:kern w:val="0"/>
          <w:sz w:val="32"/>
          <w:szCs w:val="32"/>
          <w:highlight w:val="none"/>
          <w14:textFill>
            <w14:solidFill>
              <w14:schemeClr w14:val="tx1"/>
            </w14:solidFill>
          </w14:textFill>
        </w:rPr>
      </w:pP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承诺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（六）其他资料</w:t>
      </w:r>
    </w:p>
    <w:p>
      <w:pPr>
        <w:pStyle w:val="8"/>
        <w:rPr>
          <w:rFonts w:ascii="宋体" w:hAnsi="宋体"/>
          <w:color w:val="000000" w:themeColor="text1"/>
          <w:highlight w:val="none"/>
          <w14:textFill>
            <w14:solidFill>
              <w14:schemeClr w14:val="tx1"/>
            </w14:solidFill>
          </w14:textFill>
        </w:rPr>
      </w:pPr>
    </w:p>
    <w:p>
      <w:pPr>
        <w:pStyle w:val="4"/>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93" w:name="_Toc5633"/>
      <w:bookmarkStart w:id="794" w:name="_Toc57905929"/>
      <w:bookmarkStart w:id="795" w:name="_Toc430530546"/>
      <w:bookmarkStart w:id="796" w:name="_Toc277082657"/>
      <w:bookmarkStart w:id="797" w:name="_Toc224103511"/>
      <w:bookmarkStart w:id="798" w:name="_Toc287620830"/>
      <w:bookmarkStart w:id="799" w:name="_Toc287607883"/>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93"/>
      <w:bookmarkEnd w:id="794"/>
    </w:p>
    <w:p>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pPr>
        <w:spacing w:line="480" w:lineRule="auto"/>
        <w:jc w:val="center"/>
        <w:rPr>
          <w:rFonts w:ascii="宋体" w:hAnsi="宋体"/>
          <w:color w:val="000000" w:themeColor="text1"/>
          <w:highlight w:val="none"/>
          <w14:textFill>
            <w14:solidFill>
              <w14:schemeClr w14:val="tx1"/>
            </w14:solidFill>
          </w14:textFill>
        </w:rPr>
      </w:pPr>
    </w:p>
    <w:p>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pStyle w:val="8"/>
        <w:spacing w:after="0" w:line="360" w:lineRule="auto"/>
        <w:rPr>
          <w:rFonts w:ascii="宋体" w:hAnsi="宋体"/>
          <w:color w:val="000000" w:themeColor="text1"/>
          <w:szCs w:val="21"/>
          <w:highlight w:val="none"/>
          <w14:textFill>
            <w14:solidFill>
              <w14:schemeClr w14:val="tx1"/>
            </w14:solidFill>
          </w14:textFill>
        </w:rPr>
      </w:pPr>
    </w:p>
    <w:p>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95"/>
      <w:bookmarkEnd w:id="796"/>
      <w:bookmarkEnd w:id="797"/>
      <w:bookmarkEnd w:id="798"/>
      <w:bookmarkEnd w:id="799"/>
      <w:r>
        <w:rPr>
          <w:rFonts w:hint="eastAsia" w:ascii="宋体" w:hAnsi="宋体"/>
          <w:color w:val="000000" w:themeColor="text1"/>
          <w:kern w:val="0"/>
          <w:szCs w:val="21"/>
          <w:highlight w:val="none"/>
          <w14:textFill>
            <w14:solidFill>
              <w14:schemeClr w14:val="tx1"/>
            </w14:solidFill>
          </w14:textFill>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pPr>
        <w:pStyle w:val="4"/>
        <w:spacing w:before="0" w:after="0" w:line="240" w:lineRule="auto"/>
        <w:jc w:val="center"/>
        <w:rPr>
          <w:rFonts w:ascii="宋体" w:hAnsi="宋体"/>
          <w:color w:val="000000" w:themeColor="text1"/>
          <w:highlight w:val="none"/>
          <w14:textFill>
            <w14:solidFill>
              <w14:schemeClr w14:val="tx1"/>
            </w14:solidFill>
          </w14:textFill>
        </w:rPr>
      </w:pPr>
      <w:bookmarkStart w:id="800" w:name="_Toc57905931"/>
      <w:r>
        <w:rPr>
          <w:rFonts w:hint="eastAsia" w:ascii="宋体" w:hAnsi="宋体"/>
          <w:color w:val="000000" w:themeColor="text1"/>
          <w:highlight w:val="none"/>
          <w14:textFill>
            <w14:solidFill>
              <w14:schemeClr w14:val="tx1"/>
            </w14:solidFill>
          </w14:textFill>
        </w:rPr>
        <w:t>（二）竞选人基本情况表</w:t>
      </w:r>
      <w:bookmarkEnd w:id="800"/>
    </w:p>
    <w:tbl>
      <w:tblPr>
        <w:tblStyle w:val="28"/>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7" w:type="dxa"/>
            <w:vAlign w:val="center"/>
          </w:tcPr>
          <w:p>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616" w:type="dxa"/>
            <w:gridSpan w:val="7"/>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vAlign w:val="center"/>
          </w:tcPr>
          <w:p>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40" w:lineRule="exact"/>
        <w:rPr>
          <w:rFonts w:ascii="宋体" w:hAnsi="宋体"/>
          <w:color w:val="000000" w:themeColor="text1"/>
          <w:szCs w:val="21"/>
          <w:highlight w:val="none"/>
          <w14:textFill>
            <w14:solidFill>
              <w14:schemeClr w14:val="tx1"/>
            </w14:solidFill>
          </w14:textFill>
        </w:rPr>
      </w:pPr>
    </w:p>
    <w:p>
      <w:pPr>
        <w:pStyle w:val="4"/>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801" w:name="_Toc57905932"/>
      <w:bookmarkStart w:id="802" w:name="_Toc509218863"/>
      <w:bookmarkStart w:id="803" w:name="_Toc534185840"/>
      <w:r>
        <w:rPr>
          <w:rFonts w:hint="eastAsia" w:ascii="宋体" w:hAnsi="宋体"/>
          <w:color w:val="000000" w:themeColor="text1"/>
          <w:highlight w:val="none"/>
          <w14:textFill>
            <w14:solidFill>
              <w14:schemeClr w14:val="tx1"/>
            </w14:solidFill>
          </w14:textFill>
        </w:rPr>
        <w:t>（三）项目管理机构</w:t>
      </w:r>
      <w:bookmarkEnd w:id="801"/>
      <w:bookmarkEnd w:id="802"/>
      <w:bookmarkEnd w:id="803"/>
    </w:p>
    <w:p>
      <w:pPr>
        <w:spacing w:line="360" w:lineRule="auto"/>
        <w:rPr>
          <w:rFonts w:ascii="宋体" w:hAnsi="宋体"/>
          <w:color w:val="000000" w:themeColor="text1"/>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8"/>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627"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vMerge w:val="continue"/>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62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51"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134"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992"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777"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96" w:type="dxa"/>
          </w:tcPr>
          <w:p>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bl>
    <w:p>
      <w:pPr>
        <w:spacing w:line="20" w:lineRule="exact"/>
        <w:jc w:val="center"/>
        <w:rPr>
          <w:rFonts w:ascii="宋体" w:hAnsi="宋体"/>
          <w:color w:val="000000" w:themeColor="text1"/>
          <w:szCs w:val="21"/>
          <w:highlight w:val="none"/>
          <w14:textFill>
            <w14:solidFill>
              <w14:schemeClr w14:val="tx1"/>
            </w14:solidFill>
          </w14:textFill>
        </w:rPr>
      </w:pP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pPr>
        <w:autoSpaceDE w:val="0"/>
        <w:autoSpaceDN w:val="0"/>
        <w:adjustRightInd w:val="0"/>
        <w:snapToGrid w:val="0"/>
        <w:spacing w:line="360" w:lineRule="auto"/>
        <w:jc w:val="center"/>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8"/>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pPr>
        <w:spacing w:line="360" w:lineRule="auto"/>
        <w:rPr>
          <w:rFonts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pPr>
        <w:spacing w:line="360" w:lineRule="auto"/>
        <w:rPr>
          <w:rFonts w:ascii="宋体" w:hAnsi="宋体" w:cs="仿宋_GB2312"/>
          <w:color w:val="000000" w:themeColor="text1"/>
          <w:kern w:val="0"/>
          <w:szCs w:val="21"/>
          <w:highlight w:val="none"/>
          <w14:textFill>
            <w14:solidFill>
              <w14:schemeClr w14:val="tx1"/>
            </w14:solidFill>
          </w14:textFill>
        </w:rPr>
      </w:pPr>
    </w:p>
    <w:p>
      <w:pPr>
        <w:spacing w:line="360" w:lineRule="exact"/>
        <w:ind w:firstLine="8312" w:firstLineChars="2300"/>
        <w:rPr>
          <w:rFonts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pPr>
        <w:pStyle w:val="8"/>
        <w:spacing w:after="0" w:line="360" w:lineRule="auto"/>
        <w:jc w:val="center"/>
        <w:rPr>
          <w:rFonts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bookmarkStart w:id="804" w:name="_Toc534185841"/>
      <w:bookmarkStart w:id="805" w:name="_Toc277082660"/>
      <w:bookmarkStart w:id="806" w:name="_Toc57905933"/>
      <w:bookmarkStart w:id="807" w:name="_Toc509218864"/>
      <w:bookmarkStart w:id="808" w:name="_Toc287620834"/>
      <w:bookmarkStart w:id="809" w:name="_Toc287607888"/>
      <w:bookmarkStart w:id="810" w:name="_Toc430530550"/>
      <w:r>
        <w:rPr>
          <w:rFonts w:hint="eastAsia" w:ascii="宋体" w:hAnsi="宋体"/>
          <w:b/>
          <w:bCs/>
          <w:color w:val="000000" w:themeColor="text1"/>
          <w:sz w:val="32"/>
          <w:szCs w:val="32"/>
          <w:highlight w:val="none"/>
          <w14:textFill>
            <w14:solidFill>
              <w14:schemeClr w14:val="tx1"/>
            </w14:solidFill>
          </w14:textFill>
        </w:rPr>
        <w:t>（四）近年财务状况</w:t>
      </w:r>
      <w:bookmarkEnd w:id="804"/>
      <w:bookmarkEnd w:id="805"/>
      <w:bookmarkEnd w:id="806"/>
      <w:bookmarkEnd w:id="807"/>
      <w:bookmarkEnd w:id="808"/>
      <w:bookmarkEnd w:id="809"/>
      <w:bookmarkEnd w:id="810"/>
    </w:p>
    <w:p>
      <w:pPr>
        <w:pStyle w:val="8"/>
        <w:spacing w:after="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cs="宋体"/>
          <w:b/>
          <w:bCs/>
          <w:color w:val="000000" w:themeColor="text1"/>
          <w:sz w:val="36"/>
          <w:szCs w:val="36"/>
          <w:highlight w:val="none"/>
          <w14:textFill>
            <w14:solidFill>
              <w14:schemeClr w14:val="tx1"/>
            </w14:solidFill>
          </w14:textFill>
        </w:rPr>
        <w:t>）承诺</w:t>
      </w:r>
    </w:p>
    <w:p>
      <w:pPr>
        <w:snapToGrid w:val="0"/>
        <w:spacing w:line="36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pPr>
        <w:snapToGrid w:val="0"/>
        <w:spacing w:line="3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pPr>
        <w:snapToGrid w:val="0"/>
        <w:spacing w:line="3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pPr>
        <w:snapToGrid w:val="0"/>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pPr>
        <w:snapToGrid w:val="0"/>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pPr>
        <w:pStyle w:val="8"/>
        <w:rPr>
          <w:rFonts w:ascii="宋体" w:hAnsi="宋体"/>
          <w:color w:val="000000" w:themeColor="text1"/>
          <w:highlight w:val="none"/>
          <w14:textFill>
            <w14:solidFill>
              <w14:schemeClr w14:val="tx1"/>
            </w14:solidFill>
          </w14:textFill>
        </w:rPr>
      </w:pPr>
    </w:p>
    <w:p>
      <w:pPr>
        <w:tabs>
          <w:tab w:val="left" w:pos="4200"/>
          <w:tab w:val="left" w:pos="462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p>
    <w:p>
      <w:pPr>
        <w:tabs>
          <w:tab w:val="left" w:pos="6300"/>
        </w:tabs>
        <w:autoSpaceDE w:val="0"/>
        <w:autoSpaceDN w:val="0"/>
        <w:adjustRightInd w:val="0"/>
        <w:snapToGrid w:val="0"/>
        <w:spacing w:line="36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pPr>
        <w:pStyle w:val="8"/>
        <w:spacing w:after="0" w:line="360" w:lineRule="exact"/>
        <w:jc w:val="right"/>
        <w:rPr>
          <w:rFonts w:ascii="宋体" w:hAnsi="宋体"/>
          <w:color w:val="000000" w:themeColor="text1"/>
          <w:kern w:val="0"/>
          <w:szCs w:val="21"/>
          <w:highlight w:val="none"/>
          <w:u w:val="single"/>
          <w14:textFill>
            <w14:solidFill>
              <w14:schemeClr w14:val="tx1"/>
            </w14:solidFill>
          </w14:textFill>
        </w:rPr>
      </w:pPr>
    </w:p>
    <w:p>
      <w:pPr>
        <w:pStyle w:val="8"/>
        <w:spacing w:after="0" w:line="360" w:lineRule="exact"/>
        <w:jc w:val="right"/>
        <w:rPr>
          <w:rFonts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8"/>
        <w:rPr>
          <w:rFonts w:ascii="宋体" w:hAnsi="宋体"/>
          <w:color w:val="000000" w:themeColor="text1"/>
          <w:highlight w:val="none"/>
          <w14:textFill>
            <w14:solidFill>
              <w14:schemeClr w14:val="tx1"/>
            </w14:solidFill>
          </w14:textFill>
        </w:rPr>
      </w:pPr>
    </w:p>
    <w:p>
      <w:pPr>
        <w:pStyle w:val="8"/>
        <w:numPr>
          <w:ilvl w:val="0"/>
          <w:numId w:val="2"/>
        </w:numPr>
        <w:spacing w:after="0" w:line="360" w:lineRule="auto"/>
        <w:jc w:val="center"/>
        <w:rPr>
          <w:rFonts w:ascii="宋体" w:hAnsi="宋体"/>
          <w:b/>
          <w:bCs/>
          <w:color w:val="000000" w:themeColor="text1"/>
          <w:sz w:val="32"/>
          <w:szCs w:val="32"/>
          <w:highlight w:val="none"/>
          <w14:textFill>
            <w14:solidFill>
              <w14:schemeClr w14:val="tx1"/>
            </w14:solidFill>
          </w14:textFill>
        </w:rPr>
      </w:pPr>
      <w:bookmarkStart w:id="811" w:name="_Toc57905936"/>
      <w:r>
        <w:rPr>
          <w:rFonts w:hint="eastAsia" w:ascii="宋体" w:hAnsi="宋体"/>
          <w:b/>
          <w:bCs/>
          <w:color w:val="000000" w:themeColor="text1"/>
          <w:sz w:val="32"/>
          <w:szCs w:val="32"/>
          <w:highlight w:val="none"/>
          <w14:textFill>
            <w14:solidFill>
              <w14:schemeClr w14:val="tx1"/>
            </w14:solidFill>
          </w14:textFill>
        </w:rPr>
        <w:t>其他资料</w:t>
      </w:r>
      <w:bookmarkEnd w:id="811"/>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8"/>
        <w:rPr>
          <w:rFonts w:ascii="宋体" w:hAnsi="宋体"/>
          <w:color w:val="000000" w:themeColor="text1"/>
          <w:highlight w:val="none"/>
          <w14:textFill>
            <w14:solidFill>
              <w14:schemeClr w14:val="tx1"/>
            </w14:solidFill>
          </w14:textFill>
        </w:rPr>
      </w:pPr>
    </w:p>
    <w:p>
      <w:pPr>
        <w:rPr>
          <w:rFonts w:ascii="宋体" w:hAnsi="宋体"/>
          <w:b/>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pict>
          <v:rect id="矩形 111" o:spid="_x0000_s1034" o:spt="1" style="position:absolute;left:0pt;margin-left:142.2pt;margin-top:106.4pt;height:62.4pt;width:168.05pt;mso-position-horizontal-relative:char;mso-position-vertical-relative:line;mso-wrap-style:none;z-index:251664384;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path/>
            <v:fill on="f" focussize="0,0"/>
            <v:stroke on="f"/>
            <v:imagedata o:title=""/>
            <o:lock v:ext="edit"/>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服务方案</w:t>
                  </w:r>
                </w:p>
              </w:txbxContent>
            </v:textbox>
          </v:rect>
        </w:pict>
      </w:r>
      <w:r>
        <w:rPr>
          <w:rFonts w:ascii="宋体" w:hAnsi="宋体"/>
          <w:color w:val="000000" w:themeColor="text1"/>
          <w:highlight w:val="none"/>
          <w14:textFill>
            <w14:solidFill>
              <w14:schemeClr w14:val="tx1"/>
            </w14:solidFill>
          </w14:textFill>
        </w:rPr>
        <w:pict>
          <v:rect id="_x0000_s1033" o:spid="_x0000_s1033" o:spt="1" style="position:absolute;left:0pt;margin-left:305.85pt;margin-top:736.45pt;height:15.6pt;width:33.05pt;mso-position-horizontal-relative:char;mso-position-vertical-relative:line;mso-wrap-style:none;rotation:-2883584f;z-index:251668480;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14:textFill>
            <w14:solidFill>
              <w14:schemeClr w14:val="tx1"/>
            </w14:solidFill>
          </w14:textFill>
        </w:rPr>
        <w:pict>
          <v:line id="直线 132" o:spid="_x0000_s1032" o:spt="20" style="position:absolute;left:0pt;flip:x y;margin-left:288.9pt;margin-top:533.35pt;height:246.3pt;width:0.25pt;mso-position-horizontal-relative:char;mso-position-vertical-relative:line;z-index:251666432;mso-width-relative:page;mso-height-relative:page;"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path arrowok="t"/>
            <v:fill focussize="0,0"/>
            <v:stroke joinstyle="miter" dashstyle="dash"/>
            <v:imagedata o:title=""/>
            <o:lock v:ext="edit"/>
          </v:line>
        </w:pict>
      </w:r>
      <w:r>
        <w:rPr>
          <w:rFonts w:ascii="宋体" w:hAnsi="宋体"/>
          <w:color w:val="000000" w:themeColor="text1"/>
          <w:highlight w:val="none"/>
          <w14:textFill>
            <w14:solidFill>
              <w14:schemeClr w14:val="tx1"/>
            </w14:solidFill>
          </w14:textFill>
        </w:rPr>
        <w:pict>
          <v:shape id="直接连接符 112" o:spid="_x0000_s1031" o:spt="32" type="#_x0000_t32" style="position:absolute;left:0pt;flip:y;margin-left:290.2pt;margin-top:533.6pt;height:0.35pt;width:242.3pt;mso-position-horizontal-relative:char;mso-position-vertical-relative:line;z-index:251661312;mso-width-relative:page;mso-height-relative:page;" filled="f"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path arrowok="t"/>
            <v:fill on="f" focussize="0,0"/>
            <v:stroke joinstyle="miter" dashstyle="dash"/>
            <v:imagedata o:title=""/>
            <o:lock v:ext="edit"/>
          </v:shape>
        </w:pict>
      </w:r>
      <w:r>
        <w:rPr>
          <w:rFonts w:ascii="宋体" w:hAnsi="宋体"/>
          <w:color w:val="000000" w:themeColor="text1"/>
          <w:highlight w:val="none"/>
          <w14:textFill>
            <w14:solidFill>
              <w14:schemeClr w14:val="tx1"/>
            </w14:solidFill>
          </w14:textFill>
        </w:rPr>
        <w:pict>
          <v:line id="直线 134" o:spid="_x0000_s1030" o:spt="20" style="position:absolute;left:0pt;flip:y;margin-left:290.6pt;margin-top:534.1pt;height:242.95pt;width:240.75pt;mso-position-horizontal-relative:char;mso-position-vertical-relative:line;z-index:251665408;mso-width-relative:page;mso-height-relative:page;"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path arrowok="t"/>
            <v:fill focussize="0,0"/>
            <v:stroke joinstyle="miter" dashstyle="dashDot"/>
            <v:imagedata o:title=""/>
            <o:lock v:ext="edit"/>
          </v:line>
        </w:pict>
      </w:r>
      <w:r>
        <w:rPr>
          <w:rFonts w:ascii="宋体" w:hAnsi="宋体"/>
          <w:color w:val="000000" w:themeColor="text1"/>
          <w:highlight w:val="none"/>
          <w14:textFill>
            <w14:solidFill>
              <w14:schemeClr w14:val="tx1"/>
            </w14:solidFill>
          </w14:textFill>
        </w:rPr>
        <w:pict>
          <v:shape id="椭圆 115" o:spid="_x0000_s1029" o:spt="3" type="#_x0000_t3" style="position:absolute;left:0pt;margin-left:335.15pt;margin-top:579.5pt;height:146.2pt;width:146.25pt;mso-position-horizontal-relative:char;mso-position-vertical-relative:line;z-index:251662336;mso-width-relative:page;mso-height-relative:page;" filled="f"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path/>
            <v:fill on="f" focussize="0,0"/>
            <v:stroke joinstyle="miter" dashstyle="dashDot"/>
            <v:imagedata o:title=""/>
            <o:lock v:ext="edit"/>
            <v:textbox>
              <w:txbxContent>
                <w:p/>
              </w:txbxContent>
            </v:textbox>
          </v:shape>
        </w:pict>
      </w:r>
      <w:r>
        <w:rPr>
          <w:rFonts w:ascii="宋体" w:hAnsi="宋体"/>
          <w:color w:val="000000" w:themeColor="text1"/>
          <w:highlight w:val="none"/>
          <w14:textFill>
            <w14:solidFill>
              <w14:schemeClr w14:val="tx1"/>
            </w14:solidFill>
          </w14:textFill>
        </w:rPr>
        <w:pict>
          <v:rect id="矩形 114" o:spid="_x0000_s1028" o:spt="1" style="position:absolute;left:0pt;margin-left:483.5pt;margin-top:558.3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path/>
            <v:fill on="f" focussize="0,0"/>
            <v:stroke on="f"/>
            <v:imagedata o:title=""/>
            <o:lock v:ext="edit"/>
            <v:textbox inset="0mm,0mm,0mm,0mm" style="mso-fit-shape-to-text:t;">
              <w:txbxContent>
                <w:p>
                  <w:pPr>
                    <w:rPr>
                      <w:sz w:val="20"/>
                    </w:rPr>
                  </w:pPr>
                  <w:r>
                    <w:rPr>
                      <w:rFonts w:hint="eastAsia" w:ascii="宋体" w:cs="宋体"/>
                      <w:bCs/>
                      <w:color w:val="000000"/>
                      <w:sz w:val="22"/>
                    </w:rPr>
                    <w:t>密封线</w:t>
                  </w:r>
                </w:p>
              </w:txbxContent>
            </v:textbox>
          </v:rect>
        </w:pict>
      </w:r>
      <w:r>
        <w:rPr>
          <w:rFonts w:ascii="宋体" w:hAnsi="宋体"/>
          <w:color w:val="000000" w:themeColor="text1"/>
          <w:highlight w:val="none"/>
          <w14:textFill>
            <w14:solidFill>
              <w14:schemeClr w14:val="tx1"/>
            </w14:solidFill>
          </w14:textFill>
        </w:rPr>
        <w:pict>
          <v:rect id="矩形 113" o:spid="_x0000_s1027" o:spt="1" style="position:absolute;left:0pt;margin-left:363.4pt;margin-top:638.7pt;height:31.2pt;width:91.05pt;mso-position-horizontal-relative:char;mso-position-vertical-relative:line;mso-wrap-style:none;z-index:251663360;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path/>
            <v:fill on="f" focussize="0,0"/>
            <v:stroke on="f"/>
            <v:imagedata o:title=""/>
            <o:lock v:ext="edit"/>
            <v:textbox inset="0mm,0mm,0mm,0mm" style="mso-fit-shape-to-text:t;">
              <w:txbxContent>
                <w:p>
                  <w:pPr>
                    <w:rPr>
                      <w:sz w:val="20"/>
                    </w:rPr>
                  </w:pPr>
                  <w:r>
                    <w:rPr>
                      <w:rFonts w:hint="eastAsia" w:ascii="宋体" w:cs="宋体"/>
                      <w:bCs/>
                      <w:color w:val="000000"/>
                      <w:sz w:val="28"/>
                      <w:szCs w:val="30"/>
                    </w:rPr>
                    <w:t>(盖单位章处）</w:t>
                  </w:r>
                </w:p>
              </w:txbxContent>
            </v:textbox>
          </v:rect>
        </w:pict>
      </w:r>
    </w:p>
    <w:p>
      <w:pPr>
        <w:pStyle w:val="8"/>
        <w:rPr>
          <w:rFonts w:ascii="宋体" w:hAnsi="宋体"/>
          <w:color w:val="000000" w:themeColor="text1"/>
          <w:highlight w:val="none"/>
          <w14:textFill>
            <w14:solidFill>
              <w14:schemeClr w14:val="tx1"/>
            </w14:solidFill>
          </w14:textFill>
        </w:rPr>
      </w:pPr>
    </w:p>
    <w:bookmarkEnd w:id="812"/>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52"/>
    </w:sdtPr>
    <w:sdtContent>
      <w:sdt>
        <w:sdtPr>
          <w:id w:val="147461192"/>
        </w:sdtPr>
        <w:sdtContent>
          <w:p>
            <w:pPr>
              <w:pStyle w:val="17"/>
              <w:jc w:val="center"/>
            </w:pPr>
          </w:p>
        </w:sdtContent>
      </w:sdt>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540" w:firstLineChars="300"/>
      <w:jc w:val="both"/>
    </w:pPr>
  </w:p>
  <w:p>
    <w:pPr>
      <w:pStyle w:val="18"/>
      <w:pBdr>
        <w:bottom w:val="none" w:color="auto" w:sz="0" w:space="1"/>
      </w:pBdr>
      <w:ind w:firstLine="540" w:firstLineChars="300"/>
      <w:jc w:val="both"/>
    </w:pPr>
  </w:p>
  <w:p>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MzMzEwNDYxZjRmY2FiM2ViZjM4Nzc0ZWUxMzc5MzMifQ=="/>
    <w:docVar w:name="KSO_WPS_MARK_KEY" w:val="09899503-0025-4136-af5e-479c82b28b39"/>
  </w:docVars>
  <w:rsids>
    <w:rsidRoot w:val="2FFE23A7"/>
    <w:rsid w:val="0001767F"/>
    <w:rsid w:val="000421DD"/>
    <w:rsid w:val="0004282F"/>
    <w:rsid w:val="00044E68"/>
    <w:rsid w:val="000515B5"/>
    <w:rsid w:val="00080CD0"/>
    <w:rsid w:val="00091CB6"/>
    <w:rsid w:val="00094DA2"/>
    <w:rsid w:val="000A5C0C"/>
    <w:rsid w:val="000E44F5"/>
    <w:rsid w:val="00107DE6"/>
    <w:rsid w:val="00113131"/>
    <w:rsid w:val="00154A7F"/>
    <w:rsid w:val="001562F1"/>
    <w:rsid w:val="001A2968"/>
    <w:rsid w:val="001B39C5"/>
    <w:rsid w:val="00225681"/>
    <w:rsid w:val="002633B0"/>
    <w:rsid w:val="002B22D5"/>
    <w:rsid w:val="002B7C23"/>
    <w:rsid w:val="00301316"/>
    <w:rsid w:val="0032001C"/>
    <w:rsid w:val="003641D9"/>
    <w:rsid w:val="0037633D"/>
    <w:rsid w:val="00391004"/>
    <w:rsid w:val="00392B56"/>
    <w:rsid w:val="003A23F6"/>
    <w:rsid w:val="003A34F3"/>
    <w:rsid w:val="003A62AA"/>
    <w:rsid w:val="003B3F98"/>
    <w:rsid w:val="003C10B7"/>
    <w:rsid w:val="003F3A4C"/>
    <w:rsid w:val="0041262C"/>
    <w:rsid w:val="00454E2A"/>
    <w:rsid w:val="00455D59"/>
    <w:rsid w:val="004A135E"/>
    <w:rsid w:val="004A59DB"/>
    <w:rsid w:val="004C1AFA"/>
    <w:rsid w:val="004C4B4A"/>
    <w:rsid w:val="004E7CD8"/>
    <w:rsid w:val="004F3C69"/>
    <w:rsid w:val="005370DE"/>
    <w:rsid w:val="00555E15"/>
    <w:rsid w:val="005604C1"/>
    <w:rsid w:val="00561144"/>
    <w:rsid w:val="00565F90"/>
    <w:rsid w:val="005E6CE6"/>
    <w:rsid w:val="00637EEC"/>
    <w:rsid w:val="006D6CFC"/>
    <w:rsid w:val="006E69D2"/>
    <w:rsid w:val="00721D8D"/>
    <w:rsid w:val="007271B2"/>
    <w:rsid w:val="007358D2"/>
    <w:rsid w:val="0075411B"/>
    <w:rsid w:val="00791957"/>
    <w:rsid w:val="007959FF"/>
    <w:rsid w:val="007C259C"/>
    <w:rsid w:val="007D58BC"/>
    <w:rsid w:val="007F07F1"/>
    <w:rsid w:val="007F6088"/>
    <w:rsid w:val="00805EDB"/>
    <w:rsid w:val="00813FC0"/>
    <w:rsid w:val="0086345E"/>
    <w:rsid w:val="00872210"/>
    <w:rsid w:val="008765C2"/>
    <w:rsid w:val="008966EC"/>
    <w:rsid w:val="008A28FC"/>
    <w:rsid w:val="008B5AE2"/>
    <w:rsid w:val="008D313A"/>
    <w:rsid w:val="00935703"/>
    <w:rsid w:val="00952502"/>
    <w:rsid w:val="00955378"/>
    <w:rsid w:val="009710CF"/>
    <w:rsid w:val="00982DEC"/>
    <w:rsid w:val="009939D7"/>
    <w:rsid w:val="009A13B3"/>
    <w:rsid w:val="009B5687"/>
    <w:rsid w:val="009C2597"/>
    <w:rsid w:val="009C4AFC"/>
    <w:rsid w:val="00AA21E7"/>
    <w:rsid w:val="00AE4E5E"/>
    <w:rsid w:val="00AF48AF"/>
    <w:rsid w:val="00B02662"/>
    <w:rsid w:val="00B263E7"/>
    <w:rsid w:val="00B62430"/>
    <w:rsid w:val="00B62DBC"/>
    <w:rsid w:val="00B67F69"/>
    <w:rsid w:val="00B8215B"/>
    <w:rsid w:val="00BF09F6"/>
    <w:rsid w:val="00BF6F24"/>
    <w:rsid w:val="00C01B0B"/>
    <w:rsid w:val="00C02039"/>
    <w:rsid w:val="00C229CA"/>
    <w:rsid w:val="00C66302"/>
    <w:rsid w:val="00C67720"/>
    <w:rsid w:val="00C9616F"/>
    <w:rsid w:val="00CA7F37"/>
    <w:rsid w:val="00CB163C"/>
    <w:rsid w:val="00CD79DA"/>
    <w:rsid w:val="00CF57A1"/>
    <w:rsid w:val="00D15BBE"/>
    <w:rsid w:val="00D85AC0"/>
    <w:rsid w:val="00D94FBE"/>
    <w:rsid w:val="00DA5888"/>
    <w:rsid w:val="00DD7B4B"/>
    <w:rsid w:val="00E22DB4"/>
    <w:rsid w:val="00E271C9"/>
    <w:rsid w:val="00E33062"/>
    <w:rsid w:val="00E47489"/>
    <w:rsid w:val="00E764AF"/>
    <w:rsid w:val="00EB564C"/>
    <w:rsid w:val="00ED3BD8"/>
    <w:rsid w:val="00EE0BD9"/>
    <w:rsid w:val="00EE5AAE"/>
    <w:rsid w:val="00EF11C2"/>
    <w:rsid w:val="00F258BC"/>
    <w:rsid w:val="00F26BE2"/>
    <w:rsid w:val="00F33064"/>
    <w:rsid w:val="00F82A0C"/>
    <w:rsid w:val="00F95EE5"/>
    <w:rsid w:val="00FC38F2"/>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76FF5"/>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98388E"/>
    <w:rsid w:val="04A00C18"/>
    <w:rsid w:val="04B2316F"/>
    <w:rsid w:val="04E40345"/>
    <w:rsid w:val="04F44B3B"/>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373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A25F6"/>
    <w:rsid w:val="0D5D42FF"/>
    <w:rsid w:val="0D8608DB"/>
    <w:rsid w:val="0D9961D1"/>
    <w:rsid w:val="0DA9532B"/>
    <w:rsid w:val="0DA97B2E"/>
    <w:rsid w:val="0DC4745D"/>
    <w:rsid w:val="0DCB16CB"/>
    <w:rsid w:val="0DCC0A89"/>
    <w:rsid w:val="0DCF5CF9"/>
    <w:rsid w:val="0DEC1F6C"/>
    <w:rsid w:val="0E0235FA"/>
    <w:rsid w:val="0E023819"/>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43FF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32E8"/>
    <w:rsid w:val="10CC559A"/>
    <w:rsid w:val="10D562A1"/>
    <w:rsid w:val="10DE52EC"/>
    <w:rsid w:val="10E3528B"/>
    <w:rsid w:val="10E87F18"/>
    <w:rsid w:val="10F40931"/>
    <w:rsid w:val="10F96D68"/>
    <w:rsid w:val="10FB17CA"/>
    <w:rsid w:val="10FC788B"/>
    <w:rsid w:val="10FD46D7"/>
    <w:rsid w:val="10FE14EA"/>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49287D"/>
    <w:rsid w:val="144F242A"/>
    <w:rsid w:val="14506500"/>
    <w:rsid w:val="145A616C"/>
    <w:rsid w:val="145A79EE"/>
    <w:rsid w:val="145D5680"/>
    <w:rsid w:val="147A1C07"/>
    <w:rsid w:val="147A7952"/>
    <w:rsid w:val="148F7029"/>
    <w:rsid w:val="14A20FD8"/>
    <w:rsid w:val="14C052F1"/>
    <w:rsid w:val="14C21B6F"/>
    <w:rsid w:val="14C411E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027CCE"/>
    <w:rsid w:val="16175528"/>
    <w:rsid w:val="162923AE"/>
    <w:rsid w:val="16452C82"/>
    <w:rsid w:val="166B5873"/>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0E0109"/>
    <w:rsid w:val="192A24B1"/>
    <w:rsid w:val="194817FC"/>
    <w:rsid w:val="194B0481"/>
    <w:rsid w:val="194F38AF"/>
    <w:rsid w:val="195720DF"/>
    <w:rsid w:val="19735F7B"/>
    <w:rsid w:val="19805192"/>
    <w:rsid w:val="198124BA"/>
    <w:rsid w:val="19892807"/>
    <w:rsid w:val="19A215AC"/>
    <w:rsid w:val="19B65058"/>
    <w:rsid w:val="19B678E2"/>
    <w:rsid w:val="19C24C2F"/>
    <w:rsid w:val="1A0A6E6B"/>
    <w:rsid w:val="1A0D11B4"/>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77369"/>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10954"/>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A783F"/>
    <w:rsid w:val="2107263D"/>
    <w:rsid w:val="21082D78"/>
    <w:rsid w:val="210A0830"/>
    <w:rsid w:val="210A0DA2"/>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8710B"/>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A312AB"/>
    <w:rsid w:val="25B74631"/>
    <w:rsid w:val="25D56542"/>
    <w:rsid w:val="25E1345C"/>
    <w:rsid w:val="25E14A26"/>
    <w:rsid w:val="25E847EB"/>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576A8F"/>
    <w:rsid w:val="26600EFE"/>
    <w:rsid w:val="26751DF6"/>
    <w:rsid w:val="26830A83"/>
    <w:rsid w:val="268F7F2A"/>
    <w:rsid w:val="26960004"/>
    <w:rsid w:val="269A185A"/>
    <w:rsid w:val="269C2FFA"/>
    <w:rsid w:val="26BB3CAD"/>
    <w:rsid w:val="26CF7759"/>
    <w:rsid w:val="26DA7746"/>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CE3AC5"/>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5A62E5"/>
    <w:rsid w:val="3062166C"/>
    <w:rsid w:val="30640F12"/>
    <w:rsid w:val="306554F5"/>
    <w:rsid w:val="307750E9"/>
    <w:rsid w:val="30A60B13"/>
    <w:rsid w:val="30B56118"/>
    <w:rsid w:val="30D96CC6"/>
    <w:rsid w:val="30E80016"/>
    <w:rsid w:val="30F37C1F"/>
    <w:rsid w:val="31092C45"/>
    <w:rsid w:val="310A45D6"/>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60378"/>
    <w:rsid w:val="33DD3845"/>
    <w:rsid w:val="33E97C32"/>
    <w:rsid w:val="33EA23A5"/>
    <w:rsid w:val="33EB36B7"/>
    <w:rsid w:val="33EE0FFB"/>
    <w:rsid w:val="34117602"/>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9F1476"/>
    <w:rsid w:val="37A140C3"/>
    <w:rsid w:val="37C24A54"/>
    <w:rsid w:val="37D921E5"/>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873EC3"/>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AA6566"/>
    <w:rsid w:val="3AD1769C"/>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362C"/>
    <w:rsid w:val="3D296F62"/>
    <w:rsid w:val="3D31229A"/>
    <w:rsid w:val="3D387FE4"/>
    <w:rsid w:val="3D3B408D"/>
    <w:rsid w:val="3D3B56F0"/>
    <w:rsid w:val="3D4139CE"/>
    <w:rsid w:val="3D491BBB"/>
    <w:rsid w:val="3D5200E0"/>
    <w:rsid w:val="3D5347E8"/>
    <w:rsid w:val="3D580050"/>
    <w:rsid w:val="3D622FB8"/>
    <w:rsid w:val="3D6267D9"/>
    <w:rsid w:val="3D65609E"/>
    <w:rsid w:val="3D667075"/>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3FFF2A05"/>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CE4185"/>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66F58"/>
    <w:rsid w:val="444924DF"/>
    <w:rsid w:val="444B65C3"/>
    <w:rsid w:val="444B685F"/>
    <w:rsid w:val="444F55DD"/>
    <w:rsid w:val="44616DE6"/>
    <w:rsid w:val="44654E01"/>
    <w:rsid w:val="446E05EA"/>
    <w:rsid w:val="447115C6"/>
    <w:rsid w:val="447C11F3"/>
    <w:rsid w:val="44827C1E"/>
    <w:rsid w:val="44897EF7"/>
    <w:rsid w:val="448B66CE"/>
    <w:rsid w:val="449E2B67"/>
    <w:rsid w:val="44A70245"/>
    <w:rsid w:val="44A90864"/>
    <w:rsid w:val="44BD4C3D"/>
    <w:rsid w:val="44C0425C"/>
    <w:rsid w:val="44C23F10"/>
    <w:rsid w:val="44D06BB2"/>
    <w:rsid w:val="44D53D34"/>
    <w:rsid w:val="44D95BAD"/>
    <w:rsid w:val="44E330C9"/>
    <w:rsid w:val="44EC6F5A"/>
    <w:rsid w:val="450150F5"/>
    <w:rsid w:val="45123BB5"/>
    <w:rsid w:val="452B293F"/>
    <w:rsid w:val="45380234"/>
    <w:rsid w:val="453F772D"/>
    <w:rsid w:val="454027D1"/>
    <w:rsid w:val="45533857"/>
    <w:rsid w:val="455D6C5E"/>
    <w:rsid w:val="45673672"/>
    <w:rsid w:val="456E5A7F"/>
    <w:rsid w:val="45701CA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8D1990"/>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A63257"/>
    <w:rsid w:val="48B9571B"/>
    <w:rsid w:val="48C51A56"/>
    <w:rsid w:val="48D03950"/>
    <w:rsid w:val="48F61E83"/>
    <w:rsid w:val="49211C3E"/>
    <w:rsid w:val="49215AD9"/>
    <w:rsid w:val="492301FF"/>
    <w:rsid w:val="492573E6"/>
    <w:rsid w:val="492F498D"/>
    <w:rsid w:val="492F5A35"/>
    <w:rsid w:val="493150F6"/>
    <w:rsid w:val="49363A71"/>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174DEF"/>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4F1B18"/>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058F8"/>
    <w:rsid w:val="4BF337A4"/>
    <w:rsid w:val="4C053B3E"/>
    <w:rsid w:val="4C256776"/>
    <w:rsid w:val="4C26756B"/>
    <w:rsid w:val="4C2745BE"/>
    <w:rsid w:val="4C6E1633"/>
    <w:rsid w:val="4C716A38"/>
    <w:rsid w:val="4C792A51"/>
    <w:rsid w:val="4CA17BB8"/>
    <w:rsid w:val="4CBB5434"/>
    <w:rsid w:val="4CBD1C7E"/>
    <w:rsid w:val="4CC743C2"/>
    <w:rsid w:val="4CCE3E8B"/>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15CB4"/>
    <w:rsid w:val="4E143B1F"/>
    <w:rsid w:val="4E165694"/>
    <w:rsid w:val="4E17716C"/>
    <w:rsid w:val="4E1C29D4"/>
    <w:rsid w:val="4E2D6F9C"/>
    <w:rsid w:val="4E340E16"/>
    <w:rsid w:val="4E3A0E53"/>
    <w:rsid w:val="4E4D0AC1"/>
    <w:rsid w:val="4E5B174E"/>
    <w:rsid w:val="4E752EF3"/>
    <w:rsid w:val="4E854A1D"/>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0C90"/>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5F1555"/>
    <w:rsid w:val="51621462"/>
    <w:rsid w:val="5162632D"/>
    <w:rsid w:val="51652001"/>
    <w:rsid w:val="516923D4"/>
    <w:rsid w:val="516A768B"/>
    <w:rsid w:val="516F7FCA"/>
    <w:rsid w:val="517E442B"/>
    <w:rsid w:val="51960CEF"/>
    <w:rsid w:val="51A60F32"/>
    <w:rsid w:val="51C06B27"/>
    <w:rsid w:val="51C5706A"/>
    <w:rsid w:val="51CC6A9E"/>
    <w:rsid w:val="51D84860"/>
    <w:rsid w:val="51F76393"/>
    <w:rsid w:val="51F83758"/>
    <w:rsid w:val="52097713"/>
    <w:rsid w:val="52157E66"/>
    <w:rsid w:val="521B28B9"/>
    <w:rsid w:val="522E04F4"/>
    <w:rsid w:val="522E717A"/>
    <w:rsid w:val="52354064"/>
    <w:rsid w:val="52397FF8"/>
    <w:rsid w:val="525C5A95"/>
    <w:rsid w:val="525F6E60"/>
    <w:rsid w:val="5261208C"/>
    <w:rsid w:val="52796647"/>
    <w:rsid w:val="52873552"/>
    <w:rsid w:val="52A663C2"/>
    <w:rsid w:val="52B92EE7"/>
    <w:rsid w:val="52BC3484"/>
    <w:rsid w:val="52BE677D"/>
    <w:rsid w:val="52C13B4A"/>
    <w:rsid w:val="52C22C4B"/>
    <w:rsid w:val="52CB68A8"/>
    <w:rsid w:val="52DC5CD4"/>
    <w:rsid w:val="52E866AE"/>
    <w:rsid w:val="52FB2297"/>
    <w:rsid w:val="530750B7"/>
    <w:rsid w:val="53200C5D"/>
    <w:rsid w:val="534832EF"/>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13209"/>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431446"/>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F92290"/>
    <w:rsid w:val="590A19FE"/>
    <w:rsid w:val="590A624B"/>
    <w:rsid w:val="590B2E55"/>
    <w:rsid w:val="591E1CF6"/>
    <w:rsid w:val="592B3B37"/>
    <w:rsid w:val="593E3679"/>
    <w:rsid w:val="59463EAD"/>
    <w:rsid w:val="594A0F21"/>
    <w:rsid w:val="595600CF"/>
    <w:rsid w:val="59570C09"/>
    <w:rsid w:val="595A535A"/>
    <w:rsid w:val="595A5BCE"/>
    <w:rsid w:val="596742B3"/>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113"/>
    <w:rsid w:val="5B2F1F99"/>
    <w:rsid w:val="5B3220B7"/>
    <w:rsid w:val="5B322BEC"/>
    <w:rsid w:val="5B5F03A4"/>
    <w:rsid w:val="5B5F5DFF"/>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A03123"/>
    <w:rsid w:val="5CAA564F"/>
    <w:rsid w:val="5CC11F40"/>
    <w:rsid w:val="5CCE77E0"/>
    <w:rsid w:val="5CDA3F46"/>
    <w:rsid w:val="5CE327FE"/>
    <w:rsid w:val="5CF644C9"/>
    <w:rsid w:val="5CF85EE2"/>
    <w:rsid w:val="5D192F00"/>
    <w:rsid w:val="5D1D22C5"/>
    <w:rsid w:val="5D1F7DEB"/>
    <w:rsid w:val="5D2F3C01"/>
    <w:rsid w:val="5D3874C9"/>
    <w:rsid w:val="5D4A3E3F"/>
    <w:rsid w:val="5D4F0E61"/>
    <w:rsid w:val="5D673093"/>
    <w:rsid w:val="5D675B54"/>
    <w:rsid w:val="5D977AC6"/>
    <w:rsid w:val="5D9B52A7"/>
    <w:rsid w:val="5D9F5DAC"/>
    <w:rsid w:val="5DD15589"/>
    <w:rsid w:val="5DEC23C3"/>
    <w:rsid w:val="5DEF3C61"/>
    <w:rsid w:val="5DFE3466"/>
    <w:rsid w:val="5E032122"/>
    <w:rsid w:val="5E344177"/>
    <w:rsid w:val="5E4529B2"/>
    <w:rsid w:val="5E6F4DA2"/>
    <w:rsid w:val="5E920F46"/>
    <w:rsid w:val="5E9842F9"/>
    <w:rsid w:val="5E9C5CCD"/>
    <w:rsid w:val="5EA207F7"/>
    <w:rsid w:val="5EA507C4"/>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B76A00"/>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604FA"/>
    <w:rsid w:val="604C0EF7"/>
    <w:rsid w:val="604F4E8B"/>
    <w:rsid w:val="60667166"/>
    <w:rsid w:val="60724006"/>
    <w:rsid w:val="6086012E"/>
    <w:rsid w:val="608C65AA"/>
    <w:rsid w:val="60911000"/>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455E77"/>
    <w:rsid w:val="63473FE4"/>
    <w:rsid w:val="63503AD3"/>
    <w:rsid w:val="63543CFC"/>
    <w:rsid w:val="635F7193"/>
    <w:rsid w:val="63640C4D"/>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6B6CFE"/>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66492F"/>
    <w:rsid w:val="667A7554"/>
    <w:rsid w:val="667E6DAD"/>
    <w:rsid w:val="668F0F17"/>
    <w:rsid w:val="66A11D0C"/>
    <w:rsid w:val="66CC2D91"/>
    <w:rsid w:val="66D76929"/>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C1018"/>
    <w:rsid w:val="692C3FBB"/>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35135B"/>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AFF6047"/>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D04C5E"/>
    <w:rsid w:val="6CD7713F"/>
    <w:rsid w:val="6CD81D64"/>
    <w:rsid w:val="6CF277BB"/>
    <w:rsid w:val="6CF67414"/>
    <w:rsid w:val="6D1949E6"/>
    <w:rsid w:val="6D301BA0"/>
    <w:rsid w:val="6D40341E"/>
    <w:rsid w:val="6D413222"/>
    <w:rsid w:val="6D4C69DA"/>
    <w:rsid w:val="6D527D69"/>
    <w:rsid w:val="6D561607"/>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2731E"/>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3839D1"/>
    <w:rsid w:val="72430D8D"/>
    <w:rsid w:val="724931F0"/>
    <w:rsid w:val="724F0D1A"/>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A424D"/>
    <w:rsid w:val="74AF051B"/>
    <w:rsid w:val="74C76EB4"/>
    <w:rsid w:val="74D24DF2"/>
    <w:rsid w:val="74E85037"/>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1B45"/>
    <w:rsid w:val="76A07890"/>
    <w:rsid w:val="76A421E3"/>
    <w:rsid w:val="76A927F4"/>
    <w:rsid w:val="76B828EB"/>
    <w:rsid w:val="76DD0A99"/>
    <w:rsid w:val="76DD68F5"/>
    <w:rsid w:val="76E732D0"/>
    <w:rsid w:val="77083097"/>
    <w:rsid w:val="770E2F52"/>
    <w:rsid w:val="771A1486"/>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054355"/>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0E723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160627"/>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C82A39"/>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0D5D12"/>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33236A"/>
    <w:rsid w:val="7F4B19C8"/>
    <w:rsid w:val="7F531E4A"/>
    <w:rsid w:val="7F5325AB"/>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Calibri" w:hAnsi="Calibri" w:cs="黑体"/>
      <w:szCs w:val="22"/>
    </w:rPr>
  </w:style>
  <w:style w:type="paragraph" w:styleId="7">
    <w:name w:val="annotation text"/>
    <w:basedOn w:val="1"/>
    <w:qFormat/>
    <w:uiPriority w:val="0"/>
    <w:pPr>
      <w:jc w:val="left"/>
    </w:pPr>
  </w:style>
  <w:style w:type="paragraph" w:styleId="8">
    <w:name w:val="Body Text"/>
    <w:basedOn w:val="1"/>
    <w:link w:val="51"/>
    <w:qFormat/>
    <w:uiPriority w:val="0"/>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0"/>
    <w:pPr>
      <w:ind w:left="1680" w:leftChars="800"/>
    </w:pPr>
    <w:rPr>
      <w:rFonts w:ascii="Calibri" w:hAnsi="Calibri" w:cs="黑体"/>
      <w:szCs w:val="22"/>
    </w:rPr>
  </w:style>
  <w:style w:type="paragraph" w:styleId="12">
    <w:name w:val="toc 3"/>
    <w:basedOn w:val="1"/>
    <w:next w:val="1"/>
    <w:qFormat/>
    <w:uiPriority w:val="0"/>
    <w:pPr>
      <w:ind w:left="840" w:leftChars="400"/>
    </w:pPr>
    <w:rPr>
      <w:rFonts w:ascii="Calibri" w:hAnsi="Calibri" w:cs="黑体"/>
      <w:szCs w:val="22"/>
    </w:rPr>
  </w:style>
  <w:style w:type="paragraph" w:styleId="13">
    <w:name w:val="Plain Text"/>
    <w:basedOn w:val="1"/>
    <w:unhideWhenUsed/>
    <w:qFormat/>
    <w:uiPriority w:val="99"/>
    <w:rPr>
      <w:rFonts w:ascii="宋体" w:hAnsi="Courier New" w:cs="Courier New"/>
      <w:szCs w:val="21"/>
    </w:rPr>
  </w:style>
  <w:style w:type="paragraph" w:styleId="14">
    <w:name w:val="toc 8"/>
    <w:basedOn w:val="1"/>
    <w:next w:val="1"/>
    <w:qFormat/>
    <w:uiPriority w:val="0"/>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59"/>
    <w:qFormat/>
    <w:uiPriority w:val="0"/>
    <w:rPr>
      <w:sz w:val="18"/>
      <w:szCs w:val="18"/>
    </w:rPr>
  </w:style>
  <w:style w:type="paragraph" w:styleId="17">
    <w:name w:val="footer"/>
    <w:basedOn w:val="1"/>
    <w:link w:val="64"/>
    <w:qFormat/>
    <w:uiPriority w:val="0"/>
    <w:pPr>
      <w:tabs>
        <w:tab w:val="center" w:pos="4153"/>
        <w:tab w:val="right" w:pos="8306"/>
      </w:tabs>
      <w:snapToGrid w:val="0"/>
      <w:jc w:val="left"/>
    </w:pPr>
    <w:rPr>
      <w:sz w:val="18"/>
      <w:szCs w:val="18"/>
    </w:rPr>
  </w:style>
  <w:style w:type="paragraph" w:styleId="18">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spacing w:before="120" w:after="120"/>
      <w:jc w:val="left"/>
    </w:pPr>
    <w:rPr>
      <w:caps/>
      <w:sz w:val="20"/>
      <w:szCs w:val="20"/>
    </w:rPr>
  </w:style>
  <w:style w:type="paragraph" w:styleId="20">
    <w:name w:val="toc 4"/>
    <w:basedOn w:val="1"/>
    <w:next w:val="1"/>
    <w:qFormat/>
    <w:uiPriority w:val="0"/>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0"/>
    <w:pPr>
      <w:ind w:left="2100" w:leftChars="1000"/>
    </w:pPr>
    <w:rPr>
      <w:rFonts w:ascii="Calibri" w:hAnsi="Calibri" w:cs="黑体"/>
      <w:szCs w:val="22"/>
    </w:rPr>
  </w:style>
  <w:style w:type="paragraph" w:styleId="23">
    <w:name w:val="toc 2"/>
    <w:basedOn w:val="1"/>
    <w:next w:val="1"/>
    <w:qFormat/>
    <w:uiPriority w:val="0"/>
    <w:pPr>
      <w:ind w:left="210"/>
      <w:jc w:val="left"/>
    </w:pPr>
    <w:rPr>
      <w:smallCaps/>
      <w:sz w:val="20"/>
      <w:szCs w:val="20"/>
    </w:rPr>
  </w:style>
  <w:style w:type="paragraph" w:styleId="24">
    <w:name w:val="toc 9"/>
    <w:basedOn w:val="1"/>
    <w:next w:val="1"/>
    <w:qFormat/>
    <w:uiPriority w:val="0"/>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Body Text First Indent"/>
    <w:basedOn w:val="8"/>
    <w:next w:val="1"/>
    <w:qFormat/>
    <w:uiPriority w:val="0"/>
    <w:pPr>
      <w:spacing w:line="275" w:lineRule="atLeast"/>
      <w:ind w:firstLine="420"/>
    </w:pPr>
    <w:rPr>
      <w:rFonts w:eastAsia="楷体"/>
      <w:kern w:val="1"/>
      <w:sz w:val="26"/>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qFormat/>
    <w:uiPriority w:val="0"/>
    <w:rPr>
      <w:color w:val="800080"/>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basedOn w:val="30"/>
    <w:qFormat/>
    <w:uiPriority w:val="0"/>
    <w:rPr>
      <w:color w:val="0000FF"/>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5">
    <w:name w:val="BodyText"/>
    <w:basedOn w:val="1"/>
    <w:next w:val="1"/>
    <w:qFormat/>
    <w:uiPriority w:val="0"/>
    <w:pPr>
      <w:spacing w:after="120"/>
    </w:p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Table Paragraph"/>
    <w:basedOn w:val="1"/>
    <w:qFormat/>
    <w:uiPriority w:val="1"/>
  </w:style>
  <w:style w:type="character" w:customStyle="1" w:styleId="48">
    <w:name w:val="正文文本 (2)_"/>
    <w:link w:val="49"/>
    <w:qFormat/>
    <w:uiPriority w:val="0"/>
    <w:rPr>
      <w:rFonts w:ascii="宋体" w:hAnsi="宋体"/>
      <w:kern w:val="0"/>
      <w:sz w:val="20"/>
      <w:szCs w:val="20"/>
    </w:rPr>
  </w:style>
  <w:style w:type="paragraph" w:customStyle="1" w:styleId="49">
    <w:name w:val="正文文本 (2)1"/>
    <w:basedOn w:val="1"/>
    <w:link w:val="48"/>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0">
    <w:name w:val="无间隔2"/>
    <w:basedOn w:val="1"/>
    <w:qFormat/>
    <w:uiPriority w:val="0"/>
    <w:pPr>
      <w:spacing w:line="400" w:lineRule="exact"/>
    </w:pPr>
    <w:rPr>
      <w:sz w:val="24"/>
    </w:rPr>
  </w:style>
  <w:style w:type="character" w:customStyle="1" w:styleId="51">
    <w:name w:val="正文文本 Char"/>
    <w:basedOn w:val="30"/>
    <w:link w:val="8"/>
    <w:qFormat/>
    <w:uiPriority w:val="0"/>
    <w:rPr>
      <w:kern w:val="2"/>
      <w:sz w:val="21"/>
      <w:szCs w:val="24"/>
    </w:rPr>
  </w:style>
  <w:style w:type="paragraph" w:customStyle="1" w:styleId="52">
    <w:name w:val="无间隔1"/>
    <w:basedOn w:val="1"/>
    <w:qFormat/>
    <w:uiPriority w:val="0"/>
    <w:pPr>
      <w:spacing w:line="400" w:lineRule="exact"/>
    </w:pPr>
    <w:rPr>
      <w:sz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UserStyle_186"/>
    <w:basedOn w:val="1"/>
    <w:qFormat/>
    <w:uiPriority w:val="0"/>
    <w:rPr>
      <w:rFonts w:ascii="宋体" w:hAnsi="宋体"/>
      <w:lang w:val="zh-CN" w:bidi="zh-CN"/>
    </w:rPr>
  </w:style>
  <w:style w:type="character" w:customStyle="1" w:styleId="55">
    <w:name w:val="NormalCharacter"/>
    <w:semiHidden/>
    <w:qFormat/>
    <w:uiPriority w:val="0"/>
  </w:style>
  <w:style w:type="paragraph" w:customStyle="1" w:styleId="56">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
    <w:name w:val="列表段落"/>
    <w:basedOn w:val="1"/>
    <w:qFormat/>
    <w:uiPriority w:val="0"/>
    <w:pPr>
      <w:ind w:firstLine="420" w:firstLineChars="200"/>
    </w:pPr>
    <w:rPr>
      <w:sz w:val="28"/>
      <w:szCs w:val="28"/>
    </w:rPr>
  </w:style>
  <w:style w:type="paragraph" w:customStyle="1" w:styleId="58">
    <w:name w:val="招标正文"/>
    <w:basedOn w:val="1"/>
    <w:qFormat/>
    <w:uiPriority w:val="0"/>
    <w:pPr>
      <w:spacing w:line="300" w:lineRule="auto"/>
      <w:ind w:firstLine="420" w:firstLineChars="200"/>
    </w:pPr>
    <w:rPr>
      <w:rFonts w:ascii="Calibri" w:hAnsi="Calibri"/>
      <w:szCs w:val="18"/>
    </w:rPr>
  </w:style>
  <w:style w:type="character" w:customStyle="1" w:styleId="59">
    <w:name w:val="批注框文本 Char"/>
    <w:basedOn w:val="30"/>
    <w:link w:val="16"/>
    <w:qFormat/>
    <w:uiPriority w:val="0"/>
    <w:rPr>
      <w:kern w:val="2"/>
      <w:sz w:val="18"/>
      <w:szCs w:val="18"/>
    </w:rPr>
  </w:style>
  <w:style w:type="paragraph" w:customStyle="1" w:styleId="60">
    <w:name w:val="UserStyle_348"/>
    <w:basedOn w:val="1"/>
    <w:qFormat/>
    <w:uiPriority w:val="0"/>
    <w:pPr>
      <w:spacing w:line="288" w:lineRule="auto"/>
      <w:ind w:left="200" w:hanging="20"/>
      <w:textAlignment w:val="baseline"/>
    </w:pPr>
    <w:rPr>
      <w:color w:val="000000"/>
      <w:sz w:val="24"/>
    </w:rPr>
  </w:style>
  <w:style w:type="paragraph" w:styleId="61">
    <w:name w:val="List Paragraph"/>
    <w:basedOn w:val="1"/>
    <w:unhideWhenUsed/>
    <w:qFormat/>
    <w:uiPriority w:val="99"/>
    <w:pPr>
      <w:ind w:firstLine="420" w:firstLineChars="200"/>
    </w:pPr>
  </w:style>
  <w:style w:type="character" w:customStyle="1" w:styleId="62">
    <w:name w:val="标题 3 Char"/>
    <w:link w:val="4"/>
    <w:qFormat/>
    <w:uiPriority w:val="0"/>
    <w:rPr>
      <w:b/>
      <w:bCs/>
      <w:kern w:val="2"/>
      <w:sz w:val="32"/>
      <w:szCs w:val="32"/>
    </w:rPr>
  </w:style>
  <w:style w:type="character" w:customStyle="1" w:styleId="63">
    <w:name w:val="页眉 Char"/>
    <w:link w:val="18"/>
    <w:qFormat/>
    <w:uiPriority w:val="0"/>
    <w:rPr>
      <w:kern w:val="2"/>
      <w:sz w:val="18"/>
      <w:szCs w:val="18"/>
    </w:rPr>
  </w:style>
  <w:style w:type="character" w:customStyle="1" w:styleId="64">
    <w:name w:val="页脚 Char"/>
    <w:link w:val="17"/>
    <w:qFormat/>
    <w:uiPriority w:val="0"/>
    <w:rPr>
      <w:kern w:val="2"/>
      <w:sz w:val="18"/>
      <w:szCs w:val="18"/>
    </w:rPr>
  </w:style>
  <w:style w:type="character" w:customStyle="1" w:styleId="65">
    <w:name w:val="纯文本 Char"/>
    <w:link w:val="66"/>
    <w:qFormat/>
    <w:uiPriority w:val="0"/>
    <w:rPr>
      <w:rFonts w:ascii="黑体" w:eastAsia="黑体"/>
      <w:sz w:val="28"/>
      <w:lang w:eastAsia="en-US"/>
    </w:rPr>
  </w:style>
  <w:style w:type="paragraph" w:customStyle="1" w:styleId="66">
    <w:name w:val="纯文本1"/>
    <w:basedOn w:val="1"/>
    <w:link w:val="65"/>
    <w:qFormat/>
    <w:uiPriority w:val="0"/>
    <w:pPr>
      <w:spacing w:line="580" w:lineRule="exact"/>
      <w:ind w:right="-197" w:firstLine="200" w:firstLineChars="200"/>
    </w:pPr>
    <w:rPr>
      <w:rFonts w:ascii="黑体" w:eastAsia="黑体"/>
      <w:kern w:val="0"/>
      <w:sz w:val="28"/>
      <w:szCs w:val="20"/>
      <w:lang w:eastAsia="en-US"/>
    </w:rPr>
  </w:style>
  <w:style w:type="character" w:customStyle="1" w:styleId="67">
    <w:name w:val="批注引用1"/>
    <w:qFormat/>
    <w:uiPriority w:val="0"/>
    <w:rPr>
      <w:sz w:val="21"/>
      <w:szCs w:val="21"/>
    </w:rPr>
  </w:style>
  <w:style w:type="paragraph" w:customStyle="1" w:styleId="68">
    <w:name w:val="p0"/>
    <w:basedOn w:val="1"/>
    <w:qFormat/>
    <w:uiPriority w:val="0"/>
    <w:rPr>
      <w:szCs w:val="21"/>
    </w:rPr>
  </w:style>
  <w:style w:type="paragraph" w:customStyle="1" w:styleId="69">
    <w:name w:val="修订1"/>
    <w:qFormat/>
    <w:uiPriority w:val="0"/>
    <w:rPr>
      <w:rFonts w:ascii="Calibri" w:hAnsi="Calibri" w:eastAsia="宋体" w:cs="黑体"/>
      <w:kern w:val="2"/>
      <w:sz w:val="21"/>
      <w:szCs w:val="22"/>
      <w:lang w:val="en-US" w:eastAsia="zh-CN" w:bidi="ar-SA"/>
    </w:rPr>
  </w:style>
  <w:style w:type="paragraph" w:customStyle="1" w:styleId="7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2">
    <w:name w:val="表体"/>
    <w:basedOn w:val="1"/>
    <w:next w:val="1"/>
    <w:qFormat/>
    <w:uiPriority w:val="0"/>
    <w:pPr>
      <w:spacing w:line="0" w:lineRule="atLeast"/>
    </w:pPr>
    <w:rPr>
      <w:b/>
      <w:snapToGrid w:val="0"/>
      <w:szCs w:val="20"/>
    </w:rPr>
  </w:style>
  <w:style w:type="paragraph" w:customStyle="1" w:styleId="73">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38552</Words>
  <Characters>41222</Characters>
  <Lines>99</Lines>
  <Paragraphs>98</Paragraphs>
  <TotalTime>7</TotalTime>
  <ScaleCrop>false</ScaleCrop>
  <LinksUpToDate>false</LinksUpToDate>
  <CharactersWithSpaces>43740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2020-12-22T07:34:00Z</dcterms:created>
  <dc:creator>xiaomi</dc:creator>
  <cp:lastModifiedBy>阿胖财神</cp:lastModifiedBy>
  <cp:lastPrinted>2023-08-04T09:00:00Z</cp:lastPrinted>
  <dcterms:modified xsi:type="dcterms:W3CDTF">2025-06-06T13:27:25Z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3E71866377744DCD950C26389015FC04_13</vt:lpwstr>
  </property>
  <property fmtid="{D5CDD505-2E9C-101B-9397-08002B2CF9AE}" pid="4" name="KSOTemplateDocerSaveRecord">
    <vt:lpwstr>eyJoZGlkIjoiYzAzZGIxNDY5ZjUzZTQ2OGI0NGM1MTU3MGQ5MTYzNDIifQ==</vt:lpwstr>
  </property>
</Properties>
</file>