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52E120">
      <w:pPr>
        <w:spacing w:line="360" w:lineRule="auto"/>
        <w:jc w:val="center"/>
        <w:outlineLvl w:val="0"/>
        <w:rPr>
          <w:rFonts w:hint="eastAsia" w:ascii="宋体" w:hAnsi="宋体" w:eastAsia="宋体" w:cs="宋体"/>
          <w:b/>
          <w:bCs/>
          <w:color w:val="auto"/>
          <w:spacing w:val="80"/>
          <w:sz w:val="72"/>
          <w:szCs w:val="72"/>
          <w:highlight w:val="none"/>
        </w:rPr>
      </w:pPr>
      <w:bookmarkStart w:id="0" w:name="_Toc1078"/>
      <w:bookmarkStart w:id="1" w:name="_Toc9880"/>
      <w:bookmarkStart w:id="2" w:name="_Toc6460"/>
      <w:bookmarkStart w:id="3" w:name="_Toc2521"/>
      <w:bookmarkStart w:id="4" w:name="_Toc32522"/>
      <w:bookmarkStart w:id="5" w:name="_Toc30252"/>
      <w:bookmarkStart w:id="6" w:name="_Toc7730"/>
      <w:bookmarkStart w:id="7" w:name="_Toc27179"/>
      <w:bookmarkStart w:id="8" w:name="_Toc16646"/>
      <w:bookmarkStart w:id="9" w:name="_Toc7325"/>
      <w:bookmarkStart w:id="10" w:name="_Toc9203"/>
      <w:bookmarkStart w:id="11" w:name="_Toc3994"/>
    </w:p>
    <w:p w14:paraId="7F0251B6">
      <w:pPr>
        <w:spacing w:line="360" w:lineRule="auto"/>
        <w:jc w:val="center"/>
        <w:rPr>
          <w:rFonts w:hint="eastAsia" w:ascii="宋体" w:hAnsi="宋体" w:eastAsia="宋体" w:cs="宋体"/>
          <w:b/>
          <w:bCs/>
          <w:color w:val="auto"/>
          <w:spacing w:val="80"/>
          <w:sz w:val="72"/>
          <w:szCs w:val="72"/>
          <w:highlight w:val="none"/>
        </w:rPr>
      </w:pPr>
      <w:bookmarkStart w:id="12" w:name="_Toc13999"/>
      <w:bookmarkStart w:id="13" w:name="_Toc22009"/>
      <w:r>
        <w:rPr>
          <w:rFonts w:hint="eastAsia" w:ascii="宋体" w:hAnsi="宋体" w:eastAsia="宋体" w:cs="宋体"/>
          <w:b/>
          <w:bCs/>
          <w:color w:val="auto"/>
          <w:spacing w:val="80"/>
          <w:sz w:val="72"/>
          <w:szCs w:val="72"/>
          <w:highlight w:val="none"/>
        </w:rPr>
        <w:t>行采家电子竞采</w:t>
      </w:r>
      <w:bookmarkEnd w:id="0"/>
      <w:bookmarkEnd w:id="1"/>
      <w:bookmarkEnd w:id="2"/>
      <w:bookmarkEnd w:id="3"/>
      <w:bookmarkEnd w:id="4"/>
      <w:bookmarkEnd w:id="5"/>
      <w:bookmarkEnd w:id="6"/>
      <w:bookmarkEnd w:id="7"/>
      <w:bookmarkEnd w:id="8"/>
      <w:bookmarkEnd w:id="9"/>
      <w:bookmarkEnd w:id="10"/>
      <w:bookmarkEnd w:id="11"/>
      <w:bookmarkStart w:id="14" w:name="_Toc15023"/>
      <w:bookmarkStart w:id="15" w:name="_Toc3071"/>
      <w:r>
        <w:rPr>
          <w:rFonts w:hint="eastAsia" w:ascii="宋体" w:hAnsi="宋体" w:eastAsia="宋体" w:cs="宋体"/>
          <w:b/>
          <w:bCs/>
          <w:color w:val="auto"/>
          <w:spacing w:val="80"/>
          <w:sz w:val="72"/>
          <w:szCs w:val="72"/>
          <w:highlight w:val="none"/>
        </w:rPr>
        <w:t>文件</w:t>
      </w:r>
      <w:bookmarkEnd w:id="12"/>
      <w:bookmarkEnd w:id="13"/>
      <w:bookmarkEnd w:id="14"/>
      <w:bookmarkEnd w:id="15"/>
    </w:p>
    <w:p w14:paraId="65E8D00A">
      <w:pPr>
        <w:spacing w:line="360" w:lineRule="auto"/>
        <w:jc w:val="center"/>
        <w:rPr>
          <w:rFonts w:hint="eastAsia" w:ascii="宋体" w:hAnsi="宋体" w:eastAsia="宋体" w:cs="宋体"/>
          <w:b/>
          <w:bCs/>
          <w:color w:val="auto"/>
          <w:spacing w:val="80"/>
          <w:sz w:val="48"/>
          <w:szCs w:val="48"/>
          <w:highlight w:val="none"/>
        </w:rPr>
      </w:pPr>
      <w:r>
        <w:rPr>
          <w:rFonts w:hint="eastAsia" w:ascii="宋体" w:hAnsi="宋体" w:eastAsia="宋体" w:cs="宋体"/>
          <w:b/>
          <w:bCs/>
          <w:color w:val="auto"/>
          <w:spacing w:val="80"/>
          <w:sz w:val="48"/>
          <w:szCs w:val="48"/>
          <w:highlight w:val="none"/>
        </w:rPr>
        <w:t>（网上询比）</w:t>
      </w:r>
    </w:p>
    <w:p w14:paraId="187AB1D8">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0BFD07BC">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5EE08439">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6FFE08E4">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2DD6F498">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3B923C85">
      <w:pPr>
        <w:pageBreakBefore w:val="0"/>
        <w:kinsoku/>
        <w:wordWrap/>
        <w:overflowPunct/>
        <w:topLinePunct w:val="0"/>
        <w:autoSpaceDE/>
        <w:autoSpaceDN/>
        <w:bidi w:val="0"/>
        <w:adjustRightInd/>
        <w:snapToGrid w:val="0"/>
        <w:spacing w:line="560" w:lineRule="exact"/>
        <w:ind w:right="0"/>
        <w:jc w:val="center"/>
        <w:textAlignment w:val="auto"/>
        <w:rPr>
          <w:rFonts w:hint="eastAsia" w:asciiTheme="minorEastAsia" w:hAnsiTheme="minorEastAsia" w:eastAsiaTheme="minorEastAsia" w:cstheme="minorEastAsia"/>
          <w:color w:val="auto"/>
          <w:sz w:val="32"/>
          <w:szCs w:val="32"/>
          <w:highlight w:val="none"/>
          <w:lang w:eastAsia="zh-CN"/>
        </w:rPr>
      </w:pPr>
      <w:bookmarkStart w:id="16" w:name="_Toc4784"/>
      <w:bookmarkStart w:id="17" w:name="_Toc4800"/>
      <w:bookmarkStart w:id="18" w:name="_Toc29254"/>
      <w:r>
        <w:rPr>
          <w:rFonts w:hint="eastAsia" w:asciiTheme="minorEastAsia" w:hAnsiTheme="minorEastAsia" w:eastAsiaTheme="minorEastAsia" w:cstheme="minorEastAsia"/>
          <w:color w:val="auto"/>
          <w:sz w:val="32"/>
          <w:szCs w:val="32"/>
          <w:highlight w:val="none"/>
        </w:rPr>
        <w:t>项目名称：</w:t>
      </w:r>
      <w:bookmarkEnd w:id="16"/>
      <w:bookmarkEnd w:id="17"/>
      <w:bookmarkEnd w:id="18"/>
      <w:r>
        <w:rPr>
          <w:rFonts w:hint="eastAsia" w:asciiTheme="minorEastAsia" w:hAnsiTheme="minorEastAsia" w:eastAsiaTheme="minorEastAsia" w:cstheme="minorEastAsia"/>
          <w:color w:val="auto"/>
          <w:sz w:val="32"/>
          <w:szCs w:val="32"/>
          <w:highlight w:val="none"/>
          <w:lang w:eastAsia="zh-CN"/>
        </w:rPr>
        <w:t>重庆农业执法好人好故事宣传</w:t>
      </w:r>
    </w:p>
    <w:p w14:paraId="30CE5B88">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24676E55">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3CEDE5AB">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5F8A01F7">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662FC5E2">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74A81455">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7123F8E6">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78670F5C">
      <w:pPr>
        <w:pageBreakBefore w:val="0"/>
        <w:kinsoku/>
        <w:wordWrap/>
        <w:overflowPunct/>
        <w:topLinePunct w:val="0"/>
        <w:autoSpaceDE/>
        <w:autoSpaceDN/>
        <w:bidi w:val="0"/>
        <w:adjustRightInd/>
        <w:snapToGrid w:val="0"/>
        <w:spacing w:line="560" w:lineRule="exact"/>
        <w:ind w:left="0" w:leftChars="0" w:right="0" w:firstLine="1600" w:firstLineChars="500"/>
        <w:textAlignment w:val="auto"/>
        <w:rPr>
          <w:rFonts w:hint="eastAsia" w:asciiTheme="minorEastAsia" w:hAnsiTheme="minorEastAsia" w:eastAsiaTheme="minorEastAsia" w:cstheme="minorEastAsia"/>
          <w:color w:val="auto"/>
          <w:sz w:val="32"/>
          <w:szCs w:val="32"/>
          <w:highlight w:val="none"/>
        </w:rPr>
      </w:pPr>
      <w:bookmarkStart w:id="19" w:name="_Toc14170"/>
      <w:bookmarkStart w:id="20" w:name="_Toc12327"/>
      <w:bookmarkStart w:id="21" w:name="_Toc27739"/>
      <w:r>
        <w:rPr>
          <w:rFonts w:hint="eastAsia" w:asciiTheme="minorEastAsia" w:hAnsiTheme="minorEastAsia" w:eastAsiaTheme="minorEastAsia" w:cstheme="minorEastAsia"/>
          <w:color w:val="auto"/>
          <w:sz w:val="32"/>
          <w:szCs w:val="32"/>
          <w:highlight w:val="none"/>
        </w:rPr>
        <w:t>采  购 人：</w:t>
      </w:r>
      <w:bookmarkEnd w:id="19"/>
      <w:r>
        <w:rPr>
          <w:rFonts w:hint="eastAsia" w:asciiTheme="minorEastAsia" w:hAnsiTheme="minorEastAsia" w:eastAsiaTheme="minorEastAsia" w:cstheme="minorEastAsia"/>
          <w:color w:val="auto"/>
          <w:sz w:val="32"/>
          <w:szCs w:val="32"/>
          <w:highlight w:val="none"/>
        </w:rPr>
        <w:t>重庆市农业综合行政执法总队</w:t>
      </w:r>
      <w:bookmarkEnd w:id="20"/>
      <w:bookmarkEnd w:id="21"/>
    </w:p>
    <w:p w14:paraId="17C26D1C">
      <w:pPr>
        <w:pageBreakBefore w:val="0"/>
        <w:kinsoku/>
        <w:wordWrap/>
        <w:overflowPunct/>
        <w:topLinePunct w:val="0"/>
        <w:autoSpaceDE/>
        <w:autoSpaceDN/>
        <w:bidi w:val="0"/>
        <w:adjustRightInd/>
        <w:snapToGrid w:val="0"/>
        <w:spacing w:line="560" w:lineRule="exact"/>
        <w:ind w:left="0" w:leftChars="0" w:right="0" w:firstLine="1600" w:firstLineChars="500"/>
        <w:textAlignment w:val="auto"/>
        <w:rPr>
          <w:rFonts w:hint="eastAsia" w:asciiTheme="minorEastAsia" w:hAnsiTheme="minorEastAsia" w:eastAsiaTheme="minorEastAsia" w:cstheme="minorEastAsia"/>
          <w:color w:val="auto"/>
          <w:sz w:val="32"/>
          <w:szCs w:val="32"/>
          <w:highlight w:val="none"/>
        </w:rPr>
      </w:pPr>
      <w:bookmarkStart w:id="22" w:name="_Toc11034"/>
      <w:bookmarkStart w:id="23" w:name="_Toc17732"/>
      <w:bookmarkStart w:id="24" w:name="_Toc19959"/>
      <w:r>
        <w:rPr>
          <w:rFonts w:hint="eastAsia" w:asciiTheme="minorEastAsia" w:hAnsiTheme="minorEastAsia" w:eastAsiaTheme="minorEastAsia" w:cstheme="minorEastAsia"/>
          <w:color w:val="auto"/>
          <w:sz w:val="32"/>
          <w:szCs w:val="32"/>
          <w:highlight w:val="none"/>
        </w:rPr>
        <w:t>采购代理机构：重庆方采工程项目管理咨询有限公司</w:t>
      </w:r>
      <w:bookmarkEnd w:id="22"/>
      <w:bookmarkEnd w:id="23"/>
      <w:bookmarkEnd w:id="24"/>
    </w:p>
    <w:p w14:paraId="140014F4">
      <w:pPr>
        <w:pageBreakBefore w:val="0"/>
        <w:kinsoku/>
        <w:wordWrap/>
        <w:overflowPunct/>
        <w:topLinePunct w:val="0"/>
        <w:autoSpaceDE/>
        <w:autoSpaceDN/>
        <w:bidi w:val="0"/>
        <w:adjustRightInd/>
        <w:snapToGrid w:val="0"/>
        <w:spacing w:line="560" w:lineRule="exact"/>
        <w:ind w:left="0" w:leftChars="0" w:right="0" w:firstLine="640" w:firstLineChars="200"/>
        <w:textAlignment w:val="auto"/>
        <w:rPr>
          <w:rFonts w:hint="eastAsia" w:asciiTheme="minorEastAsia" w:hAnsiTheme="minorEastAsia" w:eastAsiaTheme="minorEastAsia" w:cstheme="minorEastAsia"/>
          <w:color w:val="auto"/>
          <w:sz w:val="32"/>
          <w:szCs w:val="32"/>
          <w:highlight w:val="none"/>
        </w:rPr>
      </w:pPr>
    </w:p>
    <w:p w14:paraId="7155DEB8">
      <w:pPr>
        <w:pageBreakBefore w:val="0"/>
        <w:kinsoku/>
        <w:wordWrap/>
        <w:overflowPunct/>
        <w:topLinePunct w:val="0"/>
        <w:autoSpaceDE/>
        <w:autoSpaceDN/>
        <w:bidi w:val="0"/>
        <w:adjustRightInd/>
        <w:snapToGrid w:val="0"/>
        <w:spacing w:line="560" w:lineRule="exact"/>
        <w:ind w:left="0" w:leftChars="0" w:right="0" w:firstLine="640" w:firstLineChars="200"/>
        <w:jc w:val="center"/>
        <w:textAlignment w:val="auto"/>
        <w:rPr>
          <w:rFonts w:hint="eastAsia" w:asciiTheme="minorEastAsia" w:hAnsiTheme="minorEastAsia" w:eastAsiaTheme="minorEastAsia" w:cstheme="minorEastAsia"/>
          <w:color w:val="auto"/>
          <w:sz w:val="32"/>
          <w:szCs w:val="32"/>
          <w:highlight w:val="none"/>
        </w:rPr>
      </w:pPr>
      <w:bookmarkStart w:id="25" w:name="_Toc15358"/>
      <w:bookmarkStart w:id="26" w:name="_Toc5548"/>
      <w:bookmarkStart w:id="27" w:name="_Toc6099"/>
      <w:r>
        <w:rPr>
          <w:rFonts w:hint="eastAsia" w:asciiTheme="minorEastAsia" w:hAnsiTheme="minorEastAsia" w:eastAsiaTheme="minorEastAsia" w:cstheme="minorEastAsia"/>
          <w:color w:val="auto"/>
          <w:sz w:val="32"/>
          <w:szCs w:val="32"/>
          <w:highlight w:val="none"/>
        </w:rPr>
        <w:t>二○二五年</w:t>
      </w:r>
      <w:r>
        <w:rPr>
          <w:rFonts w:hint="eastAsia" w:asciiTheme="minorEastAsia" w:hAnsiTheme="minorEastAsia" w:eastAsiaTheme="minorEastAsia" w:cstheme="minorEastAsia"/>
          <w:color w:val="auto"/>
          <w:sz w:val="32"/>
          <w:szCs w:val="32"/>
          <w:highlight w:val="none"/>
          <w:lang w:val="en-US" w:eastAsia="zh-CN"/>
        </w:rPr>
        <w:t>六</w:t>
      </w:r>
      <w:r>
        <w:rPr>
          <w:rFonts w:hint="eastAsia" w:asciiTheme="minorEastAsia" w:hAnsiTheme="minorEastAsia" w:eastAsiaTheme="minorEastAsia" w:cstheme="minorEastAsia"/>
          <w:color w:val="auto"/>
          <w:sz w:val="32"/>
          <w:szCs w:val="32"/>
          <w:highlight w:val="none"/>
        </w:rPr>
        <w:t>月</w:t>
      </w:r>
      <w:bookmarkEnd w:id="25"/>
      <w:bookmarkEnd w:id="26"/>
      <w:bookmarkEnd w:id="27"/>
    </w:p>
    <w:p w14:paraId="05CB1620">
      <w:pPr>
        <w:pStyle w:val="22"/>
        <w:pageBreakBefore w:val="0"/>
        <w:kinsoku/>
        <w:wordWrap/>
        <w:overflowPunct/>
        <w:topLinePunct w:val="0"/>
        <w:autoSpaceDE/>
        <w:autoSpaceDN/>
        <w:bidi w:val="0"/>
        <w:adjustRightInd/>
        <w:spacing w:line="560" w:lineRule="exact"/>
        <w:ind w:left="0" w:leftChars="0" w:right="0"/>
        <w:jc w:val="center"/>
        <w:textAlignment w:val="auto"/>
        <w:outlineLvl w:val="0"/>
        <w:rPr>
          <w:rFonts w:hint="eastAsia" w:asciiTheme="minorEastAsia" w:hAnsiTheme="minorEastAsia" w:eastAsiaTheme="minorEastAsia" w:cstheme="minorEastAsia"/>
          <w:b/>
          <w:bCs/>
          <w:color w:val="auto"/>
          <w:sz w:val="28"/>
          <w:szCs w:val="28"/>
          <w:highlight w:val="none"/>
        </w:rPr>
      </w:pPr>
      <w:bookmarkStart w:id="28" w:name="_Toc89"/>
    </w:p>
    <w:p w14:paraId="454ED6BF">
      <w:pPr>
        <w:pStyle w:val="22"/>
        <w:pageBreakBefore w:val="0"/>
        <w:kinsoku/>
        <w:wordWrap/>
        <w:overflowPunct/>
        <w:topLinePunct w:val="0"/>
        <w:autoSpaceDE/>
        <w:autoSpaceDN/>
        <w:bidi w:val="0"/>
        <w:adjustRightInd/>
        <w:spacing w:line="560" w:lineRule="exact"/>
        <w:ind w:left="0" w:leftChars="0" w:right="0"/>
        <w:jc w:val="center"/>
        <w:textAlignment w:val="auto"/>
        <w:outlineLvl w:val="0"/>
        <w:rPr>
          <w:rFonts w:hint="eastAsia" w:asciiTheme="minorEastAsia" w:hAnsiTheme="minorEastAsia" w:eastAsiaTheme="minorEastAsia" w:cstheme="minorEastAsia"/>
          <w:b/>
          <w:bCs/>
          <w:color w:val="auto"/>
          <w:sz w:val="28"/>
          <w:szCs w:val="28"/>
          <w:highlight w:val="none"/>
        </w:rPr>
        <w:sectPr>
          <w:footerReference r:id="rId3" w:type="default"/>
          <w:pgSz w:w="11907" w:h="16840"/>
          <w:pgMar w:top="1134" w:right="1134" w:bottom="1134" w:left="1134" w:header="850" w:footer="992" w:gutter="0"/>
          <w:pgNumType w:start="1"/>
          <w:cols w:space="720" w:num="1"/>
          <w:docGrid w:linePitch="312" w:charSpace="0"/>
        </w:sectPr>
      </w:pPr>
    </w:p>
    <w:bookmarkEnd w:id="28"/>
    <w:sdt>
      <w:sdtPr>
        <w:rPr>
          <w:rFonts w:ascii="宋体" w:hAnsi="宋体" w:eastAsia="宋体" w:cs="Times New Roman"/>
          <w:b/>
          <w:bCs/>
          <w:kern w:val="2"/>
          <w:sz w:val="36"/>
          <w:szCs w:val="36"/>
          <w:lang w:val="en-US" w:eastAsia="zh-CN" w:bidi="ar-SA"/>
        </w:rPr>
        <w:id w:val="147463972"/>
        <w15:color w:val="DBDBDB"/>
        <w:docPartObj>
          <w:docPartGallery w:val="Table of Contents"/>
          <w:docPartUnique/>
        </w:docPartObj>
      </w:sdtPr>
      <w:sdtEndPr>
        <w:rPr>
          <w:rFonts w:ascii="宋体" w:hAnsi="宋体" w:eastAsia="宋体" w:cs="Times New Roman"/>
          <w:b/>
          <w:bCs/>
          <w:kern w:val="2"/>
          <w:sz w:val="36"/>
          <w:szCs w:val="36"/>
          <w:lang w:val="en-US" w:eastAsia="zh-CN" w:bidi="ar-SA"/>
        </w:rPr>
      </w:sdtEndPr>
      <w:sdtContent>
        <w:p w14:paraId="423512B2">
          <w:pPr>
            <w:spacing w:before="0" w:beforeLines="0" w:after="0" w:afterLines="0" w:line="240" w:lineRule="auto"/>
            <w:ind w:left="0" w:leftChars="0" w:right="0" w:rightChars="0" w:firstLine="0" w:firstLineChars="0"/>
            <w:jc w:val="center"/>
            <w:rPr>
              <w:b/>
              <w:bCs/>
              <w:sz w:val="36"/>
              <w:szCs w:val="36"/>
            </w:rPr>
          </w:pPr>
          <w:bookmarkStart w:id="29" w:name="_Toc13032"/>
          <w:r>
            <w:rPr>
              <w:rFonts w:ascii="宋体" w:hAnsi="宋体" w:eastAsia="宋体"/>
              <w:b/>
              <w:bCs/>
              <w:sz w:val="36"/>
              <w:szCs w:val="36"/>
            </w:rPr>
            <w:t>目录</w:t>
          </w:r>
        </w:p>
        <w:p w14:paraId="50730A8C">
          <w:pPr>
            <w:pStyle w:val="17"/>
            <w:tabs>
              <w:tab w:val="right" w:leader="hyphen" w:pos="9637"/>
            </w:tabs>
          </w:pPr>
          <w:r>
            <w:fldChar w:fldCharType="begin"/>
          </w:r>
          <w:r>
            <w:instrText xml:space="preserve">TOC \o "1-1" \h \u </w:instrText>
          </w:r>
          <w:r>
            <w:fldChar w:fldCharType="separate"/>
          </w:r>
          <w:r>
            <w:fldChar w:fldCharType="begin"/>
          </w:r>
          <w:r>
            <w:instrText xml:space="preserve"> HYPERLINK \l _Toc18048 </w:instrText>
          </w:r>
          <w:r>
            <w:fldChar w:fldCharType="separate"/>
          </w:r>
          <w:r>
            <w:rPr>
              <w:rFonts w:hint="eastAsia" w:asciiTheme="minorEastAsia" w:hAnsiTheme="minorEastAsia" w:eastAsiaTheme="minorEastAsia" w:cstheme="minorEastAsia"/>
              <w:bCs/>
              <w:szCs w:val="36"/>
              <w:highlight w:val="none"/>
            </w:rPr>
            <w:t>第一篇 采购邀请书</w:t>
          </w:r>
          <w:r>
            <w:tab/>
          </w:r>
          <w:r>
            <w:fldChar w:fldCharType="begin"/>
          </w:r>
          <w:r>
            <w:instrText xml:space="preserve"> PAGEREF _Toc18048 \h </w:instrText>
          </w:r>
          <w:r>
            <w:fldChar w:fldCharType="separate"/>
          </w:r>
          <w:r>
            <w:t>- 2 -</w:t>
          </w:r>
          <w:r>
            <w:fldChar w:fldCharType="end"/>
          </w:r>
          <w:r>
            <w:fldChar w:fldCharType="end"/>
          </w:r>
        </w:p>
        <w:p w14:paraId="748CBD7F">
          <w:pPr>
            <w:pStyle w:val="17"/>
            <w:tabs>
              <w:tab w:val="right" w:leader="hyphen" w:pos="9637"/>
            </w:tabs>
          </w:pPr>
          <w:r>
            <w:fldChar w:fldCharType="begin"/>
          </w:r>
          <w:r>
            <w:instrText xml:space="preserve"> HYPERLINK \l _Toc22295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一、竞采项目内容</w:t>
          </w:r>
          <w:r>
            <w:tab/>
          </w:r>
          <w:r>
            <w:fldChar w:fldCharType="begin"/>
          </w:r>
          <w:r>
            <w:instrText xml:space="preserve"> PAGEREF _Toc22295 \h </w:instrText>
          </w:r>
          <w:r>
            <w:fldChar w:fldCharType="separate"/>
          </w:r>
          <w:r>
            <w:t>- 2 -</w:t>
          </w:r>
          <w:r>
            <w:fldChar w:fldCharType="end"/>
          </w:r>
          <w:r>
            <w:fldChar w:fldCharType="end"/>
          </w:r>
        </w:p>
        <w:p w14:paraId="2B4801EF">
          <w:pPr>
            <w:pStyle w:val="17"/>
            <w:tabs>
              <w:tab w:val="right" w:leader="hyphen" w:pos="9637"/>
            </w:tabs>
          </w:pPr>
          <w:r>
            <w:fldChar w:fldCharType="begin"/>
          </w:r>
          <w:r>
            <w:instrText xml:space="preserve"> HYPERLINK \l _Toc22440 </w:instrText>
          </w:r>
          <w:r>
            <w:fldChar w:fldCharType="separate"/>
          </w:r>
          <w:r>
            <w:rPr>
              <w:rFonts w:hint="eastAsia" w:asciiTheme="minorEastAsia" w:hAnsiTheme="minorEastAsia" w:eastAsiaTheme="minorEastAsia" w:cstheme="minorEastAsia"/>
              <w:bCs/>
              <w:kern w:val="44"/>
              <w:szCs w:val="24"/>
              <w:highlight w:val="none"/>
              <w:lang w:val="en-US" w:eastAsia="zh-CN" w:bidi="ar-SA"/>
            </w:rPr>
            <w:t>二、资金来源</w:t>
          </w:r>
          <w:r>
            <w:tab/>
          </w:r>
          <w:r>
            <w:fldChar w:fldCharType="begin"/>
          </w:r>
          <w:r>
            <w:instrText xml:space="preserve"> PAGEREF _Toc22440 \h </w:instrText>
          </w:r>
          <w:r>
            <w:fldChar w:fldCharType="separate"/>
          </w:r>
          <w:r>
            <w:t>- 2 -</w:t>
          </w:r>
          <w:r>
            <w:fldChar w:fldCharType="end"/>
          </w:r>
          <w:r>
            <w:fldChar w:fldCharType="end"/>
          </w:r>
        </w:p>
        <w:p w14:paraId="7203BF1E">
          <w:pPr>
            <w:pStyle w:val="17"/>
            <w:tabs>
              <w:tab w:val="right" w:leader="hyphen" w:pos="9637"/>
            </w:tabs>
          </w:pPr>
          <w:r>
            <w:fldChar w:fldCharType="begin"/>
          </w:r>
          <w:r>
            <w:instrText xml:space="preserve"> HYPERLINK \l _Toc29283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三、资格条件</w:t>
          </w:r>
          <w:r>
            <w:tab/>
          </w:r>
          <w:r>
            <w:fldChar w:fldCharType="begin"/>
          </w:r>
          <w:r>
            <w:instrText xml:space="preserve"> PAGEREF _Toc29283 \h </w:instrText>
          </w:r>
          <w:r>
            <w:fldChar w:fldCharType="separate"/>
          </w:r>
          <w:r>
            <w:t>- 2 -</w:t>
          </w:r>
          <w:r>
            <w:fldChar w:fldCharType="end"/>
          </w:r>
          <w:r>
            <w:fldChar w:fldCharType="end"/>
          </w:r>
        </w:p>
        <w:p w14:paraId="7E7355EA">
          <w:pPr>
            <w:pStyle w:val="17"/>
            <w:tabs>
              <w:tab w:val="right" w:leader="hyphen" w:pos="9637"/>
            </w:tabs>
          </w:pPr>
          <w:r>
            <w:fldChar w:fldCharType="begin"/>
          </w:r>
          <w:r>
            <w:instrText xml:space="preserve"> HYPERLINK \l _Toc29338 </w:instrText>
          </w:r>
          <w:r>
            <w:fldChar w:fldCharType="separate"/>
          </w:r>
          <w:r>
            <w:rPr>
              <w:rFonts w:hint="eastAsia" w:asciiTheme="minorEastAsia" w:hAnsiTheme="minorEastAsia" w:eastAsiaTheme="minorEastAsia" w:cstheme="minorEastAsia"/>
              <w:bCs/>
              <w:kern w:val="44"/>
              <w:szCs w:val="24"/>
              <w:highlight w:val="none"/>
              <w:lang w:val="en-US" w:eastAsia="zh-CN" w:bidi="ar-SA"/>
            </w:rPr>
            <w:t>四、竞采有关说明</w:t>
          </w:r>
          <w:r>
            <w:tab/>
          </w:r>
          <w:r>
            <w:fldChar w:fldCharType="begin"/>
          </w:r>
          <w:r>
            <w:instrText xml:space="preserve"> PAGEREF _Toc29338 \h </w:instrText>
          </w:r>
          <w:r>
            <w:fldChar w:fldCharType="separate"/>
          </w:r>
          <w:r>
            <w:t>- 2 -</w:t>
          </w:r>
          <w:r>
            <w:fldChar w:fldCharType="end"/>
          </w:r>
          <w:r>
            <w:fldChar w:fldCharType="end"/>
          </w:r>
        </w:p>
        <w:p w14:paraId="734E28E0">
          <w:pPr>
            <w:pStyle w:val="17"/>
            <w:tabs>
              <w:tab w:val="right" w:leader="hyphen" w:pos="9637"/>
            </w:tabs>
          </w:pPr>
          <w:r>
            <w:fldChar w:fldCharType="begin"/>
          </w:r>
          <w:r>
            <w:instrText xml:space="preserve"> HYPERLINK \l _Toc20400 </w:instrText>
          </w:r>
          <w:r>
            <w:fldChar w:fldCharType="separate"/>
          </w:r>
          <w:r>
            <w:rPr>
              <w:rFonts w:hint="eastAsia" w:asciiTheme="minorEastAsia" w:hAnsiTheme="minorEastAsia" w:eastAsiaTheme="minorEastAsia" w:cstheme="minorEastAsia"/>
              <w:bCs/>
              <w:kern w:val="44"/>
              <w:szCs w:val="24"/>
              <w:highlight w:val="none"/>
              <w:lang w:val="en-US" w:eastAsia="zh-CN" w:bidi="ar-SA"/>
            </w:rPr>
            <w:t>五、竞采有关规定</w:t>
          </w:r>
          <w:r>
            <w:tab/>
          </w:r>
          <w:r>
            <w:fldChar w:fldCharType="begin"/>
          </w:r>
          <w:r>
            <w:instrText xml:space="preserve"> PAGEREF _Toc20400 \h </w:instrText>
          </w:r>
          <w:r>
            <w:fldChar w:fldCharType="separate"/>
          </w:r>
          <w:r>
            <w:t>- 3 -</w:t>
          </w:r>
          <w:r>
            <w:fldChar w:fldCharType="end"/>
          </w:r>
          <w:r>
            <w:fldChar w:fldCharType="end"/>
          </w:r>
        </w:p>
        <w:p w14:paraId="75010A2C">
          <w:pPr>
            <w:pStyle w:val="17"/>
            <w:tabs>
              <w:tab w:val="right" w:leader="hyphen" w:pos="9637"/>
            </w:tabs>
          </w:pPr>
          <w:r>
            <w:fldChar w:fldCharType="begin"/>
          </w:r>
          <w:r>
            <w:instrText xml:space="preserve"> HYPERLINK \l _Toc29294 </w:instrText>
          </w:r>
          <w:r>
            <w:fldChar w:fldCharType="separate"/>
          </w:r>
          <w:r>
            <w:rPr>
              <w:rFonts w:hint="eastAsia" w:asciiTheme="minorEastAsia" w:hAnsiTheme="minorEastAsia" w:eastAsiaTheme="minorEastAsia" w:cstheme="minorEastAsia"/>
              <w:bCs/>
              <w:kern w:val="44"/>
              <w:szCs w:val="24"/>
              <w:highlight w:val="none"/>
              <w:lang w:val="en-US" w:eastAsia="zh-CN" w:bidi="ar-SA"/>
            </w:rPr>
            <w:t>六、联系方式</w:t>
          </w:r>
          <w:r>
            <w:tab/>
          </w:r>
          <w:r>
            <w:fldChar w:fldCharType="begin"/>
          </w:r>
          <w:r>
            <w:instrText xml:space="preserve"> PAGEREF _Toc29294 \h </w:instrText>
          </w:r>
          <w:r>
            <w:fldChar w:fldCharType="separate"/>
          </w:r>
          <w:r>
            <w:t>- 4 -</w:t>
          </w:r>
          <w:r>
            <w:fldChar w:fldCharType="end"/>
          </w:r>
          <w:r>
            <w:fldChar w:fldCharType="end"/>
          </w:r>
        </w:p>
        <w:p w14:paraId="4B5B9955">
          <w:pPr>
            <w:pStyle w:val="17"/>
            <w:tabs>
              <w:tab w:val="right" w:leader="hyphen" w:pos="9637"/>
            </w:tabs>
          </w:pPr>
          <w:r>
            <w:fldChar w:fldCharType="begin"/>
          </w:r>
          <w:r>
            <w:instrText xml:space="preserve"> HYPERLINK \l _Toc8869 </w:instrText>
          </w:r>
          <w:r>
            <w:fldChar w:fldCharType="separate"/>
          </w:r>
          <w:r>
            <w:rPr>
              <w:rFonts w:hint="eastAsia" w:asciiTheme="minorEastAsia" w:hAnsiTheme="minorEastAsia" w:eastAsiaTheme="minorEastAsia" w:cstheme="minorEastAsia"/>
              <w:bCs/>
              <w:szCs w:val="36"/>
              <w:highlight w:val="none"/>
            </w:rPr>
            <w:t xml:space="preserve">第二篇 </w:t>
          </w:r>
          <w:r>
            <w:rPr>
              <w:rFonts w:hint="eastAsia" w:asciiTheme="minorEastAsia" w:hAnsiTheme="minorEastAsia" w:eastAsiaTheme="minorEastAsia" w:cstheme="minorEastAsia"/>
              <w:bCs/>
              <w:szCs w:val="36"/>
              <w:highlight w:val="none"/>
              <w:lang w:eastAsia="zh-CN"/>
            </w:rPr>
            <w:t>项目技术（服务）需求</w:t>
          </w:r>
          <w:r>
            <w:tab/>
          </w:r>
          <w:r>
            <w:fldChar w:fldCharType="begin"/>
          </w:r>
          <w:r>
            <w:instrText xml:space="preserve"> PAGEREF _Toc8869 \h </w:instrText>
          </w:r>
          <w:r>
            <w:fldChar w:fldCharType="separate"/>
          </w:r>
          <w:r>
            <w:t>- 6 -</w:t>
          </w:r>
          <w:r>
            <w:fldChar w:fldCharType="end"/>
          </w:r>
          <w:r>
            <w:fldChar w:fldCharType="end"/>
          </w:r>
        </w:p>
        <w:p w14:paraId="23DDE4B5">
          <w:pPr>
            <w:pStyle w:val="17"/>
            <w:tabs>
              <w:tab w:val="right" w:leader="hyphen" w:pos="9637"/>
            </w:tabs>
          </w:pPr>
          <w:r>
            <w:fldChar w:fldCharType="begin"/>
          </w:r>
          <w:r>
            <w:instrText xml:space="preserve"> HYPERLINK \l _Toc13654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一、项目概述</w:t>
          </w:r>
          <w:r>
            <w:tab/>
          </w:r>
          <w:r>
            <w:fldChar w:fldCharType="begin"/>
          </w:r>
          <w:r>
            <w:instrText xml:space="preserve"> PAGEREF _Toc13654 \h </w:instrText>
          </w:r>
          <w:r>
            <w:fldChar w:fldCharType="separate"/>
          </w:r>
          <w:r>
            <w:t>- 6 -</w:t>
          </w:r>
          <w:r>
            <w:fldChar w:fldCharType="end"/>
          </w:r>
          <w:r>
            <w:fldChar w:fldCharType="end"/>
          </w:r>
        </w:p>
        <w:p w14:paraId="6603E36D">
          <w:pPr>
            <w:pStyle w:val="17"/>
            <w:tabs>
              <w:tab w:val="right" w:leader="hyphen" w:pos="9637"/>
            </w:tabs>
          </w:pPr>
          <w:r>
            <w:fldChar w:fldCharType="begin"/>
          </w:r>
          <w:r>
            <w:instrText xml:space="preserve"> HYPERLINK \l _Toc3379 </w:instrText>
          </w:r>
          <w:r>
            <w:fldChar w:fldCharType="separate"/>
          </w:r>
          <w:r>
            <w:rPr>
              <w:rFonts w:hint="eastAsia" w:asciiTheme="minorEastAsia" w:hAnsiTheme="minorEastAsia" w:eastAsiaTheme="minorEastAsia" w:cstheme="minorEastAsia"/>
              <w:bCs/>
              <w:kern w:val="44"/>
              <w:szCs w:val="24"/>
              <w:highlight w:val="none"/>
              <w:lang w:val="en-US" w:eastAsia="zh-CN" w:bidi="ar-SA"/>
            </w:rPr>
            <w:t>※二、工作内容</w:t>
          </w:r>
          <w:r>
            <w:tab/>
          </w:r>
          <w:r>
            <w:fldChar w:fldCharType="begin"/>
          </w:r>
          <w:r>
            <w:instrText xml:space="preserve"> PAGEREF _Toc3379 \h </w:instrText>
          </w:r>
          <w:r>
            <w:fldChar w:fldCharType="separate"/>
          </w:r>
          <w:r>
            <w:t>- 6 -</w:t>
          </w:r>
          <w:r>
            <w:fldChar w:fldCharType="end"/>
          </w:r>
          <w:r>
            <w:fldChar w:fldCharType="end"/>
          </w:r>
        </w:p>
        <w:p w14:paraId="057BAEB2">
          <w:pPr>
            <w:pStyle w:val="17"/>
            <w:tabs>
              <w:tab w:val="right" w:leader="hyphen" w:pos="9637"/>
            </w:tabs>
          </w:pPr>
          <w:r>
            <w:fldChar w:fldCharType="begin"/>
          </w:r>
          <w:r>
            <w:instrText xml:space="preserve"> HYPERLINK \l _Toc10240 </w:instrText>
          </w:r>
          <w:r>
            <w:fldChar w:fldCharType="separate"/>
          </w:r>
          <w:r>
            <w:rPr>
              <w:rFonts w:hint="eastAsia" w:asciiTheme="minorEastAsia" w:hAnsiTheme="minorEastAsia" w:eastAsiaTheme="minorEastAsia" w:cstheme="minorEastAsia"/>
              <w:bCs w:val="0"/>
              <w:szCs w:val="36"/>
              <w:highlight w:val="none"/>
            </w:rPr>
            <w:t>第三篇 项目商务需求</w:t>
          </w:r>
          <w:r>
            <w:tab/>
          </w:r>
          <w:r>
            <w:fldChar w:fldCharType="begin"/>
          </w:r>
          <w:r>
            <w:instrText xml:space="preserve"> PAGEREF _Toc10240 \h </w:instrText>
          </w:r>
          <w:r>
            <w:fldChar w:fldCharType="separate"/>
          </w:r>
          <w:r>
            <w:t>- 7 -</w:t>
          </w:r>
          <w:r>
            <w:fldChar w:fldCharType="end"/>
          </w:r>
          <w:r>
            <w:fldChar w:fldCharType="end"/>
          </w:r>
        </w:p>
        <w:p w14:paraId="4ABD96D6">
          <w:pPr>
            <w:pStyle w:val="17"/>
            <w:tabs>
              <w:tab w:val="right" w:leader="hyphen" w:pos="9637"/>
            </w:tabs>
          </w:pPr>
          <w:r>
            <w:fldChar w:fldCharType="begin"/>
          </w:r>
          <w:r>
            <w:instrText xml:space="preserve"> HYPERLINK \l _Toc14813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※一、服务地点、验收方式</w:t>
          </w:r>
          <w:r>
            <w:tab/>
          </w:r>
          <w:r>
            <w:fldChar w:fldCharType="begin"/>
          </w:r>
          <w:r>
            <w:instrText xml:space="preserve"> PAGEREF _Toc14813 \h </w:instrText>
          </w:r>
          <w:r>
            <w:fldChar w:fldCharType="separate"/>
          </w:r>
          <w:r>
            <w:t>- 7 -</w:t>
          </w:r>
          <w:r>
            <w:fldChar w:fldCharType="end"/>
          </w:r>
          <w:r>
            <w:fldChar w:fldCharType="end"/>
          </w:r>
        </w:p>
        <w:p w14:paraId="1487D189">
          <w:pPr>
            <w:pStyle w:val="17"/>
            <w:tabs>
              <w:tab w:val="right" w:leader="hyphen" w:pos="9637"/>
            </w:tabs>
          </w:pPr>
          <w:r>
            <w:fldChar w:fldCharType="begin"/>
          </w:r>
          <w:r>
            <w:instrText xml:space="preserve"> HYPERLINK \l _Toc16680 </w:instrText>
          </w:r>
          <w:r>
            <w:fldChar w:fldCharType="separate"/>
          </w:r>
          <w:r>
            <w:rPr>
              <w:rFonts w:hint="eastAsia" w:asciiTheme="minorEastAsia" w:hAnsiTheme="minorEastAsia" w:eastAsiaTheme="minorEastAsia" w:cstheme="minorEastAsia"/>
              <w:bCs/>
              <w:kern w:val="44"/>
              <w:szCs w:val="24"/>
              <w:highlight w:val="none"/>
              <w:lang w:val="en-US" w:eastAsia="zh-CN" w:bidi="ar-SA"/>
            </w:rPr>
            <w:t>※二、报价要求及结算方式</w:t>
          </w:r>
          <w:r>
            <w:tab/>
          </w:r>
          <w:r>
            <w:fldChar w:fldCharType="begin"/>
          </w:r>
          <w:r>
            <w:instrText xml:space="preserve"> PAGEREF _Toc16680 \h </w:instrText>
          </w:r>
          <w:r>
            <w:fldChar w:fldCharType="separate"/>
          </w:r>
          <w:r>
            <w:t>- 7 -</w:t>
          </w:r>
          <w:r>
            <w:fldChar w:fldCharType="end"/>
          </w:r>
          <w:r>
            <w:fldChar w:fldCharType="end"/>
          </w:r>
        </w:p>
        <w:p w14:paraId="1ECD7437">
          <w:pPr>
            <w:pStyle w:val="17"/>
            <w:tabs>
              <w:tab w:val="right" w:leader="hyphen" w:pos="9637"/>
            </w:tabs>
          </w:pPr>
          <w:r>
            <w:fldChar w:fldCharType="begin"/>
          </w:r>
          <w:r>
            <w:instrText xml:space="preserve"> HYPERLINK \l _Toc2453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※三、付款方式</w:t>
          </w:r>
          <w:r>
            <w:tab/>
          </w:r>
          <w:r>
            <w:fldChar w:fldCharType="begin"/>
          </w:r>
          <w:r>
            <w:instrText xml:space="preserve"> PAGEREF _Toc2453 \h </w:instrText>
          </w:r>
          <w:r>
            <w:fldChar w:fldCharType="separate"/>
          </w:r>
          <w:r>
            <w:t>- 7 -</w:t>
          </w:r>
          <w:r>
            <w:fldChar w:fldCharType="end"/>
          </w:r>
          <w:r>
            <w:fldChar w:fldCharType="end"/>
          </w:r>
        </w:p>
        <w:p w14:paraId="3D45603D">
          <w:pPr>
            <w:pStyle w:val="17"/>
            <w:tabs>
              <w:tab w:val="right" w:leader="hyphen" w:pos="9637"/>
            </w:tabs>
          </w:pPr>
          <w:r>
            <w:fldChar w:fldCharType="begin"/>
          </w:r>
          <w:r>
            <w:instrText xml:space="preserve"> HYPERLINK \l _Toc5779 </w:instrText>
          </w:r>
          <w:r>
            <w:fldChar w:fldCharType="separate"/>
          </w:r>
          <w:r>
            <w:rPr>
              <w:rFonts w:hint="eastAsia" w:asciiTheme="minorEastAsia" w:hAnsiTheme="minorEastAsia" w:eastAsiaTheme="minorEastAsia" w:cstheme="minorEastAsia"/>
              <w:bCs/>
              <w:kern w:val="44"/>
              <w:szCs w:val="24"/>
              <w:highlight w:val="none"/>
              <w:lang w:val="en-US" w:eastAsia="zh-CN" w:bidi="ar-SA"/>
            </w:rPr>
            <w:t>※四、知识产权</w:t>
          </w:r>
          <w:r>
            <w:tab/>
          </w:r>
          <w:r>
            <w:fldChar w:fldCharType="begin"/>
          </w:r>
          <w:r>
            <w:instrText xml:space="preserve"> PAGEREF _Toc5779 \h </w:instrText>
          </w:r>
          <w:r>
            <w:fldChar w:fldCharType="separate"/>
          </w:r>
          <w:r>
            <w:t>- 7 -</w:t>
          </w:r>
          <w:r>
            <w:fldChar w:fldCharType="end"/>
          </w:r>
          <w:r>
            <w:fldChar w:fldCharType="end"/>
          </w:r>
        </w:p>
        <w:p w14:paraId="080374EE">
          <w:pPr>
            <w:pStyle w:val="17"/>
            <w:tabs>
              <w:tab w:val="right" w:leader="hyphen" w:pos="9637"/>
            </w:tabs>
          </w:pPr>
          <w:r>
            <w:fldChar w:fldCharType="begin"/>
          </w:r>
          <w:r>
            <w:instrText xml:space="preserve"> HYPERLINK \l _Toc31035 </w:instrText>
          </w:r>
          <w:r>
            <w:fldChar w:fldCharType="separate"/>
          </w:r>
          <w:r>
            <w:rPr>
              <w:rFonts w:hint="eastAsia" w:asciiTheme="minorEastAsia" w:hAnsiTheme="minorEastAsia" w:eastAsiaTheme="minorEastAsia" w:cstheme="minorEastAsia"/>
              <w:bCs/>
              <w:kern w:val="44"/>
              <w:szCs w:val="24"/>
              <w:highlight w:val="none"/>
              <w:lang w:val="en-US" w:eastAsia="zh-CN" w:bidi="ar-SA"/>
            </w:rPr>
            <w:t>※五、其他</w:t>
          </w:r>
          <w:r>
            <w:tab/>
          </w:r>
          <w:r>
            <w:fldChar w:fldCharType="begin"/>
          </w:r>
          <w:r>
            <w:instrText xml:space="preserve"> PAGEREF _Toc31035 \h </w:instrText>
          </w:r>
          <w:r>
            <w:fldChar w:fldCharType="separate"/>
          </w:r>
          <w:r>
            <w:t>- 7 -</w:t>
          </w:r>
          <w:r>
            <w:fldChar w:fldCharType="end"/>
          </w:r>
          <w:r>
            <w:fldChar w:fldCharType="end"/>
          </w:r>
        </w:p>
        <w:p w14:paraId="446A7131">
          <w:pPr>
            <w:pStyle w:val="17"/>
            <w:tabs>
              <w:tab w:val="right" w:leader="hyphen" w:pos="9637"/>
            </w:tabs>
          </w:pPr>
          <w:r>
            <w:fldChar w:fldCharType="begin"/>
          </w:r>
          <w:r>
            <w:instrText xml:space="preserve"> HYPERLINK \l _Toc16138 </w:instrText>
          </w:r>
          <w:r>
            <w:fldChar w:fldCharType="separate"/>
          </w:r>
          <w:r>
            <w:rPr>
              <w:rFonts w:hint="eastAsia" w:asciiTheme="minorEastAsia" w:hAnsiTheme="minorEastAsia" w:eastAsiaTheme="minorEastAsia" w:cstheme="minorEastAsia"/>
              <w:bCs w:val="0"/>
              <w:szCs w:val="36"/>
              <w:highlight w:val="none"/>
            </w:rPr>
            <w:t>第四篇 资格审查及评审办法</w:t>
          </w:r>
          <w:r>
            <w:tab/>
          </w:r>
          <w:r>
            <w:fldChar w:fldCharType="begin"/>
          </w:r>
          <w:r>
            <w:instrText xml:space="preserve"> PAGEREF _Toc16138 \h </w:instrText>
          </w:r>
          <w:r>
            <w:fldChar w:fldCharType="separate"/>
          </w:r>
          <w:r>
            <w:t>- 8 -</w:t>
          </w:r>
          <w:r>
            <w:fldChar w:fldCharType="end"/>
          </w:r>
          <w:r>
            <w:fldChar w:fldCharType="end"/>
          </w:r>
        </w:p>
        <w:p w14:paraId="1A1145F9">
          <w:pPr>
            <w:pStyle w:val="17"/>
            <w:tabs>
              <w:tab w:val="right" w:leader="hyphen" w:pos="9637"/>
            </w:tabs>
          </w:pPr>
          <w:r>
            <w:fldChar w:fldCharType="begin"/>
          </w:r>
          <w:r>
            <w:instrText xml:space="preserve"> HYPERLINK \l _Toc17462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一、资格审查及符合性审查</w:t>
          </w:r>
          <w:r>
            <w:tab/>
          </w:r>
          <w:r>
            <w:fldChar w:fldCharType="begin"/>
          </w:r>
          <w:r>
            <w:instrText xml:space="preserve"> PAGEREF _Toc17462 \h </w:instrText>
          </w:r>
          <w:r>
            <w:fldChar w:fldCharType="separate"/>
          </w:r>
          <w:r>
            <w:t>- 8 -</w:t>
          </w:r>
          <w:r>
            <w:fldChar w:fldCharType="end"/>
          </w:r>
          <w:r>
            <w:fldChar w:fldCharType="end"/>
          </w:r>
        </w:p>
        <w:p w14:paraId="1A048640">
          <w:pPr>
            <w:pStyle w:val="17"/>
            <w:tabs>
              <w:tab w:val="right" w:leader="hyphen" w:pos="9637"/>
            </w:tabs>
          </w:pPr>
          <w:r>
            <w:fldChar w:fldCharType="begin"/>
          </w:r>
          <w:r>
            <w:instrText xml:space="preserve"> HYPERLINK \l _Toc4371 </w:instrText>
          </w:r>
          <w:r>
            <w:fldChar w:fldCharType="separate"/>
          </w:r>
          <w:r>
            <w:rPr>
              <w:rFonts w:hint="eastAsia" w:asciiTheme="minorEastAsia" w:hAnsiTheme="minorEastAsia" w:eastAsiaTheme="minorEastAsia" w:cstheme="minorEastAsia"/>
              <w:bCs/>
              <w:kern w:val="44"/>
              <w:szCs w:val="24"/>
              <w:highlight w:val="none"/>
              <w:lang w:val="en-US" w:eastAsia="zh-CN" w:bidi="ar-SA"/>
            </w:rPr>
            <w:t>二、评审方法</w:t>
          </w:r>
          <w:r>
            <w:tab/>
          </w:r>
          <w:r>
            <w:fldChar w:fldCharType="begin"/>
          </w:r>
          <w:r>
            <w:instrText xml:space="preserve"> PAGEREF _Toc4371 \h </w:instrText>
          </w:r>
          <w:r>
            <w:fldChar w:fldCharType="separate"/>
          </w:r>
          <w:r>
            <w:t>- 9 -</w:t>
          </w:r>
          <w:r>
            <w:fldChar w:fldCharType="end"/>
          </w:r>
          <w:r>
            <w:fldChar w:fldCharType="end"/>
          </w:r>
        </w:p>
        <w:p w14:paraId="01E26684">
          <w:pPr>
            <w:pStyle w:val="17"/>
            <w:tabs>
              <w:tab w:val="right" w:leader="hyphen" w:pos="9637"/>
            </w:tabs>
          </w:pPr>
          <w:r>
            <w:fldChar w:fldCharType="begin"/>
          </w:r>
          <w:r>
            <w:instrText xml:space="preserve"> HYPERLINK \l _Toc13513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三、评审标准</w:t>
          </w:r>
          <w:r>
            <w:tab/>
          </w:r>
          <w:r>
            <w:fldChar w:fldCharType="begin"/>
          </w:r>
          <w:r>
            <w:instrText xml:space="preserve"> PAGEREF _Toc13513 \h </w:instrText>
          </w:r>
          <w:r>
            <w:fldChar w:fldCharType="separate"/>
          </w:r>
          <w:r>
            <w:t>- 10 -</w:t>
          </w:r>
          <w:r>
            <w:fldChar w:fldCharType="end"/>
          </w:r>
          <w:r>
            <w:fldChar w:fldCharType="end"/>
          </w:r>
        </w:p>
        <w:p w14:paraId="48DEFC92">
          <w:pPr>
            <w:pStyle w:val="17"/>
            <w:tabs>
              <w:tab w:val="right" w:leader="hyphen" w:pos="9637"/>
            </w:tabs>
          </w:pPr>
          <w:r>
            <w:fldChar w:fldCharType="begin"/>
          </w:r>
          <w:r>
            <w:instrText xml:space="preserve"> HYPERLINK \l _Toc3186 </w:instrText>
          </w:r>
          <w:r>
            <w:fldChar w:fldCharType="separate"/>
          </w:r>
          <w:r>
            <w:rPr>
              <w:rFonts w:hint="eastAsia" w:asciiTheme="minorEastAsia" w:hAnsiTheme="minorEastAsia" w:eastAsiaTheme="minorEastAsia" w:cstheme="minorEastAsia"/>
              <w:bCs/>
              <w:kern w:val="44"/>
              <w:szCs w:val="24"/>
              <w:highlight w:val="none"/>
              <w:lang w:val="en-US" w:eastAsia="zh-CN" w:bidi="ar-SA"/>
            </w:rPr>
            <w:t>四、无效响应条款</w:t>
          </w:r>
          <w:r>
            <w:tab/>
          </w:r>
          <w:r>
            <w:fldChar w:fldCharType="begin"/>
          </w:r>
          <w:r>
            <w:instrText xml:space="preserve"> PAGEREF _Toc3186 \h </w:instrText>
          </w:r>
          <w:r>
            <w:fldChar w:fldCharType="separate"/>
          </w:r>
          <w:r>
            <w:t>- 11 -</w:t>
          </w:r>
          <w:r>
            <w:fldChar w:fldCharType="end"/>
          </w:r>
          <w:r>
            <w:fldChar w:fldCharType="end"/>
          </w:r>
        </w:p>
        <w:p w14:paraId="7F735A8B">
          <w:pPr>
            <w:pStyle w:val="17"/>
            <w:tabs>
              <w:tab w:val="right" w:leader="hyphen" w:pos="9637"/>
            </w:tabs>
          </w:pPr>
          <w:r>
            <w:fldChar w:fldCharType="begin"/>
          </w:r>
          <w:r>
            <w:instrText xml:space="preserve"> HYPERLINK \l _Toc22538 </w:instrText>
          </w:r>
          <w:r>
            <w:fldChar w:fldCharType="separate"/>
          </w:r>
          <w:r>
            <w:rPr>
              <w:rFonts w:hint="eastAsia" w:asciiTheme="minorEastAsia" w:hAnsiTheme="minorEastAsia" w:eastAsiaTheme="minorEastAsia" w:cstheme="minorEastAsia"/>
              <w:bCs/>
              <w:kern w:val="44"/>
              <w:szCs w:val="24"/>
              <w:highlight w:val="none"/>
              <w:lang w:val="en-US" w:eastAsia="zh-CN" w:bidi="ar-SA"/>
            </w:rPr>
            <w:t>五、废标条款</w:t>
          </w:r>
          <w:r>
            <w:tab/>
          </w:r>
          <w:r>
            <w:fldChar w:fldCharType="begin"/>
          </w:r>
          <w:r>
            <w:instrText xml:space="preserve"> PAGEREF _Toc22538 \h </w:instrText>
          </w:r>
          <w:r>
            <w:fldChar w:fldCharType="separate"/>
          </w:r>
          <w:r>
            <w:t>- 12 -</w:t>
          </w:r>
          <w:r>
            <w:fldChar w:fldCharType="end"/>
          </w:r>
          <w:r>
            <w:fldChar w:fldCharType="end"/>
          </w:r>
        </w:p>
        <w:p w14:paraId="4ED40A23">
          <w:pPr>
            <w:pStyle w:val="17"/>
            <w:tabs>
              <w:tab w:val="right" w:leader="hyphen" w:pos="9637"/>
            </w:tabs>
          </w:pPr>
          <w:r>
            <w:fldChar w:fldCharType="begin"/>
          </w:r>
          <w:r>
            <w:instrText xml:space="preserve"> HYPERLINK \l _Toc27835 </w:instrText>
          </w:r>
          <w:r>
            <w:fldChar w:fldCharType="separate"/>
          </w:r>
          <w:r>
            <w:rPr>
              <w:rFonts w:hint="eastAsia" w:asciiTheme="minorEastAsia" w:hAnsiTheme="minorEastAsia" w:eastAsiaTheme="minorEastAsia" w:cstheme="minorEastAsia"/>
              <w:bCs/>
              <w:szCs w:val="36"/>
              <w:highlight w:val="none"/>
            </w:rPr>
            <w:t>第五篇 供应商须知</w:t>
          </w:r>
          <w:r>
            <w:tab/>
          </w:r>
          <w:r>
            <w:fldChar w:fldCharType="begin"/>
          </w:r>
          <w:r>
            <w:instrText xml:space="preserve"> PAGEREF _Toc27835 \h </w:instrText>
          </w:r>
          <w:r>
            <w:fldChar w:fldCharType="separate"/>
          </w:r>
          <w:r>
            <w:t>- 13 -</w:t>
          </w:r>
          <w:r>
            <w:fldChar w:fldCharType="end"/>
          </w:r>
          <w:r>
            <w:fldChar w:fldCharType="end"/>
          </w:r>
        </w:p>
        <w:p w14:paraId="7C569D91">
          <w:pPr>
            <w:pStyle w:val="17"/>
            <w:tabs>
              <w:tab w:val="right" w:leader="hyphen" w:pos="9637"/>
            </w:tabs>
          </w:pPr>
          <w:r>
            <w:fldChar w:fldCharType="begin"/>
          </w:r>
          <w:r>
            <w:instrText xml:space="preserve"> HYPERLINK \l _Toc5505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一、供应商</w:t>
          </w:r>
          <w:r>
            <w:tab/>
          </w:r>
          <w:r>
            <w:fldChar w:fldCharType="begin"/>
          </w:r>
          <w:r>
            <w:instrText xml:space="preserve"> PAGEREF _Toc5505 \h </w:instrText>
          </w:r>
          <w:r>
            <w:fldChar w:fldCharType="separate"/>
          </w:r>
          <w:r>
            <w:t>- 13 -</w:t>
          </w:r>
          <w:r>
            <w:fldChar w:fldCharType="end"/>
          </w:r>
          <w:r>
            <w:fldChar w:fldCharType="end"/>
          </w:r>
        </w:p>
        <w:p w14:paraId="7F6DF52D">
          <w:pPr>
            <w:pStyle w:val="17"/>
            <w:tabs>
              <w:tab w:val="right" w:leader="hyphen" w:pos="9637"/>
            </w:tabs>
          </w:pPr>
          <w:r>
            <w:fldChar w:fldCharType="begin"/>
          </w:r>
          <w:r>
            <w:instrText xml:space="preserve"> HYPERLINK \l _Toc15608 </w:instrText>
          </w:r>
          <w:r>
            <w:fldChar w:fldCharType="separate"/>
          </w:r>
          <w:r>
            <w:rPr>
              <w:rFonts w:hint="eastAsia" w:asciiTheme="minorEastAsia" w:hAnsiTheme="minorEastAsia" w:eastAsiaTheme="minorEastAsia" w:cstheme="minorEastAsia"/>
              <w:bCs/>
              <w:kern w:val="44"/>
              <w:szCs w:val="24"/>
              <w:highlight w:val="none"/>
              <w:lang w:val="en-US" w:eastAsia="zh-CN" w:bidi="ar-SA"/>
            </w:rPr>
            <w:t>二、竞采文件</w:t>
          </w:r>
          <w:r>
            <w:tab/>
          </w:r>
          <w:r>
            <w:fldChar w:fldCharType="begin"/>
          </w:r>
          <w:r>
            <w:instrText xml:space="preserve"> PAGEREF _Toc15608 \h </w:instrText>
          </w:r>
          <w:r>
            <w:fldChar w:fldCharType="separate"/>
          </w:r>
          <w:r>
            <w:t>- 13 -</w:t>
          </w:r>
          <w:r>
            <w:fldChar w:fldCharType="end"/>
          </w:r>
          <w:r>
            <w:fldChar w:fldCharType="end"/>
          </w:r>
        </w:p>
        <w:p w14:paraId="16837D94">
          <w:pPr>
            <w:pStyle w:val="17"/>
            <w:tabs>
              <w:tab w:val="right" w:leader="hyphen" w:pos="9637"/>
            </w:tabs>
          </w:pPr>
          <w:r>
            <w:fldChar w:fldCharType="begin"/>
          </w:r>
          <w:r>
            <w:instrText xml:space="preserve"> HYPERLINK \l _Toc19682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三、响应文件</w:t>
          </w:r>
          <w:r>
            <w:tab/>
          </w:r>
          <w:r>
            <w:fldChar w:fldCharType="begin"/>
          </w:r>
          <w:r>
            <w:instrText xml:space="preserve"> PAGEREF _Toc19682 \h </w:instrText>
          </w:r>
          <w:r>
            <w:fldChar w:fldCharType="separate"/>
          </w:r>
          <w:r>
            <w:t>- 13 -</w:t>
          </w:r>
          <w:r>
            <w:fldChar w:fldCharType="end"/>
          </w:r>
          <w:r>
            <w:fldChar w:fldCharType="end"/>
          </w:r>
        </w:p>
        <w:p w14:paraId="2B71E635">
          <w:pPr>
            <w:pStyle w:val="17"/>
            <w:tabs>
              <w:tab w:val="right" w:leader="hyphen" w:pos="9637"/>
            </w:tabs>
          </w:pPr>
          <w:r>
            <w:fldChar w:fldCharType="begin"/>
          </w:r>
          <w:r>
            <w:instrText xml:space="preserve"> HYPERLINK \l _Toc16295 </w:instrText>
          </w:r>
          <w:r>
            <w:fldChar w:fldCharType="separate"/>
          </w:r>
          <w:r>
            <w:rPr>
              <w:rFonts w:hint="eastAsia" w:asciiTheme="minorEastAsia" w:hAnsiTheme="minorEastAsia" w:eastAsiaTheme="minorEastAsia" w:cstheme="minorEastAsia"/>
              <w:bCs/>
              <w:kern w:val="44"/>
              <w:szCs w:val="24"/>
              <w:highlight w:val="none"/>
              <w:lang w:val="en-US" w:eastAsia="zh-CN" w:bidi="ar-SA"/>
            </w:rPr>
            <w:t>四、评审流程及标准</w:t>
          </w:r>
          <w:r>
            <w:tab/>
          </w:r>
          <w:r>
            <w:fldChar w:fldCharType="begin"/>
          </w:r>
          <w:r>
            <w:instrText xml:space="preserve"> PAGEREF _Toc16295 \h </w:instrText>
          </w:r>
          <w:r>
            <w:fldChar w:fldCharType="separate"/>
          </w:r>
          <w:r>
            <w:t>- 14 -</w:t>
          </w:r>
          <w:r>
            <w:fldChar w:fldCharType="end"/>
          </w:r>
          <w:r>
            <w:fldChar w:fldCharType="end"/>
          </w:r>
        </w:p>
        <w:p w14:paraId="4FC96301">
          <w:pPr>
            <w:pStyle w:val="17"/>
            <w:tabs>
              <w:tab w:val="right" w:leader="hyphen" w:pos="9637"/>
            </w:tabs>
          </w:pPr>
          <w:r>
            <w:fldChar w:fldCharType="begin"/>
          </w:r>
          <w:r>
            <w:instrText xml:space="preserve"> HYPERLINK \l _Toc8061 </w:instrText>
          </w:r>
          <w:r>
            <w:fldChar w:fldCharType="separate"/>
          </w:r>
          <w:r>
            <w:rPr>
              <w:rFonts w:hint="eastAsia" w:asciiTheme="minorEastAsia" w:hAnsiTheme="minorEastAsia" w:eastAsiaTheme="minorEastAsia" w:cstheme="minorEastAsia"/>
              <w:bCs/>
              <w:kern w:val="44"/>
              <w:szCs w:val="24"/>
              <w:highlight w:val="none"/>
              <w:lang w:val="en-US" w:eastAsia="zh-CN" w:bidi="ar-SA"/>
            </w:rPr>
            <w:t>五、确认成交供应商</w:t>
          </w:r>
          <w:r>
            <w:tab/>
          </w:r>
          <w:r>
            <w:fldChar w:fldCharType="begin"/>
          </w:r>
          <w:r>
            <w:instrText xml:space="preserve"> PAGEREF _Toc8061 \h </w:instrText>
          </w:r>
          <w:r>
            <w:fldChar w:fldCharType="separate"/>
          </w:r>
          <w:r>
            <w:t>- 14 -</w:t>
          </w:r>
          <w:r>
            <w:fldChar w:fldCharType="end"/>
          </w:r>
          <w:r>
            <w:fldChar w:fldCharType="end"/>
          </w:r>
        </w:p>
        <w:p w14:paraId="4EAC0E14">
          <w:pPr>
            <w:pStyle w:val="17"/>
            <w:tabs>
              <w:tab w:val="right" w:leader="hyphen" w:pos="9637"/>
            </w:tabs>
          </w:pPr>
          <w:r>
            <w:fldChar w:fldCharType="begin"/>
          </w:r>
          <w:r>
            <w:instrText xml:space="preserve"> HYPERLINK \l _Toc14463 </w:instrText>
          </w:r>
          <w:r>
            <w:fldChar w:fldCharType="separate"/>
          </w:r>
          <w:r>
            <w:rPr>
              <w:rFonts w:hint="eastAsia" w:asciiTheme="minorEastAsia" w:hAnsiTheme="minorEastAsia" w:eastAsiaTheme="minorEastAsia" w:cstheme="minorEastAsia"/>
              <w:bCs/>
              <w:kern w:val="44"/>
              <w:szCs w:val="24"/>
              <w:highlight w:val="none"/>
              <w:lang w:val="en-US" w:eastAsia="zh-CN" w:bidi="ar-SA"/>
            </w:rPr>
            <w:t>六、成交</w:t>
          </w:r>
          <w:r>
            <w:tab/>
          </w:r>
          <w:r>
            <w:fldChar w:fldCharType="begin"/>
          </w:r>
          <w:r>
            <w:instrText xml:space="preserve"> PAGEREF _Toc14463 \h </w:instrText>
          </w:r>
          <w:r>
            <w:fldChar w:fldCharType="separate"/>
          </w:r>
          <w:r>
            <w:t>- 15 -</w:t>
          </w:r>
          <w:r>
            <w:fldChar w:fldCharType="end"/>
          </w:r>
          <w:r>
            <w:fldChar w:fldCharType="end"/>
          </w:r>
        </w:p>
        <w:p w14:paraId="58B244BB">
          <w:pPr>
            <w:pStyle w:val="17"/>
            <w:tabs>
              <w:tab w:val="right" w:leader="hyphen" w:pos="9637"/>
            </w:tabs>
          </w:pPr>
          <w:r>
            <w:fldChar w:fldCharType="begin"/>
          </w:r>
          <w:r>
            <w:instrText xml:space="preserve"> HYPERLINK \l _Toc24856 </w:instrText>
          </w:r>
          <w:r>
            <w:fldChar w:fldCharType="separate"/>
          </w:r>
          <w:r>
            <w:rPr>
              <w:rFonts w:hint="eastAsia" w:asciiTheme="minorEastAsia" w:hAnsiTheme="minorEastAsia" w:eastAsiaTheme="minorEastAsia" w:cstheme="minorEastAsia"/>
              <w:bCs/>
              <w:kern w:val="44"/>
              <w:szCs w:val="24"/>
              <w:highlight w:val="none"/>
              <w:lang w:val="en-US" w:eastAsia="zh-CN" w:bidi="ar-SA"/>
            </w:rPr>
            <w:t>七、采购代理服务费</w:t>
          </w:r>
          <w:r>
            <w:tab/>
          </w:r>
          <w:r>
            <w:fldChar w:fldCharType="begin"/>
          </w:r>
          <w:r>
            <w:instrText xml:space="preserve"> PAGEREF _Toc24856 \h </w:instrText>
          </w:r>
          <w:r>
            <w:fldChar w:fldCharType="separate"/>
          </w:r>
          <w:r>
            <w:t>- 15 -</w:t>
          </w:r>
          <w:r>
            <w:fldChar w:fldCharType="end"/>
          </w:r>
          <w:r>
            <w:fldChar w:fldCharType="end"/>
          </w:r>
        </w:p>
        <w:p w14:paraId="70FD6DEA">
          <w:pPr>
            <w:pStyle w:val="17"/>
            <w:tabs>
              <w:tab w:val="right" w:leader="hyphen" w:pos="9637"/>
            </w:tabs>
          </w:pPr>
          <w:r>
            <w:fldChar w:fldCharType="begin"/>
          </w:r>
          <w:r>
            <w:instrText xml:space="preserve"> HYPERLINK \l _Toc29920 </w:instrText>
          </w:r>
          <w:r>
            <w:fldChar w:fldCharType="separate"/>
          </w:r>
          <w:r>
            <w:rPr>
              <w:rFonts w:hint="eastAsia" w:asciiTheme="minorEastAsia" w:hAnsiTheme="minorEastAsia" w:eastAsiaTheme="minorEastAsia" w:cstheme="minorEastAsia"/>
              <w:bCs/>
              <w:kern w:val="44"/>
              <w:szCs w:val="24"/>
              <w:highlight w:val="none"/>
              <w:lang w:val="en-US" w:eastAsia="zh-CN" w:bidi="ar-SA"/>
            </w:rPr>
            <w:t>八、签订合同</w:t>
          </w:r>
          <w:r>
            <w:tab/>
          </w:r>
          <w:r>
            <w:fldChar w:fldCharType="begin"/>
          </w:r>
          <w:r>
            <w:instrText xml:space="preserve"> PAGEREF _Toc29920 \h </w:instrText>
          </w:r>
          <w:r>
            <w:fldChar w:fldCharType="separate"/>
          </w:r>
          <w:r>
            <w:t>- 15 -</w:t>
          </w:r>
          <w:r>
            <w:fldChar w:fldCharType="end"/>
          </w:r>
          <w:r>
            <w:fldChar w:fldCharType="end"/>
          </w:r>
        </w:p>
        <w:p w14:paraId="13AB3638">
          <w:pPr>
            <w:pStyle w:val="17"/>
            <w:tabs>
              <w:tab w:val="right" w:leader="hyphen" w:pos="9637"/>
            </w:tabs>
          </w:pPr>
          <w:r>
            <w:fldChar w:fldCharType="begin"/>
          </w:r>
          <w:r>
            <w:instrText xml:space="preserve"> HYPERLINK \l _Toc6017 </w:instrText>
          </w:r>
          <w:r>
            <w:fldChar w:fldCharType="separate"/>
          </w:r>
          <w:r>
            <w:rPr>
              <w:rFonts w:hint="eastAsia" w:asciiTheme="minorEastAsia" w:hAnsiTheme="minorEastAsia" w:eastAsiaTheme="minorEastAsia" w:cstheme="minorEastAsia"/>
              <w:bCs/>
              <w:kern w:val="44"/>
              <w:szCs w:val="24"/>
              <w:highlight w:val="none"/>
              <w:lang w:val="en-US" w:eastAsia="zh-CN" w:bidi="ar-SA"/>
            </w:rPr>
            <w:t>九、项目验收</w:t>
          </w:r>
          <w:r>
            <w:tab/>
          </w:r>
          <w:r>
            <w:fldChar w:fldCharType="begin"/>
          </w:r>
          <w:r>
            <w:instrText xml:space="preserve"> PAGEREF _Toc6017 \h </w:instrText>
          </w:r>
          <w:r>
            <w:fldChar w:fldCharType="separate"/>
          </w:r>
          <w:r>
            <w:t>- 15 -</w:t>
          </w:r>
          <w:r>
            <w:fldChar w:fldCharType="end"/>
          </w:r>
          <w:r>
            <w:fldChar w:fldCharType="end"/>
          </w:r>
        </w:p>
        <w:p w14:paraId="50CCB597">
          <w:pPr>
            <w:pStyle w:val="17"/>
            <w:tabs>
              <w:tab w:val="right" w:leader="hyphen" w:pos="9637"/>
            </w:tabs>
          </w:pPr>
          <w:r>
            <w:fldChar w:fldCharType="begin"/>
          </w:r>
          <w:r>
            <w:instrText xml:space="preserve"> HYPERLINK \l _Toc16799 </w:instrText>
          </w:r>
          <w:r>
            <w:fldChar w:fldCharType="separate"/>
          </w:r>
          <w:r>
            <w:rPr>
              <w:rFonts w:hint="eastAsia" w:asciiTheme="minorEastAsia" w:hAnsiTheme="minorEastAsia" w:eastAsiaTheme="minorEastAsia" w:cstheme="minorEastAsia"/>
              <w:kern w:val="44"/>
              <w:szCs w:val="36"/>
              <w:highlight w:val="none"/>
              <w:lang w:val="en-US" w:eastAsia="zh-CN" w:bidi="ar-SA"/>
            </w:rPr>
            <w:t>第六篇</w:t>
          </w:r>
          <w:r>
            <w:rPr>
              <w:rFonts w:hint="eastAsia" w:asciiTheme="minorEastAsia" w:hAnsiTheme="minorEastAsia" w:eastAsiaTheme="minorEastAsia" w:cstheme="minorEastAsia"/>
              <w:szCs w:val="36"/>
              <w:highlight w:val="none"/>
            </w:rPr>
            <w:t xml:space="preserve"> 合同条款</w:t>
          </w:r>
          <w:r>
            <w:tab/>
          </w:r>
          <w:r>
            <w:fldChar w:fldCharType="begin"/>
          </w:r>
          <w:r>
            <w:instrText xml:space="preserve"> PAGEREF _Toc16799 \h </w:instrText>
          </w:r>
          <w:r>
            <w:fldChar w:fldCharType="separate"/>
          </w:r>
          <w:r>
            <w:t>- 16 -</w:t>
          </w:r>
          <w:r>
            <w:fldChar w:fldCharType="end"/>
          </w:r>
          <w:r>
            <w:fldChar w:fldCharType="end"/>
          </w:r>
        </w:p>
        <w:p w14:paraId="5D2A5378">
          <w:pPr>
            <w:pStyle w:val="17"/>
            <w:tabs>
              <w:tab w:val="right" w:leader="hyphen" w:pos="9637"/>
            </w:tabs>
          </w:pPr>
          <w:r>
            <w:fldChar w:fldCharType="begin"/>
          </w:r>
          <w:r>
            <w:instrText xml:space="preserve"> HYPERLINK \l _Toc18801 </w:instrText>
          </w:r>
          <w:r>
            <w:fldChar w:fldCharType="separate"/>
          </w:r>
          <w:r>
            <w:rPr>
              <w:rFonts w:hint="eastAsia" w:asciiTheme="minorEastAsia" w:hAnsiTheme="minorEastAsia" w:eastAsiaTheme="minorEastAsia" w:cstheme="minorEastAsia"/>
              <w:bCs w:val="0"/>
              <w:szCs w:val="36"/>
              <w:highlight w:val="none"/>
            </w:rPr>
            <w:t>第七篇 响应文件格式</w:t>
          </w:r>
          <w:r>
            <w:tab/>
          </w:r>
          <w:r>
            <w:fldChar w:fldCharType="begin"/>
          </w:r>
          <w:r>
            <w:instrText xml:space="preserve"> PAGEREF _Toc18801 \h </w:instrText>
          </w:r>
          <w:r>
            <w:fldChar w:fldCharType="separate"/>
          </w:r>
          <w:r>
            <w:t>- 19 -</w:t>
          </w:r>
          <w:r>
            <w:fldChar w:fldCharType="end"/>
          </w:r>
          <w:r>
            <w:fldChar w:fldCharType="end"/>
          </w:r>
        </w:p>
        <w:p w14:paraId="28F47798">
          <w:pPr>
            <w:pStyle w:val="17"/>
            <w:tabs>
              <w:tab w:val="right" w:leader="hyphen" w:pos="9637"/>
            </w:tabs>
          </w:pPr>
          <w:r>
            <w:fldChar w:fldCharType="begin"/>
          </w:r>
          <w:r>
            <w:instrText xml:space="preserve"> HYPERLINK \l _Toc10983 </w:instrText>
          </w:r>
          <w:r>
            <w:fldChar w:fldCharType="separate"/>
          </w:r>
          <w:r>
            <w:rPr>
              <w:rFonts w:hint="eastAsia" w:asciiTheme="minorEastAsia" w:hAnsiTheme="minorEastAsia" w:eastAsiaTheme="minorEastAsia" w:cstheme="minorEastAsia"/>
              <w:bCs/>
              <w:kern w:val="44"/>
              <w:szCs w:val="28"/>
              <w:highlight w:val="none"/>
              <w:lang w:val="en-US" w:eastAsia="zh-CN" w:bidi="ar-SA"/>
            </w:rPr>
            <w:t>一、经济部分</w:t>
          </w:r>
          <w:r>
            <w:tab/>
          </w:r>
          <w:r>
            <w:fldChar w:fldCharType="begin"/>
          </w:r>
          <w:r>
            <w:instrText xml:space="preserve"> PAGEREF _Toc10983 \h </w:instrText>
          </w:r>
          <w:r>
            <w:fldChar w:fldCharType="separate"/>
          </w:r>
          <w:r>
            <w:t>- 19 -</w:t>
          </w:r>
          <w:r>
            <w:fldChar w:fldCharType="end"/>
          </w:r>
          <w:r>
            <w:fldChar w:fldCharType="end"/>
          </w:r>
        </w:p>
        <w:p w14:paraId="0BD3D8DF">
          <w:pPr>
            <w:pStyle w:val="17"/>
            <w:tabs>
              <w:tab w:val="right" w:leader="hyphen" w:pos="9637"/>
            </w:tabs>
          </w:pPr>
          <w:r>
            <w:fldChar w:fldCharType="begin"/>
          </w:r>
          <w:r>
            <w:instrText xml:space="preserve"> HYPERLINK \l _Toc14707 </w:instrText>
          </w:r>
          <w:r>
            <w:fldChar w:fldCharType="separate"/>
          </w:r>
          <w:r>
            <w:rPr>
              <w:rFonts w:hint="eastAsia" w:asciiTheme="minorEastAsia" w:hAnsiTheme="minorEastAsia" w:eastAsiaTheme="minorEastAsia" w:cstheme="minorEastAsia"/>
              <w:bCs/>
              <w:kern w:val="44"/>
              <w:szCs w:val="28"/>
              <w:highlight w:val="none"/>
              <w:lang w:val="en-US" w:eastAsia="zh-CN" w:bidi="ar-SA"/>
            </w:rPr>
            <w:t>二、资格文件</w:t>
          </w:r>
          <w:r>
            <w:tab/>
          </w:r>
          <w:r>
            <w:fldChar w:fldCharType="begin"/>
          </w:r>
          <w:r>
            <w:instrText xml:space="preserve"> PAGEREF _Toc14707 \h </w:instrText>
          </w:r>
          <w:r>
            <w:fldChar w:fldCharType="separate"/>
          </w:r>
          <w:r>
            <w:t>- 19 -</w:t>
          </w:r>
          <w:r>
            <w:fldChar w:fldCharType="end"/>
          </w:r>
          <w:r>
            <w:fldChar w:fldCharType="end"/>
          </w:r>
        </w:p>
        <w:p w14:paraId="50B65D17">
          <w:pPr>
            <w:pStyle w:val="17"/>
            <w:tabs>
              <w:tab w:val="right" w:leader="hyphen" w:pos="9637"/>
            </w:tabs>
          </w:pPr>
          <w:r>
            <w:fldChar w:fldCharType="begin"/>
          </w:r>
          <w:r>
            <w:instrText xml:space="preserve"> HYPERLINK \l _Toc23543 </w:instrText>
          </w:r>
          <w:r>
            <w:fldChar w:fldCharType="separate"/>
          </w:r>
          <w:r>
            <w:rPr>
              <w:rFonts w:hint="eastAsia" w:asciiTheme="minorEastAsia" w:hAnsiTheme="minorEastAsia" w:eastAsiaTheme="minorEastAsia" w:cstheme="minorEastAsia"/>
              <w:bCs/>
              <w:kern w:val="44"/>
              <w:szCs w:val="28"/>
              <w:highlight w:val="none"/>
              <w:lang w:val="en-US" w:eastAsia="zh-CN" w:bidi="ar-SA"/>
            </w:rPr>
            <w:t>三、技术（服务）部分</w:t>
          </w:r>
          <w:r>
            <w:tab/>
          </w:r>
          <w:r>
            <w:fldChar w:fldCharType="begin"/>
          </w:r>
          <w:r>
            <w:instrText xml:space="preserve"> PAGEREF _Toc23543 \h </w:instrText>
          </w:r>
          <w:r>
            <w:fldChar w:fldCharType="separate"/>
          </w:r>
          <w:r>
            <w:t>- 19 -</w:t>
          </w:r>
          <w:r>
            <w:fldChar w:fldCharType="end"/>
          </w:r>
          <w:r>
            <w:fldChar w:fldCharType="end"/>
          </w:r>
        </w:p>
        <w:p w14:paraId="7FF76B42">
          <w:pPr>
            <w:pStyle w:val="17"/>
            <w:tabs>
              <w:tab w:val="right" w:leader="hyphen" w:pos="9637"/>
            </w:tabs>
          </w:pPr>
          <w:r>
            <w:fldChar w:fldCharType="begin"/>
          </w:r>
          <w:r>
            <w:instrText xml:space="preserve"> HYPERLINK \l _Toc5409 </w:instrText>
          </w:r>
          <w:r>
            <w:fldChar w:fldCharType="separate"/>
          </w:r>
          <w:r>
            <w:rPr>
              <w:rFonts w:hint="eastAsia" w:asciiTheme="minorEastAsia" w:hAnsiTheme="minorEastAsia" w:eastAsiaTheme="minorEastAsia" w:cstheme="minorEastAsia"/>
              <w:bCs/>
              <w:kern w:val="44"/>
              <w:szCs w:val="28"/>
              <w:highlight w:val="none"/>
              <w:lang w:val="en-US" w:eastAsia="zh-CN" w:bidi="ar-SA"/>
            </w:rPr>
            <w:t>四、商务部分</w:t>
          </w:r>
          <w:r>
            <w:tab/>
          </w:r>
          <w:r>
            <w:fldChar w:fldCharType="begin"/>
          </w:r>
          <w:r>
            <w:instrText xml:space="preserve"> PAGEREF _Toc5409 \h </w:instrText>
          </w:r>
          <w:r>
            <w:fldChar w:fldCharType="separate"/>
          </w:r>
          <w:r>
            <w:t>- 19 -</w:t>
          </w:r>
          <w:r>
            <w:fldChar w:fldCharType="end"/>
          </w:r>
          <w:r>
            <w:fldChar w:fldCharType="end"/>
          </w:r>
        </w:p>
        <w:p w14:paraId="0A07C356">
          <w:pPr>
            <w:pStyle w:val="17"/>
            <w:tabs>
              <w:tab w:val="right" w:leader="hyphen" w:pos="9637"/>
            </w:tabs>
          </w:pPr>
          <w:r>
            <w:fldChar w:fldCharType="begin"/>
          </w:r>
          <w:r>
            <w:instrText xml:space="preserve"> HYPERLINK \l _Toc9716 </w:instrText>
          </w:r>
          <w:r>
            <w:fldChar w:fldCharType="separate"/>
          </w:r>
          <w:r>
            <w:rPr>
              <w:rFonts w:hint="eastAsia" w:asciiTheme="minorEastAsia" w:hAnsiTheme="minorEastAsia" w:eastAsiaTheme="minorEastAsia" w:cstheme="minorEastAsia"/>
              <w:bCs/>
              <w:kern w:val="44"/>
              <w:szCs w:val="28"/>
              <w:highlight w:val="none"/>
              <w:lang w:val="en-US" w:eastAsia="zh-CN" w:bidi="ar-SA"/>
            </w:rPr>
            <w:t>五、其他与项目有关的资料</w:t>
          </w:r>
          <w:r>
            <w:tab/>
          </w:r>
          <w:r>
            <w:fldChar w:fldCharType="begin"/>
          </w:r>
          <w:r>
            <w:instrText xml:space="preserve"> PAGEREF _Toc9716 \h </w:instrText>
          </w:r>
          <w:r>
            <w:fldChar w:fldCharType="separate"/>
          </w:r>
          <w:r>
            <w:t>- 19 -</w:t>
          </w:r>
          <w:r>
            <w:fldChar w:fldCharType="end"/>
          </w:r>
          <w:r>
            <w:fldChar w:fldCharType="end"/>
          </w:r>
        </w:p>
        <w:p w14:paraId="5B96A724">
          <w:r>
            <w:fldChar w:fldCharType="end"/>
          </w:r>
        </w:p>
      </w:sdtContent>
    </w:sdt>
    <w:p w14:paraId="72E60287">
      <w:pPr>
        <w:pStyle w:val="2"/>
        <w:pageBreakBefore w:val="0"/>
        <w:kinsoku/>
        <w:wordWrap/>
        <w:overflowPunct/>
        <w:topLinePunct w:val="0"/>
        <w:autoSpaceDE/>
        <w:autoSpaceDN/>
        <w:bidi w:val="0"/>
        <w:adjustRightInd/>
        <w:spacing w:line="360" w:lineRule="auto"/>
        <w:ind w:left="0" w:leftChars="0" w:right="0"/>
        <w:textAlignment w:val="auto"/>
        <w:rPr>
          <w:rFonts w:hint="eastAsia" w:asciiTheme="minorEastAsia" w:hAnsiTheme="minorEastAsia" w:eastAsiaTheme="minorEastAsia" w:cstheme="minorEastAsia"/>
          <w:b w:val="0"/>
          <w:bCs/>
          <w:color w:val="auto"/>
          <w:sz w:val="36"/>
          <w:szCs w:val="36"/>
          <w:highlight w:val="none"/>
        </w:rPr>
      </w:pPr>
      <w:bookmarkStart w:id="30" w:name="_Toc18048"/>
      <w:r>
        <w:rPr>
          <w:rFonts w:hint="eastAsia" w:asciiTheme="minorEastAsia" w:hAnsiTheme="minorEastAsia" w:eastAsiaTheme="minorEastAsia" w:cstheme="minorEastAsia"/>
          <w:b w:val="0"/>
          <w:bCs/>
          <w:color w:val="auto"/>
          <w:sz w:val="36"/>
          <w:szCs w:val="36"/>
          <w:highlight w:val="none"/>
        </w:rPr>
        <w:t>第一篇 采购邀请书</w:t>
      </w:r>
      <w:bookmarkEnd w:id="29"/>
      <w:bookmarkEnd w:id="30"/>
    </w:p>
    <w:p w14:paraId="1841D5B7">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rPr>
        <w:t>重庆方采工程项目管理咨询有限公司</w:t>
      </w:r>
      <w:r>
        <w:rPr>
          <w:rFonts w:hint="eastAsia" w:asciiTheme="minorEastAsia" w:hAnsiTheme="minorEastAsia" w:eastAsiaTheme="minorEastAsia" w:cstheme="minorEastAsia"/>
          <w:color w:val="auto"/>
          <w:sz w:val="24"/>
          <w:szCs w:val="24"/>
          <w:highlight w:val="none"/>
        </w:rPr>
        <w:t>（以下简称：采购代理机构）接受</w:t>
      </w:r>
      <w:r>
        <w:rPr>
          <w:rFonts w:hint="eastAsia" w:asciiTheme="minorEastAsia" w:hAnsiTheme="minorEastAsia" w:eastAsiaTheme="minorEastAsia" w:cstheme="minorEastAsia"/>
          <w:color w:val="auto"/>
          <w:sz w:val="24"/>
          <w:szCs w:val="24"/>
          <w:highlight w:val="none"/>
          <w:u w:val="single"/>
        </w:rPr>
        <w:t>重庆市农业综合行政执法总队</w:t>
      </w:r>
      <w:r>
        <w:rPr>
          <w:rFonts w:hint="eastAsia" w:asciiTheme="minorEastAsia" w:hAnsiTheme="minorEastAsia" w:eastAsiaTheme="minorEastAsia" w:cstheme="minorEastAsia"/>
          <w:color w:val="auto"/>
          <w:sz w:val="24"/>
          <w:szCs w:val="24"/>
          <w:highlight w:val="none"/>
        </w:rPr>
        <w:t>（以下简称：采购人）的委托，对</w:t>
      </w:r>
      <w:r>
        <w:rPr>
          <w:rFonts w:hint="eastAsia" w:asciiTheme="minorEastAsia" w:hAnsiTheme="minorEastAsia" w:eastAsiaTheme="minorEastAsia" w:cstheme="minorEastAsia"/>
          <w:color w:val="auto"/>
          <w:sz w:val="24"/>
          <w:szCs w:val="24"/>
          <w:highlight w:val="none"/>
          <w:u w:val="single"/>
          <w:lang w:eastAsia="zh-CN"/>
        </w:rPr>
        <w:t>重庆农业执法好人好故事宣传</w:t>
      </w:r>
      <w:r>
        <w:rPr>
          <w:rFonts w:hint="eastAsia" w:asciiTheme="minorEastAsia" w:hAnsiTheme="minorEastAsia" w:eastAsiaTheme="minorEastAsia" w:cstheme="minorEastAsia"/>
          <w:color w:val="auto"/>
          <w:sz w:val="24"/>
          <w:szCs w:val="24"/>
          <w:highlight w:val="none"/>
          <w:u w:val="none"/>
          <w:lang w:val="en-US" w:eastAsia="zh-CN"/>
        </w:rPr>
        <w:t>项目</w:t>
      </w:r>
      <w:r>
        <w:rPr>
          <w:rFonts w:hint="eastAsia" w:asciiTheme="minorEastAsia" w:hAnsiTheme="minorEastAsia" w:eastAsiaTheme="minorEastAsia" w:cstheme="minorEastAsia"/>
          <w:color w:val="auto"/>
          <w:sz w:val="24"/>
          <w:szCs w:val="24"/>
          <w:highlight w:val="none"/>
        </w:rPr>
        <w:t>进行网上竞采，欢迎有资格的供应商参与竞采。</w:t>
      </w:r>
    </w:p>
    <w:p w14:paraId="1074BB02">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sz w:val="24"/>
          <w:szCs w:val="24"/>
          <w:highlight w:val="none"/>
        </w:rPr>
      </w:pPr>
      <w:bookmarkStart w:id="31" w:name="_Toc14315"/>
      <w:bookmarkStart w:id="32" w:name="_Toc21119"/>
      <w:bookmarkStart w:id="33" w:name="_Toc22295"/>
      <w:bookmarkStart w:id="34" w:name="_Toc30594"/>
      <w:r>
        <w:rPr>
          <w:rFonts w:hint="eastAsia" w:asciiTheme="minorEastAsia" w:hAnsiTheme="minorEastAsia" w:eastAsiaTheme="minorEastAsia" w:cstheme="minorEastAsia"/>
          <w:b w:val="0"/>
          <w:bCs/>
          <w:color w:val="auto"/>
          <w:kern w:val="44"/>
          <w:sz w:val="24"/>
          <w:szCs w:val="24"/>
          <w:highlight w:val="none"/>
          <w:lang w:val="en-US" w:eastAsia="zh-CN" w:bidi="ar-SA"/>
        </w:rPr>
        <w:t>一、竞采项目内容</w:t>
      </w:r>
      <w:bookmarkEnd w:id="31"/>
      <w:bookmarkEnd w:id="32"/>
      <w:bookmarkEnd w:id="33"/>
      <w:bookmarkEnd w:id="34"/>
    </w:p>
    <w:tbl>
      <w:tblPr>
        <w:tblStyle w:val="26"/>
        <w:tblW w:w="94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
        <w:gridCol w:w="3245"/>
        <w:gridCol w:w="1962"/>
        <w:gridCol w:w="2044"/>
        <w:gridCol w:w="1272"/>
      </w:tblGrid>
      <w:tr w14:paraId="25CCF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1" w:hRule="atLeast"/>
          <w:jc w:val="center"/>
        </w:trPr>
        <w:tc>
          <w:tcPr>
            <w:tcW w:w="914" w:type="dxa"/>
            <w:noWrap w:val="0"/>
            <w:vAlign w:val="center"/>
          </w:tcPr>
          <w:p w14:paraId="6256A09A">
            <w:pPr>
              <w:widowControl/>
              <w:spacing w:line="360" w:lineRule="auto"/>
              <w:jc w:val="center"/>
              <w:rPr>
                <w:rFonts w:hint="eastAsia" w:asciiTheme="minorEastAsia" w:hAnsiTheme="minorEastAsia" w:eastAsiaTheme="minorEastAsia" w:cstheme="minorEastAsia"/>
                <w:b/>
                <w:color w:val="auto"/>
                <w:sz w:val="24"/>
                <w:szCs w:val="24"/>
                <w:highlight w:val="none"/>
              </w:rPr>
            </w:pPr>
            <w:bookmarkStart w:id="35" w:name="_Toc378251877"/>
            <w:bookmarkStart w:id="36" w:name="_Toc14960"/>
            <w:bookmarkStart w:id="37" w:name="_Toc8843"/>
            <w:bookmarkStart w:id="38" w:name="_Toc22795"/>
            <w:bookmarkStart w:id="39" w:name="_Toc10941"/>
            <w:bookmarkStart w:id="40" w:name="_Toc19000"/>
            <w:bookmarkStart w:id="41" w:name="_Toc1477"/>
            <w:r>
              <w:rPr>
                <w:rFonts w:hint="eastAsia" w:asciiTheme="minorEastAsia" w:hAnsiTheme="minorEastAsia" w:eastAsiaTheme="minorEastAsia" w:cstheme="minorEastAsia"/>
                <w:b/>
                <w:color w:val="auto"/>
                <w:sz w:val="24"/>
                <w:szCs w:val="24"/>
                <w:highlight w:val="none"/>
              </w:rPr>
              <w:t>序号</w:t>
            </w:r>
          </w:p>
        </w:tc>
        <w:tc>
          <w:tcPr>
            <w:tcW w:w="3245" w:type="dxa"/>
            <w:noWrap w:val="0"/>
            <w:vAlign w:val="center"/>
          </w:tcPr>
          <w:p w14:paraId="4C3B5820">
            <w:pPr>
              <w:widowControl/>
              <w:spacing w:line="360" w:lineRule="auto"/>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项目名称</w:t>
            </w:r>
          </w:p>
        </w:tc>
        <w:tc>
          <w:tcPr>
            <w:tcW w:w="1962" w:type="dxa"/>
            <w:noWrap w:val="0"/>
            <w:vAlign w:val="center"/>
          </w:tcPr>
          <w:p w14:paraId="1E3DF041">
            <w:pPr>
              <w:widowControl/>
              <w:spacing w:line="240" w:lineRule="auto"/>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最高限价</w:t>
            </w:r>
          </w:p>
          <w:p w14:paraId="7C5B6802">
            <w:pPr>
              <w:widowControl/>
              <w:spacing w:line="240" w:lineRule="auto"/>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w:t>
            </w:r>
            <w:r>
              <w:rPr>
                <w:rFonts w:hint="eastAsia" w:asciiTheme="minorEastAsia" w:hAnsiTheme="minorEastAsia" w:eastAsiaTheme="minorEastAsia" w:cstheme="minorEastAsia"/>
                <w:b/>
                <w:bCs/>
                <w:color w:val="auto"/>
                <w:kern w:val="0"/>
                <w:sz w:val="24"/>
                <w:szCs w:val="24"/>
                <w:highlight w:val="none"/>
                <w:lang w:val="en-US" w:eastAsia="zh-CN"/>
              </w:rPr>
              <w:t>万</w:t>
            </w:r>
            <w:r>
              <w:rPr>
                <w:rFonts w:hint="eastAsia" w:asciiTheme="minorEastAsia" w:hAnsiTheme="minorEastAsia" w:eastAsiaTheme="minorEastAsia" w:cstheme="minorEastAsia"/>
                <w:b/>
                <w:bCs/>
                <w:color w:val="auto"/>
                <w:kern w:val="0"/>
                <w:sz w:val="24"/>
                <w:szCs w:val="24"/>
                <w:highlight w:val="none"/>
              </w:rPr>
              <w:t>元）</w:t>
            </w:r>
          </w:p>
        </w:tc>
        <w:tc>
          <w:tcPr>
            <w:tcW w:w="2044" w:type="dxa"/>
            <w:noWrap w:val="0"/>
            <w:vAlign w:val="center"/>
          </w:tcPr>
          <w:p w14:paraId="5330D2C3">
            <w:pPr>
              <w:spacing w:line="240" w:lineRule="auto"/>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成交供应商</w:t>
            </w:r>
          </w:p>
          <w:p w14:paraId="2D3FBDD5">
            <w:pPr>
              <w:spacing w:line="240" w:lineRule="auto"/>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数量（名）</w:t>
            </w:r>
          </w:p>
        </w:tc>
        <w:tc>
          <w:tcPr>
            <w:tcW w:w="1272" w:type="dxa"/>
            <w:noWrap w:val="0"/>
            <w:vAlign w:val="center"/>
          </w:tcPr>
          <w:p w14:paraId="502C70DF">
            <w:pPr>
              <w:spacing w:line="360" w:lineRule="auto"/>
              <w:jc w:val="center"/>
              <w:rPr>
                <w:rFonts w:hint="eastAsia" w:asciiTheme="minorEastAsia" w:hAnsiTheme="minorEastAsia" w:eastAsiaTheme="minorEastAsia" w:cstheme="minorEastAsia"/>
                <w:b/>
                <w:bCs/>
                <w:color w:val="auto"/>
                <w:kern w:val="0"/>
                <w:sz w:val="24"/>
                <w:szCs w:val="24"/>
                <w:highlight w:val="none"/>
                <w:lang w:val="en-US" w:eastAsia="zh-CN" w:bidi="ar-SA"/>
              </w:rPr>
            </w:pPr>
            <w:r>
              <w:rPr>
                <w:rFonts w:hint="eastAsia" w:asciiTheme="minorEastAsia" w:hAnsiTheme="minorEastAsia" w:eastAsiaTheme="minorEastAsia" w:cstheme="minorEastAsia"/>
                <w:b/>
                <w:bCs/>
                <w:color w:val="auto"/>
                <w:kern w:val="0"/>
                <w:sz w:val="24"/>
                <w:szCs w:val="24"/>
                <w:highlight w:val="none"/>
                <w:lang w:val="en-US" w:eastAsia="zh-CN" w:bidi="ar-SA"/>
              </w:rPr>
              <w:t>备注</w:t>
            </w:r>
          </w:p>
        </w:tc>
      </w:tr>
      <w:tr w14:paraId="710C16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9" w:hRule="atLeast"/>
          <w:jc w:val="center"/>
        </w:trPr>
        <w:tc>
          <w:tcPr>
            <w:tcW w:w="914" w:type="dxa"/>
            <w:noWrap w:val="0"/>
            <w:vAlign w:val="center"/>
          </w:tcPr>
          <w:p w14:paraId="699B3FFF">
            <w:pPr>
              <w:pStyle w:val="55"/>
              <w:spacing w:line="360" w:lineRule="auto"/>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3245" w:type="dxa"/>
            <w:noWrap w:val="0"/>
            <w:vAlign w:val="center"/>
          </w:tcPr>
          <w:p w14:paraId="6AE435F9">
            <w:pPr>
              <w:widowControl/>
              <w:spacing w:line="360" w:lineRule="auto"/>
              <w:jc w:val="center"/>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重庆农业执法好人好故事宣传</w:t>
            </w:r>
          </w:p>
        </w:tc>
        <w:tc>
          <w:tcPr>
            <w:tcW w:w="1962" w:type="dxa"/>
            <w:noWrap w:val="0"/>
            <w:vAlign w:val="center"/>
          </w:tcPr>
          <w:p w14:paraId="207B888B">
            <w:pPr>
              <w:widowControl/>
              <w:spacing w:line="360" w:lineRule="auto"/>
              <w:jc w:val="center"/>
              <w:textAlignment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20.00 </w:t>
            </w:r>
          </w:p>
        </w:tc>
        <w:tc>
          <w:tcPr>
            <w:tcW w:w="2044" w:type="dxa"/>
            <w:noWrap w:val="0"/>
            <w:vAlign w:val="center"/>
          </w:tcPr>
          <w:p w14:paraId="25CB7EE5">
            <w:pPr>
              <w:widowControl/>
              <w:spacing w:line="360" w:lineRule="auto"/>
              <w:jc w:val="center"/>
              <w:textAlignment w:val="cente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w:t>
            </w:r>
          </w:p>
        </w:tc>
        <w:tc>
          <w:tcPr>
            <w:tcW w:w="1272" w:type="dxa"/>
            <w:noWrap w:val="0"/>
            <w:vAlign w:val="center"/>
          </w:tcPr>
          <w:p w14:paraId="2955BB4B">
            <w:pPr>
              <w:spacing w:line="360" w:lineRule="auto"/>
              <w:jc w:val="center"/>
              <w:rPr>
                <w:rFonts w:hint="eastAsia" w:asciiTheme="minorEastAsia" w:hAnsiTheme="minorEastAsia" w:eastAsiaTheme="minorEastAsia" w:cstheme="minorEastAsia"/>
                <w:b/>
                <w:color w:val="auto"/>
                <w:kern w:val="2"/>
                <w:sz w:val="24"/>
                <w:szCs w:val="24"/>
                <w:highlight w:val="none"/>
                <w:lang w:val="en-US" w:eastAsia="zh-CN" w:bidi="ar-SA"/>
              </w:rPr>
            </w:pPr>
          </w:p>
        </w:tc>
      </w:tr>
      <w:bookmarkEnd w:id="35"/>
    </w:tbl>
    <w:p w14:paraId="0CA7D6DB">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42" w:name="_Toc22440"/>
      <w:bookmarkStart w:id="43" w:name="_Toc14511"/>
      <w:r>
        <w:rPr>
          <w:rFonts w:hint="eastAsia" w:asciiTheme="minorEastAsia" w:hAnsiTheme="minorEastAsia" w:eastAsiaTheme="minorEastAsia" w:cstheme="minorEastAsia"/>
          <w:b w:val="0"/>
          <w:bCs/>
          <w:color w:val="auto"/>
          <w:kern w:val="44"/>
          <w:sz w:val="24"/>
          <w:szCs w:val="24"/>
          <w:highlight w:val="none"/>
          <w:lang w:val="en-US" w:eastAsia="zh-CN" w:bidi="ar-SA"/>
        </w:rPr>
        <w:t>二、资金来源</w:t>
      </w:r>
      <w:bookmarkEnd w:id="42"/>
      <w:bookmarkEnd w:id="43"/>
    </w:p>
    <w:p w14:paraId="6B8A58ED">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44" w:name="_Toc28395"/>
      <w:r>
        <w:rPr>
          <w:rFonts w:hint="eastAsia" w:asciiTheme="minorEastAsia" w:hAnsiTheme="minorEastAsia" w:eastAsiaTheme="minorEastAsia" w:cstheme="minorEastAsia"/>
          <w:color w:val="auto"/>
          <w:sz w:val="24"/>
          <w:szCs w:val="24"/>
          <w:highlight w:val="none"/>
          <w:lang w:val="en-US" w:eastAsia="zh-CN"/>
        </w:rPr>
        <w:t>农业执法能力提升资金，预算金额为20.00万元。</w:t>
      </w:r>
      <w:bookmarkEnd w:id="44"/>
    </w:p>
    <w:p w14:paraId="31DD8C9C">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45" w:name="_Toc29283"/>
      <w:bookmarkStart w:id="46" w:name="_Toc10976"/>
      <w:r>
        <w:rPr>
          <w:rFonts w:hint="eastAsia" w:asciiTheme="minorEastAsia" w:hAnsiTheme="minorEastAsia" w:eastAsiaTheme="minorEastAsia" w:cstheme="minorEastAsia"/>
          <w:b w:val="0"/>
          <w:bCs/>
          <w:color w:val="auto"/>
          <w:kern w:val="44"/>
          <w:sz w:val="24"/>
          <w:szCs w:val="24"/>
          <w:highlight w:val="none"/>
          <w:lang w:val="en-US" w:eastAsia="zh-CN" w:bidi="ar-SA"/>
        </w:rPr>
        <w:t>三、资格条件</w:t>
      </w:r>
      <w:bookmarkEnd w:id="36"/>
      <w:bookmarkEnd w:id="37"/>
      <w:bookmarkEnd w:id="38"/>
      <w:bookmarkEnd w:id="39"/>
      <w:bookmarkEnd w:id="40"/>
      <w:bookmarkEnd w:id="41"/>
      <w:bookmarkEnd w:id="45"/>
      <w:bookmarkEnd w:id="46"/>
    </w:p>
    <w:p w14:paraId="2AA0EC89">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（一）基本资格条件：</w:t>
      </w:r>
    </w:p>
    <w:p w14:paraId="188D4087">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1.具有独立承担民事责任的能力；</w:t>
      </w:r>
    </w:p>
    <w:p w14:paraId="6B0ED8F3">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2.具有良好的商业信誉和健全的财务会计制度；</w:t>
      </w:r>
    </w:p>
    <w:p w14:paraId="2F9C93A1">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3.具有履行合同所必需的设备和专业技术能力；</w:t>
      </w:r>
    </w:p>
    <w:p w14:paraId="20639C62">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4.有依法缴纳税收和社会保障资金的良好记录；</w:t>
      </w:r>
    </w:p>
    <w:p w14:paraId="223F42A7">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5.参加采购活动前三年内，在经营活动中没有重大违法记录；</w:t>
      </w:r>
    </w:p>
    <w:p w14:paraId="0E635F86">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6.法律、行政法规规定的其他条件。</w:t>
      </w:r>
    </w:p>
    <w:p w14:paraId="7AC1415D">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（二）落实政府采购政策需满足的资格要求：无。</w:t>
      </w:r>
    </w:p>
    <w:p w14:paraId="48F9D904">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三</w:t>
      </w:r>
      <w:r>
        <w:rPr>
          <w:rFonts w:hint="eastAsia" w:asciiTheme="minorEastAsia" w:hAnsiTheme="minorEastAsia" w:eastAsiaTheme="minorEastAsia" w:cstheme="minorEastAsia"/>
          <w:color w:val="auto"/>
          <w:sz w:val="24"/>
          <w:szCs w:val="24"/>
          <w:highlight w:val="none"/>
        </w:rPr>
        <w:t>）本项目的特定资格要求</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无。</w:t>
      </w:r>
    </w:p>
    <w:p w14:paraId="593A2D27">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47" w:name="_Toc29338"/>
      <w:bookmarkStart w:id="48" w:name="_Toc3005"/>
      <w:bookmarkStart w:id="49" w:name="_Toc17417"/>
      <w:bookmarkStart w:id="50" w:name="_Toc14133"/>
      <w:bookmarkStart w:id="51" w:name="_Toc9964"/>
      <w:bookmarkStart w:id="52" w:name="_Toc1597"/>
      <w:r>
        <w:rPr>
          <w:rFonts w:hint="eastAsia" w:asciiTheme="minorEastAsia" w:hAnsiTheme="minorEastAsia" w:eastAsiaTheme="minorEastAsia" w:cstheme="minorEastAsia"/>
          <w:b w:val="0"/>
          <w:bCs/>
          <w:color w:val="auto"/>
          <w:kern w:val="44"/>
          <w:sz w:val="24"/>
          <w:szCs w:val="24"/>
          <w:highlight w:val="none"/>
          <w:lang w:val="en-US" w:eastAsia="zh-CN" w:bidi="ar-SA"/>
        </w:rPr>
        <w:t>四、竞采有关说明</w:t>
      </w:r>
      <w:bookmarkEnd w:id="47"/>
      <w:bookmarkEnd w:id="48"/>
      <w:bookmarkEnd w:id="49"/>
      <w:bookmarkEnd w:id="50"/>
      <w:bookmarkEnd w:id="51"/>
      <w:bookmarkEnd w:id="52"/>
      <w:bookmarkStart w:id="53" w:name="_Toc22048"/>
    </w:p>
    <w:p w14:paraId="4C1FBA9B">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（一）</w:t>
      </w:r>
      <w:r>
        <w:rPr>
          <w:rFonts w:hint="eastAsia" w:asciiTheme="minorEastAsia" w:hAnsiTheme="minorEastAsia" w:eastAsiaTheme="minorEastAsia" w:cstheme="minorEastAsia"/>
          <w:color w:val="auto"/>
          <w:sz w:val="24"/>
          <w:szCs w:val="24"/>
          <w:highlight w:val="none"/>
          <w:lang w:eastAsia="zh-CN"/>
        </w:rPr>
        <w:t>平台注册</w:t>
      </w:r>
    </w:p>
    <w:p w14:paraId="46307775">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凡有意参加的供应商，应通过“行采家”平台（https://www.gec123.com）进行注册，成为平台入驻供应商，在网站下载本项目竞采文件以及补遗等响应文件递交截止时间前公布的所有项目资料，无论下载与否，均视为其已知晓所有项目内容。</w:t>
      </w:r>
    </w:p>
    <w:p w14:paraId="13587C62">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（二）报名期限</w:t>
      </w:r>
    </w:p>
    <w:p w14:paraId="72543F95">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1.报名期限：自公告发布之日起至2025年</w:t>
      </w:r>
      <w:r>
        <w:rPr>
          <w:rFonts w:hint="eastAsia" w:asciiTheme="minorEastAsia" w:hAnsiTheme="minorEastAsia" w:eastAsiaTheme="minorEastAsia" w:cstheme="minorEastAsia"/>
          <w:bCs/>
          <w:color w:val="auto"/>
          <w:sz w:val="24"/>
          <w:szCs w:val="24"/>
          <w:highlight w:val="none"/>
          <w:lang w:val="en-US" w:eastAsia="zh-CN"/>
        </w:rPr>
        <w:t>6</w:t>
      </w:r>
      <w:r>
        <w:rPr>
          <w:rFonts w:hint="eastAsia" w:asciiTheme="minorEastAsia" w:hAnsiTheme="minorEastAsia" w:eastAsiaTheme="minorEastAsia" w:cstheme="minorEastAsia"/>
          <w:bCs/>
          <w:color w:val="auto"/>
          <w:sz w:val="24"/>
          <w:szCs w:val="24"/>
          <w:highlight w:val="none"/>
        </w:rPr>
        <w:t>月</w:t>
      </w:r>
      <w:r>
        <w:rPr>
          <w:rFonts w:hint="eastAsia" w:asciiTheme="minorEastAsia" w:hAnsiTheme="minorEastAsia" w:eastAsiaTheme="minorEastAsia" w:cstheme="minorEastAsia"/>
          <w:bCs/>
          <w:color w:val="auto"/>
          <w:sz w:val="24"/>
          <w:szCs w:val="24"/>
          <w:highlight w:val="none"/>
          <w:lang w:val="en-US" w:eastAsia="zh-CN"/>
        </w:rPr>
        <w:t>20</w:t>
      </w:r>
      <w:r>
        <w:rPr>
          <w:rFonts w:hint="eastAsia" w:asciiTheme="minorEastAsia" w:hAnsiTheme="minorEastAsia" w:eastAsiaTheme="minorEastAsia" w:cstheme="minorEastAsia"/>
          <w:bCs/>
          <w:color w:val="auto"/>
          <w:sz w:val="24"/>
          <w:szCs w:val="24"/>
          <w:highlight w:val="none"/>
        </w:rPr>
        <w:t>日</w:t>
      </w:r>
      <w:r>
        <w:rPr>
          <w:rFonts w:hint="eastAsia" w:asciiTheme="minorEastAsia" w:hAnsiTheme="minorEastAsia" w:eastAsiaTheme="minorEastAsia" w:cstheme="minorEastAsia"/>
          <w:bCs/>
          <w:color w:val="auto"/>
          <w:sz w:val="24"/>
          <w:szCs w:val="24"/>
          <w:highlight w:val="none"/>
          <w:u w:val="single"/>
          <w:lang w:val="en-US" w:eastAsia="zh-CN"/>
        </w:rPr>
        <w:t>17:00</w:t>
      </w:r>
      <w:r>
        <w:rPr>
          <w:rFonts w:hint="eastAsia" w:asciiTheme="minorEastAsia" w:hAnsiTheme="minorEastAsia" w:eastAsiaTheme="minorEastAsia" w:cstheme="minorEastAsia"/>
          <w:bCs/>
          <w:color w:val="auto"/>
          <w:sz w:val="24"/>
          <w:szCs w:val="24"/>
          <w:highlight w:val="none"/>
        </w:rPr>
        <w:t>前。</w:t>
      </w:r>
    </w:p>
    <w:p w14:paraId="5576E98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lang w:eastAsia="zh-CN"/>
        </w:rPr>
      </w:pPr>
      <w:r>
        <w:rPr>
          <w:rFonts w:hint="eastAsia" w:asciiTheme="minorEastAsia" w:hAnsiTheme="minorEastAsia" w:eastAsiaTheme="minorEastAsia" w:cstheme="minorEastAsia"/>
          <w:bCs/>
          <w:color w:val="auto"/>
          <w:sz w:val="24"/>
          <w:szCs w:val="24"/>
          <w:highlight w:val="none"/>
        </w:rPr>
        <w:t>2.报名费：</w:t>
      </w:r>
      <w:r>
        <w:rPr>
          <w:rFonts w:hint="eastAsia" w:asciiTheme="minorEastAsia" w:hAnsiTheme="minorEastAsia" w:eastAsiaTheme="minorEastAsia" w:cstheme="minorEastAsia"/>
          <w:bCs/>
          <w:color w:val="auto"/>
          <w:sz w:val="24"/>
          <w:szCs w:val="24"/>
          <w:highlight w:val="none"/>
          <w:lang w:val="en-US" w:eastAsia="zh-CN"/>
        </w:rPr>
        <w:t>300</w:t>
      </w:r>
      <w:r>
        <w:rPr>
          <w:rFonts w:hint="eastAsia" w:asciiTheme="minorEastAsia" w:hAnsiTheme="minorEastAsia" w:eastAsiaTheme="minorEastAsia" w:cstheme="minorEastAsia"/>
          <w:bCs/>
          <w:color w:val="auto"/>
          <w:sz w:val="24"/>
          <w:szCs w:val="24"/>
          <w:highlight w:val="none"/>
        </w:rPr>
        <w:t>元/家（售后不退），支付账户如下</w:t>
      </w:r>
      <w:r>
        <w:rPr>
          <w:rFonts w:hint="eastAsia" w:asciiTheme="minorEastAsia" w:hAnsiTheme="minorEastAsia" w:eastAsiaTheme="minorEastAsia" w:cstheme="minorEastAsia"/>
          <w:bCs/>
          <w:color w:val="auto"/>
          <w:sz w:val="24"/>
          <w:szCs w:val="24"/>
          <w:highlight w:val="none"/>
          <w:lang w:eastAsia="zh-CN"/>
        </w:rPr>
        <w:t>：</w:t>
      </w:r>
    </w:p>
    <w:p w14:paraId="6A3FAA4B">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账户名称：重庆方采工程项目管理咨询有限公司</w:t>
      </w:r>
    </w:p>
    <w:p w14:paraId="37062BDE">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开户银行：重庆渝北银座村镇银行有限责任公司人和支行</w:t>
      </w:r>
    </w:p>
    <w:p w14:paraId="3355AEE3">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账 号：651095368900015</w:t>
      </w:r>
    </w:p>
    <w:p w14:paraId="4D517DB3">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行 号：320653000442</w:t>
      </w:r>
    </w:p>
    <w:p w14:paraId="3AE01CF3">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（三）</w:t>
      </w:r>
      <w:r>
        <w:rPr>
          <w:rFonts w:hint="eastAsia" w:asciiTheme="minorEastAsia" w:hAnsiTheme="minorEastAsia" w:eastAsiaTheme="minorEastAsia" w:cstheme="minorEastAsia"/>
          <w:color w:val="auto"/>
          <w:sz w:val="24"/>
          <w:szCs w:val="24"/>
          <w:highlight w:val="none"/>
        </w:rPr>
        <w:t>报名登记</w:t>
      </w:r>
    </w:p>
    <w:p w14:paraId="613FB44D">
      <w:pPr>
        <w:pageBreakBefore w:val="0"/>
        <w:numPr>
          <w:ilvl w:val="0"/>
          <w:numId w:val="0"/>
        </w:numPr>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在报名期限内，供应商将报名费支付凭证及加盖公章的《竞采报名登记表》扫描后发送至</w:t>
      </w:r>
      <w:r>
        <w:rPr>
          <w:rFonts w:hint="eastAsia" w:asciiTheme="minorEastAsia" w:hAnsiTheme="minorEastAsia" w:eastAsiaTheme="minorEastAsia" w:cstheme="minorEastAsia"/>
          <w:bCs/>
          <w:color w:val="auto"/>
          <w:sz w:val="24"/>
          <w:szCs w:val="24"/>
          <w:highlight w:val="none"/>
          <w:lang w:eastAsia="zh-CN"/>
        </w:rPr>
        <w:t>3359677509@qq.com</w:t>
      </w:r>
      <w:r>
        <w:rPr>
          <w:rFonts w:hint="eastAsia" w:asciiTheme="minorEastAsia" w:hAnsiTheme="minorEastAsia" w:eastAsiaTheme="minorEastAsia" w:cstheme="minorEastAsia"/>
          <w:bCs/>
          <w:color w:val="auto"/>
          <w:sz w:val="24"/>
          <w:szCs w:val="24"/>
          <w:highlight w:val="none"/>
        </w:rPr>
        <w:t>。</w:t>
      </w:r>
    </w:p>
    <w:p w14:paraId="755F91BF">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注：只有在报名期限内完成了报名手续并按时签到的供应商，其响应文件才被接收。</w:t>
      </w:r>
    </w:p>
    <w:p w14:paraId="032EA38E">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（四）响应文件</w:t>
      </w:r>
    </w:p>
    <w:p w14:paraId="45AAF1C0">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bookmarkStart w:id="54" w:name="_Toc17573"/>
      <w:bookmarkStart w:id="55" w:name="_Toc14264"/>
      <w:bookmarkStart w:id="56" w:name="_Toc394"/>
      <w:r>
        <w:rPr>
          <w:rFonts w:hint="eastAsia" w:asciiTheme="minorEastAsia" w:hAnsiTheme="minorEastAsia" w:eastAsiaTheme="minorEastAsia" w:cstheme="minorEastAsia"/>
          <w:color w:val="auto"/>
          <w:sz w:val="24"/>
          <w:szCs w:val="24"/>
          <w:highlight w:val="none"/>
        </w:rPr>
        <w:t>1.供应商应按本项目竞采文件要求制作响应文件，</w:t>
      </w:r>
      <w:r>
        <w:rPr>
          <w:rFonts w:hint="eastAsia" w:asciiTheme="minorEastAsia" w:hAnsiTheme="minorEastAsia" w:eastAsiaTheme="minorEastAsia" w:cstheme="minorEastAsia"/>
          <w:bCs/>
          <w:color w:val="auto"/>
          <w:sz w:val="24"/>
          <w:szCs w:val="24"/>
          <w:highlight w:val="none"/>
        </w:rPr>
        <w:t>规定签字、盖章的地方必须按其规定签字、盖章，未按要求制作响应文件的进行无效响应处理。</w:t>
      </w:r>
    </w:p>
    <w:p w14:paraId="2C8C80DB">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2.供应商提供的响应材料要求真实可靠，采购人可对响应材料真实性进行核查，如有虚假，取消成交资格或者解除合同，并赔偿由此造成采购人的经济损失。</w:t>
      </w:r>
    </w:p>
    <w:p w14:paraId="7E78982E">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3.请参与本项目竞采的供应商于2025年</w:t>
      </w:r>
      <w:r>
        <w:rPr>
          <w:rFonts w:hint="eastAsia" w:asciiTheme="minorEastAsia" w:hAnsiTheme="minorEastAsia" w:eastAsiaTheme="minorEastAsia" w:cstheme="minorEastAsia"/>
          <w:bCs/>
          <w:color w:val="auto"/>
          <w:sz w:val="24"/>
          <w:szCs w:val="24"/>
          <w:highlight w:val="none"/>
          <w:u w:val="single"/>
          <w:lang w:val="en-US" w:eastAsia="zh-CN"/>
        </w:rPr>
        <w:t>6</w:t>
      </w:r>
      <w:r>
        <w:rPr>
          <w:rFonts w:hint="eastAsia" w:asciiTheme="minorEastAsia" w:hAnsiTheme="minorEastAsia" w:eastAsiaTheme="minorEastAsia" w:cstheme="minorEastAsia"/>
          <w:bCs/>
          <w:color w:val="auto"/>
          <w:sz w:val="24"/>
          <w:szCs w:val="24"/>
          <w:highlight w:val="none"/>
        </w:rPr>
        <w:t>月</w:t>
      </w:r>
      <w:r>
        <w:rPr>
          <w:rFonts w:hint="eastAsia" w:asciiTheme="minorEastAsia" w:hAnsiTheme="minorEastAsia" w:eastAsiaTheme="minorEastAsia" w:cstheme="minorEastAsia"/>
          <w:bCs/>
          <w:color w:val="auto"/>
          <w:sz w:val="24"/>
          <w:szCs w:val="24"/>
          <w:highlight w:val="none"/>
          <w:u w:val="single"/>
          <w:lang w:val="en-US" w:eastAsia="zh-CN"/>
        </w:rPr>
        <w:t>23</w:t>
      </w:r>
      <w:r>
        <w:rPr>
          <w:rFonts w:hint="eastAsia" w:asciiTheme="minorEastAsia" w:hAnsiTheme="minorEastAsia" w:eastAsiaTheme="minorEastAsia" w:cstheme="minorEastAsia"/>
          <w:bCs/>
          <w:color w:val="auto"/>
          <w:sz w:val="24"/>
          <w:szCs w:val="24"/>
          <w:highlight w:val="none"/>
        </w:rPr>
        <w:t>日11时00分前在本项目公告电子竞采页面线上完成报价和递交平台服务费</w:t>
      </w:r>
      <w:r>
        <w:rPr>
          <w:rFonts w:hint="eastAsia" w:asciiTheme="minorEastAsia" w:hAnsiTheme="minorEastAsia" w:eastAsiaTheme="minorEastAsia" w:cstheme="minorEastAsia"/>
          <w:bCs/>
          <w:color w:val="auto"/>
          <w:sz w:val="24"/>
          <w:szCs w:val="24"/>
          <w:highlight w:val="none"/>
          <w:lang w:eastAsia="zh-CN"/>
        </w:rPr>
        <w:t>（</w:t>
      </w:r>
      <w:r>
        <w:rPr>
          <w:rFonts w:hint="eastAsia" w:asciiTheme="minorEastAsia" w:hAnsiTheme="minorEastAsia" w:eastAsiaTheme="minorEastAsia" w:cstheme="minorEastAsia"/>
          <w:bCs/>
          <w:color w:val="auto"/>
          <w:sz w:val="24"/>
          <w:szCs w:val="24"/>
          <w:highlight w:val="none"/>
          <w:lang w:val="en-US" w:eastAsia="zh-CN"/>
        </w:rPr>
        <w:t>如有</w:t>
      </w:r>
      <w:r>
        <w:rPr>
          <w:rFonts w:hint="eastAsia" w:asciiTheme="minorEastAsia" w:hAnsiTheme="minorEastAsia" w:eastAsiaTheme="minorEastAsia" w:cstheme="minorEastAsia"/>
          <w:bCs/>
          <w:color w:val="auto"/>
          <w:sz w:val="24"/>
          <w:szCs w:val="24"/>
          <w:highlight w:val="none"/>
          <w:lang w:eastAsia="zh-CN"/>
        </w:rPr>
        <w:t>）</w:t>
      </w:r>
      <w:r>
        <w:rPr>
          <w:rFonts w:hint="eastAsia" w:asciiTheme="minorEastAsia" w:hAnsiTheme="minorEastAsia" w:eastAsiaTheme="minorEastAsia" w:cstheme="minorEastAsia"/>
          <w:bCs/>
          <w:color w:val="auto"/>
          <w:sz w:val="24"/>
          <w:szCs w:val="24"/>
          <w:highlight w:val="none"/>
        </w:rPr>
        <w:t>，并于下列规定的时间地点递交响应文件，根据网站电子竞采规则，未在线上报价的单位其响应文件将不予接收。</w:t>
      </w:r>
      <w:r>
        <w:rPr>
          <w:rFonts w:hint="eastAsia" w:asciiTheme="minorEastAsia" w:hAnsiTheme="minorEastAsia" w:eastAsiaTheme="minorEastAsia" w:cstheme="minorEastAsia"/>
          <w:b/>
          <w:color w:val="auto"/>
          <w:sz w:val="24"/>
          <w:szCs w:val="24"/>
          <w:highlight w:val="none"/>
        </w:rPr>
        <w:t>供应商线上报价时需上传《报价函》扫描件至平台，线上报价与线下纸质响应文件报价不一致的，以线上报价为准进行评审</w:t>
      </w:r>
      <w:r>
        <w:rPr>
          <w:rFonts w:hint="eastAsia" w:asciiTheme="minorEastAsia" w:hAnsiTheme="minorEastAsia" w:eastAsiaTheme="minorEastAsia" w:cstheme="minorEastAsia"/>
          <w:bCs/>
          <w:color w:val="auto"/>
          <w:sz w:val="24"/>
          <w:szCs w:val="24"/>
          <w:highlight w:val="none"/>
        </w:rPr>
        <w:t>。</w:t>
      </w:r>
      <w:bookmarkStart w:id="57" w:name="_Toc30922"/>
    </w:p>
    <w:p w14:paraId="5B8C32A9">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u w:val="single"/>
        </w:rPr>
      </w:pPr>
      <w:r>
        <w:rPr>
          <w:rFonts w:hint="eastAsia" w:asciiTheme="minorEastAsia" w:hAnsiTheme="minorEastAsia" w:eastAsiaTheme="minorEastAsia" w:cstheme="minorEastAsia"/>
          <w:bCs/>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五）递交响应文件地点：</w:t>
      </w:r>
      <w:bookmarkEnd w:id="57"/>
      <w:bookmarkStart w:id="58" w:name="_Toc30794"/>
      <w:r>
        <w:rPr>
          <w:rFonts w:hint="eastAsia" w:asciiTheme="minorEastAsia" w:hAnsiTheme="minorEastAsia" w:eastAsiaTheme="minorEastAsia" w:cstheme="minorEastAsia"/>
          <w:bCs/>
          <w:color w:val="auto"/>
          <w:sz w:val="24"/>
          <w:szCs w:val="24"/>
          <w:highlight w:val="none"/>
          <w:u w:val="single"/>
        </w:rPr>
        <w:t>重庆市农业综合行政执法总队</w:t>
      </w:r>
      <w:r>
        <w:rPr>
          <w:rFonts w:hint="eastAsia" w:asciiTheme="minorEastAsia" w:hAnsiTheme="minorEastAsia" w:eastAsiaTheme="minorEastAsia" w:cstheme="minorEastAsia"/>
          <w:bCs/>
          <w:color w:val="auto"/>
          <w:sz w:val="24"/>
          <w:szCs w:val="24"/>
          <w:highlight w:val="none"/>
          <w:u w:val="single"/>
          <w:lang w:val="en-US" w:eastAsia="zh-CN"/>
        </w:rPr>
        <w:t>29</w:t>
      </w:r>
      <w:r>
        <w:rPr>
          <w:rFonts w:hint="eastAsia" w:asciiTheme="minorEastAsia" w:hAnsiTheme="minorEastAsia" w:eastAsiaTheme="minorEastAsia" w:cstheme="minorEastAsia"/>
          <w:bCs/>
          <w:color w:val="auto"/>
          <w:sz w:val="24"/>
          <w:szCs w:val="24"/>
          <w:highlight w:val="none"/>
          <w:u w:val="single"/>
        </w:rPr>
        <w:t>楼会议室（重庆市江北区建新东路3号附1号</w:t>
      </w:r>
      <w:r>
        <w:rPr>
          <w:rFonts w:hint="eastAsia" w:asciiTheme="minorEastAsia" w:hAnsiTheme="minorEastAsia" w:eastAsiaTheme="minorEastAsia" w:cstheme="minorEastAsia"/>
          <w:bCs/>
          <w:color w:val="auto"/>
          <w:sz w:val="24"/>
          <w:szCs w:val="24"/>
          <w:highlight w:val="none"/>
          <w:u w:val="single"/>
          <w:lang w:eastAsia="zh-CN"/>
        </w:rPr>
        <w:t>）</w:t>
      </w:r>
      <w:r>
        <w:rPr>
          <w:rFonts w:hint="eastAsia" w:asciiTheme="minorEastAsia" w:hAnsiTheme="minorEastAsia" w:eastAsiaTheme="minorEastAsia" w:cstheme="minorEastAsia"/>
          <w:bCs/>
          <w:color w:val="auto"/>
          <w:sz w:val="24"/>
          <w:szCs w:val="24"/>
          <w:highlight w:val="none"/>
          <w:u w:val="single"/>
        </w:rPr>
        <w:t>。</w:t>
      </w:r>
    </w:p>
    <w:bookmarkEnd w:id="58"/>
    <w:p w14:paraId="783C2FF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bookmarkStart w:id="59" w:name="_Toc368"/>
      <w:bookmarkStart w:id="60" w:name="_Toc27708"/>
      <w:r>
        <w:rPr>
          <w:rFonts w:hint="eastAsia" w:asciiTheme="minorEastAsia" w:hAnsiTheme="minorEastAsia" w:eastAsiaTheme="minorEastAsia" w:cstheme="minorEastAsia"/>
          <w:bCs/>
          <w:color w:val="auto"/>
          <w:sz w:val="24"/>
          <w:szCs w:val="24"/>
          <w:highlight w:val="none"/>
        </w:rPr>
        <w:t>（六）响应文件递交时间：2025年</w:t>
      </w:r>
      <w:r>
        <w:rPr>
          <w:rFonts w:hint="eastAsia" w:asciiTheme="minorEastAsia" w:hAnsiTheme="minorEastAsia" w:eastAsiaTheme="minorEastAsia" w:cstheme="minorEastAsia"/>
          <w:bCs/>
          <w:color w:val="auto"/>
          <w:sz w:val="24"/>
          <w:szCs w:val="24"/>
          <w:highlight w:val="none"/>
          <w:u w:val="single"/>
          <w:lang w:val="en-US" w:eastAsia="zh-CN"/>
        </w:rPr>
        <w:t>6</w:t>
      </w:r>
      <w:r>
        <w:rPr>
          <w:rFonts w:hint="eastAsia" w:asciiTheme="minorEastAsia" w:hAnsiTheme="minorEastAsia" w:eastAsiaTheme="minorEastAsia" w:cstheme="minorEastAsia"/>
          <w:bCs/>
          <w:color w:val="auto"/>
          <w:sz w:val="24"/>
          <w:szCs w:val="24"/>
          <w:highlight w:val="none"/>
        </w:rPr>
        <w:t>月</w:t>
      </w:r>
      <w:r>
        <w:rPr>
          <w:rFonts w:hint="eastAsia" w:asciiTheme="minorEastAsia" w:hAnsiTheme="minorEastAsia" w:eastAsiaTheme="minorEastAsia" w:cstheme="minorEastAsia"/>
          <w:bCs/>
          <w:color w:val="auto"/>
          <w:sz w:val="24"/>
          <w:szCs w:val="24"/>
          <w:highlight w:val="none"/>
          <w:u w:val="single"/>
          <w:lang w:val="en-US" w:eastAsia="zh-CN"/>
        </w:rPr>
        <w:t>23</w:t>
      </w:r>
      <w:r>
        <w:rPr>
          <w:rFonts w:hint="eastAsia" w:asciiTheme="minorEastAsia" w:hAnsiTheme="minorEastAsia" w:eastAsiaTheme="minorEastAsia" w:cstheme="minorEastAsia"/>
          <w:bCs/>
          <w:color w:val="auto"/>
          <w:sz w:val="24"/>
          <w:szCs w:val="24"/>
          <w:highlight w:val="none"/>
        </w:rPr>
        <w:t>日北京时间</w:t>
      </w:r>
      <w:r>
        <w:rPr>
          <w:rFonts w:hint="eastAsia" w:asciiTheme="minorEastAsia" w:hAnsiTheme="minorEastAsia" w:eastAsiaTheme="minorEastAsia" w:cstheme="minorEastAsia"/>
          <w:bCs/>
          <w:color w:val="auto"/>
          <w:sz w:val="24"/>
          <w:szCs w:val="24"/>
          <w:highlight w:val="none"/>
          <w:u w:val="single"/>
          <w:lang w:val="en-US" w:eastAsia="zh-CN"/>
        </w:rPr>
        <w:t>13:30-14:00</w:t>
      </w:r>
      <w:r>
        <w:rPr>
          <w:rFonts w:hint="eastAsia" w:asciiTheme="minorEastAsia" w:hAnsiTheme="minorEastAsia" w:eastAsiaTheme="minorEastAsia" w:cstheme="minorEastAsia"/>
          <w:bCs/>
          <w:color w:val="auto"/>
          <w:sz w:val="24"/>
          <w:szCs w:val="24"/>
          <w:highlight w:val="none"/>
        </w:rPr>
        <w:t>。</w:t>
      </w:r>
    </w:p>
    <w:p w14:paraId="74FB36B4">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（七）评审时间：2025年</w:t>
      </w:r>
      <w:r>
        <w:rPr>
          <w:rFonts w:hint="eastAsia" w:asciiTheme="minorEastAsia" w:hAnsiTheme="minorEastAsia" w:eastAsiaTheme="minorEastAsia" w:cstheme="minorEastAsia"/>
          <w:bCs/>
          <w:color w:val="auto"/>
          <w:sz w:val="24"/>
          <w:szCs w:val="24"/>
          <w:highlight w:val="none"/>
          <w:u w:val="single"/>
          <w:lang w:val="en-US" w:eastAsia="zh-CN"/>
        </w:rPr>
        <w:t>6</w:t>
      </w:r>
      <w:r>
        <w:rPr>
          <w:rFonts w:hint="eastAsia" w:asciiTheme="minorEastAsia" w:hAnsiTheme="minorEastAsia" w:eastAsiaTheme="minorEastAsia" w:cstheme="minorEastAsia"/>
          <w:bCs/>
          <w:color w:val="auto"/>
          <w:sz w:val="24"/>
          <w:szCs w:val="24"/>
          <w:highlight w:val="none"/>
        </w:rPr>
        <w:t>月</w:t>
      </w:r>
      <w:r>
        <w:rPr>
          <w:rFonts w:hint="eastAsia" w:asciiTheme="minorEastAsia" w:hAnsiTheme="minorEastAsia" w:eastAsiaTheme="minorEastAsia" w:cstheme="minorEastAsia"/>
          <w:bCs/>
          <w:color w:val="auto"/>
          <w:sz w:val="24"/>
          <w:szCs w:val="24"/>
          <w:highlight w:val="none"/>
          <w:u w:val="single"/>
          <w:lang w:val="en-US" w:eastAsia="zh-CN"/>
        </w:rPr>
        <w:t>23</w:t>
      </w:r>
      <w:r>
        <w:rPr>
          <w:rFonts w:hint="eastAsia" w:asciiTheme="minorEastAsia" w:hAnsiTheme="minorEastAsia" w:eastAsiaTheme="minorEastAsia" w:cstheme="minorEastAsia"/>
          <w:bCs/>
          <w:color w:val="auto"/>
          <w:sz w:val="24"/>
          <w:szCs w:val="24"/>
          <w:highlight w:val="none"/>
        </w:rPr>
        <w:t>日</w:t>
      </w:r>
      <w:r>
        <w:rPr>
          <w:rFonts w:hint="eastAsia" w:asciiTheme="minorEastAsia" w:hAnsiTheme="minorEastAsia" w:eastAsiaTheme="minorEastAsia" w:cstheme="minorEastAsia"/>
          <w:bCs/>
          <w:color w:val="auto"/>
          <w:sz w:val="24"/>
          <w:szCs w:val="24"/>
          <w:highlight w:val="none"/>
          <w:u w:val="single"/>
          <w:lang w:val="en-US" w:eastAsia="zh-CN"/>
        </w:rPr>
        <w:t>14:00</w:t>
      </w:r>
      <w:r>
        <w:rPr>
          <w:rFonts w:hint="eastAsia" w:asciiTheme="minorEastAsia" w:hAnsiTheme="minorEastAsia" w:eastAsiaTheme="minorEastAsia" w:cstheme="minorEastAsia"/>
          <w:bCs/>
          <w:color w:val="auto"/>
          <w:sz w:val="24"/>
          <w:szCs w:val="24"/>
          <w:highlight w:val="none"/>
        </w:rPr>
        <w:t>。</w:t>
      </w:r>
      <w:bookmarkEnd w:id="59"/>
    </w:p>
    <w:p w14:paraId="0D0ED1FB">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（八）评审地点：同递交响应文件地点。</w:t>
      </w:r>
      <w:bookmarkEnd w:id="60"/>
    </w:p>
    <w:p w14:paraId="21B17197">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61" w:name="_Toc32009"/>
      <w:bookmarkStart w:id="62" w:name="_Toc20400"/>
      <w:r>
        <w:rPr>
          <w:rFonts w:hint="eastAsia" w:asciiTheme="minorEastAsia" w:hAnsiTheme="minorEastAsia" w:eastAsiaTheme="minorEastAsia" w:cstheme="minorEastAsia"/>
          <w:b w:val="0"/>
          <w:bCs/>
          <w:color w:val="auto"/>
          <w:kern w:val="44"/>
          <w:sz w:val="24"/>
          <w:szCs w:val="24"/>
          <w:highlight w:val="none"/>
          <w:lang w:val="en-US" w:eastAsia="zh-CN" w:bidi="ar-SA"/>
        </w:rPr>
        <w:t>五、竞采有关规定</w:t>
      </w:r>
      <w:bookmarkEnd w:id="54"/>
      <w:bookmarkEnd w:id="55"/>
      <w:bookmarkEnd w:id="56"/>
      <w:bookmarkEnd w:id="61"/>
      <w:bookmarkEnd w:id="62"/>
    </w:p>
    <w:p w14:paraId="277FC8B5">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bookmarkStart w:id="63" w:name="_Toc16480"/>
      <w:r>
        <w:rPr>
          <w:rFonts w:hint="eastAsia" w:asciiTheme="minorEastAsia" w:hAnsiTheme="minorEastAsia" w:eastAsiaTheme="minorEastAsia" w:cstheme="minorEastAsia"/>
          <w:bCs/>
          <w:color w:val="auto"/>
          <w:sz w:val="24"/>
          <w:szCs w:val="24"/>
          <w:highlight w:val="none"/>
        </w:rPr>
        <w:t>（一）单位负责人为同一人或者存在直接控股、管理关系的不同供应商，不得参加同一合同项（包）下的竞采活动。</w:t>
      </w:r>
    </w:p>
    <w:p w14:paraId="0DBF6836">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（二）为竞采项目提供整体设计、规范编制或者项目管理、监理、检测等服务的供应商，不得再参加该项目范围内的其他竞采活动。</w:t>
      </w:r>
    </w:p>
    <w:p w14:paraId="28518DD6">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（三）本项目若有澄清文件一律在“行采家”上发布，请各供应商注意下载或到采购代理机构领取；无论供应商下载或领取与否，均视同供应商已知晓本项目澄清文件的内容。</w:t>
      </w:r>
    </w:p>
    <w:p w14:paraId="201C2D60">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（四）超过响应截止时间递交的响应文件，恕不接收。</w:t>
      </w:r>
    </w:p>
    <w:p w14:paraId="187D7972">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（五）竞采费用：无论结果如何，供应商参与本项目竞采的所有费用均应由供应商自行承担。</w:t>
      </w:r>
    </w:p>
    <w:p w14:paraId="051C47FC">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（六）本项目</w:t>
      </w:r>
      <w:r>
        <w:rPr>
          <w:rFonts w:hint="eastAsia" w:asciiTheme="minorEastAsia" w:hAnsiTheme="minorEastAsia" w:eastAsiaTheme="minorEastAsia" w:cstheme="minorEastAsia"/>
          <w:b/>
          <w:color w:val="auto"/>
          <w:sz w:val="24"/>
          <w:szCs w:val="24"/>
          <w:highlight w:val="none"/>
        </w:rPr>
        <w:t>不接受联合体</w:t>
      </w:r>
      <w:r>
        <w:rPr>
          <w:rFonts w:hint="eastAsia" w:asciiTheme="minorEastAsia" w:hAnsiTheme="minorEastAsia" w:eastAsiaTheme="minorEastAsia" w:cstheme="minorEastAsia"/>
          <w:bCs/>
          <w:color w:val="auto"/>
          <w:sz w:val="24"/>
          <w:szCs w:val="24"/>
          <w:highlight w:val="none"/>
        </w:rPr>
        <w:t>参与竞采，否则按无效响应处理。</w:t>
      </w:r>
    </w:p>
    <w:p w14:paraId="2DA45C7B">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（七）本项目</w:t>
      </w:r>
      <w:r>
        <w:rPr>
          <w:rFonts w:hint="eastAsia" w:asciiTheme="minorEastAsia" w:hAnsiTheme="minorEastAsia" w:eastAsiaTheme="minorEastAsia" w:cstheme="minorEastAsia"/>
          <w:b/>
          <w:bCs w:val="0"/>
          <w:color w:val="auto"/>
          <w:sz w:val="24"/>
          <w:szCs w:val="24"/>
          <w:highlight w:val="none"/>
        </w:rPr>
        <w:t>不接受</w:t>
      </w:r>
      <w:r>
        <w:rPr>
          <w:rFonts w:hint="eastAsia" w:asciiTheme="minorEastAsia" w:hAnsiTheme="minorEastAsia" w:eastAsiaTheme="minorEastAsia" w:cstheme="minorEastAsia"/>
          <w:bCs/>
          <w:color w:val="auto"/>
          <w:sz w:val="24"/>
          <w:szCs w:val="24"/>
          <w:highlight w:val="none"/>
        </w:rPr>
        <w:t>合同分包，否则按无效响应处理。</w:t>
      </w:r>
    </w:p>
    <w:p w14:paraId="5DF6C731">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八）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竞采活动。</w:t>
      </w:r>
    </w:p>
    <w:p w14:paraId="305AC7BD">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64" w:name="_Toc9158"/>
      <w:bookmarkStart w:id="65" w:name="_Toc3504"/>
      <w:bookmarkStart w:id="66" w:name="_Toc4426"/>
      <w:bookmarkStart w:id="67" w:name="_Toc10435"/>
      <w:bookmarkStart w:id="68" w:name="_Toc29294"/>
      <w:r>
        <w:rPr>
          <w:rFonts w:hint="eastAsia" w:asciiTheme="minorEastAsia" w:hAnsiTheme="minorEastAsia" w:eastAsiaTheme="minorEastAsia" w:cstheme="minorEastAsia"/>
          <w:b w:val="0"/>
          <w:bCs/>
          <w:color w:val="auto"/>
          <w:kern w:val="44"/>
          <w:sz w:val="24"/>
          <w:szCs w:val="24"/>
          <w:highlight w:val="none"/>
          <w:lang w:val="en-US" w:eastAsia="zh-CN" w:bidi="ar-SA"/>
        </w:rPr>
        <w:t>六、联系方式</w:t>
      </w:r>
      <w:bookmarkEnd w:id="63"/>
      <w:bookmarkEnd w:id="64"/>
      <w:bookmarkEnd w:id="65"/>
      <w:bookmarkEnd w:id="66"/>
      <w:bookmarkEnd w:id="67"/>
      <w:bookmarkEnd w:id="68"/>
    </w:p>
    <w:p w14:paraId="224363A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（一）采购人：重庆市农业综合行政执法总队</w:t>
      </w:r>
    </w:p>
    <w:p w14:paraId="67701FBB">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联系人：</w:t>
      </w:r>
      <w:r>
        <w:rPr>
          <w:rFonts w:hint="eastAsia" w:asciiTheme="minorEastAsia" w:hAnsiTheme="minorEastAsia" w:eastAsiaTheme="minorEastAsia" w:cstheme="minorEastAsia"/>
          <w:bCs/>
          <w:color w:val="auto"/>
          <w:sz w:val="24"/>
          <w:szCs w:val="24"/>
          <w:highlight w:val="none"/>
          <w:lang w:val="en-US" w:eastAsia="zh-CN"/>
        </w:rPr>
        <w:t>陈</w:t>
      </w:r>
      <w:r>
        <w:rPr>
          <w:rFonts w:hint="eastAsia" w:asciiTheme="minorEastAsia" w:hAnsiTheme="minorEastAsia" w:eastAsiaTheme="minorEastAsia" w:cstheme="minorEastAsia"/>
          <w:bCs/>
          <w:color w:val="auto"/>
          <w:sz w:val="24"/>
          <w:szCs w:val="24"/>
          <w:highlight w:val="none"/>
        </w:rPr>
        <w:t>老师</w:t>
      </w:r>
    </w:p>
    <w:p w14:paraId="14BC53C9">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lang w:val="en-US" w:eastAsia="zh-CN"/>
        </w:rPr>
      </w:pPr>
      <w:r>
        <w:rPr>
          <w:rFonts w:hint="eastAsia" w:asciiTheme="minorEastAsia" w:hAnsiTheme="minorEastAsia" w:eastAsiaTheme="minorEastAsia" w:cstheme="minorEastAsia"/>
          <w:bCs/>
          <w:color w:val="auto"/>
          <w:sz w:val="24"/>
          <w:szCs w:val="24"/>
          <w:highlight w:val="none"/>
        </w:rPr>
        <w:t>电  话：</w:t>
      </w:r>
      <w:r>
        <w:rPr>
          <w:rFonts w:hint="eastAsia" w:asciiTheme="minorEastAsia" w:hAnsiTheme="minorEastAsia" w:eastAsiaTheme="minorEastAsia" w:cstheme="minorEastAsia"/>
          <w:bCs/>
          <w:color w:val="auto"/>
          <w:sz w:val="24"/>
          <w:szCs w:val="24"/>
          <w:highlight w:val="none"/>
          <w:lang w:val="en-US" w:eastAsia="zh-CN"/>
        </w:rPr>
        <w:t>19115693209</w:t>
      </w:r>
    </w:p>
    <w:p w14:paraId="6997ECF0">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 xml:space="preserve">地  址：重庆市江北区建新东路3号附1号        </w:t>
      </w:r>
    </w:p>
    <w:p w14:paraId="7D4C996A">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（二）代理机构：重庆方采工程项目管理咨询有限公司</w:t>
      </w:r>
    </w:p>
    <w:p w14:paraId="3BE94E50">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联系人：</w:t>
      </w:r>
      <w:r>
        <w:rPr>
          <w:rFonts w:hint="eastAsia" w:asciiTheme="minorEastAsia" w:hAnsiTheme="minorEastAsia" w:eastAsiaTheme="minorEastAsia" w:cstheme="minorEastAsia"/>
          <w:bCs/>
          <w:color w:val="auto"/>
          <w:sz w:val="24"/>
          <w:szCs w:val="24"/>
          <w:highlight w:val="none"/>
          <w:lang w:val="en-US" w:eastAsia="zh-CN"/>
        </w:rPr>
        <w:t>周</w:t>
      </w:r>
      <w:r>
        <w:rPr>
          <w:rFonts w:hint="eastAsia" w:asciiTheme="minorEastAsia" w:hAnsiTheme="minorEastAsia" w:eastAsiaTheme="minorEastAsia" w:cstheme="minorEastAsia"/>
          <w:bCs/>
          <w:color w:val="auto"/>
          <w:sz w:val="24"/>
          <w:szCs w:val="24"/>
          <w:highlight w:val="none"/>
        </w:rPr>
        <w:t>老师</w:t>
      </w:r>
    </w:p>
    <w:p w14:paraId="587D596E">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电  话：18983262951</w:t>
      </w:r>
    </w:p>
    <w:p w14:paraId="5E42F983">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地  址：</w:t>
      </w:r>
      <w:bookmarkStart w:id="69" w:name="_Toc22183"/>
      <w:bookmarkStart w:id="70" w:name="_Toc20127"/>
      <w:r>
        <w:rPr>
          <w:rFonts w:hint="eastAsia" w:asciiTheme="minorEastAsia" w:hAnsiTheme="minorEastAsia" w:eastAsiaTheme="minorEastAsia" w:cstheme="minorEastAsia"/>
          <w:bCs/>
          <w:color w:val="auto"/>
          <w:sz w:val="24"/>
          <w:szCs w:val="24"/>
          <w:highlight w:val="none"/>
        </w:rPr>
        <w:t>重庆市大渡口区八桥镇山海路80号附1号</w:t>
      </w:r>
    </w:p>
    <w:p w14:paraId="6E7A4612">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7D7E021E">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bookmarkStart w:id="71" w:name="_Toc23434"/>
      <w:r>
        <w:rPr>
          <w:rFonts w:hint="eastAsia" w:asciiTheme="minorEastAsia" w:hAnsiTheme="minorEastAsia" w:eastAsiaTheme="minorEastAsia" w:cstheme="minorEastAsia"/>
          <w:b/>
          <w:bCs/>
          <w:color w:val="auto"/>
          <w:sz w:val="28"/>
          <w:szCs w:val="28"/>
          <w:highlight w:val="none"/>
        </w:rPr>
        <w:t>竞采报名登记表</w:t>
      </w:r>
    </w:p>
    <w:p w14:paraId="4EFB482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b/>
          <w:bCs/>
          <w:color w:val="auto"/>
          <w:spacing w:val="40"/>
          <w:sz w:val="28"/>
          <w:szCs w:val="28"/>
          <w:highlight w:val="none"/>
        </w:rPr>
      </w:pPr>
    </w:p>
    <w:tbl>
      <w:tblPr>
        <w:tblStyle w:val="26"/>
        <w:tblW w:w="984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2632"/>
        <w:gridCol w:w="1154"/>
        <w:gridCol w:w="3963"/>
      </w:tblGrid>
      <w:tr w14:paraId="3E7E7C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2100" w:type="dxa"/>
            <w:vAlign w:val="center"/>
          </w:tcPr>
          <w:p w14:paraId="4D43367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项目名称</w:t>
            </w:r>
          </w:p>
        </w:tc>
        <w:tc>
          <w:tcPr>
            <w:tcW w:w="7749" w:type="dxa"/>
            <w:gridSpan w:val="3"/>
            <w:vAlign w:val="center"/>
          </w:tcPr>
          <w:p w14:paraId="0DE91358">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215710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trPr>
        <w:tc>
          <w:tcPr>
            <w:tcW w:w="2100" w:type="dxa"/>
            <w:vAlign w:val="center"/>
          </w:tcPr>
          <w:p w14:paraId="6957426B">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供应商名称</w:t>
            </w:r>
          </w:p>
        </w:tc>
        <w:tc>
          <w:tcPr>
            <w:tcW w:w="7749" w:type="dxa"/>
            <w:gridSpan w:val="3"/>
            <w:vAlign w:val="bottom"/>
          </w:tcPr>
          <w:p w14:paraId="4EF4779F">
            <w:pPr>
              <w:pageBreakBefore w:val="0"/>
              <w:kinsoku/>
              <w:wordWrap/>
              <w:overflowPunct/>
              <w:topLinePunct w:val="0"/>
              <w:autoSpaceDE/>
              <w:autoSpaceDN/>
              <w:bidi w:val="0"/>
              <w:adjustRightInd/>
              <w:spacing w:line="560" w:lineRule="exact"/>
              <w:ind w:left="0" w:leftChars="0" w:right="0"/>
              <w:jc w:val="righ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（公章）</w:t>
            </w:r>
          </w:p>
        </w:tc>
      </w:tr>
      <w:tr w14:paraId="76754C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2100" w:type="dxa"/>
            <w:vAlign w:val="center"/>
          </w:tcPr>
          <w:p w14:paraId="4EE84C33">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联系人</w:t>
            </w:r>
          </w:p>
        </w:tc>
        <w:tc>
          <w:tcPr>
            <w:tcW w:w="2632" w:type="dxa"/>
            <w:vAlign w:val="center"/>
          </w:tcPr>
          <w:p w14:paraId="0A442814">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154" w:type="dxa"/>
            <w:vAlign w:val="center"/>
          </w:tcPr>
          <w:p w14:paraId="4907178B">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手机</w:t>
            </w:r>
          </w:p>
        </w:tc>
        <w:tc>
          <w:tcPr>
            <w:tcW w:w="3963" w:type="dxa"/>
            <w:vAlign w:val="center"/>
          </w:tcPr>
          <w:p w14:paraId="7F663B1A">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r w14:paraId="7D9C3B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2100" w:type="dxa"/>
            <w:vAlign w:val="center"/>
          </w:tcPr>
          <w:p w14:paraId="053BA1E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办公电话</w:t>
            </w:r>
          </w:p>
        </w:tc>
        <w:tc>
          <w:tcPr>
            <w:tcW w:w="2632" w:type="dxa"/>
            <w:vAlign w:val="center"/>
          </w:tcPr>
          <w:p w14:paraId="6D0058C8">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154" w:type="dxa"/>
            <w:vAlign w:val="center"/>
          </w:tcPr>
          <w:p w14:paraId="457EE75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传真</w:t>
            </w:r>
          </w:p>
        </w:tc>
        <w:tc>
          <w:tcPr>
            <w:tcW w:w="3963" w:type="dxa"/>
            <w:vAlign w:val="center"/>
          </w:tcPr>
          <w:p w14:paraId="098B35AE">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r w14:paraId="13A002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2100" w:type="dxa"/>
            <w:vAlign w:val="center"/>
          </w:tcPr>
          <w:p w14:paraId="178EDBD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E-mail</w:t>
            </w:r>
          </w:p>
        </w:tc>
        <w:tc>
          <w:tcPr>
            <w:tcW w:w="2632" w:type="dxa"/>
            <w:vAlign w:val="center"/>
          </w:tcPr>
          <w:p w14:paraId="6767DB70">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154" w:type="dxa"/>
            <w:vAlign w:val="center"/>
          </w:tcPr>
          <w:p w14:paraId="0614645A">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登记</w:t>
            </w:r>
          </w:p>
          <w:p w14:paraId="777CB0BD">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日期</w:t>
            </w:r>
          </w:p>
        </w:tc>
        <w:tc>
          <w:tcPr>
            <w:tcW w:w="3963" w:type="dxa"/>
            <w:vAlign w:val="center"/>
          </w:tcPr>
          <w:p w14:paraId="2A60036F">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 xml:space="preserve">      年    月    日</w:t>
            </w:r>
          </w:p>
        </w:tc>
      </w:tr>
      <w:tr w14:paraId="7E0DF0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2100" w:type="dxa"/>
            <w:vAlign w:val="center"/>
          </w:tcPr>
          <w:p w14:paraId="61F69032">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供应商地址</w:t>
            </w:r>
          </w:p>
        </w:tc>
        <w:tc>
          <w:tcPr>
            <w:tcW w:w="7749" w:type="dxa"/>
            <w:gridSpan w:val="3"/>
            <w:vAlign w:val="center"/>
          </w:tcPr>
          <w:p w14:paraId="407D11E4">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r w14:paraId="5F28F6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trPr>
        <w:tc>
          <w:tcPr>
            <w:tcW w:w="9849" w:type="dxa"/>
            <w:gridSpan w:val="4"/>
            <w:vAlign w:val="center"/>
          </w:tcPr>
          <w:p w14:paraId="14B2FB0F">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bl>
    <w:p w14:paraId="2CA79E1F">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1090934C">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319DF18E">
      <w:pPr>
        <w:pStyle w:val="2"/>
        <w:pageBreakBefore w:val="0"/>
        <w:kinsoku/>
        <w:wordWrap/>
        <w:overflowPunct/>
        <w:topLinePunct w:val="0"/>
        <w:autoSpaceDE/>
        <w:autoSpaceDN/>
        <w:bidi w:val="0"/>
        <w:adjustRightInd/>
        <w:spacing w:line="560" w:lineRule="exact"/>
        <w:ind w:left="0" w:leftChars="0" w:right="0" w:firstLine="643"/>
        <w:textAlignment w:val="auto"/>
        <w:rPr>
          <w:rFonts w:hint="eastAsia" w:asciiTheme="minorEastAsia" w:hAnsiTheme="minorEastAsia" w:eastAsiaTheme="minorEastAsia" w:cstheme="minorEastAsia"/>
          <w:bCs/>
          <w:color w:val="auto"/>
          <w:sz w:val="28"/>
          <w:szCs w:val="28"/>
          <w:highlight w:val="none"/>
        </w:rPr>
        <w:sectPr>
          <w:footerReference r:id="rId4" w:type="default"/>
          <w:pgSz w:w="11905" w:h="16838"/>
          <w:pgMar w:top="1134" w:right="1134" w:bottom="1134" w:left="1134" w:header="850" w:footer="992" w:gutter="0"/>
          <w:pgNumType w:fmt="numberInDash" w:start="1"/>
          <w:cols w:space="720" w:num="1"/>
          <w:docGrid w:type="lines" w:linePitch="388" w:charSpace="0"/>
        </w:sectPr>
      </w:pPr>
    </w:p>
    <w:p w14:paraId="337F822E">
      <w:pPr>
        <w:pStyle w:val="2"/>
        <w:pageBreakBefore w:val="0"/>
        <w:kinsoku/>
        <w:wordWrap/>
        <w:overflowPunct/>
        <w:topLinePunct w:val="0"/>
        <w:autoSpaceDE/>
        <w:autoSpaceDN/>
        <w:bidi w:val="0"/>
        <w:adjustRightInd/>
        <w:spacing w:line="360" w:lineRule="auto"/>
        <w:ind w:left="0" w:leftChars="0" w:right="0"/>
        <w:textAlignment w:val="auto"/>
        <w:rPr>
          <w:rFonts w:hint="eastAsia" w:asciiTheme="minorEastAsia" w:hAnsiTheme="minorEastAsia" w:eastAsiaTheme="minorEastAsia" w:cstheme="minorEastAsia"/>
          <w:bCs/>
          <w:color w:val="auto"/>
          <w:sz w:val="36"/>
          <w:szCs w:val="36"/>
          <w:highlight w:val="none"/>
          <w:lang w:eastAsia="zh-CN"/>
        </w:rPr>
      </w:pPr>
      <w:bookmarkStart w:id="72" w:name="_Toc13540"/>
      <w:bookmarkStart w:id="73" w:name="_Toc8869"/>
      <w:r>
        <w:rPr>
          <w:rFonts w:hint="eastAsia" w:asciiTheme="minorEastAsia" w:hAnsiTheme="minorEastAsia" w:eastAsiaTheme="minorEastAsia" w:cstheme="minorEastAsia"/>
          <w:bCs/>
          <w:color w:val="auto"/>
          <w:sz w:val="36"/>
          <w:szCs w:val="36"/>
          <w:highlight w:val="none"/>
        </w:rPr>
        <w:t xml:space="preserve">第二篇 </w:t>
      </w:r>
      <w:bookmarkEnd w:id="69"/>
      <w:bookmarkEnd w:id="70"/>
      <w:bookmarkEnd w:id="71"/>
      <w:r>
        <w:rPr>
          <w:rFonts w:hint="eastAsia" w:asciiTheme="minorEastAsia" w:hAnsiTheme="minorEastAsia" w:eastAsiaTheme="minorEastAsia" w:cstheme="minorEastAsia"/>
          <w:bCs/>
          <w:color w:val="auto"/>
          <w:sz w:val="36"/>
          <w:szCs w:val="36"/>
          <w:highlight w:val="none"/>
          <w:lang w:eastAsia="zh-CN"/>
        </w:rPr>
        <w:t>项目技术（服务）需求</w:t>
      </w:r>
      <w:bookmarkEnd w:id="72"/>
      <w:bookmarkEnd w:id="73"/>
    </w:p>
    <w:bookmarkEnd w:id="53"/>
    <w:p w14:paraId="6C10E59E">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jc w:val="center"/>
        <w:textAlignment w:val="auto"/>
        <w:rPr>
          <w:rFonts w:hint="eastAsia" w:asciiTheme="minorEastAsia" w:hAnsiTheme="minorEastAsia" w:eastAsiaTheme="minorEastAsia" w:cstheme="minorEastAsia"/>
          <w:bCs/>
          <w:color w:val="auto"/>
          <w:kern w:val="2"/>
          <w:sz w:val="24"/>
          <w:szCs w:val="24"/>
          <w:highlight w:val="none"/>
          <w:lang w:val="en-US" w:eastAsia="zh-CN" w:bidi="ar-SA"/>
        </w:rPr>
      </w:pPr>
      <w:bookmarkStart w:id="74" w:name="_Toc3518"/>
      <w:bookmarkStart w:id="75" w:name="_Toc17173"/>
      <w:bookmarkStart w:id="76" w:name="_Toc22938"/>
      <w:bookmarkStart w:id="77" w:name="_Toc8493"/>
      <w:bookmarkStart w:id="78" w:name="_Toc1902"/>
      <w:bookmarkStart w:id="79" w:name="_Toc14076"/>
      <w:bookmarkStart w:id="80" w:name="_Toc7873"/>
      <w:r>
        <w:rPr>
          <w:rFonts w:hint="eastAsia" w:asciiTheme="minorEastAsia" w:hAnsiTheme="minorEastAsia" w:eastAsiaTheme="minorEastAsia" w:cstheme="minorEastAsia"/>
          <w:bCs/>
          <w:color w:val="auto"/>
          <w:kern w:val="2"/>
          <w:sz w:val="24"/>
          <w:szCs w:val="24"/>
          <w:highlight w:val="none"/>
          <w:lang w:val="en-US" w:eastAsia="zh-CN" w:bidi="ar-SA"/>
        </w:rPr>
        <w:t>※内容为符合性审查内容，不满足的作无效响应处理。</w:t>
      </w:r>
      <w:bookmarkEnd w:id="74"/>
      <w:bookmarkEnd w:id="75"/>
    </w:p>
    <w:p w14:paraId="667C24E8">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81" w:name="_Toc23113"/>
      <w:bookmarkStart w:id="82" w:name="_Toc11534"/>
      <w:bookmarkStart w:id="83" w:name="_Toc13654"/>
      <w:bookmarkStart w:id="84" w:name="_Toc29267"/>
      <w:r>
        <w:rPr>
          <w:rFonts w:hint="eastAsia" w:asciiTheme="minorEastAsia" w:hAnsiTheme="minorEastAsia" w:eastAsiaTheme="minorEastAsia" w:cstheme="minorEastAsia"/>
          <w:b w:val="0"/>
          <w:bCs/>
          <w:color w:val="auto"/>
          <w:kern w:val="44"/>
          <w:sz w:val="24"/>
          <w:szCs w:val="24"/>
          <w:highlight w:val="none"/>
          <w:lang w:val="en-US" w:eastAsia="zh-CN" w:bidi="ar-SA"/>
        </w:rPr>
        <w:t>一、</w:t>
      </w:r>
      <w:bookmarkEnd w:id="81"/>
      <w:r>
        <w:rPr>
          <w:rFonts w:hint="eastAsia" w:asciiTheme="minorEastAsia" w:hAnsiTheme="minorEastAsia" w:eastAsiaTheme="minorEastAsia" w:cstheme="minorEastAsia"/>
          <w:b w:val="0"/>
          <w:bCs/>
          <w:color w:val="auto"/>
          <w:kern w:val="44"/>
          <w:sz w:val="24"/>
          <w:szCs w:val="24"/>
          <w:highlight w:val="none"/>
          <w:lang w:val="en-US" w:eastAsia="zh-CN" w:bidi="ar-SA"/>
        </w:rPr>
        <w:t>项目概述</w:t>
      </w:r>
      <w:bookmarkEnd w:id="82"/>
      <w:bookmarkEnd w:id="83"/>
    </w:p>
    <w:p w14:paraId="5E3DACFA">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85" w:name="_Toc9567"/>
      <w:r>
        <w:rPr>
          <w:rFonts w:hint="eastAsia" w:asciiTheme="minorEastAsia" w:hAnsiTheme="minorEastAsia" w:eastAsiaTheme="minorEastAsia" w:cstheme="minorEastAsia"/>
          <w:b w:val="0"/>
          <w:bCs/>
          <w:color w:val="auto"/>
          <w:kern w:val="44"/>
          <w:sz w:val="24"/>
          <w:szCs w:val="24"/>
          <w:highlight w:val="none"/>
          <w:lang w:val="en-US" w:eastAsia="zh-CN" w:bidi="ar-SA"/>
        </w:rPr>
        <w:t>根据采购人单位工作要求，拟采购供应商提供重庆农业执法好人好故事宣传。</w:t>
      </w:r>
      <w:bookmarkEnd w:id="85"/>
    </w:p>
    <w:bookmarkEnd w:id="84"/>
    <w:p w14:paraId="794277D2">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86" w:name="_Toc3379"/>
      <w:r>
        <w:rPr>
          <w:rFonts w:hint="eastAsia" w:asciiTheme="minorEastAsia" w:hAnsiTheme="minorEastAsia" w:eastAsiaTheme="minorEastAsia" w:cstheme="minorEastAsia"/>
          <w:b w:val="0"/>
          <w:bCs/>
          <w:color w:val="auto"/>
          <w:kern w:val="44"/>
          <w:sz w:val="24"/>
          <w:szCs w:val="24"/>
          <w:highlight w:val="none"/>
          <w:lang w:val="en-US" w:eastAsia="zh-CN" w:bidi="ar-SA"/>
        </w:rPr>
        <w:t>※二、工作内容</w:t>
      </w:r>
      <w:bookmarkEnd w:id="86"/>
    </w:p>
    <w:p w14:paraId="7A6019DC">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44"/>
          <w:sz w:val="24"/>
          <w:szCs w:val="24"/>
          <w:highlight w:val="none"/>
          <w:lang w:val="en-US" w:eastAsia="zh-CN" w:bidi="ar-SA"/>
        </w:rPr>
      </w:pPr>
      <w:r>
        <w:rPr>
          <w:rFonts w:hint="eastAsia" w:asciiTheme="minorEastAsia" w:hAnsiTheme="minorEastAsia" w:eastAsiaTheme="minorEastAsia" w:cstheme="minorEastAsia"/>
          <w:b w:val="0"/>
          <w:bCs/>
          <w:color w:val="auto"/>
          <w:kern w:val="44"/>
          <w:sz w:val="24"/>
          <w:szCs w:val="24"/>
          <w:highlight w:val="none"/>
          <w:lang w:val="en-US" w:eastAsia="zh-CN" w:bidi="ar-SA"/>
        </w:rPr>
        <w:t>（一）工作背景及意义</w:t>
      </w:r>
    </w:p>
    <w:p w14:paraId="17ECFC1E">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44"/>
          <w:sz w:val="24"/>
          <w:szCs w:val="24"/>
          <w:highlight w:val="none"/>
          <w:lang w:val="en-US" w:eastAsia="zh-CN" w:bidi="ar-SA"/>
        </w:rPr>
      </w:pPr>
      <w:r>
        <w:rPr>
          <w:rFonts w:hint="eastAsia" w:asciiTheme="minorEastAsia" w:hAnsiTheme="minorEastAsia" w:eastAsiaTheme="minorEastAsia" w:cstheme="minorEastAsia"/>
          <w:b w:val="0"/>
          <w:bCs/>
          <w:color w:val="auto"/>
          <w:kern w:val="44"/>
          <w:sz w:val="24"/>
          <w:szCs w:val="24"/>
          <w:highlight w:val="none"/>
          <w:lang w:val="en-US" w:eastAsia="zh-CN" w:bidi="ar-SA"/>
        </w:rPr>
        <w:t>市农业综合执法总队按“谁执法谁普法”要求，持续推进普法宣传工作，但是存在农业执法点多面广链长，普法对象众多、受教育程度参差不齐等客观情况，制约了农业执法普法宣传效果。</w:t>
      </w:r>
    </w:p>
    <w:p w14:paraId="6D71622D">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44"/>
          <w:sz w:val="24"/>
          <w:szCs w:val="24"/>
          <w:highlight w:val="none"/>
          <w:lang w:val="en-US" w:eastAsia="zh-CN" w:bidi="ar-SA"/>
        </w:rPr>
      </w:pPr>
      <w:r>
        <w:rPr>
          <w:rFonts w:hint="eastAsia" w:asciiTheme="minorEastAsia" w:hAnsiTheme="minorEastAsia" w:eastAsiaTheme="minorEastAsia" w:cstheme="minorEastAsia"/>
          <w:b w:val="0"/>
          <w:bCs/>
          <w:color w:val="auto"/>
          <w:kern w:val="44"/>
          <w:sz w:val="24"/>
          <w:szCs w:val="24"/>
          <w:highlight w:val="none"/>
          <w:lang w:val="en-US" w:eastAsia="zh-CN" w:bidi="ar-SA"/>
        </w:rPr>
        <w:t>（二）工作主要内容</w:t>
      </w:r>
    </w:p>
    <w:p w14:paraId="580D2DCB">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44"/>
          <w:sz w:val="24"/>
          <w:szCs w:val="24"/>
          <w:highlight w:val="none"/>
          <w:lang w:val="en-US" w:eastAsia="zh-CN" w:bidi="ar-SA"/>
        </w:rPr>
      </w:pPr>
      <w:r>
        <w:rPr>
          <w:rFonts w:hint="eastAsia" w:asciiTheme="minorEastAsia" w:hAnsiTheme="minorEastAsia" w:eastAsiaTheme="minorEastAsia" w:cstheme="minorEastAsia"/>
          <w:b w:val="0"/>
          <w:bCs/>
          <w:color w:val="auto"/>
          <w:kern w:val="44"/>
          <w:sz w:val="24"/>
          <w:szCs w:val="24"/>
          <w:highlight w:val="none"/>
          <w:lang w:val="en-US" w:eastAsia="zh-CN" w:bidi="ar-SA"/>
        </w:rPr>
        <w:t>1.农业农村部办公厅《关于进一步严明纪律加强农业综合行政执法队伍建设的意见》（农办法〔2024〕8号）要求要求“认真落实‘谁执法谁普法’普法责任制，推动执法普法有机融合”、重庆市委《关于推进清廉文化建设的实施方案》（渝委党建〔2024〕3 号）要求深入实施清廉文化研究阐释、清廉文化服务供给提升、清廉文化实践养成等六大行动。</w:t>
      </w:r>
    </w:p>
    <w:p w14:paraId="4891A1B1">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44"/>
          <w:sz w:val="24"/>
          <w:szCs w:val="24"/>
          <w:highlight w:val="none"/>
          <w:lang w:val="en-US" w:eastAsia="zh-CN" w:bidi="ar-SA"/>
        </w:rPr>
      </w:pPr>
      <w:r>
        <w:rPr>
          <w:rFonts w:hint="eastAsia" w:asciiTheme="minorEastAsia" w:hAnsiTheme="minorEastAsia" w:eastAsiaTheme="minorEastAsia" w:cstheme="minorEastAsia"/>
          <w:b w:val="0"/>
          <w:bCs/>
          <w:color w:val="auto"/>
          <w:kern w:val="44"/>
          <w:sz w:val="24"/>
          <w:szCs w:val="24"/>
          <w:highlight w:val="none"/>
          <w:lang w:val="en-US" w:eastAsia="zh-CN" w:bidi="ar-SA"/>
        </w:rPr>
        <w:t>2.为更好履行执法普法职能职责，市总队坚持以廉政文化建设为统领，将清廉文化建设全面贯通于执法普法宣传工作中，推动执法普法高质量开展。市总队拟开展“以文化人·以廉润心”农业执法好人好故事宣传，以采购服务的方式，购买采购重庆农业执法好人好故事宣传服务，服务内容包括形成农业执法“好人好故事”宣传作品15篇，印制“以文化人·以廉润心”好人好故事作品集。</w:t>
      </w:r>
    </w:p>
    <w:p w14:paraId="3707787F">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44"/>
          <w:sz w:val="24"/>
          <w:szCs w:val="24"/>
          <w:highlight w:val="none"/>
          <w:lang w:val="en-US" w:eastAsia="zh-CN" w:bidi="ar-SA"/>
        </w:rPr>
      </w:pPr>
      <w:r>
        <w:rPr>
          <w:rFonts w:hint="eastAsia" w:asciiTheme="minorEastAsia" w:hAnsiTheme="minorEastAsia" w:eastAsiaTheme="minorEastAsia" w:cstheme="minorEastAsia"/>
          <w:b w:val="0"/>
          <w:bCs/>
          <w:color w:val="auto"/>
          <w:kern w:val="44"/>
          <w:sz w:val="24"/>
          <w:szCs w:val="24"/>
          <w:highlight w:val="none"/>
          <w:lang w:val="en-US" w:eastAsia="zh-CN" w:bidi="ar-SA"/>
        </w:rPr>
        <w:t>3.具体要求明细</w:t>
      </w:r>
    </w:p>
    <w:p w14:paraId="037FDE7B">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44"/>
          <w:sz w:val="24"/>
          <w:szCs w:val="24"/>
          <w:highlight w:val="none"/>
          <w:lang w:val="en-US" w:eastAsia="zh-CN" w:bidi="ar-SA"/>
        </w:rPr>
      </w:pPr>
      <w:r>
        <w:rPr>
          <w:rFonts w:hint="eastAsia" w:asciiTheme="minorEastAsia" w:hAnsiTheme="minorEastAsia" w:eastAsiaTheme="minorEastAsia" w:cstheme="minorEastAsia"/>
          <w:b w:val="0"/>
          <w:bCs/>
          <w:color w:val="auto"/>
          <w:kern w:val="44"/>
          <w:sz w:val="24"/>
          <w:szCs w:val="24"/>
          <w:highlight w:val="none"/>
          <w:lang w:val="en-US" w:eastAsia="zh-CN" w:bidi="ar-SA"/>
        </w:rPr>
        <w:t>对全市农业综合执法队伍一线工作人员（含执法人员、工勤人员、护渔队员、临聘人员）、协助参与、监督农业执法工作相关人员，以及关心、支持农业执法的社会团体、社会组织等中涌现出的好人好故事，深度挖掘其先进事迹，形成“好人好故事”宣传作品15篇，每篇不少于5000字，印制“以文化人·以廉润心”好人好故事作品集，</w:t>
      </w:r>
    </w:p>
    <w:p w14:paraId="0DB114D4">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44"/>
          <w:sz w:val="24"/>
          <w:szCs w:val="24"/>
          <w:highlight w:val="none"/>
          <w:lang w:val="en-US" w:eastAsia="zh-CN" w:bidi="ar-SA"/>
        </w:rPr>
        <w:sectPr>
          <w:footerReference r:id="rId6" w:type="first"/>
          <w:footerReference r:id="rId5" w:type="default"/>
          <w:pgSz w:w="11905" w:h="16838"/>
          <w:pgMar w:top="1134" w:right="1134" w:bottom="1134" w:left="1134" w:header="850" w:footer="992" w:gutter="0"/>
          <w:pgNumType w:fmt="numberInDash"/>
          <w:cols w:space="0" w:num="1"/>
          <w:titlePg/>
          <w:docGrid w:type="lines" w:linePitch="385" w:charSpace="0"/>
        </w:sectPr>
      </w:pPr>
      <w:r>
        <w:rPr>
          <w:rFonts w:hint="eastAsia" w:asciiTheme="minorEastAsia" w:hAnsiTheme="minorEastAsia" w:eastAsiaTheme="minorEastAsia" w:cstheme="minorEastAsia"/>
          <w:b w:val="0"/>
          <w:bCs/>
          <w:color w:val="auto"/>
          <w:kern w:val="44"/>
          <w:sz w:val="24"/>
          <w:szCs w:val="24"/>
          <w:highlight w:val="none"/>
          <w:lang w:val="en-US" w:eastAsia="zh-CN" w:bidi="ar-SA"/>
        </w:rPr>
        <w:t>好人好故事作品集规格要求：①开本：787mm</w:t>
      </w:r>
      <w:r>
        <w:rPr>
          <w:rFonts w:hint="default" w:asciiTheme="minorEastAsia" w:hAnsiTheme="minorEastAsia" w:eastAsiaTheme="minorEastAsia" w:cstheme="minorEastAsia"/>
          <w:b w:val="0"/>
          <w:bCs/>
          <w:color w:val="auto"/>
          <w:kern w:val="44"/>
          <w:sz w:val="24"/>
          <w:szCs w:val="24"/>
          <w:highlight w:val="none"/>
          <w:lang w:val="en-US" w:eastAsia="zh-CN" w:bidi="ar-SA"/>
        </w:rPr>
        <w:t>×</w:t>
      </w:r>
      <w:r>
        <w:rPr>
          <w:rFonts w:hint="eastAsia" w:asciiTheme="minorEastAsia" w:hAnsiTheme="minorEastAsia" w:eastAsiaTheme="minorEastAsia" w:cstheme="minorEastAsia"/>
          <w:b w:val="0"/>
          <w:bCs/>
          <w:color w:val="auto"/>
          <w:kern w:val="44"/>
          <w:sz w:val="24"/>
          <w:szCs w:val="24"/>
          <w:highlight w:val="none"/>
          <w:lang w:val="en-US" w:eastAsia="zh-CN" w:bidi="ar-SA"/>
        </w:rPr>
        <w:t xml:space="preserve">1092mm；②纸张：封面300g特种纸，内页100g纸；③数量：不少于500本；④颜色：封面四色彩印，内页四色彩印刷；⑤工艺：无线胶包，封面膜压纹，烫金。 </w:t>
      </w:r>
    </w:p>
    <w:p w14:paraId="75D9C694">
      <w:pPr>
        <w:pStyle w:val="2"/>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val="0"/>
          <w:color w:val="auto"/>
          <w:sz w:val="36"/>
          <w:szCs w:val="36"/>
          <w:highlight w:val="none"/>
        </w:rPr>
      </w:pPr>
      <w:bookmarkStart w:id="87" w:name="_Toc13847"/>
      <w:bookmarkStart w:id="88" w:name="_Toc10240"/>
      <w:r>
        <w:rPr>
          <w:rFonts w:hint="eastAsia" w:asciiTheme="minorEastAsia" w:hAnsiTheme="minorEastAsia" w:eastAsiaTheme="minorEastAsia" w:cstheme="minorEastAsia"/>
          <w:b/>
          <w:bCs w:val="0"/>
          <w:color w:val="auto"/>
          <w:sz w:val="36"/>
          <w:szCs w:val="36"/>
          <w:highlight w:val="none"/>
        </w:rPr>
        <w:t>第三篇 项目商务需求</w:t>
      </w:r>
      <w:bookmarkEnd w:id="76"/>
      <w:bookmarkEnd w:id="77"/>
      <w:bookmarkEnd w:id="78"/>
      <w:bookmarkEnd w:id="87"/>
      <w:bookmarkEnd w:id="88"/>
    </w:p>
    <w:bookmarkEnd w:id="79"/>
    <w:bookmarkEnd w:id="80"/>
    <w:p w14:paraId="41BE6604">
      <w:pPr>
        <w:pageBreakBefore w:val="0"/>
        <w:kinsoku/>
        <w:wordWrap/>
        <w:overflowPunct/>
        <w:topLinePunct w:val="0"/>
        <w:autoSpaceDE/>
        <w:autoSpaceDN/>
        <w:bidi w:val="0"/>
        <w:adjustRightInd/>
        <w:snapToGrid w:val="0"/>
        <w:spacing w:line="360" w:lineRule="auto"/>
        <w:ind w:left="0" w:leftChars="0" w:right="0" w:firstLine="482" w:firstLineChars="200"/>
        <w:textAlignment w:val="auto"/>
        <w:rPr>
          <w:rFonts w:hint="eastAsia" w:asciiTheme="minorEastAsia" w:hAnsiTheme="minorEastAsia" w:eastAsiaTheme="minorEastAsia" w:cstheme="minorEastAsia"/>
          <w:b/>
          <w:bCs w:val="0"/>
          <w:color w:val="auto"/>
          <w:sz w:val="24"/>
          <w:szCs w:val="24"/>
          <w:highlight w:val="none"/>
        </w:rPr>
      </w:pPr>
      <w:bookmarkStart w:id="89" w:name="_Toc15693"/>
      <w:bookmarkStart w:id="90" w:name="_Toc106030393"/>
      <w:bookmarkStart w:id="91" w:name="_Toc22763"/>
      <w:bookmarkStart w:id="92" w:name="_Toc8133"/>
      <w:bookmarkStart w:id="93" w:name="_Toc2672"/>
      <w:bookmarkStart w:id="94" w:name="_Toc3339"/>
      <w:bookmarkStart w:id="95" w:name="_Toc25165"/>
      <w:bookmarkStart w:id="96" w:name="_Toc23377"/>
      <w:bookmarkStart w:id="97" w:name="_Toc2406"/>
      <w:bookmarkStart w:id="98" w:name="_Toc11875"/>
      <w:bookmarkStart w:id="99" w:name="_Toc23663"/>
      <w:bookmarkStart w:id="100" w:name="_Toc2487"/>
      <w:bookmarkStart w:id="101" w:name="_Toc75793517"/>
      <w:bookmarkStart w:id="102" w:name="_Toc25903"/>
      <w:bookmarkStart w:id="103" w:name="_Toc17711"/>
      <w:bookmarkStart w:id="104" w:name="_Toc25911"/>
      <w:bookmarkStart w:id="105" w:name="_Toc30067"/>
      <w:bookmarkStart w:id="106" w:name="_Toc24966"/>
      <w:bookmarkStart w:id="107" w:name="_Toc10668"/>
    </w:p>
    <w:p w14:paraId="1B5D4044">
      <w:pPr>
        <w:pStyle w:val="2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right="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Cs/>
          <w:color w:val="auto"/>
          <w:kern w:val="2"/>
          <w:sz w:val="24"/>
          <w:szCs w:val="24"/>
          <w:highlight w:val="none"/>
          <w:lang w:val="en-US" w:eastAsia="zh-CN" w:bidi="ar-SA"/>
        </w:rPr>
        <w:t>※内容为符合性审查内容，不满足的作无效响应处理。</w:t>
      </w:r>
    </w:p>
    <w:p w14:paraId="6C24B07B">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108" w:name="_Toc14813"/>
      <w:bookmarkStart w:id="109" w:name="_Toc13488"/>
      <w:r>
        <w:rPr>
          <w:rFonts w:hint="eastAsia" w:asciiTheme="minorEastAsia" w:hAnsiTheme="minorEastAsia" w:eastAsiaTheme="minorEastAsia" w:cstheme="minorEastAsia"/>
          <w:b w:val="0"/>
          <w:bCs/>
          <w:color w:val="auto"/>
          <w:kern w:val="44"/>
          <w:sz w:val="24"/>
          <w:szCs w:val="24"/>
          <w:highlight w:val="none"/>
          <w:lang w:val="en-US" w:eastAsia="zh-CN" w:bidi="ar-SA"/>
        </w:rPr>
        <w:t>※一、服务地点、验收方式</w:t>
      </w:r>
      <w:bookmarkEnd w:id="108"/>
      <w:bookmarkEnd w:id="109"/>
    </w:p>
    <w:p w14:paraId="3B42DCE0">
      <w:pPr>
        <w:pStyle w:val="51"/>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bookmarkStart w:id="110" w:name="_Toc15193"/>
      <w:r>
        <w:rPr>
          <w:rFonts w:hint="eastAsia" w:asciiTheme="minorEastAsia" w:hAnsiTheme="minorEastAsia" w:eastAsiaTheme="minorEastAsia" w:cstheme="minorEastAsia"/>
          <w:color w:val="auto"/>
          <w:sz w:val="24"/>
          <w:szCs w:val="24"/>
          <w:highlight w:val="none"/>
          <w:lang w:val="en-US" w:eastAsia="zh-CN"/>
        </w:rPr>
        <w:t>（一）服务地点：</w:t>
      </w:r>
      <w:r>
        <w:rPr>
          <w:rFonts w:hint="eastAsia" w:asciiTheme="minorEastAsia" w:hAnsiTheme="minorEastAsia" w:eastAsiaTheme="minorEastAsia" w:cstheme="minorEastAsia"/>
          <w:color w:val="auto"/>
          <w:sz w:val="24"/>
          <w:szCs w:val="24"/>
          <w:highlight w:val="none"/>
        </w:rPr>
        <w:t>采购人指定地点。</w:t>
      </w:r>
      <w:bookmarkEnd w:id="110"/>
    </w:p>
    <w:p w14:paraId="363EEB0B">
      <w:pPr>
        <w:pStyle w:val="51"/>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bookmarkStart w:id="111" w:name="_Toc20721"/>
      <w:r>
        <w:rPr>
          <w:rFonts w:hint="eastAsia" w:asciiTheme="minorEastAsia" w:hAnsiTheme="minorEastAsia" w:eastAsiaTheme="minorEastAsia" w:cstheme="minorEastAsia"/>
          <w:color w:val="auto"/>
          <w:sz w:val="24"/>
          <w:szCs w:val="24"/>
          <w:highlight w:val="none"/>
          <w:lang w:val="en-US" w:eastAsia="zh-CN"/>
        </w:rPr>
        <w:t>（二）验收方式：</w:t>
      </w:r>
      <w:bookmarkEnd w:id="111"/>
      <w:r>
        <w:rPr>
          <w:rFonts w:hint="eastAsia" w:asciiTheme="minorEastAsia" w:hAnsiTheme="minorEastAsia" w:eastAsiaTheme="minorEastAsia" w:cstheme="minorEastAsia"/>
          <w:color w:val="auto"/>
          <w:sz w:val="24"/>
          <w:szCs w:val="24"/>
          <w:highlight w:val="none"/>
        </w:rPr>
        <w:t>按照竞采文件、采购合同及相关规定，由采购人组织验收。</w:t>
      </w:r>
    </w:p>
    <w:p w14:paraId="1E0DC5A2">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112" w:name="_Toc10687"/>
      <w:bookmarkStart w:id="113" w:name="_Toc2173"/>
      <w:bookmarkStart w:id="114" w:name="_Toc16680"/>
      <w:r>
        <w:rPr>
          <w:rFonts w:hint="eastAsia" w:asciiTheme="minorEastAsia" w:hAnsiTheme="minorEastAsia" w:eastAsiaTheme="minorEastAsia" w:cstheme="minorEastAsia"/>
          <w:b w:val="0"/>
          <w:bCs/>
          <w:color w:val="auto"/>
          <w:kern w:val="44"/>
          <w:sz w:val="24"/>
          <w:szCs w:val="24"/>
          <w:highlight w:val="none"/>
          <w:lang w:val="en-US" w:eastAsia="zh-CN" w:bidi="ar-SA"/>
        </w:rPr>
        <w:t>※二、报价要求及结算方式</w:t>
      </w:r>
      <w:bookmarkEnd w:id="112"/>
      <w:bookmarkEnd w:id="113"/>
      <w:bookmarkEnd w:id="114"/>
    </w:p>
    <w:p w14:paraId="39D129C5">
      <w:pPr>
        <w:pStyle w:val="51"/>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bCs/>
          <w:color w:val="auto"/>
          <w:kern w:val="2"/>
          <w:sz w:val="24"/>
          <w:szCs w:val="24"/>
          <w:highlight w:val="none"/>
          <w:lang w:val="en-US" w:eastAsia="zh-CN" w:bidi="ar-SA"/>
        </w:rPr>
      </w:pPr>
      <w:bookmarkStart w:id="115" w:name="_Toc24100"/>
      <w:r>
        <w:rPr>
          <w:rFonts w:hint="eastAsia" w:asciiTheme="minorEastAsia" w:hAnsiTheme="minorEastAsia" w:eastAsiaTheme="minorEastAsia" w:cstheme="minorEastAsia"/>
          <w:bCs/>
          <w:color w:val="auto"/>
          <w:kern w:val="2"/>
          <w:sz w:val="24"/>
          <w:szCs w:val="24"/>
          <w:highlight w:val="none"/>
          <w:lang w:val="en-US" w:eastAsia="zh-CN" w:bidi="ar-SA"/>
        </w:rPr>
        <w:t>（一）报价要求：</w:t>
      </w:r>
    </w:p>
    <w:p w14:paraId="1423241A">
      <w:pPr>
        <w:pStyle w:val="51"/>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本项目报价为总价包干价格，包含但不限于完成项目的全部劳务费、</w:t>
      </w:r>
      <w:r>
        <w:rPr>
          <w:rFonts w:hint="eastAsia" w:asciiTheme="minorEastAsia" w:hAnsiTheme="minorEastAsia" w:eastAsiaTheme="minorEastAsia" w:cstheme="minorEastAsia"/>
          <w:color w:val="auto"/>
          <w:sz w:val="24"/>
          <w:szCs w:val="24"/>
          <w:highlight w:val="none"/>
          <w:lang w:val="en-US" w:eastAsia="zh-CN"/>
        </w:rPr>
        <w:t>拍摄制作、</w:t>
      </w:r>
      <w:r>
        <w:rPr>
          <w:rFonts w:hint="eastAsia" w:asciiTheme="minorEastAsia" w:hAnsiTheme="minorEastAsia" w:eastAsiaTheme="minorEastAsia" w:cstheme="minorEastAsia"/>
          <w:color w:val="auto"/>
          <w:sz w:val="24"/>
          <w:szCs w:val="24"/>
          <w:highlight w:val="none"/>
        </w:rPr>
        <w:t>设备</w:t>
      </w:r>
      <w:r>
        <w:rPr>
          <w:rFonts w:hint="eastAsia" w:asciiTheme="minorEastAsia" w:hAnsiTheme="minorEastAsia" w:eastAsiaTheme="minorEastAsia" w:cstheme="minorEastAsia"/>
          <w:color w:val="auto"/>
          <w:sz w:val="24"/>
          <w:szCs w:val="24"/>
          <w:highlight w:val="none"/>
          <w:lang w:val="en-US" w:eastAsia="zh-CN"/>
        </w:rPr>
        <w:t>费</w:t>
      </w:r>
      <w:r>
        <w:rPr>
          <w:rFonts w:hint="eastAsia" w:asciiTheme="minorEastAsia" w:hAnsiTheme="minorEastAsia" w:eastAsiaTheme="minorEastAsia" w:cstheme="minorEastAsia"/>
          <w:color w:val="auto"/>
          <w:sz w:val="24"/>
          <w:szCs w:val="24"/>
          <w:highlight w:val="none"/>
        </w:rPr>
        <w:t>、材料</w:t>
      </w:r>
      <w:r>
        <w:rPr>
          <w:rFonts w:hint="eastAsia" w:asciiTheme="minorEastAsia" w:hAnsiTheme="minorEastAsia" w:eastAsiaTheme="minorEastAsia" w:cstheme="minorEastAsia"/>
          <w:color w:val="auto"/>
          <w:sz w:val="24"/>
          <w:szCs w:val="24"/>
          <w:highlight w:val="none"/>
          <w:lang w:val="en-US" w:eastAsia="zh-CN"/>
        </w:rPr>
        <w:t>文印</w:t>
      </w:r>
      <w:r>
        <w:rPr>
          <w:rFonts w:hint="eastAsia" w:asciiTheme="minorEastAsia" w:hAnsiTheme="minorEastAsia" w:eastAsiaTheme="minorEastAsia" w:cstheme="minorEastAsia"/>
          <w:color w:val="auto"/>
          <w:sz w:val="24"/>
          <w:szCs w:val="24"/>
          <w:highlight w:val="none"/>
        </w:rPr>
        <w:t>费、</w:t>
      </w:r>
      <w:r>
        <w:rPr>
          <w:rFonts w:hint="eastAsia" w:asciiTheme="minorEastAsia" w:hAnsiTheme="minorEastAsia" w:eastAsiaTheme="minorEastAsia" w:cstheme="minorEastAsia"/>
          <w:color w:val="auto"/>
          <w:sz w:val="24"/>
          <w:szCs w:val="24"/>
          <w:highlight w:val="none"/>
          <w:lang w:val="en-US" w:eastAsia="zh-CN"/>
        </w:rPr>
        <w:t>版权费、专利费、宣传费、</w:t>
      </w:r>
      <w:r>
        <w:rPr>
          <w:rFonts w:hint="eastAsia" w:asciiTheme="minorEastAsia" w:hAnsiTheme="minorEastAsia" w:eastAsiaTheme="minorEastAsia" w:cstheme="minorEastAsia"/>
          <w:color w:val="auto"/>
          <w:sz w:val="24"/>
          <w:szCs w:val="24"/>
          <w:highlight w:val="none"/>
        </w:rPr>
        <w:t>差旅</w:t>
      </w:r>
      <w:r>
        <w:rPr>
          <w:rFonts w:hint="eastAsia" w:asciiTheme="minorEastAsia" w:hAnsiTheme="minorEastAsia" w:eastAsiaTheme="minorEastAsia" w:cstheme="minorEastAsia"/>
          <w:color w:val="auto"/>
          <w:sz w:val="24"/>
          <w:szCs w:val="24"/>
          <w:highlight w:val="none"/>
          <w:lang w:val="en-US" w:eastAsia="zh-CN"/>
        </w:rPr>
        <w:t>费</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租赁费、管理费、</w:t>
      </w:r>
      <w:r>
        <w:rPr>
          <w:rFonts w:hint="eastAsia" w:asciiTheme="minorEastAsia" w:hAnsiTheme="minorEastAsia" w:eastAsiaTheme="minorEastAsia" w:cstheme="minorEastAsia"/>
          <w:color w:val="auto"/>
          <w:sz w:val="24"/>
          <w:szCs w:val="24"/>
          <w:highlight w:val="none"/>
        </w:rPr>
        <w:t>利润、税费、采购代理服务费</w:t>
      </w:r>
      <w:r>
        <w:rPr>
          <w:rFonts w:hint="eastAsia" w:asciiTheme="minorEastAsia" w:hAnsiTheme="minorEastAsia" w:eastAsiaTheme="minorEastAsia" w:cstheme="minorEastAsia"/>
          <w:color w:val="auto"/>
          <w:sz w:val="24"/>
          <w:szCs w:val="24"/>
          <w:highlight w:val="none"/>
          <w:lang w:val="en-US" w:eastAsia="zh-CN"/>
        </w:rPr>
        <w:t>和</w:t>
      </w:r>
      <w:r>
        <w:rPr>
          <w:rFonts w:hint="eastAsia" w:asciiTheme="minorEastAsia" w:hAnsiTheme="minorEastAsia" w:eastAsiaTheme="minorEastAsia" w:cstheme="minorEastAsia"/>
          <w:color w:val="auto"/>
          <w:sz w:val="24"/>
          <w:szCs w:val="24"/>
          <w:highlight w:val="none"/>
        </w:rPr>
        <w:t>行采家平台费（注：成交供应商支付，包含在报价中不单列）等全部费用。因供应商自身原因少报漏报的，成交人自行承担，成交后执行价格以报价为准不再调整。</w:t>
      </w:r>
    </w:p>
    <w:p w14:paraId="1CC93C74">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116" w:name="_Toc27196"/>
      <w:bookmarkStart w:id="117" w:name="_Toc2453"/>
      <w:bookmarkStart w:id="118" w:name="_Toc19984"/>
      <w:r>
        <w:rPr>
          <w:rFonts w:hint="eastAsia" w:asciiTheme="minorEastAsia" w:hAnsiTheme="minorEastAsia" w:eastAsiaTheme="minorEastAsia" w:cstheme="minorEastAsia"/>
          <w:b w:val="0"/>
          <w:bCs/>
          <w:color w:val="auto"/>
          <w:kern w:val="44"/>
          <w:sz w:val="24"/>
          <w:szCs w:val="24"/>
          <w:highlight w:val="none"/>
          <w:lang w:val="en-US" w:eastAsia="zh-CN" w:bidi="ar-SA"/>
        </w:rPr>
        <w:t>※三、</w:t>
      </w:r>
      <w:bookmarkEnd w:id="115"/>
      <w:r>
        <w:rPr>
          <w:rFonts w:hint="eastAsia" w:asciiTheme="minorEastAsia" w:hAnsiTheme="minorEastAsia" w:eastAsiaTheme="minorEastAsia" w:cstheme="minorEastAsia"/>
          <w:b w:val="0"/>
          <w:bCs/>
          <w:color w:val="auto"/>
          <w:kern w:val="44"/>
          <w:sz w:val="24"/>
          <w:szCs w:val="24"/>
          <w:highlight w:val="none"/>
          <w:lang w:val="en-US" w:eastAsia="zh-CN" w:bidi="ar-SA"/>
        </w:rPr>
        <w:t>付款方式</w:t>
      </w:r>
      <w:bookmarkEnd w:id="116"/>
      <w:bookmarkEnd w:id="117"/>
      <w:bookmarkEnd w:id="118"/>
    </w:p>
    <w:p w14:paraId="474BC8E2">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r>
        <w:rPr>
          <w:rFonts w:hint="eastAsia" w:asciiTheme="minorEastAsia" w:hAnsiTheme="minorEastAsia" w:eastAsiaTheme="minorEastAsia" w:cstheme="minorEastAsia"/>
          <w:b w:val="0"/>
          <w:bCs/>
          <w:color w:val="auto"/>
          <w:kern w:val="44"/>
          <w:sz w:val="24"/>
          <w:szCs w:val="24"/>
          <w:highlight w:val="none"/>
          <w:lang w:val="en-US" w:eastAsia="zh-CN" w:bidi="ar-SA"/>
        </w:rPr>
        <w:t>（一）总价包干支付。成交供应商交货完成，且经采购人验收合格后，10工作日内一次性支付合同价款的100%。</w:t>
      </w:r>
      <w:bookmarkStart w:id="499" w:name="_GoBack"/>
      <w:bookmarkEnd w:id="499"/>
    </w:p>
    <w:p w14:paraId="79701741">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（二）成交供应商应向采购人提交相应金额的</w:t>
      </w:r>
      <w:r>
        <w:rPr>
          <w:rFonts w:hint="eastAsia" w:asciiTheme="minorEastAsia" w:hAnsiTheme="minorEastAsia" w:eastAsiaTheme="minorEastAsia" w:cstheme="minorEastAsia"/>
          <w:color w:val="auto"/>
          <w:sz w:val="24"/>
          <w:szCs w:val="24"/>
          <w:highlight w:val="none"/>
          <w:lang w:val="en-US" w:eastAsia="zh-CN"/>
        </w:rPr>
        <w:t>有效</w:t>
      </w:r>
      <w:r>
        <w:rPr>
          <w:rFonts w:hint="eastAsia" w:asciiTheme="minorEastAsia" w:hAnsiTheme="minorEastAsia" w:eastAsiaTheme="minorEastAsia" w:cstheme="minorEastAsia"/>
          <w:color w:val="auto"/>
          <w:sz w:val="24"/>
          <w:szCs w:val="24"/>
          <w:highlight w:val="none"/>
        </w:rPr>
        <w:t>发票，采购人收到发票后安排支付流程,以转账方式向成交供应商支付服务费用。</w:t>
      </w:r>
    </w:p>
    <w:p w14:paraId="0971D533">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119" w:name="_Toc31015"/>
      <w:bookmarkStart w:id="120" w:name="_Toc30864"/>
      <w:bookmarkStart w:id="121" w:name="_Toc5779"/>
      <w:r>
        <w:rPr>
          <w:rFonts w:hint="eastAsia" w:asciiTheme="minorEastAsia" w:hAnsiTheme="minorEastAsia" w:eastAsiaTheme="minorEastAsia" w:cstheme="minorEastAsia"/>
          <w:b w:val="0"/>
          <w:bCs/>
          <w:color w:val="auto"/>
          <w:kern w:val="44"/>
          <w:sz w:val="24"/>
          <w:szCs w:val="24"/>
          <w:highlight w:val="none"/>
          <w:lang w:val="en-US" w:eastAsia="zh-CN" w:bidi="ar-SA"/>
        </w:rPr>
        <w:t>※四、知识产权</w:t>
      </w:r>
      <w:bookmarkEnd w:id="119"/>
      <w:bookmarkEnd w:id="120"/>
      <w:bookmarkEnd w:id="121"/>
    </w:p>
    <w:p w14:paraId="155692A2">
      <w:pPr>
        <w:pageBreakBefore w:val="0"/>
        <w:kinsoku/>
        <w:wordWrap/>
        <w:overflowPunct/>
        <w:topLinePunct w:val="0"/>
        <w:autoSpaceDE/>
        <w:autoSpaceDN/>
        <w:bidi w:val="0"/>
        <w:adjustRightInd/>
        <w:snapToGrid w:val="0"/>
        <w:spacing w:line="360" w:lineRule="auto"/>
        <w:ind w:left="0" w:leftChars="0" w:right="0" w:firstLine="56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采购人在中华人民共和国境内使用中选人提供的货物及服务时免受第三方提出的侵犯其专利权或其他知识产权的起诉。如果第三方提出侵权指控，中选人应承担由此而引起的一切法律责任和费用。</w:t>
      </w:r>
    </w:p>
    <w:p w14:paraId="0E5C5FDC">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122" w:name="_Toc802"/>
      <w:bookmarkStart w:id="123" w:name="_Toc15487"/>
      <w:bookmarkStart w:id="124" w:name="_Toc53646881"/>
      <w:bookmarkStart w:id="125" w:name="_Toc31035"/>
      <w:bookmarkStart w:id="126" w:name="_Toc15884"/>
      <w:r>
        <w:rPr>
          <w:rFonts w:hint="eastAsia" w:asciiTheme="minorEastAsia" w:hAnsiTheme="minorEastAsia" w:eastAsiaTheme="minorEastAsia" w:cstheme="minorEastAsia"/>
          <w:b w:val="0"/>
          <w:bCs/>
          <w:color w:val="auto"/>
          <w:kern w:val="44"/>
          <w:sz w:val="24"/>
          <w:szCs w:val="24"/>
          <w:highlight w:val="none"/>
          <w:lang w:val="en-US" w:eastAsia="zh-CN" w:bidi="ar-SA"/>
        </w:rPr>
        <w:t>※五、</w:t>
      </w:r>
      <w:bookmarkEnd w:id="122"/>
      <w:bookmarkEnd w:id="123"/>
      <w:bookmarkEnd w:id="124"/>
      <w:bookmarkStart w:id="127" w:name="_Toc2121"/>
      <w:r>
        <w:rPr>
          <w:rFonts w:hint="eastAsia" w:asciiTheme="minorEastAsia" w:hAnsiTheme="minorEastAsia" w:eastAsiaTheme="minorEastAsia" w:cstheme="minorEastAsia"/>
          <w:b w:val="0"/>
          <w:bCs/>
          <w:color w:val="auto"/>
          <w:kern w:val="44"/>
          <w:sz w:val="24"/>
          <w:szCs w:val="24"/>
          <w:highlight w:val="none"/>
          <w:lang w:val="en-US" w:eastAsia="zh-CN" w:bidi="ar-SA"/>
        </w:rPr>
        <w:t>其他</w:t>
      </w:r>
      <w:bookmarkEnd w:id="125"/>
      <w:bookmarkEnd w:id="126"/>
      <w:bookmarkEnd w:id="127"/>
    </w:p>
    <w:p w14:paraId="53A355F5">
      <w:pPr>
        <w:pageBreakBefore w:val="0"/>
        <w:kinsoku/>
        <w:wordWrap/>
        <w:overflowPunct/>
        <w:topLinePunct w:val="0"/>
        <w:autoSpaceDE/>
        <w:autoSpaceDN/>
        <w:bidi w:val="0"/>
        <w:adjustRightInd/>
        <w:snapToGrid w:val="0"/>
        <w:spacing w:line="360" w:lineRule="auto"/>
        <w:ind w:left="0" w:leftChars="0" w:right="0" w:firstLine="56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其他未尽事宜由甲乙双方在合同中详细约定。</w:t>
      </w:r>
    </w:p>
    <w:p w14:paraId="28261444">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br w:type="page"/>
      </w:r>
    </w:p>
    <w:p w14:paraId="1687FD65">
      <w:pPr>
        <w:pStyle w:val="2"/>
        <w:pageBreakBefore w:val="0"/>
        <w:kinsoku/>
        <w:wordWrap/>
        <w:overflowPunct/>
        <w:topLinePunct w:val="0"/>
        <w:autoSpaceDE/>
        <w:autoSpaceDN/>
        <w:bidi w:val="0"/>
        <w:adjustRightInd/>
        <w:spacing w:line="360" w:lineRule="auto"/>
        <w:ind w:left="0" w:leftChars="0" w:right="0"/>
        <w:textAlignment w:val="auto"/>
        <w:rPr>
          <w:rFonts w:hint="eastAsia" w:asciiTheme="minorEastAsia" w:hAnsiTheme="minorEastAsia" w:eastAsiaTheme="minorEastAsia" w:cstheme="minorEastAsia"/>
          <w:b w:val="0"/>
          <w:bCs/>
          <w:color w:val="auto"/>
          <w:sz w:val="28"/>
          <w:szCs w:val="28"/>
          <w:highlight w:val="none"/>
        </w:rPr>
      </w:pPr>
      <w:bookmarkStart w:id="128" w:name="_Toc16138"/>
      <w:bookmarkStart w:id="129" w:name="_Toc2506"/>
      <w:r>
        <w:rPr>
          <w:rFonts w:hint="eastAsia" w:asciiTheme="minorEastAsia" w:hAnsiTheme="minorEastAsia" w:eastAsiaTheme="minorEastAsia" w:cstheme="minorEastAsia"/>
          <w:b/>
          <w:bCs w:val="0"/>
          <w:color w:val="auto"/>
          <w:sz w:val="36"/>
          <w:szCs w:val="36"/>
          <w:highlight w:val="none"/>
        </w:rPr>
        <w:t>第四篇 资格审查及评审办法</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28"/>
      <w:bookmarkEnd w:id="129"/>
      <w:bookmarkStart w:id="130" w:name="_Toc14564"/>
      <w:bookmarkStart w:id="131" w:name="_Toc1497"/>
      <w:bookmarkStart w:id="132" w:name="_Toc20541"/>
      <w:bookmarkStart w:id="133" w:name="_Toc21859"/>
      <w:bookmarkStart w:id="134" w:name="_Toc8983"/>
      <w:bookmarkStart w:id="135" w:name="_Toc28360"/>
      <w:bookmarkStart w:id="136" w:name="_Toc29755"/>
      <w:bookmarkStart w:id="137" w:name="_Toc27081"/>
      <w:bookmarkStart w:id="138" w:name="_Toc28903"/>
      <w:bookmarkStart w:id="139" w:name="_Toc23973"/>
      <w:bookmarkStart w:id="140" w:name="_Toc26309"/>
      <w:bookmarkStart w:id="141" w:name="_Toc4071"/>
      <w:bookmarkStart w:id="142" w:name="_Toc12641"/>
      <w:bookmarkStart w:id="143" w:name="_Toc25971"/>
      <w:bookmarkStart w:id="144" w:name="_Toc75793518"/>
      <w:bookmarkStart w:id="145" w:name="_Toc10022"/>
      <w:bookmarkStart w:id="146" w:name="_Toc106030394"/>
      <w:bookmarkStart w:id="147" w:name="_Toc15440"/>
      <w:bookmarkStart w:id="148" w:name="_Toc1763"/>
      <w:bookmarkStart w:id="149" w:name="_Toc3951"/>
    </w:p>
    <w:p w14:paraId="708E16F8">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150" w:name="_Toc17462"/>
      <w:bookmarkStart w:id="151" w:name="_Toc19368"/>
      <w:r>
        <w:rPr>
          <w:rFonts w:hint="eastAsia" w:asciiTheme="minorEastAsia" w:hAnsiTheme="minorEastAsia" w:eastAsiaTheme="minorEastAsia" w:cstheme="minorEastAsia"/>
          <w:b w:val="0"/>
          <w:bCs/>
          <w:color w:val="auto"/>
          <w:kern w:val="44"/>
          <w:sz w:val="24"/>
          <w:szCs w:val="24"/>
          <w:highlight w:val="none"/>
          <w:lang w:val="en-US" w:eastAsia="zh-CN" w:bidi="ar-SA"/>
        </w:rPr>
        <w:t>一、资格审查</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r>
        <w:rPr>
          <w:rFonts w:hint="eastAsia" w:asciiTheme="minorEastAsia" w:hAnsiTheme="minorEastAsia" w:eastAsiaTheme="minorEastAsia" w:cstheme="minorEastAsia"/>
          <w:b w:val="0"/>
          <w:bCs/>
          <w:color w:val="auto"/>
          <w:kern w:val="44"/>
          <w:sz w:val="24"/>
          <w:szCs w:val="24"/>
          <w:highlight w:val="none"/>
          <w:lang w:val="en-US" w:eastAsia="zh-CN" w:bidi="ar-SA"/>
        </w:rPr>
        <w:t>及符合性审查</w:t>
      </w:r>
      <w:bookmarkEnd w:id="145"/>
      <w:bookmarkEnd w:id="146"/>
      <w:bookmarkEnd w:id="147"/>
      <w:bookmarkEnd w:id="148"/>
      <w:bookmarkEnd w:id="149"/>
      <w:bookmarkEnd w:id="150"/>
      <w:bookmarkEnd w:id="151"/>
    </w:p>
    <w:p w14:paraId="1E00A6BB">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若未通过资格审查及符合性审查的响应文件，不进入评审环节。</w:t>
      </w:r>
    </w:p>
    <w:p w14:paraId="1332BC11">
      <w:pPr>
        <w:pStyle w:val="51"/>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kern w:val="2"/>
          <w:sz w:val="24"/>
          <w:szCs w:val="24"/>
          <w:highlight w:val="none"/>
          <w:lang w:val="en-US" w:eastAsia="zh-CN" w:bidi="ar-SA"/>
        </w:rPr>
        <w:t>（一）资格审查</w:t>
      </w:r>
    </w:p>
    <w:p w14:paraId="22986CF2">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对响应文件中的资格证明文件进行审查。资格审查资料表如下：</w:t>
      </w:r>
    </w:p>
    <w:tbl>
      <w:tblPr>
        <w:tblStyle w:val="26"/>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431"/>
        <w:gridCol w:w="3118"/>
        <w:gridCol w:w="4984"/>
      </w:tblGrid>
      <w:tr w14:paraId="11E83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14:paraId="3E815029">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序号</w:t>
            </w:r>
          </w:p>
        </w:tc>
        <w:tc>
          <w:tcPr>
            <w:tcW w:w="3549" w:type="dxa"/>
            <w:gridSpan w:val="2"/>
            <w:vAlign w:val="center"/>
          </w:tcPr>
          <w:p w14:paraId="0794F668">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检查因素</w:t>
            </w:r>
          </w:p>
        </w:tc>
        <w:tc>
          <w:tcPr>
            <w:tcW w:w="4984" w:type="dxa"/>
            <w:vAlign w:val="center"/>
          </w:tcPr>
          <w:p w14:paraId="7975CE4D">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检查内容</w:t>
            </w:r>
          </w:p>
        </w:tc>
      </w:tr>
      <w:tr w14:paraId="20DCF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Merge w:val="restart"/>
            <w:vAlign w:val="center"/>
          </w:tcPr>
          <w:p w14:paraId="6D41D15E">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w:t>
            </w:r>
          </w:p>
        </w:tc>
        <w:tc>
          <w:tcPr>
            <w:tcW w:w="431" w:type="dxa"/>
            <w:vMerge w:val="restart"/>
            <w:vAlign w:val="center"/>
          </w:tcPr>
          <w:p w14:paraId="2E26DDDD">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基本资格条件</w:t>
            </w:r>
          </w:p>
        </w:tc>
        <w:tc>
          <w:tcPr>
            <w:tcW w:w="3118" w:type="dxa"/>
            <w:vAlign w:val="center"/>
          </w:tcPr>
          <w:p w14:paraId="01EE2332">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1.具有独立承担民事责任的能力</w:t>
            </w:r>
          </w:p>
        </w:tc>
        <w:tc>
          <w:tcPr>
            <w:tcW w:w="4984" w:type="dxa"/>
            <w:vAlign w:val="center"/>
          </w:tcPr>
          <w:p w14:paraId="539FC81F">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1.供应商法人营业执照（副本）或事业单位法人证书（副本）或个体工商户营业执照或社会团体法人登记证书（提供复印件）。 </w:t>
            </w:r>
          </w:p>
          <w:p w14:paraId="5D2D9191">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2.供应商法定代表人身份证明和法定代表人授权代表委托书。</w:t>
            </w:r>
          </w:p>
        </w:tc>
      </w:tr>
      <w:tr w14:paraId="28EC6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Merge w:val="continue"/>
            <w:vAlign w:val="center"/>
          </w:tcPr>
          <w:p w14:paraId="6352F0A5">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p>
        </w:tc>
        <w:tc>
          <w:tcPr>
            <w:tcW w:w="431" w:type="dxa"/>
            <w:vMerge w:val="continue"/>
            <w:vAlign w:val="center"/>
          </w:tcPr>
          <w:p w14:paraId="0E59F2F6">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lang w:val="zh-CN"/>
              </w:rPr>
            </w:pPr>
          </w:p>
        </w:tc>
        <w:tc>
          <w:tcPr>
            <w:tcW w:w="3118" w:type="dxa"/>
            <w:vAlign w:val="center"/>
          </w:tcPr>
          <w:p w14:paraId="6F573420">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zh-CN"/>
              </w:rPr>
              <w:t>2.</w:t>
            </w:r>
            <w:r>
              <w:rPr>
                <w:rFonts w:hint="eastAsia" w:asciiTheme="minorEastAsia" w:hAnsiTheme="minorEastAsia" w:eastAsiaTheme="minorEastAsia" w:cstheme="minorEastAsia"/>
                <w:color w:val="auto"/>
                <w:sz w:val="24"/>
                <w:szCs w:val="24"/>
                <w:highlight w:val="none"/>
              </w:rPr>
              <w:t>具有良好的商业信誉和健全的财务会计制度</w:t>
            </w:r>
          </w:p>
        </w:tc>
        <w:tc>
          <w:tcPr>
            <w:tcW w:w="4984" w:type="dxa"/>
            <w:vMerge w:val="restart"/>
            <w:vAlign w:val="center"/>
          </w:tcPr>
          <w:p w14:paraId="01370485">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供应商提供“基本资</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格条件承诺函”（格式详见第七篇）</w:t>
            </w:r>
          </w:p>
          <w:p w14:paraId="44090734">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b/>
                <w:color w:val="auto"/>
                <w:sz w:val="24"/>
                <w:szCs w:val="24"/>
                <w:highlight w:val="none"/>
              </w:rPr>
            </w:pPr>
          </w:p>
        </w:tc>
      </w:tr>
      <w:tr w14:paraId="33AF8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Merge w:val="continue"/>
            <w:vAlign w:val="center"/>
          </w:tcPr>
          <w:p w14:paraId="677508A9">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p>
        </w:tc>
        <w:tc>
          <w:tcPr>
            <w:tcW w:w="431" w:type="dxa"/>
            <w:vMerge w:val="continue"/>
            <w:vAlign w:val="center"/>
          </w:tcPr>
          <w:p w14:paraId="330688C0">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lang w:val="zh-CN"/>
              </w:rPr>
            </w:pPr>
          </w:p>
        </w:tc>
        <w:tc>
          <w:tcPr>
            <w:tcW w:w="3118" w:type="dxa"/>
            <w:vAlign w:val="center"/>
          </w:tcPr>
          <w:p w14:paraId="2E888A48">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3.具有履行合同所必需的设备和专业技术能力</w:t>
            </w:r>
          </w:p>
        </w:tc>
        <w:tc>
          <w:tcPr>
            <w:tcW w:w="4984" w:type="dxa"/>
            <w:vMerge w:val="continue"/>
            <w:vAlign w:val="center"/>
          </w:tcPr>
          <w:p w14:paraId="6FB6DFB8">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p>
        </w:tc>
      </w:tr>
      <w:tr w14:paraId="05993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Merge w:val="continue"/>
            <w:vAlign w:val="center"/>
          </w:tcPr>
          <w:p w14:paraId="5352CAB4">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p>
        </w:tc>
        <w:tc>
          <w:tcPr>
            <w:tcW w:w="431" w:type="dxa"/>
            <w:vMerge w:val="continue"/>
            <w:vAlign w:val="center"/>
          </w:tcPr>
          <w:p w14:paraId="326F0E19">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lang w:val="zh-CN"/>
              </w:rPr>
            </w:pPr>
          </w:p>
        </w:tc>
        <w:tc>
          <w:tcPr>
            <w:tcW w:w="3118" w:type="dxa"/>
            <w:vAlign w:val="center"/>
          </w:tcPr>
          <w:p w14:paraId="07BED606">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4.有依法缴纳税收和社会保障金的良好记录</w:t>
            </w:r>
          </w:p>
        </w:tc>
        <w:tc>
          <w:tcPr>
            <w:tcW w:w="4984" w:type="dxa"/>
            <w:vMerge w:val="continue"/>
            <w:vAlign w:val="center"/>
          </w:tcPr>
          <w:p w14:paraId="5B93E87D">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p>
        </w:tc>
      </w:tr>
      <w:tr w14:paraId="0B474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Merge w:val="continue"/>
            <w:vAlign w:val="center"/>
          </w:tcPr>
          <w:p w14:paraId="210E4A20">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p>
        </w:tc>
        <w:tc>
          <w:tcPr>
            <w:tcW w:w="431" w:type="dxa"/>
            <w:vMerge w:val="continue"/>
            <w:vAlign w:val="center"/>
          </w:tcPr>
          <w:p w14:paraId="0E2D000C">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lang w:val="zh-CN"/>
              </w:rPr>
            </w:pPr>
          </w:p>
        </w:tc>
        <w:tc>
          <w:tcPr>
            <w:tcW w:w="3118" w:type="dxa"/>
            <w:vAlign w:val="center"/>
          </w:tcPr>
          <w:p w14:paraId="0936F0EC">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5.参加采购活动前三年内，在经营活动中没有重大违法记录（注</w:t>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EQ \o\ac(</w:instrText>
            </w:r>
            <w:r>
              <w:rPr>
                <w:rFonts w:hint="eastAsia" w:asciiTheme="minorEastAsia" w:hAnsiTheme="minorEastAsia" w:eastAsiaTheme="minorEastAsia" w:cstheme="minorEastAsia"/>
                <w:color w:val="auto"/>
                <w:position w:val="-4"/>
                <w:sz w:val="36"/>
                <w:szCs w:val="24"/>
                <w:highlight w:val="none"/>
              </w:rPr>
              <w:instrText xml:space="preserve">○</w:instrText>
            </w:r>
            <w:r>
              <w:rPr>
                <w:rFonts w:hint="eastAsia" w:asciiTheme="minorEastAsia" w:hAnsiTheme="minorEastAsia" w:eastAsiaTheme="minorEastAsia" w:cstheme="minorEastAsia"/>
                <w:color w:val="auto"/>
                <w:position w:val="0"/>
                <w:sz w:val="24"/>
                <w:szCs w:val="24"/>
                <w:highlight w:val="none"/>
              </w:rPr>
              <w:instrText xml:space="preserve">,1)</w:instrTex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t>）</w:t>
            </w:r>
          </w:p>
        </w:tc>
        <w:tc>
          <w:tcPr>
            <w:tcW w:w="4984" w:type="dxa"/>
            <w:vMerge w:val="continue"/>
            <w:vAlign w:val="center"/>
          </w:tcPr>
          <w:p w14:paraId="28A0F0A1">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b/>
                <w:color w:val="auto"/>
                <w:sz w:val="24"/>
                <w:szCs w:val="24"/>
                <w:highlight w:val="none"/>
              </w:rPr>
            </w:pPr>
          </w:p>
        </w:tc>
      </w:tr>
      <w:tr w14:paraId="00A13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095" w:type="dxa"/>
            <w:vMerge w:val="continue"/>
            <w:vAlign w:val="center"/>
          </w:tcPr>
          <w:p w14:paraId="07C9227D">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p>
        </w:tc>
        <w:tc>
          <w:tcPr>
            <w:tcW w:w="431" w:type="dxa"/>
            <w:vMerge w:val="continue"/>
            <w:vAlign w:val="center"/>
          </w:tcPr>
          <w:p w14:paraId="71B07DFD">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p>
        </w:tc>
        <w:tc>
          <w:tcPr>
            <w:tcW w:w="3118" w:type="dxa"/>
            <w:vAlign w:val="center"/>
          </w:tcPr>
          <w:p w14:paraId="58D8C9A7">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6.法律、行政法规规定的其他条件</w:t>
            </w:r>
          </w:p>
        </w:tc>
        <w:tc>
          <w:tcPr>
            <w:tcW w:w="4984" w:type="dxa"/>
            <w:vAlign w:val="center"/>
          </w:tcPr>
          <w:p w14:paraId="37FE48D4">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p>
        </w:tc>
      </w:tr>
      <w:tr w14:paraId="419F4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095" w:type="dxa"/>
            <w:vAlign w:val="center"/>
          </w:tcPr>
          <w:p w14:paraId="0A7ECACC">
            <w:pPr>
              <w:pageBreakBefore w:val="0"/>
              <w:kinsoku/>
              <w:wordWrap/>
              <w:overflowPunct/>
              <w:topLinePunct w:val="0"/>
              <w:autoSpaceDE/>
              <w:autoSpaceDN/>
              <w:bidi w:val="0"/>
              <w:adjustRightInd/>
              <w:spacing w:line="240" w:lineRule="auto"/>
              <w:ind w:left="0" w:leftChars="0" w:right="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w:t>
            </w:r>
          </w:p>
        </w:tc>
        <w:tc>
          <w:tcPr>
            <w:tcW w:w="3549" w:type="dxa"/>
            <w:gridSpan w:val="2"/>
            <w:vAlign w:val="center"/>
          </w:tcPr>
          <w:p w14:paraId="66CB2E14">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本项目的特定资格要求</w:t>
            </w:r>
          </w:p>
        </w:tc>
        <w:tc>
          <w:tcPr>
            <w:tcW w:w="4984" w:type="dxa"/>
            <w:vAlign w:val="center"/>
          </w:tcPr>
          <w:p w14:paraId="00F0BD0B">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按“第一篇”的要求提交（如果有）。</w:t>
            </w:r>
          </w:p>
        </w:tc>
      </w:tr>
      <w:tr w14:paraId="60EC5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095" w:type="dxa"/>
            <w:vAlign w:val="center"/>
          </w:tcPr>
          <w:p w14:paraId="6D672B7B">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w:t>
            </w:r>
          </w:p>
        </w:tc>
        <w:tc>
          <w:tcPr>
            <w:tcW w:w="3549" w:type="dxa"/>
            <w:gridSpan w:val="2"/>
            <w:vAlign w:val="center"/>
          </w:tcPr>
          <w:p w14:paraId="19F91DE7">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竞采保证金</w:t>
            </w:r>
          </w:p>
        </w:tc>
        <w:tc>
          <w:tcPr>
            <w:tcW w:w="4984" w:type="dxa"/>
            <w:vAlign w:val="center"/>
          </w:tcPr>
          <w:p w14:paraId="5B142F16">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按“第一篇”的要求提交（如果有）。</w:t>
            </w:r>
          </w:p>
        </w:tc>
      </w:tr>
    </w:tbl>
    <w:p w14:paraId="04DA80E5">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注：</w:t>
      </w:r>
    </w:p>
    <w:p w14:paraId="1C6D3954">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EQ \o\ac(</w:instrText>
      </w:r>
      <w:r>
        <w:rPr>
          <w:rFonts w:hint="eastAsia" w:asciiTheme="minorEastAsia" w:hAnsiTheme="minorEastAsia" w:eastAsiaTheme="minorEastAsia" w:cstheme="minorEastAsia"/>
          <w:color w:val="auto"/>
          <w:position w:val="-4"/>
          <w:sz w:val="36"/>
          <w:szCs w:val="24"/>
          <w:highlight w:val="none"/>
        </w:rPr>
        <w:instrText xml:space="preserve">○</w:instrText>
      </w:r>
      <w:r>
        <w:rPr>
          <w:rFonts w:hint="eastAsia" w:asciiTheme="minorEastAsia" w:hAnsiTheme="minorEastAsia" w:eastAsiaTheme="minorEastAsia" w:cstheme="minorEastAsia"/>
          <w:color w:val="auto"/>
          <w:position w:val="0"/>
          <w:sz w:val="24"/>
          <w:szCs w:val="24"/>
          <w:highlight w:val="none"/>
        </w:rPr>
        <w:instrText xml:space="preserve">,1)</w:instrTex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kern w:val="0"/>
          <w:sz w:val="24"/>
          <w:szCs w:val="24"/>
          <w:highlight w:val="none"/>
        </w:rPr>
        <w:t>“参加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供应商可于竞采截止日期前通过 “信用中国”网站(www.creditchina.gov.cn)、"中国政府采购网"(www.ccgp.gov.cn)等渠道查询信用记录。</w:t>
      </w:r>
    </w:p>
    <w:p w14:paraId="331C139F">
      <w:pPr>
        <w:pStyle w:val="51"/>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kern w:val="2"/>
          <w:sz w:val="24"/>
          <w:szCs w:val="24"/>
          <w:highlight w:val="none"/>
          <w:lang w:val="en-US" w:eastAsia="zh-CN" w:bidi="ar-SA"/>
        </w:rPr>
        <w:t>（二）符合性审查</w:t>
      </w:r>
    </w:p>
    <w:p w14:paraId="6DC2BE65">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评审小组应当对符合资格的供应商的响应文件进行符合性审查，以确定其是否满足竞采文件的实质性要求。符合性审查资料表如下：</w:t>
      </w:r>
    </w:p>
    <w:tbl>
      <w:tblPr>
        <w:tblStyle w:val="26"/>
        <w:tblW w:w="98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460"/>
        <w:gridCol w:w="1742"/>
        <w:gridCol w:w="5822"/>
      </w:tblGrid>
      <w:tr w14:paraId="0D543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25" w:type="dxa"/>
            <w:vAlign w:val="center"/>
          </w:tcPr>
          <w:p w14:paraId="2DFF3825">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序号</w:t>
            </w:r>
          </w:p>
        </w:tc>
        <w:tc>
          <w:tcPr>
            <w:tcW w:w="3202" w:type="dxa"/>
            <w:gridSpan w:val="2"/>
            <w:vAlign w:val="center"/>
          </w:tcPr>
          <w:p w14:paraId="5E050A28">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评审因素</w:t>
            </w:r>
          </w:p>
        </w:tc>
        <w:tc>
          <w:tcPr>
            <w:tcW w:w="5822" w:type="dxa"/>
            <w:vAlign w:val="center"/>
          </w:tcPr>
          <w:p w14:paraId="4A463208">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b/>
                <w:color w:val="auto"/>
                <w:kern w:val="0"/>
                <w:sz w:val="24"/>
                <w:szCs w:val="24"/>
                <w:highlight w:val="none"/>
              </w:rPr>
            </w:pPr>
            <w:r>
              <w:rPr>
                <w:rFonts w:hint="eastAsia" w:asciiTheme="minorEastAsia" w:hAnsiTheme="minorEastAsia" w:eastAsiaTheme="minorEastAsia" w:cstheme="minorEastAsia"/>
                <w:b/>
                <w:color w:val="auto"/>
                <w:kern w:val="0"/>
                <w:sz w:val="24"/>
                <w:szCs w:val="24"/>
                <w:highlight w:val="none"/>
              </w:rPr>
              <w:t>评审标准</w:t>
            </w:r>
          </w:p>
        </w:tc>
      </w:tr>
      <w:tr w14:paraId="381A4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825" w:type="dxa"/>
            <w:vMerge w:val="restart"/>
            <w:vAlign w:val="center"/>
          </w:tcPr>
          <w:p w14:paraId="7CABE68D">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1</w:t>
            </w:r>
          </w:p>
        </w:tc>
        <w:tc>
          <w:tcPr>
            <w:tcW w:w="1460" w:type="dxa"/>
            <w:vMerge w:val="restart"/>
            <w:vAlign w:val="center"/>
          </w:tcPr>
          <w:p w14:paraId="701EA089">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有效性审查</w:t>
            </w:r>
          </w:p>
        </w:tc>
        <w:tc>
          <w:tcPr>
            <w:tcW w:w="1742" w:type="dxa"/>
            <w:vAlign w:val="center"/>
          </w:tcPr>
          <w:p w14:paraId="5E7AD3FE">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rPr>
              <w:t>响应文件签署或盖章</w:t>
            </w:r>
          </w:p>
        </w:tc>
        <w:tc>
          <w:tcPr>
            <w:tcW w:w="5822" w:type="dxa"/>
            <w:vAlign w:val="center"/>
          </w:tcPr>
          <w:p w14:paraId="532A62C8">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rPr>
              <w:t>响应文件上法定代表人（或其授权代表）的签署或盖章齐全。</w:t>
            </w:r>
          </w:p>
        </w:tc>
      </w:tr>
      <w:tr w14:paraId="0143C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825" w:type="dxa"/>
            <w:vMerge w:val="continue"/>
            <w:vAlign w:val="center"/>
          </w:tcPr>
          <w:p w14:paraId="5C5B7BF7">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kern w:val="0"/>
                <w:sz w:val="24"/>
                <w:szCs w:val="24"/>
                <w:highlight w:val="none"/>
              </w:rPr>
            </w:pPr>
          </w:p>
        </w:tc>
        <w:tc>
          <w:tcPr>
            <w:tcW w:w="1460" w:type="dxa"/>
            <w:vMerge w:val="continue"/>
            <w:vAlign w:val="center"/>
          </w:tcPr>
          <w:p w14:paraId="61A6F2D1">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p>
        </w:tc>
        <w:tc>
          <w:tcPr>
            <w:tcW w:w="1742" w:type="dxa"/>
            <w:vAlign w:val="center"/>
          </w:tcPr>
          <w:p w14:paraId="395FCF0D">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响应</w:t>
            </w:r>
            <w:r>
              <w:rPr>
                <w:rFonts w:hint="eastAsia" w:asciiTheme="minorEastAsia" w:hAnsiTheme="minorEastAsia" w:eastAsiaTheme="minorEastAsia" w:cstheme="minorEastAsia"/>
                <w:color w:val="auto"/>
                <w:sz w:val="24"/>
                <w:szCs w:val="24"/>
                <w:highlight w:val="none"/>
                <w:lang w:val="zh-CN"/>
              </w:rPr>
              <w:t>方案</w:t>
            </w:r>
          </w:p>
        </w:tc>
        <w:tc>
          <w:tcPr>
            <w:tcW w:w="5822" w:type="dxa"/>
            <w:vAlign w:val="center"/>
          </w:tcPr>
          <w:p w14:paraId="42AF3C50">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lang w:val="zh-CN"/>
              </w:rPr>
              <w:t>每个包只能有一个</w:t>
            </w:r>
            <w:r>
              <w:rPr>
                <w:rFonts w:hint="eastAsia" w:asciiTheme="minorEastAsia" w:hAnsiTheme="minorEastAsia" w:eastAsiaTheme="minorEastAsia" w:cstheme="minorEastAsia"/>
                <w:color w:val="auto"/>
                <w:sz w:val="24"/>
                <w:szCs w:val="24"/>
                <w:highlight w:val="none"/>
              </w:rPr>
              <w:t>响应</w:t>
            </w:r>
            <w:r>
              <w:rPr>
                <w:rFonts w:hint="eastAsia" w:asciiTheme="minorEastAsia" w:hAnsiTheme="minorEastAsia" w:eastAsiaTheme="minorEastAsia" w:cstheme="minorEastAsia"/>
                <w:color w:val="auto"/>
                <w:sz w:val="24"/>
                <w:szCs w:val="24"/>
                <w:highlight w:val="none"/>
                <w:lang w:val="zh-CN"/>
              </w:rPr>
              <w:t>方案。</w:t>
            </w:r>
          </w:p>
        </w:tc>
      </w:tr>
      <w:tr w14:paraId="68990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825" w:type="dxa"/>
            <w:vMerge w:val="continue"/>
            <w:vAlign w:val="center"/>
          </w:tcPr>
          <w:p w14:paraId="7A122319">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kern w:val="0"/>
                <w:sz w:val="24"/>
                <w:szCs w:val="24"/>
                <w:highlight w:val="none"/>
              </w:rPr>
            </w:pPr>
          </w:p>
        </w:tc>
        <w:tc>
          <w:tcPr>
            <w:tcW w:w="1460" w:type="dxa"/>
            <w:vMerge w:val="continue"/>
            <w:vAlign w:val="center"/>
          </w:tcPr>
          <w:p w14:paraId="187DA11C">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p>
        </w:tc>
        <w:tc>
          <w:tcPr>
            <w:tcW w:w="1742" w:type="dxa"/>
            <w:vAlign w:val="center"/>
          </w:tcPr>
          <w:p w14:paraId="775D3F0B">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报价唯一</w:t>
            </w:r>
          </w:p>
        </w:tc>
        <w:tc>
          <w:tcPr>
            <w:tcW w:w="5822" w:type="dxa"/>
            <w:vAlign w:val="center"/>
          </w:tcPr>
          <w:p w14:paraId="19624526">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lang w:val="zh-CN"/>
              </w:rPr>
              <w:t>竞采报价在规定限价内报价；</w:t>
            </w:r>
            <w:r>
              <w:rPr>
                <w:rFonts w:hint="eastAsia" w:asciiTheme="minorEastAsia" w:hAnsiTheme="minorEastAsia" w:eastAsiaTheme="minorEastAsia" w:cstheme="minorEastAsia"/>
                <w:color w:val="auto"/>
                <w:sz w:val="24"/>
                <w:szCs w:val="24"/>
                <w:highlight w:val="none"/>
              </w:rPr>
              <w:t>只能有一个有效报价，不得提交选择性报价；出现非否决因素的计价错误的，按照“第五篇”规定的修正方式进行修正。</w:t>
            </w:r>
          </w:p>
        </w:tc>
      </w:tr>
      <w:tr w14:paraId="15442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25" w:type="dxa"/>
            <w:vAlign w:val="center"/>
          </w:tcPr>
          <w:p w14:paraId="28B1296F">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2</w:t>
            </w:r>
          </w:p>
        </w:tc>
        <w:tc>
          <w:tcPr>
            <w:tcW w:w="1460" w:type="dxa"/>
            <w:vAlign w:val="center"/>
          </w:tcPr>
          <w:p w14:paraId="2DB6984F">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完整性审查</w:t>
            </w:r>
          </w:p>
        </w:tc>
        <w:tc>
          <w:tcPr>
            <w:tcW w:w="1742" w:type="dxa"/>
            <w:vAlign w:val="center"/>
          </w:tcPr>
          <w:p w14:paraId="75D5BE96">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lang w:val="zh-CN"/>
              </w:rPr>
              <w:t>响应文件份数</w:t>
            </w:r>
          </w:p>
        </w:tc>
        <w:tc>
          <w:tcPr>
            <w:tcW w:w="5822" w:type="dxa"/>
            <w:vAlign w:val="center"/>
          </w:tcPr>
          <w:p w14:paraId="7AC243B5">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rPr>
              <w:t>满足竞采文件的规定</w:t>
            </w:r>
            <w:r>
              <w:rPr>
                <w:rFonts w:hint="eastAsia" w:asciiTheme="minorEastAsia" w:hAnsiTheme="minorEastAsia" w:eastAsiaTheme="minorEastAsia" w:cstheme="minorEastAsia"/>
                <w:color w:val="auto"/>
                <w:sz w:val="24"/>
                <w:szCs w:val="24"/>
                <w:highlight w:val="none"/>
                <w:lang w:val="zh-CN"/>
              </w:rPr>
              <w:t>。</w:t>
            </w:r>
          </w:p>
        </w:tc>
      </w:tr>
      <w:tr w14:paraId="7657A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825" w:type="dxa"/>
            <w:vAlign w:val="center"/>
          </w:tcPr>
          <w:p w14:paraId="6DBD1A50">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3</w:t>
            </w:r>
          </w:p>
        </w:tc>
        <w:tc>
          <w:tcPr>
            <w:tcW w:w="1460" w:type="dxa"/>
            <w:vAlign w:val="center"/>
          </w:tcPr>
          <w:p w14:paraId="368149A3">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技术</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color w:val="auto"/>
                <w:kern w:val="0"/>
                <w:sz w:val="24"/>
                <w:szCs w:val="24"/>
                <w:highlight w:val="none"/>
                <w:lang w:val="en-US" w:eastAsia="zh-CN"/>
              </w:rPr>
              <w:t>服务</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color w:val="auto"/>
                <w:kern w:val="0"/>
                <w:sz w:val="24"/>
                <w:szCs w:val="24"/>
                <w:highlight w:val="none"/>
              </w:rPr>
              <w:t>部分</w:t>
            </w:r>
          </w:p>
        </w:tc>
        <w:tc>
          <w:tcPr>
            <w:tcW w:w="1742" w:type="dxa"/>
            <w:vAlign w:val="center"/>
          </w:tcPr>
          <w:p w14:paraId="1688774C">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响应文件内容</w:t>
            </w:r>
          </w:p>
        </w:tc>
        <w:tc>
          <w:tcPr>
            <w:tcW w:w="5822" w:type="dxa"/>
            <w:vAlign w:val="center"/>
          </w:tcPr>
          <w:p w14:paraId="74CC9F45">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本竞采文件第二篇</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kern w:val="0"/>
                <w:sz w:val="24"/>
                <w:szCs w:val="24"/>
                <w:highlight w:val="none"/>
              </w:rPr>
              <w:t>内容。</w:t>
            </w:r>
          </w:p>
        </w:tc>
      </w:tr>
      <w:tr w14:paraId="4FD53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825" w:type="dxa"/>
            <w:vAlign w:val="center"/>
          </w:tcPr>
          <w:p w14:paraId="3698E720">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4</w:t>
            </w:r>
          </w:p>
        </w:tc>
        <w:tc>
          <w:tcPr>
            <w:tcW w:w="1460" w:type="dxa"/>
            <w:vAlign w:val="center"/>
          </w:tcPr>
          <w:p w14:paraId="44D11775">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商务部分</w:t>
            </w:r>
          </w:p>
        </w:tc>
        <w:tc>
          <w:tcPr>
            <w:tcW w:w="1742" w:type="dxa"/>
            <w:vAlign w:val="center"/>
          </w:tcPr>
          <w:p w14:paraId="6866656C">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响应文件内容</w:t>
            </w:r>
          </w:p>
        </w:tc>
        <w:tc>
          <w:tcPr>
            <w:tcW w:w="5822" w:type="dxa"/>
            <w:vAlign w:val="center"/>
          </w:tcPr>
          <w:p w14:paraId="1B8E711D">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本竞采文件第三篇</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kern w:val="0"/>
                <w:sz w:val="24"/>
                <w:szCs w:val="24"/>
                <w:highlight w:val="none"/>
              </w:rPr>
              <w:t>内容。</w:t>
            </w:r>
          </w:p>
        </w:tc>
      </w:tr>
      <w:tr w14:paraId="11D0D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825" w:type="dxa"/>
            <w:vAlign w:val="center"/>
          </w:tcPr>
          <w:p w14:paraId="170A178B">
            <w:pPr>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5</w:t>
            </w:r>
          </w:p>
        </w:tc>
        <w:tc>
          <w:tcPr>
            <w:tcW w:w="1460" w:type="dxa"/>
            <w:vAlign w:val="center"/>
          </w:tcPr>
          <w:p w14:paraId="546B597D">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竞采有效期</w:t>
            </w:r>
          </w:p>
        </w:tc>
        <w:tc>
          <w:tcPr>
            <w:tcW w:w="1742" w:type="dxa"/>
            <w:vAlign w:val="center"/>
          </w:tcPr>
          <w:p w14:paraId="55C774F8">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响应文件内容</w:t>
            </w:r>
          </w:p>
        </w:tc>
        <w:tc>
          <w:tcPr>
            <w:tcW w:w="5822" w:type="dxa"/>
            <w:vAlign w:val="center"/>
          </w:tcPr>
          <w:p w14:paraId="5A8171E7">
            <w:pPr>
              <w:pageBreakBefore w:val="0"/>
              <w:kinsoku/>
              <w:wordWrap/>
              <w:overflowPunct/>
              <w:topLinePunct w:val="0"/>
              <w:autoSpaceDE/>
              <w:autoSpaceDN/>
              <w:bidi w:val="0"/>
              <w:adjustRightInd/>
              <w:spacing w:line="240" w:lineRule="auto"/>
              <w:ind w:left="0" w:leftChars="0" w:right="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响应文件递交截止时间起90天。</w:t>
            </w:r>
          </w:p>
        </w:tc>
      </w:tr>
    </w:tbl>
    <w:p w14:paraId="4B0E8F9D">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152" w:name="_Toc4371"/>
      <w:bookmarkStart w:id="153" w:name="_Toc25341"/>
      <w:bookmarkStart w:id="154" w:name="_Toc75793519"/>
      <w:bookmarkStart w:id="155" w:name="_Toc5620"/>
      <w:bookmarkStart w:id="156" w:name="_Toc26938"/>
      <w:bookmarkStart w:id="157" w:name="_Toc30011"/>
      <w:bookmarkStart w:id="158" w:name="_Toc27633"/>
      <w:bookmarkStart w:id="159" w:name="_Toc28549"/>
      <w:bookmarkStart w:id="160" w:name="_Toc29140"/>
      <w:bookmarkStart w:id="161" w:name="_Toc30717"/>
      <w:bookmarkStart w:id="162" w:name="_Toc27063"/>
      <w:bookmarkStart w:id="163" w:name="_Toc14970"/>
      <w:bookmarkStart w:id="164" w:name="_Toc106030395"/>
      <w:bookmarkStart w:id="165" w:name="_Toc27015"/>
      <w:bookmarkStart w:id="166" w:name="_Toc14824"/>
      <w:bookmarkStart w:id="167" w:name="_Toc31997"/>
      <w:bookmarkStart w:id="168" w:name="_Toc16405"/>
      <w:bookmarkStart w:id="169" w:name="_Toc20171"/>
      <w:bookmarkStart w:id="170" w:name="_Toc9094"/>
      <w:bookmarkStart w:id="171" w:name="_Toc28526"/>
      <w:bookmarkStart w:id="172" w:name="_Toc21650"/>
      <w:bookmarkStart w:id="173" w:name="_Toc26796"/>
      <w:r>
        <w:rPr>
          <w:rFonts w:hint="eastAsia" w:asciiTheme="minorEastAsia" w:hAnsiTheme="minorEastAsia" w:eastAsiaTheme="minorEastAsia" w:cstheme="minorEastAsia"/>
          <w:b w:val="0"/>
          <w:bCs/>
          <w:color w:val="auto"/>
          <w:kern w:val="44"/>
          <w:sz w:val="24"/>
          <w:szCs w:val="24"/>
          <w:highlight w:val="none"/>
          <w:lang w:val="en-US" w:eastAsia="zh-CN" w:bidi="ar-SA"/>
        </w:rPr>
        <w:t>二、评审方法</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p w14:paraId="395FAC0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本项目采用综合评分法进行评审。</w:t>
      </w:r>
    </w:p>
    <w:p w14:paraId="79E0A6FC">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综合评分法，是指响应文件满足竞采文件全部实质性要求且按照评审因素的量化指标评审得分最高的供应商为成交候选人的评审方法。供应商总得分为价格、</w:t>
      </w:r>
      <w:r>
        <w:rPr>
          <w:rFonts w:hint="eastAsia" w:asciiTheme="minorEastAsia" w:hAnsiTheme="minorEastAsia" w:eastAsiaTheme="minorEastAsia" w:cstheme="minorEastAsia"/>
          <w:color w:val="auto"/>
          <w:kern w:val="0"/>
          <w:sz w:val="24"/>
          <w:szCs w:val="24"/>
          <w:highlight w:val="none"/>
          <w:lang w:eastAsia="zh-CN"/>
        </w:rPr>
        <w:t>技术（服务）</w:t>
      </w:r>
      <w:r>
        <w:rPr>
          <w:rFonts w:hint="eastAsia" w:asciiTheme="minorEastAsia" w:hAnsiTheme="minorEastAsia" w:eastAsiaTheme="minorEastAsia" w:cstheme="minorEastAsia"/>
          <w:color w:val="auto"/>
          <w:kern w:val="0"/>
          <w:sz w:val="24"/>
          <w:szCs w:val="24"/>
          <w:highlight w:val="none"/>
        </w:rPr>
        <w:t>、商务等评定因素分别按照相应权重值计算分项得分后相加，满分为100分。</w:t>
      </w:r>
    </w:p>
    <w:p w14:paraId="1BB21F86">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澄清有关问题。对响应文件中含义不明确、同类问题表述不一致或者有明显文字和计算错误的内容，评审小组可以书面形式（应当由评审小组成员签字）要求供应商作出必要澄清、说明或者纠正。供应商的澄清、说明或者补正应当采用书面形式，由其法定代表人（或其授权代表）签字，其澄清的内容不得超出响应文件的范围或者改变响应文件的实质性内容。</w:t>
      </w:r>
    </w:p>
    <w:p w14:paraId="02A68347">
      <w:pPr>
        <w:pageBreakBefore w:val="0"/>
        <w:kinsoku/>
        <w:wordWrap/>
        <w:overflowPunct/>
        <w:topLinePunct w:val="0"/>
        <w:autoSpaceDE/>
        <w:autoSpaceDN/>
        <w:bidi w:val="0"/>
        <w:adjustRightInd/>
        <w:snapToGrid w:val="0"/>
        <w:spacing w:line="360" w:lineRule="auto"/>
        <w:ind w:left="0" w:leftChars="0" w:right="0" w:firstLine="482"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评审：</w:t>
      </w:r>
    </w:p>
    <w:p w14:paraId="2ADC01CC">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Cs/>
          <w:color w:val="auto"/>
          <w:kern w:val="2"/>
          <w:sz w:val="24"/>
          <w:szCs w:val="24"/>
          <w:highlight w:val="none"/>
          <w:lang w:val="en-US" w:eastAsia="zh-CN" w:bidi="ar-SA"/>
        </w:rPr>
        <w:t>（一）比较与评价。</w:t>
      </w:r>
      <w:r>
        <w:rPr>
          <w:rFonts w:hint="eastAsia" w:asciiTheme="minorEastAsia" w:hAnsiTheme="minorEastAsia" w:eastAsiaTheme="minorEastAsia" w:cstheme="minorEastAsia"/>
          <w:color w:val="auto"/>
          <w:sz w:val="24"/>
          <w:szCs w:val="24"/>
          <w:highlight w:val="none"/>
        </w:rPr>
        <w:t>按竞采文件中规定的评审方法和标准，对资格审查和符合性审查合格的响应文件进行商务、</w:t>
      </w:r>
      <w:r>
        <w:rPr>
          <w:rFonts w:hint="eastAsia" w:asciiTheme="minorEastAsia" w:hAnsiTheme="minorEastAsia" w:eastAsiaTheme="minorEastAsia" w:cstheme="minorEastAsia"/>
          <w:color w:val="auto"/>
          <w:sz w:val="24"/>
          <w:szCs w:val="24"/>
          <w:highlight w:val="none"/>
          <w:lang w:eastAsia="zh-CN"/>
        </w:rPr>
        <w:t>技术（服务）</w:t>
      </w:r>
      <w:r>
        <w:rPr>
          <w:rFonts w:hint="eastAsia" w:asciiTheme="minorEastAsia" w:hAnsiTheme="minorEastAsia" w:eastAsiaTheme="minorEastAsia" w:cstheme="minorEastAsia"/>
          <w:color w:val="auto"/>
          <w:sz w:val="24"/>
          <w:szCs w:val="24"/>
          <w:highlight w:val="none"/>
        </w:rPr>
        <w:t>、报价评分。评审小组各成员独立对每个有效供应商（通过资格审查、符合性审查的供应商）的响应文件进行评价、打分，然后由评审小组对各成员打分情况进行核查及复核，个别成员对同一供应商同一评分项的打分偏离较大的，应对供应商的响应文件进行再次核对，确属打分有误的，应及时进行修正。复核后，评审小组汇总每个供应商每项评分因素的得分。</w:t>
      </w:r>
    </w:p>
    <w:p w14:paraId="7D052F1A">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kern w:val="2"/>
          <w:sz w:val="24"/>
          <w:szCs w:val="24"/>
          <w:highlight w:val="none"/>
          <w:lang w:val="en-US" w:eastAsia="zh-CN" w:bidi="ar-SA"/>
        </w:rPr>
        <w:t>（二）推荐成交候选人名单。</w:t>
      </w:r>
    </w:p>
    <w:p w14:paraId="16276889">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按评审后得分由高到低的排列顺序推荐综合得分排名</w:t>
      </w:r>
      <w:r>
        <w:rPr>
          <w:rFonts w:hint="eastAsia" w:asciiTheme="minorEastAsia" w:hAnsiTheme="minorEastAsia" w:eastAsiaTheme="minorEastAsia" w:cstheme="minorEastAsia"/>
          <w:bCs/>
          <w:color w:val="auto"/>
          <w:sz w:val="24"/>
          <w:szCs w:val="24"/>
          <w:highlight w:val="none"/>
        </w:rPr>
        <w:t>前三</w:t>
      </w:r>
      <w:r>
        <w:rPr>
          <w:rFonts w:hint="eastAsia" w:asciiTheme="minorEastAsia" w:hAnsiTheme="minorEastAsia" w:eastAsiaTheme="minorEastAsia" w:cstheme="minorEastAsia"/>
          <w:color w:val="auto"/>
          <w:sz w:val="24"/>
          <w:szCs w:val="24"/>
          <w:highlight w:val="none"/>
        </w:rPr>
        <w:t>的供应商为本项目成交候选人，排名第一的为第一成交候选人。得分相同的，按</w:t>
      </w:r>
      <w:r>
        <w:rPr>
          <w:rFonts w:hint="eastAsia" w:asciiTheme="minorEastAsia" w:hAnsiTheme="minorEastAsia" w:eastAsiaTheme="minorEastAsia" w:cstheme="minorEastAsia"/>
          <w:color w:val="auto"/>
          <w:sz w:val="24"/>
          <w:szCs w:val="24"/>
          <w:highlight w:val="none"/>
          <w:lang w:eastAsia="zh-CN"/>
        </w:rPr>
        <w:t>报价</w:t>
      </w:r>
      <w:r>
        <w:rPr>
          <w:rFonts w:hint="eastAsia" w:asciiTheme="minorEastAsia" w:hAnsiTheme="minorEastAsia" w:eastAsiaTheme="minorEastAsia" w:cstheme="minorEastAsia"/>
          <w:color w:val="auto"/>
          <w:sz w:val="24"/>
          <w:szCs w:val="24"/>
          <w:highlight w:val="none"/>
        </w:rPr>
        <w:t>由低到高顺序排列，得分且报价相同的并列，但</w:t>
      </w:r>
      <w:r>
        <w:rPr>
          <w:rFonts w:hint="eastAsia" w:asciiTheme="minorEastAsia" w:hAnsiTheme="minorEastAsia" w:eastAsiaTheme="minorEastAsia" w:cstheme="minorEastAsia"/>
          <w:color w:val="auto"/>
          <w:sz w:val="24"/>
          <w:szCs w:val="24"/>
          <w:highlight w:val="none"/>
          <w:lang w:eastAsia="zh-CN"/>
        </w:rPr>
        <w:t>技术（服务）</w:t>
      </w:r>
      <w:r>
        <w:rPr>
          <w:rFonts w:hint="eastAsia" w:asciiTheme="minorEastAsia" w:hAnsiTheme="minorEastAsia" w:eastAsiaTheme="minorEastAsia" w:cstheme="minorEastAsia"/>
          <w:color w:val="auto"/>
          <w:sz w:val="24"/>
          <w:szCs w:val="24"/>
          <w:highlight w:val="none"/>
        </w:rPr>
        <w:t>部分得分为0分的供应商失去成交候选人资格，仅保留其有效供应商身份。</w:t>
      </w:r>
    </w:p>
    <w:p w14:paraId="597E0C42">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成交供应商放弃成交、或者在竞采文件规定的时间内不提交履约保证金或不签定合同的，采购人将依序确定第二成交候选人为成交供应商或重新组织竞采。</w:t>
      </w:r>
    </w:p>
    <w:p w14:paraId="5A108719">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174" w:name="_Toc6313"/>
      <w:bookmarkStart w:id="175" w:name="_Toc20875"/>
      <w:bookmarkStart w:id="176" w:name="_Toc267320057"/>
      <w:bookmarkStart w:id="177" w:name="_Toc13513"/>
      <w:bookmarkStart w:id="178" w:name="_Toc11203"/>
      <w:bookmarkStart w:id="179" w:name="_Toc7999"/>
      <w:bookmarkStart w:id="180" w:name="_Toc371"/>
      <w:bookmarkStart w:id="181" w:name="_Toc20800"/>
      <w:bookmarkStart w:id="182" w:name="_Toc75793520"/>
      <w:bookmarkStart w:id="183" w:name="_Toc6342"/>
      <w:bookmarkStart w:id="184" w:name="_Toc5799"/>
      <w:bookmarkStart w:id="185" w:name="_Toc17116"/>
      <w:bookmarkStart w:id="186" w:name="_Toc4511"/>
      <w:bookmarkStart w:id="187" w:name="_Toc20354"/>
      <w:bookmarkStart w:id="188" w:name="_Toc25814"/>
      <w:bookmarkStart w:id="189" w:name="_Toc22772"/>
      <w:bookmarkStart w:id="190" w:name="_Toc1055"/>
      <w:bookmarkStart w:id="191" w:name="_Toc17311"/>
      <w:bookmarkStart w:id="192" w:name="_Toc15716"/>
      <w:bookmarkStart w:id="193" w:name="_Toc106030396"/>
      <w:bookmarkStart w:id="194" w:name="_Toc25919"/>
      <w:bookmarkStart w:id="195" w:name="_Toc19924"/>
      <w:bookmarkStart w:id="196" w:name="_Toc20699"/>
      <w:r>
        <w:rPr>
          <w:rFonts w:hint="eastAsia" w:asciiTheme="minorEastAsia" w:hAnsiTheme="minorEastAsia" w:eastAsiaTheme="minorEastAsia" w:cstheme="minorEastAsia"/>
          <w:b w:val="0"/>
          <w:bCs/>
          <w:color w:val="auto"/>
          <w:kern w:val="44"/>
          <w:sz w:val="24"/>
          <w:szCs w:val="24"/>
          <w:highlight w:val="none"/>
          <w:lang w:val="en-US" w:eastAsia="zh-CN" w:bidi="ar-SA"/>
        </w:rPr>
        <w:t>三、评审标准</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tbl>
      <w:tblPr>
        <w:tblStyle w:val="26"/>
        <w:tblW w:w="98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389"/>
        <w:gridCol w:w="942"/>
        <w:gridCol w:w="4591"/>
        <w:gridCol w:w="2246"/>
      </w:tblGrid>
      <w:tr w14:paraId="7F899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blHeader/>
        </w:trPr>
        <w:tc>
          <w:tcPr>
            <w:tcW w:w="681" w:type="dxa"/>
            <w:tcBorders>
              <w:top w:val="single" w:color="auto" w:sz="4" w:space="0"/>
              <w:left w:val="single" w:color="auto" w:sz="4" w:space="0"/>
              <w:bottom w:val="single" w:color="auto" w:sz="4" w:space="0"/>
              <w:right w:val="single" w:color="auto" w:sz="4" w:space="0"/>
            </w:tcBorders>
            <w:noWrap w:val="0"/>
            <w:vAlign w:val="center"/>
          </w:tcPr>
          <w:p w14:paraId="02C818B3">
            <w:pPr>
              <w:keepNext w:val="0"/>
              <w:keepLines w:val="0"/>
              <w:pageBreakBefore w:val="0"/>
              <w:kinsoku/>
              <w:wordWrap/>
              <w:overflowPunct/>
              <w:topLinePunct w:val="0"/>
              <w:autoSpaceDE/>
              <w:autoSpaceDN/>
              <w:bidi w:val="0"/>
              <w:adjustRightInd/>
              <w:spacing w:line="240" w:lineRule="auto"/>
              <w:ind w:left="0" w:leftChars="0" w:right="0" w:firstLine="28"/>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序号</w:t>
            </w:r>
          </w:p>
        </w:tc>
        <w:tc>
          <w:tcPr>
            <w:tcW w:w="1389" w:type="dxa"/>
            <w:tcBorders>
              <w:top w:val="single" w:color="auto" w:sz="4" w:space="0"/>
              <w:left w:val="single" w:color="auto" w:sz="4" w:space="0"/>
              <w:bottom w:val="single" w:color="auto" w:sz="4" w:space="0"/>
              <w:right w:val="single" w:color="auto" w:sz="4" w:space="0"/>
            </w:tcBorders>
            <w:noWrap w:val="0"/>
            <w:vAlign w:val="center"/>
          </w:tcPr>
          <w:p w14:paraId="5E26674A">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评分因素及权值</w:t>
            </w:r>
          </w:p>
        </w:tc>
        <w:tc>
          <w:tcPr>
            <w:tcW w:w="942" w:type="dxa"/>
            <w:tcBorders>
              <w:top w:val="single" w:color="auto" w:sz="4" w:space="0"/>
              <w:left w:val="single" w:color="auto" w:sz="4" w:space="0"/>
              <w:bottom w:val="single" w:color="auto" w:sz="4" w:space="0"/>
              <w:right w:val="single" w:color="auto" w:sz="4" w:space="0"/>
            </w:tcBorders>
            <w:noWrap w:val="0"/>
            <w:vAlign w:val="center"/>
          </w:tcPr>
          <w:p w14:paraId="7A80E3D8">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分值</w:t>
            </w:r>
          </w:p>
        </w:tc>
        <w:tc>
          <w:tcPr>
            <w:tcW w:w="4591" w:type="dxa"/>
            <w:tcBorders>
              <w:top w:val="single" w:color="auto" w:sz="4" w:space="0"/>
              <w:left w:val="single" w:color="auto" w:sz="4" w:space="0"/>
              <w:bottom w:val="single" w:color="auto" w:sz="4" w:space="0"/>
              <w:right w:val="single" w:color="auto" w:sz="4" w:space="0"/>
            </w:tcBorders>
            <w:noWrap w:val="0"/>
            <w:vAlign w:val="center"/>
          </w:tcPr>
          <w:p w14:paraId="3140519B">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评分标准</w:t>
            </w:r>
          </w:p>
        </w:tc>
        <w:tc>
          <w:tcPr>
            <w:tcW w:w="2246" w:type="dxa"/>
            <w:tcBorders>
              <w:top w:val="single" w:color="auto" w:sz="4" w:space="0"/>
              <w:left w:val="single" w:color="auto" w:sz="4" w:space="0"/>
              <w:bottom w:val="single" w:color="auto" w:sz="4" w:space="0"/>
              <w:right w:val="single" w:color="auto" w:sz="4" w:space="0"/>
            </w:tcBorders>
            <w:noWrap w:val="0"/>
            <w:vAlign w:val="center"/>
          </w:tcPr>
          <w:p w14:paraId="0C360CE0">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说明</w:t>
            </w:r>
          </w:p>
        </w:tc>
      </w:tr>
      <w:tr w14:paraId="35A07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1" w:type="dxa"/>
            <w:tcBorders>
              <w:top w:val="single" w:color="auto" w:sz="4" w:space="0"/>
              <w:left w:val="single" w:color="auto" w:sz="4" w:space="0"/>
              <w:bottom w:val="single" w:color="auto" w:sz="4" w:space="0"/>
              <w:right w:val="single" w:color="auto" w:sz="4" w:space="0"/>
            </w:tcBorders>
            <w:noWrap w:val="0"/>
            <w:vAlign w:val="center"/>
          </w:tcPr>
          <w:p w14:paraId="56957E5E">
            <w:pPr>
              <w:keepNext w:val="0"/>
              <w:keepLines w:val="0"/>
              <w:pageBreakBefore w:val="0"/>
              <w:kinsoku/>
              <w:wordWrap/>
              <w:overflowPunct/>
              <w:topLinePunct w:val="0"/>
              <w:autoSpaceDE/>
              <w:autoSpaceDN/>
              <w:bidi w:val="0"/>
              <w:adjustRightInd/>
              <w:spacing w:line="240" w:lineRule="auto"/>
              <w:ind w:left="0" w:leftChars="0" w:right="0" w:firstLine="28"/>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1389" w:type="dxa"/>
            <w:tcBorders>
              <w:top w:val="single" w:color="auto" w:sz="4" w:space="0"/>
              <w:left w:val="single" w:color="auto" w:sz="4" w:space="0"/>
              <w:bottom w:val="single" w:color="auto" w:sz="4" w:space="0"/>
              <w:right w:val="single" w:color="auto" w:sz="4" w:space="0"/>
            </w:tcBorders>
            <w:noWrap w:val="0"/>
            <w:vAlign w:val="center"/>
          </w:tcPr>
          <w:p w14:paraId="35651C17">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报价（10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w:t>
            </w:r>
          </w:p>
        </w:tc>
        <w:tc>
          <w:tcPr>
            <w:tcW w:w="942" w:type="dxa"/>
            <w:tcBorders>
              <w:top w:val="single" w:color="auto" w:sz="4" w:space="0"/>
              <w:left w:val="single" w:color="auto" w:sz="4" w:space="0"/>
              <w:bottom w:val="single" w:color="auto" w:sz="4" w:space="0"/>
              <w:right w:val="single" w:color="auto" w:sz="4" w:space="0"/>
            </w:tcBorders>
            <w:noWrap w:val="0"/>
            <w:vAlign w:val="center"/>
          </w:tcPr>
          <w:p w14:paraId="00BD8685">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分</w:t>
            </w:r>
          </w:p>
        </w:tc>
        <w:tc>
          <w:tcPr>
            <w:tcW w:w="4591" w:type="dxa"/>
            <w:tcBorders>
              <w:top w:val="single" w:color="auto" w:sz="4" w:space="0"/>
              <w:left w:val="single" w:color="auto" w:sz="4" w:space="0"/>
              <w:bottom w:val="single" w:color="auto" w:sz="4" w:space="0"/>
              <w:right w:val="single" w:color="auto" w:sz="4" w:space="0"/>
            </w:tcBorders>
            <w:noWrap w:val="0"/>
            <w:vAlign w:val="center"/>
          </w:tcPr>
          <w:p w14:paraId="435A9CA6">
            <w:pPr>
              <w:pageBreakBefore w:val="0"/>
              <w:kinsoku/>
              <w:wordWrap/>
              <w:overflowPunct/>
              <w:topLinePunct w:val="0"/>
              <w:autoSpaceDE/>
              <w:autoSpaceDN/>
              <w:bidi w:val="0"/>
              <w:adjustRightInd/>
              <w:snapToGrid w:val="0"/>
              <w:spacing w:line="240" w:lineRule="auto"/>
              <w:ind w:left="0" w:leftChars="0" w:right="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通过资格性及符合性评审的供应商的报价中的最低价为评审基准价，按照下列公式计算每个供应商的价格得分。</w:t>
            </w:r>
          </w:p>
          <w:p w14:paraId="4B9CB81A">
            <w:pPr>
              <w:pageBreakBefore w:val="0"/>
              <w:kinsoku/>
              <w:wordWrap/>
              <w:overflowPunct/>
              <w:topLinePunct w:val="0"/>
              <w:autoSpaceDE/>
              <w:autoSpaceDN/>
              <w:bidi w:val="0"/>
              <w:adjustRightInd/>
              <w:snapToGrid w:val="0"/>
              <w:spacing w:line="240" w:lineRule="auto"/>
              <w:ind w:left="0" w:leftChars="0" w:right="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价格得分＝（评审基准价/</w:t>
            </w:r>
            <w:r>
              <w:rPr>
                <w:rFonts w:hint="eastAsia" w:asciiTheme="minorEastAsia" w:hAnsiTheme="minorEastAsia" w:eastAsiaTheme="minorEastAsia" w:cstheme="minorEastAsia"/>
                <w:color w:val="auto"/>
                <w:sz w:val="24"/>
                <w:szCs w:val="24"/>
                <w:highlight w:val="none"/>
                <w:lang w:val="en-US" w:eastAsia="zh-CN"/>
              </w:rPr>
              <w:t>竞采</w:t>
            </w:r>
            <w:r>
              <w:rPr>
                <w:rFonts w:hint="eastAsia" w:asciiTheme="minorEastAsia" w:hAnsiTheme="minorEastAsia" w:eastAsiaTheme="minorEastAsia" w:cstheme="minorEastAsia"/>
                <w:color w:val="auto"/>
                <w:sz w:val="24"/>
                <w:szCs w:val="24"/>
                <w:highlight w:val="none"/>
              </w:rPr>
              <w:t>报价）×权值×100。</w:t>
            </w:r>
          </w:p>
        </w:tc>
        <w:tc>
          <w:tcPr>
            <w:tcW w:w="2246" w:type="dxa"/>
            <w:tcBorders>
              <w:top w:val="single" w:color="auto" w:sz="4" w:space="0"/>
              <w:left w:val="single" w:color="auto" w:sz="4" w:space="0"/>
              <w:bottom w:val="single" w:color="auto" w:sz="4" w:space="0"/>
              <w:right w:val="single" w:color="auto" w:sz="4" w:space="0"/>
            </w:tcBorders>
            <w:noWrap w:val="0"/>
            <w:vAlign w:val="center"/>
          </w:tcPr>
          <w:p w14:paraId="529927BD">
            <w:pPr>
              <w:pageBreakBefore w:val="0"/>
              <w:kinsoku/>
              <w:wordWrap/>
              <w:overflowPunct/>
              <w:topLinePunct w:val="0"/>
              <w:autoSpaceDE/>
              <w:autoSpaceDN/>
              <w:bidi w:val="0"/>
              <w:adjustRightInd/>
              <w:spacing w:line="240" w:lineRule="auto"/>
              <w:ind w:left="0" w:leftChars="0" w:right="0" w:firstLine="28" w:firstLineChars="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计算结果保留两位小数，第三位四舍五入。</w:t>
            </w:r>
          </w:p>
        </w:tc>
      </w:tr>
      <w:tr w14:paraId="2D740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0" w:hRule="atLeast"/>
        </w:trPr>
        <w:tc>
          <w:tcPr>
            <w:tcW w:w="681" w:type="dxa"/>
            <w:vMerge w:val="restart"/>
            <w:tcBorders>
              <w:top w:val="single" w:color="auto" w:sz="4" w:space="0"/>
              <w:left w:val="single" w:color="auto" w:sz="4" w:space="0"/>
              <w:right w:val="single" w:color="auto" w:sz="4" w:space="0"/>
            </w:tcBorders>
            <w:noWrap w:val="0"/>
            <w:vAlign w:val="center"/>
          </w:tcPr>
          <w:p w14:paraId="484E61A5">
            <w:pPr>
              <w:keepNext w:val="0"/>
              <w:keepLines w:val="0"/>
              <w:pageBreakBefore w:val="0"/>
              <w:kinsoku/>
              <w:wordWrap/>
              <w:overflowPunct/>
              <w:topLinePunct w:val="0"/>
              <w:autoSpaceDE/>
              <w:autoSpaceDN/>
              <w:bidi w:val="0"/>
              <w:adjustRightInd/>
              <w:spacing w:line="240" w:lineRule="auto"/>
              <w:ind w:left="0" w:leftChars="0" w:right="0" w:firstLine="28"/>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1389" w:type="dxa"/>
            <w:vMerge w:val="restart"/>
            <w:tcBorders>
              <w:top w:val="single" w:color="auto" w:sz="4" w:space="0"/>
              <w:left w:val="single" w:color="auto" w:sz="4" w:space="0"/>
              <w:right w:val="single" w:color="auto" w:sz="4" w:space="0"/>
            </w:tcBorders>
            <w:noWrap w:val="0"/>
            <w:vAlign w:val="center"/>
          </w:tcPr>
          <w:p w14:paraId="6FD6765B">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服务</w:t>
            </w:r>
            <w:r>
              <w:rPr>
                <w:rFonts w:hint="eastAsia" w:asciiTheme="minorEastAsia" w:hAnsiTheme="minorEastAsia" w:eastAsiaTheme="minorEastAsia" w:cstheme="minorEastAsia"/>
                <w:color w:val="auto"/>
                <w:sz w:val="24"/>
                <w:szCs w:val="24"/>
                <w:highlight w:val="none"/>
              </w:rPr>
              <w:t>部分</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60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w:t>
            </w:r>
          </w:p>
        </w:tc>
        <w:tc>
          <w:tcPr>
            <w:tcW w:w="942" w:type="dxa"/>
            <w:tcBorders>
              <w:top w:val="single" w:color="auto" w:sz="4" w:space="0"/>
              <w:left w:val="single" w:color="auto" w:sz="4" w:space="0"/>
              <w:right w:val="single" w:color="auto" w:sz="4" w:space="0"/>
            </w:tcBorders>
            <w:noWrap w:val="0"/>
            <w:vAlign w:val="center"/>
          </w:tcPr>
          <w:p w14:paraId="4EB29FA9">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分</w:t>
            </w:r>
          </w:p>
        </w:tc>
        <w:tc>
          <w:tcPr>
            <w:tcW w:w="4591" w:type="dxa"/>
            <w:tcBorders>
              <w:top w:val="single" w:color="auto" w:sz="4" w:space="0"/>
              <w:left w:val="single" w:color="auto" w:sz="4" w:space="0"/>
              <w:bottom w:val="single" w:color="auto" w:sz="4" w:space="0"/>
              <w:right w:val="single" w:color="auto" w:sz="4" w:space="0"/>
            </w:tcBorders>
            <w:noWrap w:val="0"/>
            <w:vAlign w:val="top"/>
          </w:tcPr>
          <w:p w14:paraId="0BB8A7BC">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1.总体方案</w:t>
            </w:r>
          </w:p>
          <w:p w14:paraId="67001F7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供应商</w:t>
            </w:r>
            <w:r>
              <w:rPr>
                <w:rFonts w:hint="eastAsia" w:ascii="宋体" w:hAnsi="宋体" w:eastAsia="宋体" w:cs="宋体"/>
                <w:b w:val="0"/>
                <w:bCs/>
                <w:color w:val="auto"/>
                <w:sz w:val="24"/>
                <w:szCs w:val="24"/>
                <w:highlight w:val="none"/>
                <w:lang w:eastAsia="zh-CN"/>
              </w:rPr>
              <w:t>提供</w:t>
            </w:r>
            <w:r>
              <w:rPr>
                <w:rFonts w:hint="eastAsia" w:ascii="宋体" w:hAnsi="宋体" w:eastAsia="宋体" w:cs="宋体"/>
                <w:b w:val="0"/>
                <w:bCs/>
                <w:color w:val="auto"/>
                <w:sz w:val="24"/>
                <w:szCs w:val="24"/>
                <w:highlight w:val="none"/>
                <w:lang w:val="en-US" w:eastAsia="zh-CN"/>
              </w:rPr>
              <w:t>对本</w:t>
            </w:r>
            <w:r>
              <w:rPr>
                <w:rFonts w:hint="eastAsia" w:ascii="宋体" w:hAnsi="宋体" w:eastAsia="宋体" w:cs="宋体"/>
                <w:b w:val="0"/>
                <w:bCs/>
                <w:color w:val="auto"/>
                <w:sz w:val="24"/>
                <w:szCs w:val="24"/>
                <w:highlight w:val="none"/>
                <w:lang w:eastAsia="zh-CN"/>
              </w:rPr>
              <w:t>项目的</w:t>
            </w:r>
            <w:r>
              <w:rPr>
                <w:rFonts w:hint="eastAsia" w:ascii="宋体" w:hAnsi="宋体" w:eastAsia="宋体" w:cs="宋体"/>
                <w:b w:val="0"/>
                <w:bCs/>
                <w:color w:val="auto"/>
                <w:sz w:val="24"/>
                <w:szCs w:val="24"/>
                <w:highlight w:val="none"/>
                <w:lang w:val="en-US" w:eastAsia="zh-CN"/>
              </w:rPr>
              <w:t>总体</w:t>
            </w:r>
            <w:r>
              <w:rPr>
                <w:rFonts w:hint="eastAsia" w:ascii="宋体" w:hAnsi="宋体" w:eastAsia="宋体" w:cs="宋体"/>
                <w:b w:val="0"/>
                <w:bCs/>
                <w:color w:val="auto"/>
                <w:sz w:val="24"/>
                <w:szCs w:val="24"/>
                <w:highlight w:val="none"/>
                <w:lang w:eastAsia="zh-CN"/>
              </w:rPr>
              <w:t>方案，包括但不限于：①项目背景</w:t>
            </w:r>
            <w:r>
              <w:rPr>
                <w:rFonts w:hint="eastAsia" w:ascii="宋体" w:hAnsi="宋体" w:eastAsia="宋体" w:cs="宋体"/>
                <w:b w:val="0"/>
                <w:bCs/>
                <w:color w:val="auto"/>
                <w:sz w:val="24"/>
                <w:szCs w:val="24"/>
                <w:highlight w:val="none"/>
                <w:lang w:val="en-US" w:eastAsia="zh-CN"/>
              </w:rPr>
              <w:t>及理解</w:t>
            </w:r>
            <w:r>
              <w:rPr>
                <w:rFonts w:hint="eastAsia" w:ascii="宋体" w:hAnsi="宋体" w:eastAsia="宋体" w:cs="宋体"/>
                <w:b w:val="0"/>
                <w:bCs/>
                <w:color w:val="auto"/>
                <w:sz w:val="24"/>
                <w:szCs w:val="24"/>
                <w:highlight w:val="none"/>
                <w:lang w:eastAsia="zh-CN"/>
              </w:rPr>
              <w:t>；②工作计划；</w:t>
            </w:r>
            <w:r>
              <w:rPr>
                <w:rFonts w:hint="eastAsia" w:ascii="宋体" w:hAnsi="宋体" w:eastAsia="宋体" w:cs="宋体"/>
                <w:b w:val="0"/>
                <w:bCs/>
                <w:color w:val="auto"/>
                <w:sz w:val="24"/>
                <w:szCs w:val="24"/>
                <w:highlight w:val="none"/>
                <w:lang w:val="en-US" w:eastAsia="zh-CN"/>
              </w:rPr>
              <w:t>③</w:t>
            </w:r>
            <w:r>
              <w:rPr>
                <w:rFonts w:hint="eastAsia" w:ascii="宋体" w:hAnsi="宋体" w:eastAsia="宋体" w:cs="宋体"/>
                <w:b w:val="0"/>
                <w:bCs/>
                <w:color w:val="auto"/>
                <w:sz w:val="24"/>
                <w:szCs w:val="24"/>
                <w:highlight w:val="none"/>
                <w:lang w:eastAsia="zh-CN"/>
              </w:rPr>
              <w:t>项目目标；④项目实施步骤</w:t>
            </w:r>
            <w:r>
              <w:rPr>
                <w:rFonts w:hint="eastAsia" w:ascii="宋体" w:hAnsi="宋体" w:eastAsia="宋体" w:cs="宋体"/>
                <w:b w:val="0"/>
                <w:bCs/>
                <w:color w:val="auto"/>
                <w:sz w:val="24"/>
                <w:szCs w:val="24"/>
                <w:highlight w:val="none"/>
                <w:lang w:val="en-US" w:eastAsia="zh-CN"/>
              </w:rPr>
              <w:t>；⑤成果体现。</w:t>
            </w:r>
          </w:p>
          <w:p w14:paraId="56BFC0DE">
            <w:pPr>
              <w:pStyle w:val="56"/>
              <w:ind w:firstLine="240" w:firstLineChars="1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方案内容不存在瑕疵得20分；</w:t>
            </w:r>
          </w:p>
          <w:p w14:paraId="2D214A1C">
            <w:pPr>
              <w:pStyle w:val="56"/>
              <w:ind w:firstLine="240" w:firstLineChars="1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方案内容存在1处瑕疵得12分；</w:t>
            </w:r>
          </w:p>
          <w:p w14:paraId="345F521B">
            <w:pPr>
              <w:pStyle w:val="56"/>
              <w:ind w:firstLine="240" w:firstLineChars="1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方案内容存在2处瑕疵得4分；</w:t>
            </w:r>
          </w:p>
          <w:p w14:paraId="12182646">
            <w:pPr>
              <w:pStyle w:val="56"/>
              <w:ind w:firstLine="240" w:firstLineChars="100"/>
              <w:rPr>
                <w:rFonts w:hint="eastAsia" w:asciiTheme="minorEastAsia" w:hAnsiTheme="minorEastAsia" w:eastAsiaTheme="minorEastAsia" w:cstheme="minorEastAsia"/>
                <w:color w:val="auto"/>
                <w:sz w:val="24"/>
                <w:szCs w:val="24"/>
                <w:highlight w:val="none"/>
              </w:rPr>
            </w:pPr>
            <w:r>
              <w:rPr>
                <w:rFonts w:hint="eastAsia" w:ascii="宋体" w:hAnsi="宋体" w:eastAsia="宋体" w:cs="宋体"/>
                <w:b w:val="0"/>
                <w:bCs/>
                <w:color w:val="auto"/>
                <w:sz w:val="24"/>
                <w:szCs w:val="24"/>
                <w:highlight w:val="none"/>
                <w:lang w:val="en-US" w:eastAsia="zh-CN"/>
              </w:rPr>
              <w:t>方案内容存在3处及以上瑕疵或未提供方案得0分。</w:t>
            </w:r>
          </w:p>
        </w:tc>
        <w:tc>
          <w:tcPr>
            <w:tcW w:w="2246" w:type="dxa"/>
            <w:vMerge w:val="restart"/>
            <w:tcBorders>
              <w:top w:val="single" w:color="auto" w:sz="4" w:space="0"/>
              <w:left w:val="single" w:color="auto" w:sz="4" w:space="0"/>
              <w:right w:val="single" w:color="auto" w:sz="4" w:space="0"/>
            </w:tcBorders>
            <w:noWrap w:val="0"/>
            <w:vAlign w:val="center"/>
          </w:tcPr>
          <w:p w14:paraId="7F025A35">
            <w:pPr>
              <w:pageBreakBefore w:val="0"/>
              <w:kinsoku/>
              <w:wordWrap/>
              <w:overflowPunct/>
              <w:topLinePunct w:val="0"/>
              <w:autoSpaceDE/>
              <w:autoSpaceDN/>
              <w:bidi w:val="0"/>
              <w:adjustRightInd/>
              <w:spacing w:line="240" w:lineRule="auto"/>
              <w:ind w:left="0" w:leftChars="0" w:right="0" w:firstLine="28" w:firstLineChars="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1.供应商提供书面方案（格式自定）；</w:t>
            </w:r>
          </w:p>
          <w:p w14:paraId="17A584AC">
            <w:pPr>
              <w:pageBreakBefore w:val="0"/>
              <w:kinsoku/>
              <w:wordWrap/>
              <w:overflowPunct/>
              <w:topLinePunct w:val="0"/>
              <w:autoSpaceDE/>
              <w:autoSpaceDN/>
              <w:bidi w:val="0"/>
              <w:adjustRightInd/>
              <w:spacing w:line="240" w:lineRule="auto"/>
              <w:ind w:left="0" w:leftChars="0" w:right="0" w:firstLine="28" w:firstLineChars="0"/>
              <w:jc w:val="left"/>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2.本项内容中所称的“瑕疵”指方案内容缺项、内容表述不完整或缺少关键分析点，方案内容表述前后矛盾、无连贯性，内容存在逻辑漏洞、常识错误、方案内容不具有先进思路或时效性低下或缺乏稳定可靠的相关保障措施、流程或进度</w:t>
            </w:r>
            <w:r>
              <w:rPr>
                <w:rFonts w:hint="eastAsia" w:asciiTheme="minorEastAsia" w:hAnsiTheme="minorEastAsia" w:eastAsiaTheme="minorEastAsia" w:cstheme="minorEastAsia"/>
                <w:color w:val="auto"/>
                <w:sz w:val="24"/>
                <w:szCs w:val="24"/>
                <w:highlight w:val="none"/>
                <w:lang w:val="en-US" w:eastAsia="zh-CN"/>
              </w:rPr>
              <w:t>等</w:t>
            </w:r>
            <w:r>
              <w:rPr>
                <w:rFonts w:hint="eastAsia" w:asciiTheme="minorEastAsia" w:hAnsiTheme="minorEastAsia" w:eastAsiaTheme="minorEastAsia" w:cstheme="minorEastAsia"/>
                <w:color w:val="auto"/>
                <w:sz w:val="24"/>
                <w:szCs w:val="24"/>
                <w:highlight w:val="none"/>
              </w:rPr>
              <w:t>并不适用本项目特性或非专门针对本项目制定、方案中提出的措施举措不利于本项目目标的实现、现有技术条件下不可能出现的情形等任意一种情形。</w:t>
            </w:r>
            <w:r>
              <w:rPr>
                <w:rFonts w:hint="eastAsia" w:asciiTheme="minorEastAsia" w:hAnsiTheme="minorEastAsia" w:eastAsiaTheme="minorEastAsia" w:cstheme="minorEastAsia"/>
                <w:color w:val="auto"/>
                <w:kern w:val="0"/>
                <w:sz w:val="24"/>
                <w:szCs w:val="24"/>
                <w:highlight w:val="none"/>
              </w:rPr>
              <w:t>评审小组</w:t>
            </w:r>
            <w:r>
              <w:rPr>
                <w:rFonts w:hint="eastAsia" w:asciiTheme="minorEastAsia" w:hAnsiTheme="minorEastAsia" w:eastAsiaTheme="minorEastAsia" w:cstheme="minorEastAsia"/>
                <w:color w:val="auto"/>
                <w:kern w:val="0"/>
                <w:sz w:val="24"/>
                <w:szCs w:val="24"/>
                <w:highlight w:val="none"/>
                <w:lang w:val="en-US" w:eastAsia="zh-CN"/>
              </w:rPr>
              <w:t>独立评审。</w:t>
            </w:r>
          </w:p>
        </w:tc>
      </w:tr>
      <w:tr w14:paraId="68FC7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681" w:type="dxa"/>
            <w:vMerge w:val="continue"/>
            <w:tcBorders>
              <w:left w:val="single" w:color="auto" w:sz="4" w:space="0"/>
              <w:right w:val="single" w:color="auto" w:sz="4" w:space="0"/>
            </w:tcBorders>
            <w:noWrap w:val="0"/>
            <w:vAlign w:val="center"/>
          </w:tcPr>
          <w:p w14:paraId="4532B5BC">
            <w:pPr>
              <w:keepNext w:val="0"/>
              <w:keepLines w:val="0"/>
              <w:pageBreakBefore w:val="0"/>
              <w:kinsoku/>
              <w:wordWrap/>
              <w:overflowPunct/>
              <w:topLinePunct w:val="0"/>
              <w:autoSpaceDE/>
              <w:autoSpaceDN/>
              <w:bidi w:val="0"/>
              <w:adjustRightInd/>
              <w:spacing w:line="240" w:lineRule="auto"/>
              <w:ind w:left="0" w:leftChars="0" w:right="0" w:firstLine="28"/>
              <w:jc w:val="center"/>
              <w:textAlignment w:val="auto"/>
              <w:rPr>
                <w:rFonts w:hint="eastAsia" w:asciiTheme="minorEastAsia" w:hAnsiTheme="minorEastAsia" w:eastAsiaTheme="minorEastAsia" w:cstheme="minorEastAsia"/>
                <w:color w:val="auto"/>
                <w:sz w:val="24"/>
                <w:szCs w:val="24"/>
                <w:highlight w:val="none"/>
              </w:rPr>
            </w:pPr>
          </w:p>
        </w:tc>
        <w:tc>
          <w:tcPr>
            <w:tcW w:w="1389" w:type="dxa"/>
            <w:vMerge w:val="continue"/>
            <w:tcBorders>
              <w:left w:val="single" w:color="auto" w:sz="4" w:space="0"/>
              <w:right w:val="single" w:color="auto" w:sz="4" w:space="0"/>
            </w:tcBorders>
            <w:noWrap w:val="0"/>
            <w:vAlign w:val="center"/>
          </w:tcPr>
          <w:p w14:paraId="4965B2A4">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p>
        </w:tc>
        <w:tc>
          <w:tcPr>
            <w:tcW w:w="942" w:type="dxa"/>
            <w:tcBorders>
              <w:left w:val="single" w:color="auto" w:sz="4" w:space="0"/>
              <w:right w:val="single" w:color="auto" w:sz="4" w:space="0"/>
            </w:tcBorders>
            <w:noWrap w:val="0"/>
            <w:vAlign w:val="center"/>
          </w:tcPr>
          <w:p w14:paraId="6D1071F3">
            <w:pPr>
              <w:keepNext w:val="0"/>
              <w:keepLines w:val="0"/>
              <w:pageBreakBefore w:val="0"/>
              <w:kinsoku/>
              <w:wordWrap/>
              <w:overflowPunct/>
              <w:topLinePunct w:val="0"/>
              <w:autoSpaceDE/>
              <w:autoSpaceDN/>
              <w:bidi w:val="0"/>
              <w:adjustRightInd/>
              <w:spacing w:line="240" w:lineRule="auto"/>
              <w:ind w:left="0" w:leftChars="0" w:right="0" w:right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20分</w:t>
            </w:r>
          </w:p>
        </w:tc>
        <w:tc>
          <w:tcPr>
            <w:tcW w:w="4591" w:type="dxa"/>
            <w:tcBorders>
              <w:top w:val="single" w:color="auto" w:sz="4" w:space="0"/>
              <w:left w:val="single" w:color="auto" w:sz="4" w:space="0"/>
              <w:bottom w:val="single" w:color="auto" w:sz="4" w:space="0"/>
              <w:right w:val="single" w:color="auto" w:sz="4" w:space="0"/>
            </w:tcBorders>
            <w:noWrap w:val="0"/>
            <w:vAlign w:val="top"/>
          </w:tcPr>
          <w:p w14:paraId="4AEFD27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2.脚本方案</w:t>
            </w:r>
          </w:p>
          <w:p w14:paraId="4F51C57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供应商</w:t>
            </w:r>
            <w:r>
              <w:rPr>
                <w:rFonts w:hint="eastAsia" w:ascii="宋体" w:hAnsi="宋体" w:eastAsia="宋体" w:cs="宋体"/>
                <w:b w:val="0"/>
                <w:bCs/>
                <w:color w:val="auto"/>
                <w:sz w:val="24"/>
                <w:szCs w:val="24"/>
                <w:highlight w:val="none"/>
                <w:lang w:eastAsia="zh-CN"/>
              </w:rPr>
              <w:t>提供</w:t>
            </w:r>
            <w:r>
              <w:rPr>
                <w:rFonts w:hint="eastAsia" w:ascii="宋体" w:hAnsi="宋体" w:eastAsia="宋体" w:cs="宋体"/>
                <w:b w:val="0"/>
                <w:bCs/>
                <w:color w:val="auto"/>
                <w:sz w:val="24"/>
                <w:szCs w:val="24"/>
                <w:highlight w:val="none"/>
                <w:lang w:val="en-US" w:eastAsia="zh-CN"/>
              </w:rPr>
              <w:t>对本</w:t>
            </w:r>
            <w:r>
              <w:rPr>
                <w:rFonts w:hint="eastAsia" w:ascii="宋体" w:hAnsi="宋体" w:eastAsia="宋体" w:cs="宋体"/>
                <w:b w:val="0"/>
                <w:bCs/>
                <w:color w:val="auto"/>
                <w:sz w:val="24"/>
                <w:szCs w:val="24"/>
                <w:highlight w:val="none"/>
                <w:lang w:eastAsia="zh-CN"/>
              </w:rPr>
              <w:t>项目的</w:t>
            </w:r>
            <w:r>
              <w:rPr>
                <w:rFonts w:hint="eastAsia" w:ascii="宋体" w:hAnsi="宋体" w:eastAsia="宋体" w:cs="宋体"/>
                <w:b w:val="0"/>
                <w:bCs/>
                <w:color w:val="auto"/>
                <w:sz w:val="24"/>
                <w:szCs w:val="24"/>
                <w:highlight w:val="none"/>
                <w:lang w:val="en-US" w:eastAsia="zh-CN"/>
              </w:rPr>
              <w:t>整体策划方案，包括但不限于：①策划思路；②人员配置；③拍摄手法；④设备配置。</w:t>
            </w:r>
          </w:p>
          <w:p w14:paraId="6C0626B4">
            <w:pPr>
              <w:pStyle w:val="56"/>
              <w:ind w:firstLine="240" w:firstLineChars="1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方案内容不存在瑕疵得20分；</w:t>
            </w:r>
          </w:p>
          <w:p w14:paraId="2CE9D145">
            <w:pPr>
              <w:pStyle w:val="56"/>
              <w:ind w:firstLine="240" w:firstLineChars="1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方案内容存在1处瑕疵得12分；</w:t>
            </w:r>
          </w:p>
          <w:p w14:paraId="41717992">
            <w:pPr>
              <w:pStyle w:val="56"/>
              <w:ind w:firstLine="240" w:firstLineChars="1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方案内容存在2处瑕疵得4分；</w:t>
            </w:r>
          </w:p>
          <w:p w14:paraId="3B65D1F2">
            <w:pPr>
              <w:pStyle w:val="56"/>
              <w:ind w:firstLine="240" w:firstLineChars="100"/>
              <w:rPr>
                <w:rFonts w:hint="eastAsia" w:asciiTheme="minorEastAsia" w:hAnsiTheme="minorEastAsia" w:eastAsiaTheme="minorEastAsia" w:cstheme="minorEastAsia"/>
                <w:color w:val="auto"/>
                <w:sz w:val="24"/>
                <w:szCs w:val="24"/>
                <w:highlight w:val="none"/>
              </w:rPr>
            </w:pPr>
            <w:r>
              <w:rPr>
                <w:rFonts w:hint="eastAsia" w:ascii="宋体" w:hAnsi="宋体" w:eastAsia="宋体" w:cs="宋体"/>
                <w:b w:val="0"/>
                <w:bCs/>
                <w:color w:val="auto"/>
                <w:sz w:val="24"/>
                <w:szCs w:val="24"/>
                <w:highlight w:val="none"/>
                <w:lang w:val="en-US" w:eastAsia="zh-CN"/>
              </w:rPr>
              <w:t>方案内容存在3处及以上瑕疵或未提供方案得0分。</w:t>
            </w:r>
          </w:p>
        </w:tc>
        <w:tc>
          <w:tcPr>
            <w:tcW w:w="2246" w:type="dxa"/>
            <w:vMerge w:val="continue"/>
            <w:tcBorders>
              <w:left w:val="single" w:color="auto" w:sz="4" w:space="0"/>
              <w:right w:val="single" w:color="auto" w:sz="4" w:space="0"/>
            </w:tcBorders>
            <w:noWrap w:val="0"/>
            <w:vAlign w:val="center"/>
          </w:tcPr>
          <w:p w14:paraId="05DDF90A">
            <w:pPr>
              <w:keepNext w:val="0"/>
              <w:keepLines w:val="0"/>
              <w:pageBreakBefore w:val="0"/>
              <w:kinsoku/>
              <w:wordWrap/>
              <w:overflowPunct/>
              <w:topLinePunct w:val="0"/>
              <w:autoSpaceDE/>
              <w:autoSpaceDN/>
              <w:bidi w:val="0"/>
              <w:adjustRightInd/>
              <w:spacing w:line="240" w:lineRule="auto"/>
              <w:ind w:left="0" w:leftChars="0" w:right="0"/>
              <w:jc w:val="left"/>
              <w:textAlignment w:val="auto"/>
              <w:rPr>
                <w:rFonts w:hint="eastAsia" w:asciiTheme="minorEastAsia" w:hAnsiTheme="minorEastAsia" w:eastAsiaTheme="minorEastAsia" w:cstheme="minorEastAsia"/>
                <w:color w:val="auto"/>
                <w:sz w:val="24"/>
                <w:szCs w:val="24"/>
                <w:highlight w:val="none"/>
              </w:rPr>
            </w:pPr>
          </w:p>
        </w:tc>
      </w:tr>
      <w:tr w14:paraId="5CB83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1" w:hRule="atLeast"/>
        </w:trPr>
        <w:tc>
          <w:tcPr>
            <w:tcW w:w="681" w:type="dxa"/>
            <w:vMerge w:val="continue"/>
            <w:tcBorders>
              <w:left w:val="single" w:color="auto" w:sz="4" w:space="0"/>
              <w:right w:val="single" w:color="auto" w:sz="4" w:space="0"/>
            </w:tcBorders>
            <w:noWrap w:val="0"/>
            <w:vAlign w:val="center"/>
          </w:tcPr>
          <w:p w14:paraId="33A9F0EA">
            <w:pPr>
              <w:keepNext w:val="0"/>
              <w:keepLines w:val="0"/>
              <w:pageBreakBefore w:val="0"/>
              <w:kinsoku/>
              <w:wordWrap/>
              <w:overflowPunct/>
              <w:topLinePunct w:val="0"/>
              <w:autoSpaceDE/>
              <w:autoSpaceDN/>
              <w:bidi w:val="0"/>
              <w:adjustRightInd/>
              <w:spacing w:line="240" w:lineRule="auto"/>
              <w:ind w:left="0" w:leftChars="0" w:right="0" w:firstLine="28"/>
              <w:jc w:val="center"/>
              <w:textAlignment w:val="auto"/>
              <w:rPr>
                <w:rFonts w:hint="eastAsia" w:asciiTheme="minorEastAsia" w:hAnsiTheme="minorEastAsia" w:eastAsiaTheme="minorEastAsia" w:cstheme="minorEastAsia"/>
                <w:color w:val="auto"/>
                <w:sz w:val="24"/>
                <w:szCs w:val="24"/>
                <w:highlight w:val="none"/>
              </w:rPr>
            </w:pPr>
          </w:p>
        </w:tc>
        <w:tc>
          <w:tcPr>
            <w:tcW w:w="1389" w:type="dxa"/>
            <w:vMerge w:val="continue"/>
            <w:tcBorders>
              <w:left w:val="single" w:color="auto" w:sz="4" w:space="0"/>
              <w:right w:val="single" w:color="auto" w:sz="4" w:space="0"/>
            </w:tcBorders>
            <w:noWrap w:val="0"/>
            <w:vAlign w:val="center"/>
          </w:tcPr>
          <w:p w14:paraId="57D2C10F">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p>
        </w:tc>
        <w:tc>
          <w:tcPr>
            <w:tcW w:w="942" w:type="dxa"/>
            <w:tcBorders>
              <w:left w:val="single" w:color="auto" w:sz="4" w:space="0"/>
              <w:right w:val="single" w:color="auto" w:sz="4" w:space="0"/>
            </w:tcBorders>
            <w:noWrap w:val="0"/>
            <w:vAlign w:val="center"/>
          </w:tcPr>
          <w:p w14:paraId="16E89A07">
            <w:pPr>
              <w:keepNext w:val="0"/>
              <w:keepLines w:val="0"/>
              <w:pageBreakBefore w:val="0"/>
              <w:kinsoku/>
              <w:wordWrap/>
              <w:overflowPunct/>
              <w:topLinePunct w:val="0"/>
              <w:autoSpaceDE/>
              <w:autoSpaceDN/>
              <w:bidi w:val="0"/>
              <w:adjustRightInd/>
              <w:spacing w:line="240" w:lineRule="auto"/>
              <w:ind w:left="0" w:leftChars="0" w:right="0" w:right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分</w:t>
            </w:r>
          </w:p>
        </w:tc>
        <w:tc>
          <w:tcPr>
            <w:tcW w:w="4591" w:type="dxa"/>
            <w:tcBorders>
              <w:top w:val="single" w:color="auto" w:sz="4" w:space="0"/>
              <w:left w:val="single" w:color="auto" w:sz="4" w:space="0"/>
              <w:bottom w:val="single" w:color="auto" w:sz="4" w:space="0"/>
              <w:right w:val="single" w:color="auto" w:sz="4" w:space="0"/>
            </w:tcBorders>
            <w:noWrap w:val="0"/>
            <w:vAlign w:val="top"/>
          </w:tcPr>
          <w:p w14:paraId="34681219">
            <w:pPr>
              <w:spacing w:line="240" w:lineRule="atLeast"/>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3.培训及保障方案</w:t>
            </w:r>
          </w:p>
          <w:p w14:paraId="5864AAB5">
            <w:pPr>
              <w:spacing w:line="240" w:lineRule="atLeast"/>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供应商</w:t>
            </w:r>
            <w:r>
              <w:rPr>
                <w:rFonts w:hint="eastAsia" w:ascii="宋体" w:hAnsi="宋体" w:eastAsia="宋体" w:cs="宋体"/>
                <w:b w:val="0"/>
                <w:bCs/>
                <w:color w:val="auto"/>
                <w:sz w:val="24"/>
                <w:szCs w:val="24"/>
                <w:highlight w:val="none"/>
                <w:lang w:eastAsia="zh-CN"/>
              </w:rPr>
              <w:t>提供</w:t>
            </w:r>
            <w:r>
              <w:rPr>
                <w:rFonts w:hint="eastAsia" w:ascii="宋体" w:hAnsi="宋体" w:eastAsia="宋体" w:cs="宋体"/>
                <w:b w:val="0"/>
                <w:bCs/>
                <w:color w:val="auto"/>
                <w:sz w:val="24"/>
                <w:szCs w:val="24"/>
                <w:highlight w:val="none"/>
                <w:lang w:val="en-US" w:eastAsia="zh-CN"/>
              </w:rPr>
              <w:t>对本</w:t>
            </w:r>
            <w:r>
              <w:rPr>
                <w:rFonts w:hint="eastAsia" w:ascii="宋体" w:hAnsi="宋体" w:eastAsia="宋体" w:cs="宋体"/>
                <w:b w:val="0"/>
                <w:bCs/>
                <w:color w:val="auto"/>
                <w:sz w:val="24"/>
                <w:szCs w:val="24"/>
                <w:highlight w:val="none"/>
                <w:lang w:eastAsia="zh-CN"/>
              </w:rPr>
              <w:t>项目的</w:t>
            </w:r>
            <w:r>
              <w:rPr>
                <w:rFonts w:hint="eastAsia" w:ascii="宋体" w:hAnsi="宋体" w:eastAsia="宋体" w:cs="宋体"/>
                <w:b w:val="0"/>
                <w:bCs/>
                <w:color w:val="auto"/>
                <w:sz w:val="24"/>
                <w:szCs w:val="24"/>
                <w:highlight w:val="none"/>
                <w:lang w:val="en-US" w:eastAsia="zh-CN"/>
              </w:rPr>
              <w:t>保障措施及其他服务方案，包括但不限于：</w:t>
            </w:r>
            <w:r>
              <w:rPr>
                <w:rFonts w:hint="default" w:ascii="宋体" w:hAnsi="宋体" w:eastAsia="宋体" w:cs="宋体"/>
                <w:b w:val="0"/>
                <w:bCs/>
                <w:color w:val="auto"/>
                <w:sz w:val="24"/>
                <w:szCs w:val="24"/>
                <w:highlight w:val="none"/>
                <w:lang w:val="en-US" w:eastAsia="zh-CN"/>
              </w:rPr>
              <w:t>①理论宣传稿撰写专题培训活动</w:t>
            </w:r>
            <w:r>
              <w:rPr>
                <w:rFonts w:hint="eastAsia" w:ascii="宋体" w:hAnsi="宋体" w:eastAsia="宋体" w:cs="宋体"/>
                <w:b w:val="0"/>
                <w:bCs/>
                <w:color w:val="auto"/>
                <w:sz w:val="24"/>
                <w:szCs w:val="24"/>
                <w:highlight w:val="none"/>
                <w:lang w:val="en-US" w:eastAsia="zh-CN"/>
              </w:rPr>
              <w:t>方案；</w:t>
            </w:r>
            <w:r>
              <w:rPr>
                <w:rFonts w:hint="default" w:ascii="宋体" w:hAnsi="宋体" w:eastAsia="宋体" w:cs="宋体"/>
                <w:b w:val="0"/>
                <w:bCs/>
                <w:color w:val="auto"/>
                <w:sz w:val="24"/>
                <w:szCs w:val="24"/>
                <w:highlight w:val="none"/>
                <w:lang w:val="en-US" w:eastAsia="zh-CN"/>
              </w:rPr>
              <w:t>②</w:t>
            </w:r>
            <w:r>
              <w:rPr>
                <w:rFonts w:hint="eastAsia" w:ascii="宋体" w:hAnsi="宋体" w:eastAsia="宋体" w:cs="宋体"/>
                <w:b w:val="0"/>
                <w:bCs/>
                <w:color w:val="auto"/>
                <w:sz w:val="24"/>
                <w:szCs w:val="24"/>
                <w:highlight w:val="none"/>
                <w:lang w:val="en-US" w:eastAsia="zh-CN"/>
              </w:rPr>
              <w:t>服务</w:t>
            </w:r>
            <w:r>
              <w:rPr>
                <w:rFonts w:hint="default" w:ascii="宋体" w:hAnsi="宋体" w:eastAsia="宋体" w:cs="宋体"/>
                <w:b w:val="0"/>
                <w:bCs/>
                <w:color w:val="auto"/>
                <w:sz w:val="24"/>
                <w:szCs w:val="24"/>
                <w:highlight w:val="none"/>
                <w:lang w:val="en-US" w:eastAsia="zh-CN"/>
              </w:rPr>
              <w:t>保障措施</w:t>
            </w:r>
            <w:r>
              <w:rPr>
                <w:rFonts w:hint="eastAsia" w:ascii="宋体" w:hAnsi="宋体" w:eastAsia="宋体" w:cs="宋体"/>
                <w:b w:val="0"/>
                <w:bCs/>
                <w:color w:val="auto"/>
                <w:sz w:val="24"/>
                <w:szCs w:val="24"/>
                <w:highlight w:val="none"/>
                <w:lang w:val="en-US" w:eastAsia="zh-CN"/>
              </w:rPr>
              <w:t>；③其他服务承诺。</w:t>
            </w:r>
          </w:p>
          <w:p w14:paraId="66EEC6E0">
            <w:pPr>
              <w:pStyle w:val="56"/>
              <w:ind w:firstLine="240" w:firstLineChars="1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方案内容不存在瑕疵得20分；</w:t>
            </w:r>
          </w:p>
          <w:p w14:paraId="0616A91C">
            <w:pPr>
              <w:pStyle w:val="56"/>
              <w:ind w:firstLine="240" w:firstLineChars="1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方案内容存在1处瑕疵得12分；</w:t>
            </w:r>
          </w:p>
          <w:p w14:paraId="7CEA068C">
            <w:pPr>
              <w:pStyle w:val="56"/>
              <w:ind w:firstLine="240" w:firstLineChars="1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方案内容存在2处瑕疵得4分；</w:t>
            </w:r>
          </w:p>
          <w:p w14:paraId="3B5DF4A4">
            <w:pPr>
              <w:pStyle w:val="56"/>
              <w:ind w:firstLine="240" w:firstLineChars="100"/>
              <w:rPr>
                <w:rFonts w:hint="default" w:asciiTheme="minorEastAsia" w:hAnsiTheme="minorEastAsia" w:eastAsiaTheme="minorEastAsia" w:cstheme="minorEastAsia"/>
                <w:color w:val="auto"/>
                <w:sz w:val="24"/>
                <w:szCs w:val="24"/>
                <w:highlight w:val="none"/>
                <w:lang w:val="en-US"/>
              </w:rPr>
            </w:pPr>
            <w:r>
              <w:rPr>
                <w:rFonts w:hint="eastAsia" w:ascii="宋体" w:hAnsi="宋体" w:eastAsia="宋体" w:cs="宋体"/>
                <w:b w:val="0"/>
                <w:bCs/>
                <w:color w:val="auto"/>
                <w:sz w:val="24"/>
                <w:szCs w:val="24"/>
                <w:highlight w:val="none"/>
                <w:lang w:val="en-US" w:eastAsia="zh-CN"/>
              </w:rPr>
              <w:t>方案内容存在3处及以上瑕疵或未提供方案得0分。</w:t>
            </w:r>
          </w:p>
        </w:tc>
        <w:tc>
          <w:tcPr>
            <w:tcW w:w="2246" w:type="dxa"/>
            <w:vMerge w:val="continue"/>
            <w:tcBorders>
              <w:left w:val="single" w:color="auto" w:sz="4" w:space="0"/>
              <w:right w:val="single" w:color="auto" w:sz="4" w:space="0"/>
            </w:tcBorders>
            <w:noWrap w:val="0"/>
            <w:vAlign w:val="center"/>
          </w:tcPr>
          <w:p w14:paraId="4A810024">
            <w:pPr>
              <w:keepNext w:val="0"/>
              <w:keepLines w:val="0"/>
              <w:pageBreakBefore w:val="0"/>
              <w:kinsoku/>
              <w:wordWrap/>
              <w:overflowPunct/>
              <w:topLinePunct w:val="0"/>
              <w:autoSpaceDE/>
              <w:autoSpaceDN/>
              <w:bidi w:val="0"/>
              <w:adjustRightInd/>
              <w:spacing w:line="240" w:lineRule="auto"/>
              <w:ind w:left="0" w:leftChars="0" w:right="0"/>
              <w:jc w:val="left"/>
              <w:textAlignment w:val="auto"/>
              <w:rPr>
                <w:rFonts w:hint="eastAsia" w:asciiTheme="minorEastAsia" w:hAnsiTheme="minorEastAsia" w:eastAsiaTheme="minorEastAsia" w:cstheme="minorEastAsia"/>
                <w:color w:val="auto"/>
                <w:sz w:val="24"/>
                <w:szCs w:val="24"/>
                <w:highlight w:val="none"/>
              </w:rPr>
            </w:pPr>
          </w:p>
        </w:tc>
      </w:tr>
      <w:tr w14:paraId="78D47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681" w:type="dxa"/>
            <w:tcBorders>
              <w:top w:val="single" w:color="auto" w:sz="4" w:space="0"/>
              <w:left w:val="single" w:color="auto" w:sz="4" w:space="0"/>
              <w:right w:val="single" w:color="auto" w:sz="4" w:space="0"/>
            </w:tcBorders>
            <w:noWrap w:val="0"/>
            <w:vAlign w:val="center"/>
          </w:tcPr>
          <w:p w14:paraId="27424495">
            <w:pPr>
              <w:keepNext w:val="0"/>
              <w:keepLines w:val="0"/>
              <w:pageBreakBefore w:val="0"/>
              <w:kinsoku/>
              <w:wordWrap/>
              <w:overflowPunct/>
              <w:topLinePunct w:val="0"/>
              <w:autoSpaceDE/>
              <w:autoSpaceDN/>
              <w:bidi w:val="0"/>
              <w:adjustRightInd/>
              <w:spacing w:line="240" w:lineRule="auto"/>
              <w:ind w:left="0" w:leftChars="0" w:right="0" w:firstLine="28"/>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p>
        </w:tc>
        <w:tc>
          <w:tcPr>
            <w:tcW w:w="1389" w:type="dxa"/>
            <w:tcBorders>
              <w:top w:val="single" w:color="auto" w:sz="4" w:space="0"/>
              <w:left w:val="single" w:color="auto" w:sz="4" w:space="0"/>
              <w:right w:val="single" w:color="auto" w:sz="4" w:space="0"/>
            </w:tcBorders>
            <w:noWrap w:val="0"/>
            <w:vAlign w:val="center"/>
          </w:tcPr>
          <w:p w14:paraId="58892439">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商务</w:t>
            </w:r>
          </w:p>
          <w:p w14:paraId="577D37BE">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部分</w:t>
            </w:r>
          </w:p>
          <w:p w14:paraId="077AC8DF">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30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w:t>
            </w:r>
          </w:p>
        </w:tc>
        <w:tc>
          <w:tcPr>
            <w:tcW w:w="942" w:type="dxa"/>
            <w:tcBorders>
              <w:top w:val="single" w:color="auto" w:sz="4" w:space="0"/>
              <w:left w:val="single" w:color="auto" w:sz="4" w:space="0"/>
              <w:bottom w:val="single" w:color="auto" w:sz="4" w:space="0"/>
              <w:right w:val="single" w:color="auto" w:sz="4" w:space="0"/>
            </w:tcBorders>
            <w:noWrap w:val="0"/>
            <w:vAlign w:val="center"/>
          </w:tcPr>
          <w:p w14:paraId="174AE45B">
            <w:pPr>
              <w:keepNext w:val="0"/>
              <w:keepLines w:val="0"/>
              <w:pageBreakBefore w:val="0"/>
              <w:kinsoku/>
              <w:wordWrap/>
              <w:overflowPunct/>
              <w:topLinePunct w:val="0"/>
              <w:autoSpaceDE/>
              <w:autoSpaceDN/>
              <w:bidi w:val="0"/>
              <w:adjustRightInd/>
              <w:spacing w:line="240" w:lineRule="auto"/>
              <w:ind w:left="0" w:leftChars="0" w:right="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30</w:t>
            </w:r>
            <w:r>
              <w:rPr>
                <w:rFonts w:hint="eastAsia" w:asciiTheme="minorEastAsia" w:hAnsiTheme="minorEastAsia" w:eastAsiaTheme="minorEastAsia" w:cstheme="minorEastAsia"/>
                <w:color w:val="auto"/>
                <w:sz w:val="24"/>
                <w:szCs w:val="24"/>
                <w:highlight w:val="none"/>
              </w:rPr>
              <w:t>分</w:t>
            </w:r>
          </w:p>
        </w:tc>
        <w:tc>
          <w:tcPr>
            <w:tcW w:w="4591" w:type="dxa"/>
            <w:tcBorders>
              <w:top w:val="single" w:color="auto" w:sz="4" w:space="0"/>
              <w:left w:val="single" w:color="auto" w:sz="4" w:space="0"/>
              <w:bottom w:val="single" w:color="auto" w:sz="4" w:space="0"/>
              <w:right w:val="single" w:color="auto" w:sz="4" w:space="0"/>
            </w:tcBorders>
            <w:noWrap w:val="0"/>
            <w:vAlign w:val="center"/>
          </w:tcPr>
          <w:p w14:paraId="31DE3FA4">
            <w:pPr>
              <w:pStyle w:val="56"/>
              <w:ind w:firstLine="480" w:firstLineChars="200"/>
              <w:jc w:val="left"/>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业绩</w:t>
            </w:r>
          </w:p>
          <w:p w14:paraId="788E8F03">
            <w:pPr>
              <w:pStyle w:val="56"/>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20</w:t>
            </w:r>
            <w:r>
              <w:rPr>
                <w:rFonts w:hint="eastAsia" w:asciiTheme="minorEastAsia" w:hAnsiTheme="minorEastAsia" w:eastAsiaTheme="minorEastAsia" w:cstheme="minorEastAsia"/>
                <w:color w:val="auto"/>
                <w:sz w:val="24"/>
                <w:szCs w:val="24"/>
                <w:highlight w:val="none"/>
                <w:lang w:val="en-US" w:eastAsia="zh-CN"/>
              </w:rPr>
              <w:t>22</w:t>
            </w:r>
            <w:r>
              <w:rPr>
                <w:rFonts w:hint="eastAsia" w:asciiTheme="minorEastAsia" w:hAnsiTheme="minorEastAsia" w:eastAsiaTheme="minorEastAsia" w:cstheme="minorEastAsia"/>
                <w:color w:val="auto"/>
                <w:sz w:val="24"/>
                <w:szCs w:val="24"/>
                <w:highlight w:val="none"/>
              </w:rPr>
              <w:t>年1月1日至今</w:t>
            </w:r>
            <w:r>
              <w:rPr>
                <w:rFonts w:hint="eastAsia" w:asciiTheme="minorEastAsia" w:hAnsiTheme="minorEastAsia" w:eastAsiaTheme="minorEastAsia" w:cstheme="minorEastAsia"/>
                <w:color w:val="auto"/>
                <w:sz w:val="24"/>
                <w:szCs w:val="24"/>
                <w:highlight w:val="none"/>
                <w:lang w:eastAsia="zh-CN"/>
              </w:rPr>
              <w:t>（以合同签订时间为准）</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有类似项目业绩</w:t>
            </w:r>
            <w:r>
              <w:rPr>
                <w:rFonts w:hint="eastAsia" w:asciiTheme="minorEastAsia" w:hAnsiTheme="minorEastAsia" w:eastAsiaTheme="minorEastAsia" w:cstheme="minorEastAsia"/>
                <w:color w:val="auto"/>
                <w:sz w:val="24"/>
                <w:szCs w:val="24"/>
                <w:highlight w:val="none"/>
              </w:rPr>
              <w:t>，每</w:t>
            </w:r>
            <w:r>
              <w:rPr>
                <w:rFonts w:hint="eastAsia" w:asciiTheme="minorEastAsia" w:hAnsiTheme="minorEastAsia" w:eastAsiaTheme="minorEastAsia" w:cstheme="minorEastAsia"/>
                <w:color w:val="auto"/>
                <w:sz w:val="24"/>
                <w:szCs w:val="24"/>
                <w:highlight w:val="none"/>
                <w:lang w:eastAsia="zh-CN"/>
              </w:rPr>
              <w:t>个</w:t>
            </w:r>
            <w:r>
              <w:rPr>
                <w:rFonts w:hint="eastAsia" w:asciiTheme="minorEastAsia" w:hAnsiTheme="minorEastAsia" w:eastAsiaTheme="minorEastAsia" w:cstheme="minorEastAsia"/>
                <w:color w:val="auto"/>
                <w:sz w:val="24"/>
                <w:szCs w:val="24"/>
                <w:highlight w:val="none"/>
              </w:rPr>
              <w:t>合同得</w:t>
            </w: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分，最多得</w:t>
            </w:r>
            <w:r>
              <w:rPr>
                <w:rFonts w:hint="eastAsia" w:asciiTheme="minorEastAsia" w:hAnsiTheme="minorEastAsia" w:eastAsiaTheme="minorEastAsia" w:cstheme="minorEastAsia"/>
                <w:color w:val="auto"/>
                <w:sz w:val="24"/>
                <w:szCs w:val="24"/>
                <w:highlight w:val="none"/>
                <w:lang w:val="en-US" w:eastAsia="zh-CN"/>
              </w:rPr>
              <w:t>30</w:t>
            </w:r>
            <w:r>
              <w:rPr>
                <w:rFonts w:hint="eastAsia" w:asciiTheme="minorEastAsia" w:hAnsiTheme="minorEastAsia" w:eastAsiaTheme="minorEastAsia" w:cstheme="minorEastAsia"/>
                <w:color w:val="auto"/>
                <w:sz w:val="24"/>
                <w:szCs w:val="24"/>
                <w:highlight w:val="none"/>
              </w:rPr>
              <w:t>分</w:t>
            </w:r>
            <w:r>
              <w:rPr>
                <w:rFonts w:hint="eastAsia" w:asciiTheme="minorEastAsia" w:hAnsiTheme="minorEastAsia" w:eastAsiaTheme="minorEastAsia" w:cstheme="minorEastAsia"/>
                <w:color w:val="auto"/>
                <w:sz w:val="24"/>
                <w:szCs w:val="24"/>
                <w:highlight w:val="none"/>
                <w:lang w:eastAsia="zh-CN"/>
              </w:rPr>
              <w:t>。</w:t>
            </w:r>
          </w:p>
        </w:tc>
        <w:tc>
          <w:tcPr>
            <w:tcW w:w="2246" w:type="dxa"/>
            <w:tcBorders>
              <w:top w:val="single" w:color="auto" w:sz="4" w:space="0"/>
              <w:left w:val="single" w:color="auto" w:sz="4" w:space="0"/>
              <w:bottom w:val="single" w:color="auto" w:sz="4" w:space="0"/>
              <w:right w:val="single" w:color="auto" w:sz="4" w:space="0"/>
            </w:tcBorders>
            <w:noWrap w:val="0"/>
            <w:vAlign w:val="center"/>
          </w:tcPr>
          <w:p w14:paraId="68E24FB6">
            <w:pPr>
              <w:pStyle w:val="56"/>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提供①业绩合同②任意一张对应的付款发票（发票付款方须与合同甲方一致），复印件或扫描件须</w:t>
            </w:r>
            <w:r>
              <w:rPr>
                <w:rFonts w:hint="eastAsia" w:asciiTheme="minorEastAsia" w:hAnsiTheme="minorEastAsia" w:eastAsiaTheme="minorEastAsia" w:cstheme="minorEastAsia"/>
                <w:color w:val="auto"/>
                <w:sz w:val="24"/>
                <w:szCs w:val="24"/>
                <w:highlight w:val="none"/>
              </w:rPr>
              <w:t>加盖供应商公章。</w:t>
            </w:r>
          </w:p>
        </w:tc>
      </w:tr>
    </w:tbl>
    <w:p w14:paraId="79E0240A">
      <w:pPr>
        <w:pageBreakBefore w:val="0"/>
        <w:kinsoku/>
        <w:wordWrap/>
        <w:overflowPunct/>
        <w:topLinePunct w:val="0"/>
        <w:autoSpaceDE/>
        <w:autoSpaceDN/>
        <w:bidi w:val="0"/>
        <w:adjustRightInd/>
        <w:snapToGrid w:val="0"/>
        <w:spacing w:line="360" w:lineRule="auto"/>
        <w:ind w:left="0" w:leftChars="0" w:right="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说明</w:t>
      </w:r>
      <w:r>
        <w:rPr>
          <w:rFonts w:hint="eastAsia" w:asciiTheme="minorEastAsia" w:hAnsiTheme="minorEastAsia" w:eastAsiaTheme="minorEastAsia" w:cstheme="minorEastAsia"/>
          <w:color w:val="auto"/>
          <w:sz w:val="24"/>
          <w:szCs w:val="24"/>
          <w:highlight w:val="none"/>
        </w:rPr>
        <w:t>：评审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评审小组应当将其作为无效响应处理。</w:t>
      </w:r>
    </w:p>
    <w:p w14:paraId="12A1D26B">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197" w:name="_Toc7962"/>
      <w:bookmarkStart w:id="198" w:name="_Toc13045"/>
      <w:bookmarkStart w:id="199" w:name="_Toc6898"/>
      <w:bookmarkStart w:id="200" w:name="_Toc12283"/>
      <w:bookmarkStart w:id="201" w:name="_Toc31591"/>
      <w:bookmarkStart w:id="202" w:name="_Toc27926"/>
      <w:bookmarkStart w:id="203" w:name="_Toc13301"/>
      <w:bookmarkStart w:id="204" w:name="_Toc17065"/>
      <w:bookmarkStart w:id="205" w:name="_Toc13232"/>
      <w:bookmarkStart w:id="206" w:name="_Toc22167"/>
      <w:bookmarkStart w:id="207" w:name="_Toc4045"/>
      <w:bookmarkStart w:id="208" w:name="_Toc3186"/>
      <w:bookmarkStart w:id="209" w:name="_Toc30659"/>
      <w:bookmarkStart w:id="210" w:name="_Toc15200"/>
      <w:bookmarkStart w:id="211" w:name="_Toc26747"/>
      <w:bookmarkStart w:id="212" w:name="_Toc5010"/>
      <w:bookmarkStart w:id="213" w:name="_Toc29586"/>
      <w:bookmarkStart w:id="214" w:name="_Toc106030397"/>
      <w:bookmarkStart w:id="215" w:name="_Toc10923"/>
      <w:bookmarkStart w:id="216" w:name="_Toc18716"/>
      <w:bookmarkStart w:id="217" w:name="_Toc20423"/>
      <w:bookmarkStart w:id="218" w:name="_Toc75793521"/>
      <w:r>
        <w:rPr>
          <w:rFonts w:hint="eastAsia" w:asciiTheme="minorEastAsia" w:hAnsiTheme="minorEastAsia" w:eastAsiaTheme="minorEastAsia" w:cstheme="minorEastAsia"/>
          <w:b w:val="0"/>
          <w:bCs/>
          <w:color w:val="auto"/>
          <w:kern w:val="44"/>
          <w:sz w:val="24"/>
          <w:szCs w:val="24"/>
          <w:highlight w:val="none"/>
          <w:lang w:val="en-US" w:eastAsia="zh-CN" w:bidi="ar-SA"/>
        </w:rPr>
        <w:t>四、无效响应条款</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14:paraId="50946CF7">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供应商或其响应文件出现下列情况之一者，应为无效响应：</w:t>
      </w:r>
    </w:p>
    <w:p w14:paraId="33ABE50F">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（一）供应商未通过资格性评审或符合性评审的；</w:t>
      </w:r>
    </w:p>
    <w:p w14:paraId="4330825C">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（二）法定代表人为同一个人的两个及两个以上法人，母公司、全资子公司及其控股公司，在同一项目中同时参与竞采的；</w:t>
      </w:r>
    </w:p>
    <w:p w14:paraId="2756EDED">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（三）单位负责人为同一人或者存在直接控股、管理关系的不同供应商，参加同一项目的竞采的；</w:t>
      </w:r>
    </w:p>
    <w:p w14:paraId="26738E97">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（四）为本项目提供整体设计、规范编制或者项目管理、监理、检测等服务的供应商，再参加该项目竞采的；</w:t>
      </w:r>
    </w:p>
    <w:p w14:paraId="17583B67">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（五）竞采有效期不满足竞采文件要求的；</w:t>
      </w:r>
    </w:p>
    <w:p w14:paraId="6206853F">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（六）响应文件内容有与国家现行法律法规相违背的内容，或附有采购人无法接受的条件；</w:t>
      </w:r>
    </w:p>
    <w:p w14:paraId="7A9E8D7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（七）法律、法规和竞采文件规定的其他无效情形。</w:t>
      </w:r>
    </w:p>
    <w:p w14:paraId="5FDF46E5">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219" w:name="_Toc21946"/>
      <w:bookmarkStart w:id="220" w:name="_Toc30605"/>
      <w:bookmarkStart w:id="221" w:name="_Toc75793522"/>
      <w:bookmarkStart w:id="222" w:name="_Toc6956"/>
      <w:bookmarkStart w:id="223" w:name="_Toc20000"/>
      <w:bookmarkStart w:id="224" w:name="_Toc24499"/>
      <w:bookmarkStart w:id="225" w:name="_Toc23533"/>
      <w:bookmarkStart w:id="226" w:name="_Toc25960"/>
      <w:bookmarkStart w:id="227" w:name="_Toc27133"/>
      <w:bookmarkStart w:id="228" w:name="_Toc20005"/>
      <w:bookmarkStart w:id="229" w:name="_Toc106030398"/>
      <w:bookmarkStart w:id="230" w:name="_Toc19410"/>
      <w:bookmarkStart w:id="231" w:name="_Toc25549"/>
      <w:bookmarkStart w:id="232" w:name="_Toc4422"/>
      <w:bookmarkStart w:id="233" w:name="_Toc6719"/>
      <w:bookmarkStart w:id="234" w:name="_Toc11293"/>
      <w:bookmarkStart w:id="235" w:name="_Toc22538"/>
      <w:bookmarkStart w:id="236" w:name="_Toc7802"/>
      <w:bookmarkStart w:id="237" w:name="_Toc6204"/>
      <w:bookmarkStart w:id="238" w:name="_Toc1009"/>
      <w:bookmarkStart w:id="239" w:name="_Toc27180"/>
      <w:bookmarkStart w:id="240" w:name="_Toc14355"/>
      <w:r>
        <w:rPr>
          <w:rFonts w:hint="eastAsia" w:asciiTheme="minorEastAsia" w:hAnsiTheme="minorEastAsia" w:eastAsiaTheme="minorEastAsia" w:cstheme="minorEastAsia"/>
          <w:b w:val="0"/>
          <w:bCs/>
          <w:color w:val="auto"/>
          <w:kern w:val="44"/>
          <w:sz w:val="24"/>
          <w:szCs w:val="24"/>
          <w:highlight w:val="none"/>
          <w:lang w:val="en-US" w:eastAsia="zh-CN" w:bidi="ar-SA"/>
        </w:rPr>
        <w:t>五、废标条款</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14:paraId="44D3C3B7">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在竞采过程中出现下列情形之一的，应终止评审，作废标处理：</w:t>
      </w:r>
    </w:p>
    <w:p w14:paraId="0DC66B06">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（一）符合专业条件的供应商或者对竞采文件作实质响应的供应商不足</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家的；</w:t>
      </w:r>
    </w:p>
    <w:p w14:paraId="2AAAB4E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（二）出现影响竞采公正的违法、违规行为的；</w:t>
      </w:r>
    </w:p>
    <w:p w14:paraId="693FE224">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（三）因重大变故，竞采项目取消的。</w:t>
      </w:r>
    </w:p>
    <w:p w14:paraId="40AB142E">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废标后，除项目任务取消情形外，应当重新组织竞采活动。</w:t>
      </w:r>
    </w:p>
    <w:bookmarkEnd w:id="107"/>
    <w:p w14:paraId="73703369">
      <w:pPr>
        <w:pStyle w:val="2"/>
        <w:pageBreakBefore w:val="0"/>
        <w:kinsoku/>
        <w:wordWrap/>
        <w:overflowPunct/>
        <w:topLinePunct w:val="0"/>
        <w:autoSpaceDE/>
        <w:autoSpaceDN/>
        <w:bidi w:val="0"/>
        <w:adjustRightInd/>
        <w:spacing w:line="360" w:lineRule="auto"/>
        <w:ind w:left="0" w:leftChars="0" w:right="0"/>
        <w:textAlignment w:val="auto"/>
        <w:rPr>
          <w:rFonts w:hint="eastAsia" w:asciiTheme="minorEastAsia" w:hAnsiTheme="minorEastAsia" w:eastAsiaTheme="minorEastAsia" w:cstheme="minorEastAsia"/>
          <w:b/>
          <w:bCs/>
          <w:color w:val="auto"/>
          <w:sz w:val="36"/>
          <w:szCs w:val="36"/>
          <w:highlight w:val="none"/>
        </w:rPr>
      </w:pPr>
      <w:r>
        <w:rPr>
          <w:rFonts w:hint="eastAsia" w:asciiTheme="minorEastAsia" w:hAnsiTheme="minorEastAsia" w:eastAsiaTheme="minorEastAsia" w:cstheme="minorEastAsia"/>
          <w:color w:val="auto"/>
          <w:sz w:val="24"/>
          <w:szCs w:val="24"/>
          <w:highlight w:val="none"/>
        </w:rPr>
        <w:br w:type="page"/>
      </w:r>
      <w:bookmarkStart w:id="241" w:name="_Toc25962"/>
      <w:bookmarkStart w:id="242" w:name="_Toc25755"/>
      <w:bookmarkStart w:id="243" w:name="_Toc32211"/>
      <w:bookmarkStart w:id="244" w:name="_Toc75793523"/>
      <w:bookmarkStart w:id="245" w:name="_Toc27835"/>
      <w:bookmarkStart w:id="246" w:name="_Toc18502"/>
      <w:bookmarkStart w:id="247" w:name="_Toc13159"/>
      <w:bookmarkStart w:id="248" w:name="_Toc106030399"/>
      <w:bookmarkStart w:id="249" w:name="_Toc22201"/>
      <w:bookmarkStart w:id="250" w:name="_Toc5106"/>
      <w:bookmarkStart w:id="251" w:name="_Toc14416"/>
      <w:bookmarkStart w:id="252" w:name="_Toc29546"/>
      <w:bookmarkStart w:id="253" w:name="_Toc22256"/>
      <w:bookmarkStart w:id="254" w:name="_Toc21000"/>
      <w:bookmarkStart w:id="255" w:name="_Toc19831"/>
      <w:bookmarkStart w:id="256" w:name="_Toc21720"/>
      <w:bookmarkStart w:id="257" w:name="_Toc1982"/>
      <w:bookmarkStart w:id="258" w:name="_Toc20379"/>
      <w:bookmarkStart w:id="259" w:name="_Toc12533"/>
      <w:bookmarkStart w:id="260" w:name="_Toc4735"/>
      <w:bookmarkStart w:id="261" w:name="_Toc23166"/>
      <w:bookmarkStart w:id="262" w:name="_Toc21360"/>
      <w:r>
        <w:rPr>
          <w:rFonts w:hint="eastAsia" w:asciiTheme="minorEastAsia" w:hAnsiTheme="minorEastAsia" w:eastAsiaTheme="minorEastAsia" w:cstheme="minorEastAsia"/>
          <w:b/>
          <w:bCs/>
          <w:color w:val="auto"/>
          <w:sz w:val="36"/>
          <w:szCs w:val="36"/>
          <w:highlight w:val="none"/>
        </w:rPr>
        <w:t>第五篇 供应商须知</w:t>
      </w:r>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14:paraId="0F1DF06A">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263" w:name="_Toc22743"/>
      <w:bookmarkStart w:id="264" w:name="_Toc9833"/>
      <w:bookmarkStart w:id="265" w:name="_Toc14797"/>
      <w:bookmarkStart w:id="266" w:name="_Toc5505"/>
      <w:bookmarkStart w:id="267" w:name="_Toc13542"/>
      <w:r>
        <w:rPr>
          <w:rFonts w:hint="eastAsia" w:asciiTheme="minorEastAsia" w:hAnsiTheme="minorEastAsia" w:eastAsiaTheme="minorEastAsia" w:cstheme="minorEastAsia"/>
          <w:b w:val="0"/>
          <w:bCs/>
          <w:color w:val="auto"/>
          <w:kern w:val="44"/>
          <w:sz w:val="24"/>
          <w:szCs w:val="24"/>
          <w:highlight w:val="none"/>
          <w:lang w:val="en-US" w:eastAsia="zh-CN" w:bidi="ar-SA"/>
        </w:rPr>
        <w:t>一、</w:t>
      </w:r>
      <w:bookmarkEnd w:id="263"/>
      <w:bookmarkEnd w:id="264"/>
      <w:bookmarkEnd w:id="265"/>
      <w:r>
        <w:rPr>
          <w:rFonts w:hint="eastAsia" w:asciiTheme="minorEastAsia" w:hAnsiTheme="minorEastAsia" w:eastAsiaTheme="minorEastAsia" w:cstheme="minorEastAsia"/>
          <w:b w:val="0"/>
          <w:bCs/>
          <w:color w:val="auto"/>
          <w:kern w:val="44"/>
          <w:sz w:val="24"/>
          <w:szCs w:val="24"/>
          <w:highlight w:val="none"/>
          <w:lang w:val="en-US" w:eastAsia="zh-CN" w:bidi="ar-SA"/>
        </w:rPr>
        <w:t>供应商</w:t>
      </w:r>
      <w:bookmarkEnd w:id="266"/>
      <w:bookmarkEnd w:id="267"/>
    </w:p>
    <w:p w14:paraId="609A3984">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kern w:val="2"/>
          <w:sz w:val="24"/>
          <w:szCs w:val="24"/>
          <w:highlight w:val="none"/>
          <w:lang w:val="en-US" w:eastAsia="zh-CN" w:bidi="ar-SA"/>
        </w:rPr>
        <w:t>（一）供应商</w:t>
      </w:r>
    </w:p>
    <w:p w14:paraId="60617323">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供应商是指响应竞采文件、参加竞采活动的法人、其他组织。</w:t>
      </w:r>
    </w:p>
    <w:p w14:paraId="3A309DE0">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kern w:val="2"/>
          <w:sz w:val="24"/>
          <w:szCs w:val="24"/>
          <w:highlight w:val="none"/>
          <w:lang w:val="en-US" w:eastAsia="zh-CN" w:bidi="ar-SA"/>
        </w:rPr>
        <w:t>（二）合格供应商条件</w:t>
      </w:r>
    </w:p>
    <w:p w14:paraId="45F1DD5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合格供应商应完全符合竞采文件第一篇中规定的供应商资格条件，并对竞采文件作出实质性响应。</w:t>
      </w:r>
    </w:p>
    <w:p w14:paraId="189D2A3B">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kern w:val="2"/>
          <w:sz w:val="24"/>
          <w:szCs w:val="24"/>
          <w:highlight w:val="none"/>
          <w:lang w:val="en-US" w:eastAsia="zh-CN" w:bidi="ar-SA"/>
        </w:rPr>
        <w:t>（三）供应商的风险</w:t>
      </w:r>
    </w:p>
    <w:p w14:paraId="1D5B854D">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供应商没有按照竞采文件要求提供全部资料，或者供应商没有对竞采文件在各方面作出实质性响应，可能导致响应被拒绝或评定为无效响应。</w:t>
      </w:r>
    </w:p>
    <w:p w14:paraId="58AA5FE3">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kern w:val="2"/>
          <w:sz w:val="24"/>
          <w:szCs w:val="24"/>
          <w:highlight w:val="none"/>
          <w:lang w:val="en-US" w:eastAsia="zh-CN" w:bidi="ar-SA"/>
        </w:rPr>
        <w:t>（四）法律责任</w:t>
      </w:r>
    </w:p>
    <w:p w14:paraId="14F5C54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供应商违反法律法规等相关规定的，将按规定追究供应商法律责任。</w:t>
      </w:r>
    </w:p>
    <w:p w14:paraId="61009197">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268" w:name="_Toc32437"/>
      <w:bookmarkStart w:id="269" w:name="_Toc24271"/>
      <w:bookmarkStart w:id="270" w:name="_Toc29706"/>
      <w:bookmarkStart w:id="271" w:name="_Toc16343"/>
      <w:bookmarkStart w:id="272" w:name="_Toc15608"/>
      <w:r>
        <w:rPr>
          <w:rFonts w:hint="eastAsia" w:asciiTheme="minorEastAsia" w:hAnsiTheme="minorEastAsia" w:eastAsiaTheme="minorEastAsia" w:cstheme="minorEastAsia"/>
          <w:b w:val="0"/>
          <w:bCs/>
          <w:color w:val="auto"/>
          <w:kern w:val="44"/>
          <w:sz w:val="24"/>
          <w:szCs w:val="24"/>
          <w:highlight w:val="none"/>
          <w:lang w:val="en-US" w:eastAsia="zh-CN" w:bidi="ar-SA"/>
        </w:rPr>
        <w:t>二、</w:t>
      </w:r>
      <w:bookmarkEnd w:id="268"/>
      <w:bookmarkEnd w:id="269"/>
      <w:bookmarkEnd w:id="270"/>
      <w:r>
        <w:rPr>
          <w:rFonts w:hint="eastAsia" w:asciiTheme="minorEastAsia" w:hAnsiTheme="minorEastAsia" w:eastAsiaTheme="minorEastAsia" w:cstheme="minorEastAsia"/>
          <w:b w:val="0"/>
          <w:bCs/>
          <w:color w:val="auto"/>
          <w:kern w:val="44"/>
          <w:sz w:val="24"/>
          <w:szCs w:val="24"/>
          <w:highlight w:val="none"/>
          <w:lang w:val="en-US" w:eastAsia="zh-CN" w:bidi="ar-SA"/>
        </w:rPr>
        <w:t>竞采文件</w:t>
      </w:r>
      <w:bookmarkEnd w:id="271"/>
      <w:bookmarkEnd w:id="272"/>
    </w:p>
    <w:p w14:paraId="4C1E3A9F">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竞采文件是供应商编制响应文件的依据，是评审小组评判依据和标准。竞采文件也是采购人与成交供应商签订合同的基础。</w:t>
      </w:r>
    </w:p>
    <w:p w14:paraId="6ADD3959">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（一）竞采文件由采购邀请书、</w:t>
      </w:r>
      <w:r>
        <w:rPr>
          <w:rFonts w:hint="eastAsia" w:asciiTheme="minorEastAsia" w:hAnsiTheme="minorEastAsia" w:eastAsiaTheme="minorEastAsia" w:cstheme="minorEastAsia"/>
          <w:color w:val="auto"/>
          <w:sz w:val="24"/>
          <w:szCs w:val="24"/>
          <w:highlight w:val="none"/>
          <w:lang w:eastAsia="zh-CN"/>
        </w:rPr>
        <w:t>项目技术（服务）需求</w:t>
      </w:r>
      <w:r>
        <w:rPr>
          <w:rFonts w:hint="eastAsia" w:asciiTheme="minorEastAsia" w:hAnsiTheme="minorEastAsia" w:eastAsiaTheme="minorEastAsia" w:cstheme="minorEastAsia"/>
          <w:color w:val="auto"/>
          <w:sz w:val="24"/>
          <w:szCs w:val="24"/>
          <w:highlight w:val="none"/>
        </w:rPr>
        <w:t>、项目商务需求、资格审查及评审办法、供应商须知、响应文件格式等六部分组成。</w:t>
      </w:r>
    </w:p>
    <w:p w14:paraId="15E5BCF2">
      <w:pPr>
        <w:pageBreakBefore w:val="0"/>
        <w:kinsoku/>
        <w:wordWrap/>
        <w:overflowPunct/>
        <w:topLinePunct w:val="0"/>
        <w:autoSpaceDE/>
        <w:autoSpaceDN/>
        <w:bidi w:val="0"/>
        <w:adjustRightInd/>
        <w:snapToGrid w:val="0"/>
        <w:spacing w:line="360" w:lineRule="auto"/>
        <w:ind w:left="0" w:leftChars="0" w:right="0" w:firstLine="48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（二）采购代理机构对竞采文件所作的一切有效的书面通知、修改及补充，都是竞采文件不可分割的部分。</w:t>
      </w:r>
    </w:p>
    <w:p w14:paraId="2A8AB19C">
      <w:pPr>
        <w:pageBreakBefore w:val="0"/>
        <w:kinsoku/>
        <w:wordWrap/>
        <w:overflowPunct/>
        <w:topLinePunct w:val="0"/>
        <w:autoSpaceDE/>
        <w:autoSpaceDN/>
        <w:bidi w:val="0"/>
        <w:adjustRightInd/>
        <w:snapToGrid w:val="0"/>
        <w:spacing w:line="360" w:lineRule="auto"/>
        <w:ind w:left="0" w:leftChars="0" w:right="0" w:firstLine="48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（三）本项目的竞采文件、澄清文件（如果有）一律在“行采家”网站上发布，请各供应商注意下载；无论供应商下载与否，均视同供应商已知晓本项目竞采文件、澄清文件的内容。</w:t>
      </w:r>
    </w:p>
    <w:p w14:paraId="7959591C">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（四）采购代理机构对已发出的竞采文件需要进行澄清或修改的，应以书面形式或公告形式通知所有竞采文件收受人。该澄清或者修改的内容为竞采文件的组成部分。</w:t>
      </w:r>
    </w:p>
    <w:p w14:paraId="05D2E1B6">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273" w:name="_Toc8987"/>
      <w:bookmarkStart w:id="274" w:name="_Toc31145"/>
      <w:bookmarkStart w:id="275" w:name="_Toc21372"/>
      <w:bookmarkStart w:id="276" w:name="_Toc19682"/>
      <w:bookmarkStart w:id="277" w:name="_Toc2101"/>
      <w:r>
        <w:rPr>
          <w:rFonts w:hint="eastAsia" w:asciiTheme="minorEastAsia" w:hAnsiTheme="minorEastAsia" w:eastAsiaTheme="minorEastAsia" w:cstheme="minorEastAsia"/>
          <w:b w:val="0"/>
          <w:bCs/>
          <w:color w:val="auto"/>
          <w:kern w:val="44"/>
          <w:sz w:val="24"/>
          <w:szCs w:val="24"/>
          <w:highlight w:val="none"/>
          <w:lang w:val="en-US" w:eastAsia="zh-CN" w:bidi="ar-SA"/>
        </w:rPr>
        <w:t>三、</w:t>
      </w:r>
      <w:bookmarkEnd w:id="273"/>
      <w:bookmarkEnd w:id="274"/>
      <w:bookmarkEnd w:id="275"/>
      <w:r>
        <w:rPr>
          <w:rFonts w:hint="eastAsia" w:asciiTheme="minorEastAsia" w:hAnsiTheme="minorEastAsia" w:eastAsiaTheme="minorEastAsia" w:cstheme="minorEastAsia"/>
          <w:b w:val="0"/>
          <w:bCs/>
          <w:color w:val="auto"/>
          <w:kern w:val="44"/>
          <w:sz w:val="24"/>
          <w:szCs w:val="24"/>
          <w:highlight w:val="none"/>
          <w:lang w:val="en-US" w:eastAsia="zh-CN" w:bidi="ar-SA"/>
        </w:rPr>
        <w:t>响应文件</w:t>
      </w:r>
      <w:bookmarkEnd w:id="276"/>
      <w:bookmarkEnd w:id="277"/>
    </w:p>
    <w:p w14:paraId="59541551">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供应商应当按照竞采文件的要求编制响应文件，并对竞采文件提出的要求和条件作出实质性响应。</w:t>
      </w:r>
    </w:p>
    <w:p w14:paraId="44927A6D">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2"/>
          <w:sz w:val="24"/>
          <w:szCs w:val="24"/>
          <w:highlight w:val="none"/>
          <w:lang w:val="en-US" w:eastAsia="zh-CN" w:bidi="ar-SA"/>
        </w:rPr>
      </w:pPr>
      <w:r>
        <w:rPr>
          <w:rFonts w:hint="eastAsia" w:asciiTheme="minorEastAsia" w:hAnsiTheme="minorEastAsia" w:eastAsiaTheme="minorEastAsia" w:cstheme="minorEastAsia"/>
          <w:b w:val="0"/>
          <w:bCs/>
          <w:color w:val="auto"/>
          <w:kern w:val="2"/>
          <w:sz w:val="24"/>
          <w:szCs w:val="24"/>
          <w:highlight w:val="none"/>
          <w:lang w:val="en-US" w:eastAsia="zh-CN" w:bidi="ar-SA"/>
        </w:rPr>
        <w:t>（一）响应文件组成</w:t>
      </w:r>
    </w:p>
    <w:p w14:paraId="078FD193">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文件由第七篇“响应文件格式”规定的部分和供应商所作的一切有效补充、修改和承诺等文件组成，供应商应按照第七篇“响应文件格式”规定的目录顺序组织编写和装订，否则有可能影响评委对响应文件的评审。</w:t>
      </w:r>
    </w:p>
    <w:p w14:paraId="5DAF6FEF">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2"/>
          <w:sz w:val="24"/>
          <w:szCs w:val="24"/>
          <w:highlight w:val="none"/>
          <w:lang w:val="en-US" w:eastAsia="zh-CN" w:bidi="ar-SA"/>
        </w:rPr>
      </w:pPr>
      <w:r>
        <w:rPr>
          <w:rFonts w:hint="eastAsia" w:asciiTheme="minorEastAsia" w:hAnsiTheme="minorEastAsia" w:eastAsiaTheme="minorEastAsia" w:cstheme="minorEastAsia"/>
          <w:b w:val="0"/>
          <w:bCs/>
          <w:color w:val="auto"/>
          <w:kern w:val="2"/>
          <w:sz w:val="24"/>
          <w:szCs w:val="24"/>
          <w:highlight w:val="none"/>
          <w:lang w:val="en-US" w:eastAsia="zh-CN" w:bidi="ar-SA"/>
        </w:rPr>
        <w:t>（二）竞采有效期</w:t>
      </w:r>
    </w:p>
    <w:p w14:paraId="596EEAC9">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响应文件递交截止时间起90天。</w:t>
      </w:r>
    </w:p>
    <w:p w14:paraId="5FE190F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2"/>
          <w:sz w:val="24"/>
          <w:szCs w:val="24"/>
          <w:highlight w:val="none"/>
          <w:lang w:val="en-US" w:eastAsia="zh-CN" w:bidi="ar-SA"/>
        </w:rPr>
      </w:pPr>
      <w:r>
        <w:rPr>
          <w:rFonts w:hint="eastAsia" w:asciiTheme="minorEastAsia" w:hAnsiTheme="minorEastAsia" w:eastAsiaTheme="minorEastAsia" w:cstheme="minorEastAsia"/>
          <w:b w:val="0"/>
          <w:bCs/>
          <w:color w:val="auto"/>
          <w:kern w:val="2"/>
          <w:sz w:val="24"/>
          <w:szCs w:val="24"/>
          <w:highlight w:val="none"/>
          <w:lang w:val="en-US" w:eastAsia="zh-CN" w:bidi="ar-SA"/>
        </w:rPr>
        <w:t>（三）响应文件的签署、份数和递交</w:t>
      </w:r>
    </w:p>
    <w:p w14:paraId="1FDF8A2D">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kern w:val="0"/>
          <w:sz w:val="24"/>
          <w:szCs w:val="24"/>
          <w:highlight w:val="none"/>
        </w:rPr>
        <w:t>1.</w:t>
      </w:r>
      <w:r>
        <w:rPr>
          <w:rFonts w:hint="eastAsia" w:asciiTheme="minorEastAsia" w:hAnsiTheme="minorEastAsia" w:eastAsiaTheme="minorEastAsia" w:cstheme="minorEastAsia"/>
          <w:color w:val="auto"/>
          <w:sz w:val="24"/>
          <w:szCs w:val="24"/>
          <w:highlight w:val="none"/>
        </w:rPr>
        <w:t>在响应文件中，竞采文件第七篇响应文件格式中规定签署、盖章的地方必须按其规定签署、盖章。</w:t>
      </w:r>
    </w:p>
    <w:p w14:paraId="7EAFEEA0">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2.若供应商对响应文件的错处作必要修改，则应在修改处加盖供应商公章或由法定代表人（或其授权代表）签署确认。</w:t>
      </w:r>
    </w:p>
    <w:p w14:paraId="76A9DE92">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3.电报、电话、传真形式的响应文件概不接受。</w:t>
      </w:r>
    </w:p>
    <w:p w14:paraId="706B1F87">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响应文件一式四份，其中正本一份，副本二份，电子文档一份（电子文档内容应与纸质文件正本一致，如不一致以纸质文件正本为准。推荐采用光盘或U盘为电子文档载体）；副本可为正本的复印件，应与正本一致，如出现不一致情况以正本为准。</w:t>
      </w:r>
    </w:p>
    <w:p w14:paraId="1D2E316A">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5.响应文件的正本、副本以及电子文档均应密封送达竞采地点，应在封套上注明项目名称、单位名称。若正本、副本以及电子文档分别进行密封的，还应在封套上注明“正本”、“副本”、“电子文档”字样。</w:t>
      </w:r>
    </w:p>
    <w:p w14:paraId="58752CE4">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2"/>
          <w:sz w:val="24"/>
          <w:szCs w:val="24"/>
          <w:highlight w:val="none"/>
          <w:lang w:val="en-US" w:eastAsia="zh-CN" w:bidi="ar-SA"/>
        </w:rPr>
      </w:pPr>
      <w:r>
        <w:rPr>
          <w:rFonts w:hint="eastAsia" w:asciiTheme="minorEastAsia" w:hAnsiTheme="minorEastAsia" w:eastAsiaTheme="minorEastAsia" w:cstheme="minorEastAsia"/>
          <w:b w:val="0"/>
          <w:bCs/>
          <w:color w:val="auto"/>
          <w:kern w:val="2"/>
          <w:sz w:val="24"/>
          <w:szCs w:val="24"/>
          <w:highlight w:val="none"/>
          <w:lang w:val="en-US" w:eastAsia="zh-CN" w:bidi="ar-SA"/>
        </w:rPr>
        <w:t>（四）竞采报价</w:t>
      </w:r>
    </w:p>
    <w:p w14:paraId="4EC8A563">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1.供应商应严格按照“响应文件格式”中“报价一览表”的格式填写报价。</w:t>
      </w:r>
    </w:p>
    <w:p w14:paraId="198FB54A">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2.供应商的报价为一次性报价，即在竞采有效期内报价固定不变。</w:t>
      </w:r>
    </w:p>
    <w:p w14:paraId="45C1DA1D">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3.本项目只接受一个报价，有选择的或有条件的报价将不予接受，作无效响应处理。</w:t>
      </w:r>
    </w:p>
    <w:p w14:paraId="3FCDBDD6">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2"/>
          <w:sz w:val="24"/>
          <w:szCs w:val="24"/>
          <w:highlight w:val="none"/>
          <w:lang w:val="en-US" w:eastAsia="zh-CN" w:bidi="ar-SA"/>
        </w:rPr>
      </w:pPr>
      <w:r>
        <w:rPr>
          <w:rFonts w:hint="eastAsia" w:asciiTheme="minorEastAsia" w:hAnsiTheme="minorEastAsia" w:eastAsiaTheme="minorEastAsia" w:cstheme="minorEastAsia"/>
          <w:b w:val="0"/>
          <w:bCs/>
          <w:color w:val="auto"/>
          <w:kern w:val="2"/>
          <w:sz w:val="24"/>
          <w:szCs w:val="24"/>
          <w:highlight w:val="none"/>
          <w:lang w:val="en-US" w:eastAsia="zh-CN" w:bidi="ar-SA"/>
        </w:rPr>
        <w:t>（五）修正错误</w:t>
      </w:r>
    </w:p>
    <w:p w14:paraId="0029C09F">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若响应文件出现计算或表达上的错误，修正错误的原则如下：</w:t>
      </w:r>
    </w:p>
    <w:p w14:paraId="567FEFBC">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1.出现大写不规范（例如“壹万壹仟元”写作“壹点壹万元”）或少数错别字（例如“玖”写作“九”）等不影响判断其实质意义的情况，可视同有效。</w:t>
      </w:r>
    </w:p>
    <w:p w14:paraId="48FD01A6">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2.总价金额与按单价汇总金额不一致的，以单价金额计算结果为准。</w:t>
      </w:r>
    </w:p>
    <w:p w14:paraId="12E3173E">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评审小组按上述修正错误的原则及方法调整或修正供应商报价，若同时出现两种以上不一致的，按照前款规定的顺序修正，修正后的报价对供应商具有约束作用。</w:t>
      </w:r>
    </w:p>
    <w:p w14:paraId="7E9ADAF2">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278" w:name="_Toc27146"/>
      <w:bookmarkStart w:id="279" w:name="_Toc2488"/>
      <w:bookmarkStart w:id="280" w:name="_Toc3192"/>
      <w:bookmarkStart w:id="281" w:name="_Toc16295"/>
      <w:bookmarkStart w:id="282" w:name="_Toc28317"/>
      <w:r>
        <w:rPr>
          <w:rFonts w:hint="eastAsia" w:asciiTheme="minorEastAsia" w:hAnsiTheme="minorEastAsia" w:eastAsiaTheme="minorEastAsia" w:cstheme="minorEastAsia"/>
          <w:b w:val="0"/>
          <w:bCs/>
          <w:color w:val="auto"/>
          <w:kern w:val="44"/>
          <w:sz w:val="24"/>
          <w:szCs w:val="24"/>
          <w:highlight w:val="none"/>
          <w:lang w:val="en-US" w:eastAsia="zh-CN" w:bidi="ar-SA"/>
        </w:rPr>
        <w:t>四、评审流程</w:t>
      </w:r>
      <w:bookmarkEnd w:id="278"/>
      <w:bookmarkEnd w:id="279"/>
      <w:r>
        <w:rPr>
          <w:rFonts w:hint="eastAsia" w:asciiTheme="minorEastAsia" w:hAnsiTheme="minorEastAsia" w:eastAsiaTheme="minorEastAsia" w:cstheme="minorEastAsia"/>
          <w:b w:val="0"/>
          <w:bCs/>
          <w:color w:val="auto"/>
          <w:kern w:val="44"/>
          <w:sz w:val="24"/>
          <w:szCs w:val="24"/>
          <w:highlight w:val="none"/>
          <w:lang w:val="en-US" w:eastAsia="zh-CN" w:bidi="ar-SA"/>
        </w:rPr>
        <w:t>及标准</w:t>
      </w:r>
      <w:bookmarkEnd w:id="280"/>
      <w:bookmarkEnd w:id="281"/>
      <w:bookmarkEnd w:id="282"/>
    </w:p>
    <w:p w14:paraId="5738AC71">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见第四篇。</w:t>
      </w:r>
    </w:p>
    <w:p w14:paraId="6366BBAC">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283" w:name="_Toc26213"/>
      <w:bookmarkStart w:id="284" w:name="_Toc23216"/>
      <w:bookmarkStart w:id="285" w:name="_Toc12781"/>
      <w:bookmarkStart w:id="286" w:name="_Toc23757"/>
      <w:bookmarkStart w:id="287" w:name="_Toc8061"/>
      <w:r>
        <w:rPr>
          <w:rFonts w:hint="eastAsia" w:asciiTheme="minorEastAsia" w:hAnsiTheme="minorEastAsia" w:eastAsiaTheme="minorEastAsia" w:cstheme="minorEastAsia"/>
          <w:b w:val="0"/>
          <w:bCs/>
          <w:color w:val="auto"/>
          <w:kern w:val="44"/>
          <w:sz w:val="24"/>
          <w:szCs w:val="24"/>
          <w:highlight w:val="none"/>
          <w:lang w:val="en-US" w:eastAsia="zh-CN" w:bidi="ar-SA"/>
        </w:rPr>
        <w:t>五、确认</w:t>
      </w:r>
      <w:bookmarkEnd w:id="283"/>
      <w:bookmarkEnd w:id="284"/>
      <w:bookmarkEnd w:id="285"/>
      <w:r>
        <w:rPr>
          <w:rFonts w:hint="eastAsia" w:asciiTheme="minorEastAsia" w:hAnsiTheme="minorEastAsia" w:eastAsiaTheme="minorEastAsia" w:cstheme="minorEastAsia"/>
          <w:b w:val="0"/>
          <w:bCs/>
          <w:color w:val="auto"/>
          <w:kern w:val="44"/>
          <w:sz w:val="24"/>
          <w:szCs w:val="24"/>
          <w:highlight w:val="none"/>
          <w:lang w:val="en-US" w:eastAsia="zh-CN" w:bidi="ar-SA"/>
        </w:rPr>
        <w:t>成交供应商</w:t>
      </w:r>
      <w:bookmarkEnd w:id="286"/>
      <w:bookmarkEnd w:id="287"/>
    </w:p>
    <w:p w14:paraId="00F2ACAE">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2"/>
          <w:sz w:val="24"/>
          <w:szCs w:val="24"/>
          <w:highlight w:val="none"/>
          <w:lang w:val="en-US" w:eastAsia="zh-CN" w:bidi="ar-SA"/>
        </w:rPr>
      </w:pPr>
      <w:r>
        <w:rPr>
          <w:rFonts w:hint="eastAsia" w:asciiTheme="minorEastAsia" w:hAnsiTheme="minorEastAsia" w:eastAsiaTheme="minorEastAsia" w:cstheme="minorEastAsia"/>
          <w:b w:val="0"/>
          <w:bCs/>
          <w:color w:val="auto"/>
          <w:kern w:val="2"/>
          <w:sz w:val="24"/>
          <w:szCs w:val="24"/>
          <w:highlight w:val="none"/>
          <w:lang w:val="en-US" w:eastAsia="zh-CN" w:bidi="ar-SA"/>
        </w:rPr>
        <w:t>（一）原则</w:t>
      </w:r>
    </w:p>
    <w:p w14:paraId="49CCD234">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采购人或其授权的评审小组应按照评审报告中推荐的成交候选人排名顺序确定成交供应商。</w:t>
      </w:r>
    </w:p>
    <w:p w14:paraId="07D224CB">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b w:val="0"/>
          <w:bCs/>
          <w:color w:val="auto"/>
          <w:kern w:val="2"/>
          <w:sz w:val="24"/>
          <w:szCs w:val="24"/>
          <w:highlight w:val="none"/>
          <w:lang w:val="en-US" w:eastAsia="zh-CN" w:bidi="ar-SA"/>
        </w:rPr>
      </w:pPr>
      <w:r>
        <w:rPr>
          <w:rFonts w:hint="eastAsia" w:asciiTheme="minorEastAsia" w:hAnsiTheme="minorEastAsia" w:eastAsiaTheme="minorEastAsia" w:cstheme="minorEastAsia"/>
          <w:b w:val="0"/>
          <w:bCs/>
          <w:color w:val="auto"/>
          <w:kern w:val="2"/>
          <w:sz w:val="24"/>
          <w:szCs w:val="24"/>
          <w:highlight w:val="none"/>
          <w:lang w:val="en-US" w:eastAsia="zh-CN" w:bidi="ar-SA"/>
        </w:rPr>
        <w:t>（二）程序</w:t>
      </w:r>
    </w:p>
    <w:p w14:paraId="55995467">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1.采购代理机构应当在评审结束之日起2个工作日内将评审报告送采购人。</w:t>
      </w:r>
    </w:p>
    <w:p w14:paraId="3069DBC1">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2.采购人应当自收到评审报告之日起5个工作日内按评审报告推荐的成交候选人顺序确定成交供应商。</w:t>
      </w:r>
    </w:p>
    <w:p w14:paraId="00DB895C">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3.采购人或者采购代理机构应当自成交供应商确定之日起2个工作日内，在“行采家”公告成交结果。</w:t>
      </w:r>
    </w:p>
    <w:p w14:paraId="05EBEBB0">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288" w:name="_Toc6219"/>
      <w:bookmarkStart w:id="289" w:name="_Toc18089"/>
      <w:bookmarkStart w:id="290" w:name="_Toc7093"/>
      <w:bookmarkStart w:id="291" w:name="_Toc28680"/>
      <w:bookmarkStart w:id="292" w:name="_Toc14463"/>
      <w:r>
        <w:rPr>
          <w:rFonts w:hint="eastAsia" w:asciiTheme="minorEastAsia" w:hAnsiTheme="minorEastAsia" w:eastAsiaTheme="minorEastAsia" w:cstheme="minorEastAsia"/>
          <w:b w:val="0"/>
          <w:bCs/>
          <w:color w:val="auto"/>
          <w:kern w:val="44"/>
          <w:sz w:val="24"/>
          <w:szCs w:val="24"/>
          <w:highlight w:val="none"/>
          <w:lang w:val="en-US" w:eastAsia="zh-CN" w:bidi="ar-SA"/>
        </w:rPr>
        <w:t>六、</w:t>
      </w:r>
      <w:bookmarkEnd w:id="288"/>
      <w:bookmarkEnd w:id="289"/>
      <w:bookmarkEnd w:id="290"/>
      <w:r>
        <w:rPr>
          <w:rFonts w:hint="eastAsia" w:asciiTheme="minorEastAsia" w:hAnsiTheme="minorEastAsia" w:eastAsiaTheme="minorEastAsia" w:cstheme="minorEastAsia"/>
          <w:b w:val="0"/>
          <w:bCs/>
          <w:color w:val="auto"/>
          <w:kern w:val="44"/>
          <w:sz w:val="24"/>
          <w:szCs w:val="24"/>
          <w:highlight w:val="none"/>
          <w:lang w:val="en-US" w:eastAsia="zh-CN" w:bidi="ar-SA"/>
        </w:rPr>
        <w:t>成交</w:t>
      </w:r>
      <w:bookmarkEnd w:id="291"/>
      <w:bookmarkEnd w:id="292"/>
    </w:p>
    <w:p w14:paraId="650C6198">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（一）采购人依法确定成交供应商后，采购代理机构进行结果公示。</w:t>
      </w:r>
    </w:p>
    <w:p w14:paraId="5936D112">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（二）成交供应商无正当理由放弃成交资格的应当承担相应的法律责任。</w:t>
      </w:r>
    </w:p>
    <w:p w14:paraId="430771AE">
      <w:pPr>
        <w:pageBreakBefore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（三）成交供应商拒绝与采购人签订合同的，采购人可以按照评审报告推荐的成交候选人顺序，确定排名下一位的候选人为成交供应商，也可以重新开展竞采活动。</w:t>
      </w:r>
    </w:p>
    <w:p w14:paraId="31D3B3F6">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293" w:name="_Toc12557"/>
      <w:bookmarkStart w:id="294" w:name="_Toc20725"/>
      <w:bookmarkStart w:id="295" w:name="_Toc22612"/>
      <w:bookmarkStart w:id="296" w:name="_Toc15324"/>
      <w:bookmarkStart w:id="297" w:name="_Toc24856"/>
      <w:r>
        <w:rPr>
          <w:rFonts w:hint="eastAsia" w:asciiTheme="minorEastAsia" w:hAnsiTheme="minorEastAsia" w:eastAsiaTheme="minorEastAsia" w:cstheme="minorEastAsia"/>
          <w:b w:val="0"/>
          <w:bCs/>
          <w:color w:val="auto"/>
          <w:kern w:val="44"/>
          <w:sz w:val="24"/>
          <w:szCs w:val="24"/>
          <w:highlight w:val="none"/>
          <w:lang w:val="en-US" w:eastAsia="zh-CN" w:bidi="ar-SA"/>
        </w:rPr>
        <w:t>七、采购代理服务费</w:t>
      </w:r>
      <w:bookmarkEnd w:id="293"/>
      <w:bookmarkEnd w:id="294"/>
      <w:bookmarkEnd w:id="295"/>
      <w:bookmarkEnd w:id="296"/>
      <w:bookmarkEnd w:id="297"/>
    </w:p>
    <w:p w14:paraId="1B1837F6">
      <w:pPr>
        <w:pStyle w:val="3"/>
        <w:pageBreakBefore w:val="0"/>
        <w:kinsoku/>
        <w:wordWrap/>
        <w:overflowPunct/>
        <w:topLinePunct w:val="0"/>
        <w:autoSpaceDE/>
        <w:autoSpaceDN/>
        <w:bidi w:val="0"/>
        <w:adjustRightInd/>
        <w:spacing w:beforeLines="0" w:line="360" w:lineRule="auto"/>
        <w:ind w:left="0" w:leftChars="0" w:right="0" w:firstLine="562"/>
        <w:textAlignment w:val="auto"/>
        <w:rPr>
          <w:rFonts w:hint="eastAsia" w:asciiTheme="minorEastAsia" w:hAnsiTheme="minorEastAsia" w:eastAsiaTheme="minorEastAsia" w:cstheme="minorEastAsia"/>
          <w:b w:val="0"/>
          <w:bCs/>
          <w:color w:val="auto"/>
          <w:sz w:val="24"/>
          <w:szCs w:val="24"/>
          <w:highlight w:val="none"/>
        </w:rPr>
      </w:pPr>
      <w:bookmarkStart w:id="298" w:name="_Toc28733"/>
      <w:r>
        <w:rPr>
          <w:rFonts w:hint="eastAsia" w:asciiTheme="minorEastAsia" w:hAnsiTheme="minorEastAsia" w:eastAsiaTheme="minorEastAsia" w:cstheme="minorEastAsia"/>
          <w:b w:val="0"/>
          <w:bCs/>
          <w:color w:val="auto"/>
          <w:sz w:val="24"/>
          <w:szCs w:val="24"/>
          <w:highlight w:val="none"/>
        </w:rPr>
        <w:t>本项目采购代理服务费</w:t>
      </w:r>
      <w:r>
        <w:rPr>
          <w:rFonts w:hint="eastAsia" w:asciiTheme="minorEastAsia" w:hAnsiTheme="minorEastAsia" w:eastAsiaTheme="minorEastAsia" w:cstheme="minorEastAsia"/>
          <w:b w:val="0"/>
          <w:bCs/>
          <w:color w:val="auto"/>
          <w:sz w:val="24"/>
          <w:szCs w:val="24"/>
          <w:highlight w:val="none"/>
          <w:lang w:val="en-US" w:eastAsia="zh-CN"/>
        </w:rPr>
        <w:t>由</w:t>
      </w:r>
      <w:r>
        <w:rPr>
          <w:rFonts w:hint="eastAsia" w:asciiTheme="minorEastAsia" w:hAnsiTheme="minorEastAsia" w:eastAsiaTheme="minorEastAsia" w:cstheme="minorEastAsia"/>
          <w:b w:val="0"/>
          <w:bCs/>
          <w:color w:val="auto"/>
          <w:sz w:val="24"/>
          <w:szCs w:val="24"/>
          <w:highlight w:val="none"/>
        </w:rPr>
        <w:t>供应商中标后向采购代理机构缴纳</w:t>
      </w:r>
      <w:r>
        <w:rPr>
          <w:rFonts w:hint="eastAsia" w:asciiTheme="minorEastAsia" w:hAnsiTheme="minorEastAsia" w:eastAsiaTheme="minorEastAsia" w:cstheme="minorEastAsia"/>
          <w:b w:val="0"/>
          <w:bCs/>
          <w:color w:val="auto"/>
          <w:sz w:val="24"/>
          <w:szCs w:val="24"/>
          <w:highlight w:val="none"/>
          <w:lang w:eastAsia="zh-CN"/>
        </w:rPr>
        <w:t>。</w:t>
      </w:r>
      <w:r>
        <w:rPr>
          <w:rFonts w:hint="eastAsia" w:asciiTheme="minorEastAsia" w:hAnsiTheme="minorEastAsia" w:eastAsiaTheme="minorEastAsia" w:cstheme="minorEastAsia"/>
          <w:b w:val="0"/>
          <w:bCs/>
          <w:color w:val="auto"/>
          <w:sz w:val="24"/>
          <w:szCs w:val="24"/>
          <w:highlight w:val="none"/>
        </w:rPr>
        <w:t>采购代理服务费以采购的实际</w:t>
      </w:r>
      <w:r>
        <w:rPr>
          <w:rFonts w:hint="eastAsia" w:asciiTheme="minorEastAsia" w:hAnsiTheme="minorEastAsia" w:eastAsiaTheme="minorEastAsia" w:cstheme="minorEastAsia"/>
          <w:b w:val="0"/>
          <w:bCs/>
          <w:color w:val="auto"/>
          <w:sz w:val="24"/>
          <w:szCs w:val="24"/>
          <w:highlight w:val="none"/>
          <w:lang w:val="en-US" w:eastAsia="zh-CN"/>
        </w:rPr>
        <w:t>成交</w:t>
      </w:r>
      <w:r>
        <w:rPr>
          <w:rFonts w:hint="eastAsia" w:asciiTheme="minorEastAsia" w:hAnsiTheme="minorEastAsia" w:eastAsiaTheme="minorEastAsia" w:cstheme="minorEastAsia"/>
          <w:b w:val="0"/>
          <w:bCs/>
          <w:color w:val="auto"/>
          <w:sz w:val="24"/>
          <w:szCs w:val="24"/>
          <w:highlight w:val="none"/>
        </w:rPr>
        <w:t>金额为计费基数，按下列标准计取:采购代理服务费以《招标代理服务收费管理暂行办法》（[2002]1980号及《国家发展改革委关于降低部分建设项目收费标准规范收费行为等有关问题的通知》发改价格〔2011〕534号收费标准计取，采购代理服务费不足</w:t>
      </w:r>
      <w:r>
        <w:rPr>
          <w:rFonts w:hint="eastAsia" w:asciiTheme="minorEastAsia" w:hAnsiTheme="minorEastAsia" w:eastAsiaTheme="minorEastAsia" w:cstheme="minorEastAsia"/>
          <w:b w:val="0"/>
          <w:bCs/>
          <w:color w:val="auto"/>
          <w:sz w:val="24"/>
          <w:szCs w:val="24"/>
          <w:highlight w:val="none"/>
          <w:lang w:val="en-US" w:eastAsia="zh-CN"/>
        </w:rPr>
        <w:t>3000元</w:t>
      </w:r>
      <w:r>
        <w:rPr>
          <w:rFonts w:hint="eastAsia" w:asciiTheme="minorEastAsia" w:hAnsiTheme="minorEastAsia" w:eastAsiaTheme="minorEastAsia" w:cstheme="minorEastAsia"/>
          <w:b w:val="0"/>
          <w:bCs/>
          <w:color w:val="auto"/>
          <w:sz w:val="24"/>
          <w:szCs w:val="24"/>
          <w:highlight w:val="none"/>
        </w:rPr>
        <w:t>按</w:t>
      </w:r>
      <w:r>
        <w:rPr>
          <w:rFonts w:hint="eastAsia" w:asciiTheme="minorEastAsia" w:hAnsiTheme="minorEastAsia" w:eastAsiaTheme="minorEastAsia" w:cstheme="minorEastAsia"/>
          <w:b w:val="0"/>
          <w:bCs/>
          <w:color w:val="auto"/>
          <w:sz w:val="24"/>
          <w:szCs w:val="24"/>
          <w:highlight w:val="none"/>
          <w:lang w:val="en-US" w:eastAsia="zh-CN"/>
        </w:rPr>
        <w:t>3000元</w:t>
      </w:r>
      <w:r>
        <w:rPr>
          <w:rFonts w:hint="eastAsia" w:asciiTheme="minorEastAsia" w:hAnsiTheme="minorEastAsia" w:eastAsiaTheme="minorEastAsia" w:cstheme="minorEastAsia"/>
          <w:b w:val="0"/>
          <w:bCs/>
          <w:color w:val="auto"/>
          <w:sz w:val="24"/>
          <w:szCs w:val="24"/>
          <w:highlight w:val="none"/>
        </w:rPr>
        <w:t>计，缴费账户同报名费缴纳账户。</w:t>
      </w:r>
    </w:p>
    <w:p w14:paraId="1F6C64BC">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299" w:name="_Toc29920"/>
      <w:bookmarkStart w:id="300" w:name="_Toc12565"/>
      <w:bookmarkStart w:id="301" w:name="_Toc26232"/>
      <w:bookmarkStart w:id="302" w:name="_Toc5049"/>
      <w:r>
        <w:rPr>
          <w:rFonts w:hint="eastAsia" w:asciiTheme="minorEastAsia" w:hAnsiTheme="minorEastAsia" w:eastAsiaTheme="minorEastAsia" w:cstheme="minorEastAsia"/>
          <w:b w:val="0"/>
          <w:bCs/>
          <w:color w:val="auto"/>
          <w:kern w:val="44"/>
          <w:sz w:val="24"/>
          <w:szCs w:val="24"/>
          <w:highlight w:val="none"/>
          <w:lang w:val="en-US" w:eastAsia="zh-CN" w:bidi="ar-SA"/>
        </w:rPr>
        <w:t>八、签订合同</w:t>
      </w:r>
      <w:bookmarkEnd w:id="298"/>
      <w:bookmarkEnd w:id="299"/>
      <w:bookmarkEnd w:id="300"/>
      <w:bookmarkEnd w:id="301"/>
      <w:bookmarkEnd w:id="302"/>
    </w:p>
    <w:p w14:paraId="0F51249E">
      <w:pPr>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（一）采购人原则上应在成交确认书发出之日起二十日内和成交供应商签订合同，无正当理由不得拒绝或拖延合同签订。所签订的合同不得对竞采文件和成交供应商响应文件作实质性修改。</w:t>
      </w:r>
      <w:r>
        <w:rPr>
          <w:rFonts w:hint="eastAsia" w:asciiTheme="minorEastAsia" w:hAnsiTheme="minorEastAsia" w:eastAsiaTheme="minorEastAsia" w:cstheme="minorEastAsia"/>
          <w:color w:val="auto"/>
          <w:kern w:val="0"/>
          <w:sz w:val="24"/>
          <w:szCs w:val="24"/>
          <w:highlight w:val="none"/>
        </w:rPr>
        <w:t>其他未尽事宜由采购人和成交供应商在合同中详细约定。</w:t>
      </w:r>
    </w:p>
    <w:p w14:paraId="249D01CC">
      <w:pPr>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（二）竞采文件、成交供应商的响应文件及澄清文件等，均为签订合同的依据。</w:t>
      </w:r>
    </w:p>
    <w:p w14:paraId="491F4EBE">
      <w:pPr>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（三）合同生效条款由供需双方约定，法律、行政法规规定应当办理批准、登记等手续后生效的合同，依照其规定。</w:t>
      </w:r>
    </w:p>
    <w:p w14:paraId="1FACF110">
      <w:pPr>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（四）本竞采文件中的合同版式仅供参考，在双方签订合同时可自行选用其他版本。</w:t>
      </w:r>
    </w:p>
    <w:p w14:paraId="41CA3BD2">
      <w:pPr>
        <w:pageBreakBefore w:val="0"/>
        <w:kinsoku/>
        <w:wordWrap/>
        <w:overflowPunct/>
        <w:topLinePunct w:val="0"/>
        <w:autoSpaceDE/>
        <w:autoSpaceDN/>
        <w:bidi w:val="0"/>
        <w:adjustRightInd/>
        <w:snapToGrid w:val="0"/>
        <w:spacing w:line="360" w:lineRule="auto"/>
        <w:ind w:left="0" w:leftChars="0" w:right="0" w:firstLine="480" w:firstLineChars="200"/>
        <w:jc w:val="left"/>
        <w:textAlignment w:val="auto"/>
        <w:outlineLvl w:val="0"/>
        <w:rPr>
          <w:rFonts w:hint="eastAsia" w:asciiTheme="minorEastAsia" w:hAnsiTheme="minorEastAsia" w:eastAsiaTheme="minorEastAsia" w:cstheme="minorEastAsia"/>
          <w:b w:val="0"/>
          <w:bCs/>
          <w:color w:val="auto"/>
          <w:kern w:val="44"/>
          <w:sz w:val="24"/>
          <w:szCs w:val="24"/>
          <w:highlight w:val="none"/>
          <w:lang w:val="en-US" w:eastAsia="zh-CN" w:bidi="ar-SA"/>
        </w:rPr>
      </w:pPr>
      <w:bookmarkStart w:id="303" w:name="_Toc11558"/>
      <w:bookmarkStart w:id="304" w:name="_Toc11349"/>
      <w:bookmarkStart w:id="305" w:name="_Toc23965"/>
      <w:bookmarkStart w:id="306" w:name="_Toc23671"/>
      <w:bookmarkStart w:id="307" w:name="_Toc23473"/>
      <w:bookmarkStart w:id="308" w:name="_Toc29139"/>
      <w:bookmarkStart w:id="309" w:name="_Toc4923"/>
      <w:bookmarkStart w:id="310" w:name="_Toc13934"/>
      <w:bookmarkStart w:id="311" w:name="_Toc21197"/>
      <w:bookmarkStart w:id="312" w:name="_Toc6017"/>
      <w:bookmarkStart w:id="313" w:name="_Toc1406"/>
      <w:bookmarkStart w:id="314" w:name="_Toc25795"/>
      <w:bookmarkStart w:id="315" w:name="_Toc4207"/>
      <w:bookmarkStart w:id="316" w:name="_Toc9393"/>
      <w:bookmarkStart w:id="317" w:name="_Toc12465"/>
      <w:bookmarkStart w:id="318" w:name="_Toc13027"/>
      <w:bookmarkStart w:id="319" w:name="_Toc27230"/>
      <w:bookmarkStart w:id="320" w:name="_Toc26438"/>
      <w:bookmarkStart w:id="321" w:name="_Toc106030411"/>
      <w:r>
        <w:rPr>
          <w:rFonts w:hint="eastAsia" w:asciiTheme="minorEastAsia" w:hAnsiTheme="minorEastAsia" w:eastAsiaTheme="minorEastAsia" w:cstheme="minorEastAsia"/>
          <w:b w:val="0"/>
          <w:bCs/>
          <w:color w:val="auto"/>
          <w:kern w:val="44"/>
          <w:sz w:val="24"/>
          <w:szCs w:val="24"/>
          <w:highlight w:val="none"/>
          <w:lang w:val="en-US" w:eastAsia="zh-CN" w:bidi="ar-SA"/>
        </w:rPr>
        <w:t>九、</w:t>
      </w:r>
      <w:bookmarkEnd w:id="303"/>
      <w:bookmarkEnd w:id="304"/>
      <w:bookmarkEnd w:id="305"/>
      <w:bookmarkEnd w:id="306"/>
      <w:r>
        <w:rPr>
          <w:rFonts w:hint="eastAsia" w:asciiTheme="minorEastAsia" w:hAnsiTheme="minorEastAsia" w:eastAsiaTheme="minorEastAsia" w:cstheme="minorEastAsia"/>
          <w:b w:val="0"/>
          <w:bCs/>
          <w:color w:val="auto"/>
          <w:kern w:val="44"/>
          <w:sz w:val="24"/>
          <w:szCs w:val="24"/>
          <w:highlight w:val="none"/>
          <w:lang w:val="en-US" w:eastAsia="zh-CN" w:bidi="ar-SA"/>
        </w:rPr>
        <w:t>项目验收</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p>
    <w:p w14:paraId="49784C5F">
      <w:pPr>
        <w:pageBreakBefore w:val="0"/>
        <w:kinsoku/>
        <w:wordWrap/>
        <w:overflowPunct/>
        <w:topLinePunct w:val="0"/>
        <w:autoSpaceDE/>
        <w:autoSpaceDN/>
        <w:bidi w:val="0"/>
        <w:adjustRightInd/>
        <w:spacing w:line="360" w:lineRule="auto"/>
        <w:ind w:left="0" w:leftChars="0" w:right="0" w:firstLine="480"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color w:val="auto"/>
          <w:sz w:val="24"/>
          <w:szCs w:val="24"/>
          <w:highlight w:val="none"/>
        </w:rPr>
        <w:t>合同执行完毕，由采购人组织履约情况验收，不得无故拖延或附加额外条件。</w:t>
      </w:r>
      <w:bookmarkStart w:id="322" w:name="_Toc21850"/>
      <w:bookmarkStart w:id="323" w:name="_Toc19188"/>
      <w:bookmarkStart w:id="324" w:name="_Toc75793535"/>
      <w:bookmarkStart w:id="325" w:name="_Toc13368"/>
      <w:bookmarkStart w:id="326" w:name="_Toc31383"/>
      <w:bookmarkStart w:id="327" w:name="_Toc3421"/>
      <w:bookmarkStart w:id="328" w:name="_Toc20328"/>
      <w:bookmarkStart w:id="329" w:name="_Toc13050"/>
      <w:bookmarkStart w:id="330" w:name="_Toc31578"/>
      <w:bookmarkStart w:id="331" w:name="_Toc15435"/>
      <w:bookmarkStart w:id="332" w:name="_Toc13002"/>
      <w:bookmarkStart w:id="333" w:name="_Toc2195"/>
    </w:p>
    <w:bookmarkEnd w:id="262"/>
    <w:bookmarkEnd w:id="322"/>
    <w:bookmarkEnd w:id="323"/>
    <w:bookmarkEnd w:id="324"/>
    <w:bookmarkEnd w:id="325"/>
    <w:bookmarkEnd w:id="326"/>
    <w:bookmarkEnd w:id="327"/>
    <w:bookmarkEnd w:id="328"/>
    <w:bookmarkEnd w:id="329"/>
    <w:bookmarkEnd w:id="330"/>
    <w:bookmarkEnd w:id="331"/>
    <w:bookmarkEnd w:id="332"/>
    <w:bookmarkEnd w:id="333"/>
    <w:p w14:paraId="3E008ACB">
      <w:pPr>
        <w:pStyle w:val="2"/>
        <w:pageBreakBefore w:val="0"/>
        <w:numPr>
          <w:ilvl w:val="0"/>
          <w:numId w:val="0"/>
        </w:numPr>
        <w:kinsoku/>
        <w:wordWrap/>
        <w:overflowPunct/>
        <w:topLinePunct w:val="0"/>
        <w:autoSpaceDE/>
        <w:autoSpaceDN/>
        <w:bidi w:val="0"/>
        <w:adjustRightInd/>
        <w:spacing w:line="560" w:lineRule="exact"/>
        <w:ind w:left="0" w:leftChars="0" w:right="0" w:rightChars="0"/>
        <w:textAlignment w:val="auto"/>
        <w:rPr>
          <w:rFonts w:hint="eastAsia" w:asciiTheme="minorEastAsia" w:hAnsiTheme="minorEastAsia" w:eastAsiaTheme="minorEastAsia" w:cstheme="minorEastAsia"/>
          <w:color w:val="auto"/>
          <w:sz w:val="36"/>
          <w:szCs w:val="36"/>
          <w:highlight w:val="none"/>
        </w:rPr>
      </w:pPr>
      <w:bookmarkStart w:id="334" w:name="_Toc16799"/>
      <w:bookmarkStart w:id="335" w:name="_Toc2409"/>
      <w:bookmarkStart w:id="336" w:name="_Toc27199"/>
      <w:bookmarkStart w:id="337" w:name="_Toc24661"/>
      <w:r>
        <w:rPr>
          <w:rFonts w:hint="eastAsia" w:asciiTheme="minorEastAsia" w:hAnsiTheme="minorEastAsia" w:eastAsiaTheme="minorEastAsia" w:cstheme="minorEastAsia"/>
          <w:b/>
          <w:color w:val="auto"/>
          <w:kern w:val="44"/>
          <w:sz w:val="36"/>
          <w:szCs w:val="36"/>
          <w:highlight w:val="none"/>
          <w:lang w:val="en-US" w:eastAsia="zh-CN" w:bidi="ar-SA"/>
        </w:rPr>
        <w:t>第六篇</w:t>
      </w:r>
      <w:r>
        <w:rPr>
          <w:rFonts w:hint="eastAsia" w:asciiTheme="minorEastAsia" w:hAnsiTheme="minorEastAsia" w:eastAsiaTheme="minorEastAsia" w:cstheme="minorEastAsia"/>
          <w:color w:val="auto"/>
          <w:sz w:val="36"/>
          <w:szCs w:val="36"/>
          <w:highlight w:val="none"/>
        </w:rPr>
        <w:t xml:space="preserve"> 合同条款</w:t>
      </w:r>
      <w:bookmarkEnd w:id="334"/>
      <w:bookmarkEnd w:id="335"/>
    </w:p>
    <w:p w14:paraId="7816F83B">
      <w:pPr>
        <w:pStyle w:val="2"/>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i/>
          <w:iCs/>
          <w:color w:val="auto"/>
          <w:sz w:val="36"/>
          <w:szCs w:val="36"/>
          <w:highlight w:val="none"/>
        </w:rPr>
      </w:pPr>
      <w:bookmarkStart w:id="338" w:name="_Toc18769"/>
    </w:p>
    <w:p w14:paraId="13CC7CF1">
      <w:pPr>
        <w:pageBreakBefore w:val="0"/>
        <w:kinsoku/>
        <w:wordWrap/>
        <w:overflowPunct/>
        <w:topLinePunct w:val="0"/>
        <w:autoSpaceDE/>
        <w:autoSpaceDN/>
        <w:bidi w:val="0"/>
        <w:adjustRightInd/>
        <w:spacing w:line="560" w:lineRule="exact"/>
        <w:ind w:left="0" w:leftChars="0" w:right="0" w:firstLine="482" w:firstLineChars="200"/>
        <w:textAlignment w:val="auto"/>
        <w:rPr>
          <w:rFonts w:hint="eastAsia" w:asciiTheme="minorEastAsia" w:hAnsiTheme="minorEastAsia" w:eastAsiaTheme="minorEastAsia" w:cstheme="minorEastAsia"/>
          <w:b/>
          <w:bCs/>
          <w:i/>
          <w:iCs/>
          <w:color w:val="auto"/>
          <w:sz w:val="24"/>
          <w:szCs w:val="24"/>
          <w:highlight w:val="none"/>
        </w:rPr>
      </w:pPr>
      <w:bookmarkStart w:id="339" w:name="_Toc19205"/>
      <w:r>
        <w:rPr>
          <w:rFonts w:hint="eastAsia" w:asciiTheme="minorEastAsia" w:hAnsiTheme="minorEastAsia" w:eastAsiaTheme="minorEastAsia" w:cstheme="minorEastAsia"/>
          <w:b/>
          <w:bCs/>
          <w:i/>
          <w:iCs/>
          <w:color w:val="auto"/>
          <w:sz w:val="24"/>
          <w:szCs w:val="24"/>
          <w:highlight w:val="none"/>
        </w:rPr>
        <w:t>（注：本格式仅供参考格式，供需双方也可根据实际情况自行采用其他合同范式。）</w:t>
      </w:r>
      <w:bookmarkEnd w:id="338"/>
      <w:bookmarkEnd w:id="339"/>
    </w:p>
    <w:p w14:paraId="7861417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bCs/>
          <w:color w:val="auto"/>
          <w:kern w:val="0"/>
          <w:sz w:val="28"/>
          <w:szCs w:val="28"/>
          <w:highlight w:val="none"/>
        </w:rPr>
        <w:br w:type="page"/>
      </w:r>
      <w:r>
        <w:rPr>
          <w:rFonts w:hint="eastAsia" w:asciiTheme="minorEastAsia" w:hAnsiTheme="minorEastAsia" w:eastAsiaTheme="minorEastAsia" w:cstheme="minorEastAsia"/>
          <w:b w:val="0"/>
          <w:bCs/>
          <w:color w:val="auto"/>
          <w:sz w:val="40"/>
          <w:szCs w:val="40"/>
          <w:highlight w:val="none"/>
        </w:rPr>
        <w:t>采购合同</w:t>
      </w:r>
    </w:p>
    <w:p w14:paraId="4F07ACE3">
      <w:pPr>
        <w:pageBreakBefore w:val="0"/>
        <w:kinsoku/>
        <w:wordWrap/>
        <w:overflowPunct/>
        <w:topLinePunct w:val="0"/>
        <w:autoSpaceDE/>
        <w:autoSpaceDN/>
        <w:bidi w:val="0"/>
        <w:adjustRightInd/>
        <w:spacing w:line="560" w:lineRule="exact"/>
        <w:ind w:left="0" w:leftChars="0" w:right="0" w:firstLine="560" w:firstLineChars="200"/>
        <w:jc w:val="left"/>
        <w:textAlignment w:val="auto"/>
        <w:rPr>
          <w:rFonts w:hint="eastAsia" w:asciiTheme="minorEastAsia" w:hAnsiTheme="minorEastAsia" w:eastAsiaTheme="minorEastAsia" w:cstheme="minorEastAsia"/>
          <w:color w:val="auto"/>
          <w:sz w:val="28"/>
          <w:szCs w:val="28"/>
          <w:highlight w:val="none"/>
        </w:rPr>
      </w:pPr>
    </w:p>
    <w:p w14:paraId="1371C7F6">
      <w:pPr>
        <w:pageBreakBefore w:val="0"/>
        <w:kinsoku/>
        <w:wordWrap/>
        <w:overflowPunct/>
        <w:topLinePunct w:val="0"/>
        <w:autoSpaceDE/>
        <w:autoSpaceDN/>
        <w:bidi w:val="0"/>
        <w:adjustRightInd/>
        <w:spacing w:line="560" w:lineRule="exact"/>
        <w:ind w:left="0" w:leftChars="0" w:right="0" w:firstLine="560" w:firstLineChars="20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甲方（需方）：______________      计价单位：__________</w:t>
      </w:r>
    </w:p>
    <w:p w14:paraId="79390893">
      <w:pPr>
        <w:pageBreakBefore w:val="0"/>
        <w:kinsoku/>
        <w:wordWrap/>
        <w:overflowPunct/>
        <w:topLinePunct w:val="0"/>
        <w:autoSpaceDE/>
        <w:autoSpaceDN/>
        <w:bidi w:val="0"/>
        <w:adjustRightInd/>
        <w:spacing w:line="560" w:lineRule="exact"/>
        <w:ind w:left="0" w:leftChars="0" w:right="0" w:firstLine="560" w:firstLineChars="20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乙方（供方）：______________      计量单位：__________</w:t>
      </w:r>
    </w:p>
    <w:p w14:paraId="5206A540">
      <w:pPr>
        <w:pageBreakBefore w:val="0"/>
        <w:kinsoku/>
        <w:wordWrap/>
        <w:overflowPunct/>
        <w:topLinePunct w:val="0"/>
        <w:autoSpaceDE/>
        <w:autoSpaceDN/>
        <w:bidi w:val="0"/>
        <w:adjustRightInd/>
        <w:spacing w:line="560" w:lineRule="exact"/>
        <w:ind w:left="0" w:leftChars="0" w:right="0" w:firstLine="560" w:firstLineChars="200"/>
        <w:jc w:val="left"/>
        <w:textAlignment w:val="auto"/>
        <w:rPr>
          <w:rFonts w:hint="eastAsia" w:asciiTheme="minorEastAsia" w:hAnsiTheme="minorEastAsia" w:eastAsiaTheme="minorEastAsia" w:cstheme="minorEastAsia"/>
          <w:color w:val="auto"/>
          <w:sz w:val="28"/>
          <w:szCs w:val="28"/>
          <w:highlight w:val="none"/>
        </w:rPr>
      </w:pPr>
    </w:p>
    <w:p w14:paraId="18AA914F">
      <w:pPr>
        <w:pageBreakBefore w:val="0"/>
        <w:kinsoku/>
        <w:wordWrap/>
        <w:overflowPunct/>
        <w:topLinePunct w:val="0"/>
        <w:autoSpaceDE/>
        <w:autoSpaceDN/>
        <w:bidi w:val="0"/>
        <w:adjustRightInd/>
        <w:spacing w:line="560" w:lineRule="exact"/>
        <w:ind w:left="0" w:leftChars="0" w:right="0" w:firstLine="560" w:firstLineChars="20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经双方协商一致，达成以下购销合同：</w:t>
      </w:r>
    </w:p>
    <w:tbl>
      <w:tblPr>
        <w:tblStyle w:val="26"/>
        <w:tblW w:w="9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779"/>
        <w:gridCol w:w="1005"/>
        <w:gridCol w:w="463"/>
        <w:gridCol w:w="863"/>
        <w:gridCol w:w="1159"/>
        <w:gridCol w:w="1594"/>
        <w:gridCol w:w="1610"/>
        <w:gridCol w:w="20"/>
      </w:tblGrid>
      <w:tr w14:paraId="4C82E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452" w:hRule="atLeast"/>
        </w:trPr>
        <w:tc>
          <w:tcPr>
            <w:tcW w:w="1360" w:type="dxa"/>
            <w:vAlign w:val="center"/>
          </w:tcPr>
          <w:p w14:paraId="7121165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项目名称</w:t>
            </w:r>
          </w:p>
        </w:tc>
        <w:tc>
          <w:tcPr>
            <w:tcW w:w="1779" w:type="dxa"/>
            <w:vAlign w:val="center"/>
          </w:tcPr>
          <w:p w14:paraId="267C34FF">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服务内容</w:t>
            </w:r>
          </w:p>
        </w:tc>
        <w:tc>
          <w:tcPr>
            <w:tcW w:w="1005" w:type="dxa"/>
            <w:vAlign w:val="center"/>
          </w:tcPr>
          <w:p w14:paraId="08F55AC4">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数量</w:t>
            </w:r>
          </w:p>
        </w:tc>
        <w:tc>
          <w:tcPr>
            <w:tcW w:w="1326" w:type="dxa"/>
            <w:gridSpan w:val="2"/>
            <w:vAlign w:val="center"/>
          </w:tcPr>
          <w:p w14:paraId="2A021D9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综合单价</w:t>
            </w:r>
          </w:p>
        </w:tc>
        <w:tc>
          <w:tcPr>
            <w:tcW w:w="1159" w:type="dxa"/>
            <w:vAlign w:val="center"/>
          </w:tcPr>
          <w:p w14:paraId="450318D2">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总价</w:t>
            </w:r>
          </w:p>
        </w:tc>
        <w:tc>
          <w:tcPr>
            <w:tcW w:w="1594" w:type="dxa"/>
            <w:vAlign w:val="center"/>
          </w:tcPr>
          <w:p w14:paraId="5165F90F">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服务期限</w:t>
            </w:r>
          </w:p>
        </w:tc>
        <w:tc>
          <w:tcPr>
            <w:tcW w:w="1610" w:type="dxa"/>
            <w:vAlign w:val="center"/>
          </w:tcPr>
          <w:p w14:paraId="16C8D2DF">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服务地点</w:t>
            </w:r>
          </w:p>
        </w:tc>
      </w:tr>
      <w:tr w14:paraId="6EBC3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Pr>
        <w:tc>
          <w:tcPr>
            <w:tcW w:w="1360" w:type="dxa"/>
            <w:vAlign w:val="center"/>
          </w:tcPr>
          <w:p w14:paraId="4CD2A8A8">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779" w:type="dxa"/>
            <w:vAlign w:val="center"/>
          </w:tcPr>
          <w:p w14:paraId="53B885D0">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005" w:type="dxa"/>
            <w:vAlign w:val="center"/>
          </w:tcPr>
          <w:p w14:paraId="5821DB2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326" w:type="dxa"/>
            <w:gridSpan w:val="2"/>
            <w:vAlign w:val="center"/>
          </w:tcPr>
          <w:p w14:paraId="6C131DD0">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159" w:type="dxa"/>
            <w:vAlign w:val="center"/>
          </w:tcPr>
          <w:p w14:paraId="5AA22787">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594" w:type="dxa"/>
            <w:vAlign w:val="center"/>
          </w:tcPr>
          <w:p w14:paraId="6F5E515C">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610" w:type="dxa"/>
            <w:vAlign w:val="center"/>
          </w:tcPr>
          <w:p w14:paraId="1ADF9931">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r w14:paraId="49C62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Pr>
        <w:tc>
          <w:tcPr>
            <w:tcW w:w="1360" w:type="dxa"/>
            <w:vAlign w:val="center"/>
          </w:tcPr>
          <w:p w14:paraId="62A99934">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779" w:type="dxa"/>
            <w:vAlign w:val="center"/>
          </w:tcPr>
          <w:p w14:paraId="7CC1380C">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005" w:type="dxa"/>
            <w:vAlign w:val="center"/>
          </w:tcPr>
          <w:p w14:paraId="1FD57E42">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326" w:type="dxa"/>
            <w:gridSpan w:val="2"/>
            <w:vAlign w:val="center"/>
          </w:tcPr>
          <w:p w14:paraId="60D3B650">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159" w:type="dxa"/>
            <w:vAlign w:val="center"/>
          </w:tcPr>
          <w:p w14:paraId="7BF236A7">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594" w:type="dxa"/>
            <w:vAlign w:val="center"/>
          </w:tcPr>
          <w:p w14:paraId="49F28AAE">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610" w:type="dxa"/>
            <w:vAlign w:val="center"/>
          </w:tcPr>
          <w:p w14:paraId="3E91DA2D">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r w14:paraId="4E161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Pr>
        <w:tc>
          <w:tcPr>
            <w:tcW w:w="1360" w:type="dxa"/>
            <w:vAlign w:val="center"/>
          </w:tcPr>
          <w:p w14:paraId="75C6574E">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779" w:type="dxa"/>
            <w:vAlign w:val="center"/>
          </w:tcPr>
          <w:p w14:paraId="3EE8F3C2">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005" w:type="dxa"/>
            <w:vAlign w:val="center"/>
          </w:tcPr>
          <w:p w14:paraId="0136C31D">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326" w:type="dxa"/>
            <w:gridSpan w:val="2"/>
            <w:vAlign w:val="center"/>
          </w:tcPr>
          <w:p w14:paraId="59F3C1E3">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159" w:type="dxa"/>
            <w:vAlign w:val="center"/>
          </w:tcPr>
          <w:p w14:paraId="4C037582">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594" w:type="dxa"/>
            <w:vAlign w:val="center"/>
          </w:tcPr>
          <w:p w14:paraId="4D00C157">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610" w:type="dxa"/>
            <w:vAlign w:val="center"/>
          </w:tcPr>
          <w:p w14:paraId="04130BE3">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r w14:paraId="15158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Pr>
        <w:tc>
          <w:tcPr>
            <w:tcW w:w="1360" w:type="dxa"/>
            <w:vAlign w:val="center"/>
          </w:tcPr>
          <w:p w14:paraId="317680AC">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779" w:type="dxa"/>
            <w:vAlign w:val="center"/>
          </w:tcPr>
          <w:p w14:paraId="7F2D47B2">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005" w:type="dxa"/>
            <w:vAlign w:val="center"/>
          </w:tcPr>
          <w:p w14:paraId="30BBC7CA">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326" w:type="dxa"/>
            <w:gridSpan w:val="2"/>
            <w:vAlign w:val="center"/>
          </w:tcPr>
          <w:p w14:paraId="1D9021C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159" w:type="dxa"/>
            <w:vAlign w:val="center"/>
          </w:tcPr>
          <w:p w14:paraId="66523580">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594" w:type="dxa"/>
            <w:vAlign w:val="center"/>
          </w:tcPr>
          <w:p w14:paraId="044CACD8">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610" w:type="dxa"/>
            <w:vAlign w:val="center"/>
          </w:tcPr>
          <w:p w14:paraId="2AF61D50">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r w14:paraId="13514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Pr>
        <w:tc>
          <w:tcPr>
            <w:tcW w:w="1360" w:type="dxa"/>
            <w:vAlign w:val="center"/>
          </w:tcPr>
          <w:p w14:paraId="749CE6DD">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779" w:type="dxa"/>
            <w:vAlign w:val="center"/>
          </w:tcPr>
          <w:p w14:paraId="461DEB5D">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005" w:type="dxa"/>
            <w:vAlign w:val="center"/>
          </w:tcPr>
          <w:p w14:paraId="6C0D423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326" w:type="dxa"/>
            <w:gridSpan w:val="2"/>
            <w:vAlign w:val="center"/>
          </w:tcPr>
          <w:p w14:paraId="35632FF3">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159" w:type="dxa"/>
            <w:vAlign w:val="center"/>
          </w:tcPr>
          <w:p w14:paraId="57941E24">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594" w:type="dxa"/>
            <w:vAlign w:val="center"/>
          </w:tcPr>
          <w:p w14:paraId="3B72233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c>
          <w:tcPr>
            <w:tcW w:w="1610" w:type="dxa"/>
            <w:vAlign w:val="center"/>
          </w:tcPr>
          <w:p w14:paraId="597F9F9D">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r w14:paraId="6F940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cantSplit/>
        </w:trPr>
        <w:tc>
          <w:tcPr>
            <w:tcW w:w="9833" w:type="dxa"/>
            <w:gridSpan w:val="8"/>
            <w:vAlign w:val="center"/>
          </w:tcPr>
          <w:p w14:paraId="7906234D">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合计人民币（小写）：</w:t>
            </w:r>
          </w:p>
        </w:tc>
      </w:tr>
      <w:tr w14:paraId="292A6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cantSplit/>
        </w:trPr>
        <w:tc>
          <w:tcPr>
            <w:tcW w:w="9833" w:type="dxa"/>
            <w:gridSpan w:val="8"/>
            <w:vAlign w:val="center"/>
          </w:tcPr>
          <w:p w14:paraId="1D54B8D0">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合计人民币（大写）：</w:t>
            </w:r>
          </w:p>
        </w:tc>
      </w:tr>
      <w:tr w14:paraId="27ED4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cantSplit/>
          <w:trHeight w:val="999" w:hRule="atLeast"/>
        </w:trPr>
        <w:tc>
          <w:tcPr>
            <w:tcW w:w="9833" w:type="dxa"/>
            <w:gridSpan w:val="8"/>
          </w:tcPr>
          <w:p w14:paraId="3965E218">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一、服务内容</w:t>
            </w:r>
          </w:p>
        </w:tc>
      </w:tr>
      <w:tr w14:paraId="12C11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cantSplit/>
          <w:trHeight w:val="913" w:hRule="atLeast"/>
        </w:trPr>
        <w:tc>
          <w:tcPr>
            <w:tcW w:w="9833" w:type="dxa"/>
            <w:gridSpan w:val="8"/>
          </w:tcPr>
          <w:p w14:paraId="12BBC6BE">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二、服务相关要求：</w:t>
            </w:r>
          </w:p>
        </w:tc>
      </w:tr>
      <w:tr w14:paraId="2F8CE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853" w:type="dxa"/>
            <w:gridSpan w:val="9"/>
          </w:tcPr>
          <w:p w14:paraId="3E3DC158">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三、验收标准、方法：</w:t>
            </w:r>
          </w:p>
          <w:p w14:paraId="42C04CAF">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如有异议，请于      日内提出。</w:t>
            </w:r>
          </w:p>
        </w:tc>
      </w:tr>
      <w:tr w14:paraId="14CF5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853" w:type="dxa"/>
            <w:gridSpan w:val="9"/>
          </w:tcPr>
          <w:p w14:paraId="56F7FDB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四、付款方式：</w:t>
            </w:r>
          </w:p>
          <w:p w14:paraId="0C87F9B4">
            <w:pPr>
              <w:pStyle w:val="13"/>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r w14:paraId="09D94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853" w:type="dxa"/>
            <w:gridSpan w:val="9"/>
          </w:tcPr>
          <w:p w14:paraId="1B48ECCC">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五、违约责任：</w:t>
            </w:r>
          </w:p>
          <w:p w14:paraId="49C75226">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按《中华人民共和国民法典》执行，或按双方约定。（采购人应按项目实际情况完整填写）</w:t>
            </w:r>
          </w:p>
        </w:tc>
      </w:tr>
      <w:tr w14:paraId="6106F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853" w:type="dxa"/>
            <w:gridSpan w:val="9"/>
          </w:tcPr>
          <w:p w14:paraId="62727F1E">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六、其他约定事项：</w:t>
            </w:r>
          </w:p>
          <w:p w14:paraId="63A76429">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1.采购文件及其澄清文件、投标文件和承诺是本合同不可分割的部分。</w:t>
            </w:r>
          </w:p>
          <w:p w14:paraId="04ABDA9A">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2.本合同如发生争议由双方协商解决，协商不成向需方所在地仲裁机构提请仲裁。</w:t>
            </w:r>
          </w:p>
          <w:p w14:paraId="0F0036C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3.本合同一式__份， 需方__份，供方__份，具备同等法律效力。</w:t>
            </w:r>
          </w:p>
          <w:p w14:paraId="61CD74F4">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4.其他：</w:t>
            </w:r>
          </w:p>
        </w:tc>
      </w:tr>
      <w:tr w14:paraId="4910C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607" w:type="dxa"/>
            <w:gridSpan w:val="4"/>
          </w:tcPr>
          <w:p w14:paraId="07392EE4">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需方：</w:t>
            </w:r>
          </w:p>
          <w:p w14:paraId="09B2C9FC">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地址：</w:t>
            </w:r>
          </w:p>
          <w:p w14:paraId="4E5B0ACF">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联系电话：</w:t>
            </w:r>
          </w:p>
          <w:p w14:paraId="5E9CA458">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授权代表：</w:t>
            </w:r>
          </w:p>
        </w:tc>
        <w:tc>
          <w:tcPr>
            <w:tcW w:w="5246" w:type="dxa"/>
            <w:gridSpan w:val="5"/>
          </w:tcPr>
          <w:p w14:paraId="4B07A75F">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供方：</w:t>
            </w:r>
          </w:p>
          <w:p w14:paraId="0B778B22">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地址：</w:t>
            </w:r>
          </w:p>
          <w:p w14:paraId="7EDE0EB3">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电话：</w:t>
            </w:r>
          </w:p>
          <w:p w14:paraId="47FC7649">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传真：</w:t>
            </w:r>
          </w:p>
          <w:p w14:paraId="1301E0F0">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开户银行：</w:t>
            </w:r>
          </w:p>
          <w:p w14:paraId="6244A225">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账号：</w:t>
            </w:r>
          </w:p>
          <w:p w14:paraId="308704CE">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授权代表：</w:t>
            </w:r>
          </w:p>
          <w:p w14:paraId="48B042D4">
            <w:pPr>
              <w:pageBreakBefore w:val="0"/>
              <w:widowControl/>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（本栏请用计算机打印以便于准确付款）</w:t>
            </w:r>
          </w:p>
        </w:tc>
      </w:tr>
      <w:tr w14:paraId="5CE48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853" w:type="dxa"/>
            <w:gridSpan w:val="9"/>
          </w:tcPr>
          <w:p w14:paraId="50450E6F">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备注：</w:t>
            </w:r>
          </w:p>
          <w:p w14:paraId="01559A4E">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p w14:paraId="53EBB317">
            <w:pPr>
              <w:pageBreakBefore w:val="0"/>
              <w:kinsoku/>
              <w:wordWrap/>
              <w:overflowPunct/>
              <w:topLinePunct w:val="0"/>
              <w:autoSpaceDE/>
              <w:autoSpaceDN/>
              <w:bidi w:val="0"/>
              <w:adjustRightInd/>
              <w:spacing w:line="560" w:lineRule="exact"/>
              <w:ind w:left="0" w:leftChars="0" w:right="0"/>
              <w:jc w:val="left"/>
              <w:textAlignment w:val="auto"/>
              <w:rPr>
                <w:rFonts w:hint="eastAsia" w:asciiTheme="minorEastAsia" w:hAnsiTheme="minorEastAsia" w:eastAsiaTheme="minorEastAsia" w:cstheme="minorEastAsia"/>
                <w:color w:val="auto"/>
                <w:sz w:val="28"/>
                <w:szCs w:val="28"/>
                <w:highlight w:val="none"/>
              </w:rPr>
            </w:pPr>
          </w:p>
        </w:tc>
      </w:tr>
    </w:tbl>
    <w:p w14:paraId="28D3E7D4">
      <w:pPr>
        <w:pageBreakBefore w:val="0"/>
        <w:kinsoku/>
        <w:wordWrap/>
        <w:overflowPunct/>
        <w:topLinePunct w:val="0"/>
        <w:autoSpaceDE/>
        <w:autoSpaceDN/>
        <w:bidi w:val="0"/>
        <w:adjustRightInd/>
        <w:spacing w:line="560" w:lineRule="exact"/>
        <w:ind w:left="0" w:leftChars="0" w:right="0" w:firstLine="560" w:firstLineChars="20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签约时间：           年   月   日      签约地点：</w:t>
      </w:r>
    </w:p>
    <w:p w14:paraId="11D64AE7">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kern w:val="0"/>
          <w:sz w:val="28"/>
          <w:szCs w:val="28"/>
          <w:highlight w:val="none"/>
        </w:rPr>
      </w:pPr>
    </w:p>
    <w:p w14:paraId="3A334657">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610F3BFF">
      <w:pPr>
        <w:pStyle w:val="2"/>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sectPr>
          <w:pgSz w:w="11905" w:h="16838"/>
          <w:pgMar w:top="1134" w:right="1134" w:bottom="1134" w:left="1134" w:header="850" w:footer="992" w:gutter="0"/>
          <w:pgNumType w:fmt="numberInDash"/>
          <w:cols w:space="0" w:num="1"/>
          <w:titlePg/>
          <w:docGrid w:type="lines" w:linePitch="385" w:charSpace="0"/>
        </w:sectPr>
      </w:pPr>
    </w:p>
    <w:p w14:paraId="5F72B703">
      <w:pPr>
        <w:pStyle w:val="2"/>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val="0"/>
          <w:color w:val="auto"/>
          <w:sz w:val="36"/>
          <w:szCs w:val="36"/>
          <w:highlight w:val="none"/>
        </w:rPr>
      </w:pPr>
      <w:bookmarkStart w:id="340" w:name="_Toc18801"/>
      <w:bookmarkStart w:id="341" w:name="_Toc3364"/>
      <w:r>
        <w:rPr>
          <w:rFonts w:hint="eastAsia" w:asciiTheme="minorEastAsia" w:hAnsiTheme="minorEastAsia" w:eastAsiaTheme="minorEastAsia" w:cstheme="minorEastAsia"/>
          <w:b/>
          <w:bCs w:val="0"/>
          <w:color w:val="auto"/>
          <w:sz w:val="36"/>
          <w:szCs w:val="36"/>
          <w:highlight w:val="none"/>
        </w:rPr>
        <w:t>第七篇 响应文件格式</w:t>
      </w:r>
      <w:bookmarkEnd w:id="336"/>
      <w:bookmarkEnd w:id="337"/>
      <w:bookmarkEnd w:id="340"/>
      <w:bookmarkEnd w:id="341"/>
    </w:p>
    <w:p w14:paraId="726593E7">
      <w:pPr>
        <w:pageBreakBefore w:val="0"/>
        <w:kinsoku/>
        <w:wordWrap/>
        <w:overflowPunct/>
        <w:topLinePunct w:val="0"/>
        <w:autoSpaceDE/>
        <w:autoSpaceDN/>
        <w:bidi w:val="0"/>
        <w:adjustRightInd/>
        <w:spacing w:line="560" w:lineRule="exact"/>
        <w:ind w:left="0" w:leftChars="0" w:right="0" w:firstLine="723" w:firstLineChars="200"/>
        <w:textAlignment w:val="auto"/>
        <w:rPr>
          <w:rFonts w:hint="eastAsia" w:asciiTheme="minorEastAsia" w:hAnsiTheme="minorEastAsia" w:eastAsiaTheme="minorEastAsia" w:cstheme="minorEastAsia"/>
          <w:b/>
          <w:bCs w:val="0"/>
          <w:color w:val="auto"/>
          <w:sz w:val="36"/>
          <w:szCs w:val="36"/>
          <w:highlight w:val="none"/>
        </w:rPr>
      </w:pPr>
      <w:bookmarkStart w:id="342" w:name="_Toc30939"/>
      <w:bookmarkStart w:id="343" w:name="_Toc9790"/>
      <w:bookmarkStart w:id="344" w:name="_Toc10248"/>
      <w:bookmarkStart w:id="345" w:name="_Toc15251"/>
      <w:bookmarkStart w:id="346" w:name="_Toc22811"/>
    </w:p>
    <w:p w14:paraId="59A12408">
      <w:pPr>
        <w:pageBreakBefore w:val="0"/>
        <w:kinsoku/>
        <w:wordWrap/>
        <w:overflowPunct/>
        <w:topLinePunct w:val="0"/>
        <w:autoSpaceDE/>
        <w:autoSpaceDN/>
        <w:bidi w:val="0"/>
        <w:adjustRightInd/>
        <w:snapToGrid w:val="0"/>
        <w:spacing w:line="360" w:lineRule="auto"/>
        <w:ind w:left="0" w:leftChars="0" w:right="0" w:firstLine="560" w:firstLineChars="200"/>
        <w:jc w:val="left"/>
        <w:textAlignment w:val="auto"/>
        <w:outlineLvl w:val="0"/>
        <w:rPr>
          <w:rFonts w:hint="eastAsia" w:asciiTheme="minorEastAsia" w:hAnsiTheme="minorEastAsia" w:eastAsiaTheme="minorEastAsia" w:cstheme="minorEastAsia"/>
          <w:b w:val="0"/>
          <w:bCs/>
          <w:color w:val="auto"/>
          <w:kern w:val="44"/>
          <w:sz w:val="28"/>
          <w:szCs w:val="28"/>
          <w:highlight w:val="none"/>
          <w:lang w:val="en-US" w:eastAsia="zh-CN" w:bidi="ar-SA"/>
        </w:rPr>
      </w:pPr>
      <w:bookmarkStart w:id="347" w:name="_Toc10983"/>
      <w:r>
        <w:rPr>
          <w:rFonts w:hint="eastAsia" w:asciiTheme="minorEastAsia" w:hAnsiTheme="minorEastAsia" w:eastAsiaTheme="minorEastAsia" w:cstheme="minorEastAsia"/>
          <w:b w:val="0"/>
          <w:bCs/>
          <w:color w:val="auto"/>
          <w:kern w:val="44"/>
          <w:sz w:val="28"/>
          <w:szCs w:val="28"/>
          <w:highlight w:val="none"/>
          <w:lang w:val="en-US" w:eastAsia="zh-CN" w:bidi="ar-SA"/>
        </w:rPr>
        <w:t>一、</w:t>
      </w:r>
      <w:bookmarkEnd w:id="342"/>
      <w:bookmarkEnd w:id="343"/>
      <w:bookmarkEnd w:id="344"/>
      <w:bookmarkEnd w:id="345"/>
      <w:bookmarkEnd w:id="346"/>
      <w:r>
        <w:rPr>
          <w:rFonts w:hint="eastAsia" w:asciiTheme="minorEastAsia" w:hAnsiTheme="minorEastAsia" w:eastAsiaTheme="minorEastAsia" w:cstheme="minorEastAsia"/>
          <w:b w:val="0"/>
          <w:bCs/>
          <w:color w:val="auto"/>
          <w:kern w:val="44"/>
          <w:sz w:val="28"/>
          <w:szCs w:val="28"/>
          <w:highlight w:val="none"/>
          <w:lang w:val="en-US" w:eastAsia="zh-CN" w:bidi="ar-SA"/>
        </w:rPr>
        <w:t>经济部分</w:t>
      </w:r>
      <w:bookmarkEnd w:id="347"/>
    </w:p>
    <w:p w14:paraId="5A01628D">
      <w:pPr>
        <w:pageBreakBefore w:val="0"/>
        <w:kinsoku/>
        <w:wordWrap/>
        <w:overflowPunct/>
        <w:topLinePunct w:val="0"/>
        <w:autoSpaceDE/>
        <w:autoSpaceDN/>
        <w:bidi w:val="0"/>
        <w:adjustRightInd/>
        <w:snapToGrid w:val="0"/>
        <w:spacing w:line="360" w:lineRule="auto"/>
        <w:ind w:left="0" w:leftChars="0" w:right="0" w:firstLine="560" w:firstLineChars="200"/>
        <w:jc w:val="left"/>
        <w:textAlignment w:val="auto"/>
        <w:outlineLvl w:val="0"/>
        <w:rPr>
          <w:rFonts w:hint="eastAsia" w:asciiTheme="minorEastAsia" w:hAnsiTheme="minorEastAsia" w:eastAsiaTheme="minorEastAsia" w:cstheme="minorEastAsia"/>
          <w:b w:val="0"/>
          <w:bCs/>
          <w:color w:val="auto"/>
          <w:kern w:val="44"/>
          <w:sz w:val="28"/>
          <w:szCs w:val="28"/>
          <w:highlight w:val="none"/>
          <w:lang w:val="en-US" w:eastAsia="zh-CN" w:bidi="ar-SA"/>
        </w:rPr>
      </w:pPr>
      <w:bookmarkStart w:id="348" w:name="_Toc26002"/>
      <w:bookmarkStart w:id="349" w:name="_Toc18890"/>
      <w:bookmarkStart w:id="350" w:name="_Toc26419"/>
      <w:bookmarkStart w:id="351" w:name="_Toc254"/>
      <w:bookmarkStart w:id="352" w:name="_Toc24000"/>
      <w:bookmarkStart w:id="353" w:name="_Toc14707"/>
      <w:r>
        <w:rPr>
          <w:rFonts w:hint="eastAsia" w:asciiTheme="minorEastAsia" w:hAnsiTheme="minorEastAsia" w:eastAsiaTheme="minorEastAsia" w:cstheme="minorEastAsia"/>
          <w:b w:val="0"/>
          <w:bCs/>
          <w:color w:val="auto"/>
          <w:kern w:val="44"/>
          <w:sz w:val="28"/>
          <w:szCs w:val="28"/>
          <w:highlight w:val="none"/>
          <w:lang w:val="en-US" w:eastAsia="zh-CN" w:bidi="ar-SA"/>
        </w:rPr>
        <w:t>二、资格</w:t>
      </w:r>
      <w:bookmarkEnd w:id="348"/>
      <w:bookmarkEnd w:id="349"/>
      <w:bookmarkEnd w:id="350"/>
      <w:bookmarkEnd w:id="351"/>
      <w:r>
        <w:rPr>
          <w:rFonts w:hint="eastAsia" w:asciiTheme="minorEastAsia" w:hAnsiTheme="minorEastAsia" w:eastAsiaTheme="minorEastAsia" w:cstheme="minorEastAsia"/>
          <w:b w:val="0"/>
          <w:bCs/>
          <w:color w:val="auto"/>
          <w:kern w:val="44"/>
          <w:sz w:val="28"/>
          <w:szCs w:val="28"/>
          <w:highlight w:val="none"/>
          <w:lang w:val="en-US" w:eastAsia="zh-CN" w:bidi="ar-SA"/>
        </w:rPr>
        <w:t>文件</w:t>
      </w:r>
      <w:bookmarkEnd w:id="352"/>
      <w:bookmarkEnd w:id="353"/>
    </w:p>
    <w:p w14:paraId="0B6F1D21">
      <w:pPr>
        <w:pageBreakBefore w:val="0"/>
        <w:kinsoku/>
        <w:wordWrap/>
        <w:overflowPunct/>
        <w:topLinePunct w:val="0"/>
        <w:autoSpaceDE/>
        <w:autoSpaceDN/>
        <w:bidi w:val="0"/>
        <w:adjustRightInd/>
        <w:snapToGrid w:val="0"/>
        <w:spacing w:line="360" w:lineRule="auto"/>
        <w:ind w:left="0" w:leftChars="0" w:right="0" w:firstLine="560" w:firstLineChars="200"/>
        <w:jc w:val="left"/>
        <w:textAlignment w:val="auto"/>
        <w:outlineLvl w:val="0"/>
        <w:rPr>
          <w:rFonts w:hint="eastAsia" w:asciiTheme="minorEastAsia" w:hAnsiTheme="minorEastAsia" w:eastAsiaTheme="minorEastAsia" w:cstheme="minorEastAsia"/>
          <w:b w:val="0"/>
          <w:bCs/>
          <w:color w:val="auto"/>
          <w:kern w:val="44"/>
          <w:sz w:val="28"/>
          <w:szCs w:val="28"/>
          <w:highlight w:val="none"/>
          <w:lang w:val="en-US" w:eastAsia="zh-CN" w:bidi="ar-SA"/>
        </w:rPr>
      </w:pPr>
      <w:bookmarkStart w:id="354" w:name="_Toc11535"/>
      <w:bookmarkStart w:id="355" w:name="_Toc16080"/>
      <w:bookmarkStart w:id="356" w:name="_Toc19972"/>
      <w:bookmarkStart w:id="357" w:name="_Toc6114"/>
      <w:bookmarkStart w:id="358" w:name="_Toc7698"/>
      <w:bookmarkStart w:id="359" w:name="_Toc23543"/>
      <w:r>
        <w:rPr>
          <w:rFonts w:hint="eastAsia" w:asciiTheme="minorEastAsia" w:hAnsiTheme="minorEastAsia" w:eastAsiaTheme="minorEastAsia" w:cstheme="minorEastAsia"/>
          <w:b w:val="0"/>
          <w:bCs/>
          <w:color w:val="auto"/>
          <w:kern w:val="44"/>
          <w:sz w:val="28"/>
          <w:szCs w:val="28"/>
          <w:highlight w:val="none"/>
          <w:lang w:val="en-US" w:eastAsia="zh-CN" w:bidi="ar-SA"/>
        </w:rPr>
        <w:t>三、</w:t>
      </w:r>
      <w:bookmarkEnd w:id="354"/>
      <w:bookmarkEnd w:id="355"/>
      <w:bookmarkEnd w:id="356"/>
      <w:bookmarkEnd w:id="357"/>
      <w:bookmarkEnd w:id="358"/>
      <w:r>
        <w:rPr>
          <w:rFonts w:hint="eastAsia" w:asciiTheme="minorEastAsia" w:hAnsiTheme="minorEastAsia" w:eastAsiaTheme="minorEastAsia" w:cstheme="minorEastAsia"/>
          <w:b w:val="0"/>
          <w:bCs/>
          <w:color w:val="auto"/>
          <w:kern w:val="44"/>
          <w:sz w:val="28"/>
          <w:szCs w:val="28"/>
          <w:highlight w:val="none"/>
          <w:lang w:val="en-US" w:eastAsia="zh-CN" w:bidi="ar-SA"/>
        </w:rPr>
        <w:t>技术（服务）部分</w:t>
      </w:r>
      <w:bookmarkEnd w:id="359"/>
    </w:p>
    <w:p w14:paraId="5A3A75D4">
      <w:pPr>
        <w:pageBreakBefore w:val="0"/>
        <w:kinsoku/>
        <w:wordWrap/>
        <w:overflowPunct/>
        <w:topLinePunct w:val="0"/>
        <w:autoSpaceDE/>
        <w:autoSpaceDN/>
        <w:bidi w:val="0"/>
        <w:adjustRightInd/>
        <w:snapToGrid w:val="0"/>
        <w:spacing w:line="360" w:lineRule="auto"/>
        <w:ind w:left="0" w:leftChars="0" w:right="0" w:firstLine="560" w:firstLineChars="200"/>
        <w:jc w:val="left"/>
        <w:textAlignment w:val="auto"/>
        <w:outlineLvl w:val="0"/>
        <w:rPr>
          <w:rFonts w:hint="eastAsia" w:asciiTheme="minorEastAsia" w:hAnsiTheme="minorEastAsia" w:eastAsiaTheme="minorEastAsia" w:cstheme="minorEastAsia"/>
          <w:b w:val="0"/>
          <w:bCs/>
          <w:color w:val="auto"/>
          <w:kern w:val="44"/>
          <w:sz w:val="28"/>
          <w:szCs w:val="28"/>
          <w:highlight w:val="none"/>
          <w:lang w:val="en-US" w:eastAsia="zh-CN" w:bidi="ar-SA"/>
        </w:rPr>
      </w:pPr>
      <w:bookmarkStart w:id="360" w:name="_Toc29209"/>
      <w:bookmarkStart w:id="361" w:name="_Toc32049"/>
      <w:bookmarkStart w:id="362" w:name="_Toc15817"/>
      <w:bookmarkStart w:id="363" w:name="_Toc8479"/>
      <w:bookmarkStart w:id="364" w:name="_Toc29874"/>
      <w:bookmarkStart w:id="365" w:name="_Toc5409"/>
      <w:r>
        <w:rPr>
          <w:rFonts w:hint="eastAsia" w:asciiTheme="minorEastAsia" w:hAnsiTheme="minorEastAsia" w:eastAsiaTheme="minorEastAsia" w:cstheme="minorEastAsia"/>
          <w:b w:val="0"/>
          <w:bCs/>
          <w:color w:val="auto"/>
          <w:kern w:val="44"/>
          <w:sz w:val="28"/>
          <w:szCs w:val="28"/>
          <w:highlight w:val="none"/>
          <w:lang w:val="en-US" w:eastAsia="zh-CN" w:bidi="ar-SA"/>
        </w:rPr>
        <w:t>四、</w:t>
      </w:r>
      <w:bookmarkEnd w:id="360"/>
      <w:bookmarkEnd w:id="361"/>
      <w:bookmarkEnd w:id="362"/>
      <w:bookmarkEnd w:id="363"/>
      <w:bookmarkEnd w:id="364"/>
      <w:r>
        <w:rPr>
          <w:rFonts w:hint="eastAsia" w:asciiTheme="minorEastAsia" w:hAnsiTheme="minorEastAsia" w:eastAsiaTheme="minorEastAsia" w:cstheme="minorEastAsia"/>
          <w:b w:val="0"/>
          <w:bCs/>
          <w:color w:val="auto"/>
          <w:kern w:val="44"/>
          <w:sz w:val="28"/>
          <w:szCs w:val="28"/>
          <w:highlight w:val="none"/>
          <w:lang w:val="en-US" w:eastAsia="zh-CN" w:bidi="ar-SA"/>
        </w:rPr>
        <w:t>商务部分</w:t>
      </w:r>
      <w:bookmarkEnd w:id="365"/>
    </w:p>
    <w:p w14:paraId="07BC7AA6">
      <w:pPr>
        <w:pageBreakBefore w:val="0"/>
        <w:kinsoku/>
        <w:wordWrap/>
        <w:overflowPunct/>
        <w:topLinePunct w:val="0"/>
        <w:autoSpaceDE/>
        <w:autoSpaceDN/>
        <w:bidi w:val="0"/>
        <w:adjustRightInd/>
        <w:snapToGrid w:val="0"/>
        <w:spacing w:line="360" w:lineRule="auto"/>
        <w:ind w:left="0" w:leftChars="0" w:right="0" w:firstLine="560" w:firstLineChars="200"/>
        <w:jc w:val="left"/>
        <w:textAlignment w:val="auto"/>
        <w:outlineLvl w:val="0"/>
        <w:rPr>
          <w:rFonts w:hint="eastAsia" w:asciiTheme="minorEastAsia" w:hAnsiTheme="minorEastAsia" w:eastAsiaTheme="minorEastAsia" w:cstheme="minorEastAsia"/>
          <w:b w:val="0"/>
          <w:bCs/>
          <w:color w:val="auto"/>
          <w:kern w:val="44"/>
          <w:sz w:val="28"/>
          <w:szCs w:val="28"/>
          <w:highlight w:val="none"/>
          <w:lang w:val="en-US" w:eastAsia="zh-CN" w:bidi="ar-SA"/>
        </w:rPr>
      </w:pPr>
      <w:bookmarkStart w:id="366" w:name="_Toc28431"/>
      <w:bookmarkStart w:id="367" w:name="_Toc8893"/>
      <w:bookmarkStart w:id="368" w:name="_Toc19746"/>
      <w:bookmarkStart w:id="369" w:name="_Toc29564"/>
      <w:bookmarkStart w:id="370" w:name="_Toc10309"/>
      <w:bookmarkStart w:id="371" w:name="_Toc9716"/>
      <w:r>
        <w:rPr>
          <w:rFonts w:hint="eastAsia" w:asciiTheme="minorEastAsia" w:hAnsiTheme="minorEastAsia" w:eastAsiaTheme="minorEastAsia" w:cstheme="minorEastAsia"/>
          <w:b w:val="0"/>
          <w:bCs/>
          <w:color w:val="auto"/>
          <w:kern w:val="44"/>
          <w:sz w:val="28"/>
          <w:szCs w:val="28"/>
          <w:highlight w:val="none"/>
          <w:lang w:val="en-US" w:eastAsia="zh-CN" w:bidi="ar-SA"/>
        </w:rPr>
        <w:t>五、</w:t>
      </w:r>
      <w:bookmarkEnd w:id="366"/>
      <w:bookmarkEnd w:id="367"/>
      <w:bookmarkEnd w:id="368"/>
      <w:r>
        <w:rPr>
          <w:rFonts w:hint="eastAsia" w:asciiTheme="minorEastAsia" w:hAnsiTheme="minorEastAsia" w:eastAsiaTheme="minorEastAsia" w:cstheme="minorEastAsia"/>
          <w:b w:val="0"/>
          <w:bCs/>
          <w:color w:val="auto"/>
          <w:kern w:val="44"/>
          <w:sz w:val="28"/>
          <w:szCs w:val="28"/>
          <w:highlight w:val="none"/>
          <w:lang w:val="en-US" w:eastAsia="zh-CN" w:bidi="ar-SA"/>
        </w:rPr>
        <w:t>其他与项目有关的</w:t>
      </w:r>
      <w:bookmarkEnd w:id="369"/>
      <w:r>
        <w:rPr>
          <w:rFonts w:hint="eastAsia" w:asciiTheme="minorEastAsia" w:hAnsiTheme="minorEastAsia" w:eastAsiaTheme="minorEastAsia" w:cstheme="minorEastAsia"/>
          <w:b w:val="0"/>
          <w:bCs/>
          <w:color w:val="auto"/>
          <w:kern w:val="44"/>
          <w:sz w:val="28"/>
          <w:szCs w:val="28"/>
          <w:highlight w:val="none"/>
          <w:lang w:val="en-US" w:eastAsia="zh-CN" w:bidi="ar-SA"/>
        </w:rPr>
        <w:t>资料</w:t>
      </w:r>
      <w:bookmarkEnd w:id="370"/>
      <w:bookmarkEnd w:id="371"/>
    </w:p>
    <w:p w14:paraId="317C3A55">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p>
    <w:p w14:paraId="1AEC1722">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bookmarkStart w:id="372" w:name="_Toc21561"/>
      <w:bookmarkStart w:id="373" w:name="_Toc31828"/>
      <w:bookmarkStart w:id="374" w:name="_Toc31914"/>
      <w:bookmarkStart w:id="375" w:name="_Toc429584884"/>
      <w:bookmarkStart w:id="376" w:name="_Toc13547"/>
      <w:bookmarkStart w:id="377" w:name="_Toc14568"/>
      <w:bookmarkStart w:id="378" w:name="_Toc106030417"/>
      <w:bookmarkStart w:id="379" w:name="_Toc10124"/>
      <w:bookmarkStart w:id="380" w:name="_Toc15893"/>
      <w:bookmarkStart w:id="381" w:name="_Toc27612"/>
      <w:bookmarkStart w:id="382" w:name="_Toc75793540"/>
      <w:bookmarkStart w:id="383" w:name="_Toc25659"/>
      <w:bookmarkStart w:id="384" w:name="_Toc29821"/>
      <w:bookmarkStart w:id="385" w:name="_Toc23361"/>
      <w:bookmarkStart w:id="386" w:name="_Toc11398"/>
      <w:bookmarkStart w:id="387" w:name="_Toc23145"/>
      <w:bookmarkStart w:id="388" w:name="_Toc27943"/>
      <w:bookmarkStart w:id="389" w:name="_Toc14552"/>
      <w:bookmarkStart w:id="390" w:name="_Toc27722"/>
      <w:bookmarkStart w:id="391" w:name="_Toc18181"/>
      <w:bookmarkStart w:id="392" w:name="_Toc17074"/>
      <w:r>
        <w:rPr>
          <w:rFonts w:hint="eastAsia" w:asciiTheme="minorEastAsia" w:hAnsiTheme="minorEastAsia" w:eastAsiaTheme="minorEastAsia" w:cstheme="minorEastAsia"/>
          <w:b/>
          <w:bCs/>
          <w:color w:val="auto"/>
          <w:sz w:val="28"/>
          <w:szCs w:val="28"/>
          <w:highlight w:val="none"/>
        </w:rPr>
        <w:br w:type="page"/>
      </w:r>
    </w:p>
    <w:p w14:paraId="4B412790">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 xml:space="preserve">                                    </w:t>
      </w:r>
    </w:p>
    <w:p w14:paraId="1CD8224D">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p>
    <w:p w14:paraId="38CE1843">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p>
    <w:p w14:paraId="0354F103">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p>
    <w:p w14:paraId="7A141F78">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36"/>
          <w:szCs w:val="36"/>
          <w:highlight w:val="none"/>
          <w:lang w:eastAsia="zh-CN"/>
        </w:rPr>
      </w:pPr>
      <w:r>
        <w:rPr>
          <w:rFonts w:hint="eastAsia" w:asciiTheme="minorEastAsia" w:hAnsiTheme="minorEastAsia" w:eastAsiaTheme="minorEastAsia" w:cstheme="minorEastAsia"/>
          <w:b/>
          <w:bCs/>
          <w:color w:val="auto"/>
          <w:sz w:val="36"/>
          <w:szCs w:val="36"/>
          <w:highlight w:val="none"/>
          <w:lang w:eastAsia="zh-CN"/>
        </w:rPr>
        <w:t>重庆农业执法好人好故事宣传</w:t>
      </w:r>
    </w:p>
    <w:p w14:paraId="0F0E0C21">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36"/>
          <w:szCs w:val="36"/>
          <w:highlight w:val="none"/>
        </w:rPr>
      </w:pPr>
    </w:p>
    <w:p w14:paraId="1E129C4B">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21E27D72">
      <w:pPr>
        <w:pStyle w:val="9"/>
        <w:rPr>
          <w:rFonts w:hint="eastAsia" w:asciiTheme="minorEastAsia" w:hAnsiTheme="minorEastAsia" w:eastAsiaTheme="minorEastAsia" w:cstheme="minorEastAsia"/>
          <w:color w:val="auto"/>
          <w:sz w:val="28"/>
          <w:szCs w:val="28"/>
          <w:highlight w:val="none"/>
        </w:rPr>
      </w:pPr>
    </w:p>
    <w:p w14:paraId="61618887">
      <w:pPr>
        <w:pStyle w:val="9"/>
        <w:rPr>
          <w:rFonts w:hint="eastAsia" w:asciiTheme="minorEastAsia" w:hAnsiTheme="minorEastAsia" w:eastAsiaTheme="minorEastAsia" w:cstheme="minorEastAsia"/>
          <w:color w:val="auto"/>
          <w:sz w:val="28"/>
          <w:szCs w:val="28"/>
          <w:highlight w:val="none"/>
        </w:rPr>
      </w:pPr>
    </w:p>
    <w:p w14:paraId="24097187">
      <w:pPr>
        <w:pStyle w:val="9"/>
        <w:rPr>
          <w:rFonts w:hint="eastAsia" w:asciiTheme="minorEastAsia" w:hAnsiTheme="minorEastAsia" w:eastAsiaTheme="minorEastAsia" w:cstheme="minorEastAsia"/>
          <w:color w:val="auto"/>
          <w:sz w:val="28"/>
          <w:szCs w:val="28"/>
          <w:highlight w:val="none"/>
        </w:rPr>
      </w:pPr>
    </w:p>
    <w:p w14:paraId="63670559">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p>
    <w:p w14:paraId="47BF9F42">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p>
    <w:p w14:paraId="636FE402">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36"/>
          <w:szCs w:val="36"/>
          <w:highlight w:val="none"/>
        </w:rPr>
      </w:pPr>
      <w:r>
        <w:rPr>
          <w:rFonts w:hint="eastAsia" w:asciiTheme="minorEastAsia" w:hAnsiTheme="minorEastAsia" w:eastAsiaTheme="minorEastAsia" w:cstheme="minorEastAsia"/>
          <w:b/>
          <w:bCs/>
          <w:color w:val="auto"/>
          <w:sz w:val="36"/>
          <w:szCs w:val="36"/>
          <w:highlight w:val="none"/>
        </w:rPr>
        <w:t>响应文件</w:t>
      </w:r>
    </w:p>
    <w:p w14:paraId="7BCB941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36"/>
          <w:szCs w:val="36"/>
          <w:highlight w:val="none"/>
        </w:rPr>
      </w:pPr>
    </w:p>
    <w:p w14:paraId="0B8327D5">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36"/>
          <w:szCs w:val="36"/>
          <w:highlight w:val="none"/>
        </w:rPr>
      </w:pPr>
    </w:p>
    <w:p w14:paraId="7D888F98">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36"/>
          <w:szCs w:val="36"/>
          <w:highlight w:val="none"/>
        </w:rPr>
      </w:pPr>
    </w:p>
    <w:p w14:paraId="36121B4D">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36"/>
          <w:szCs w:val="36"/>
          <w:highlight w:val="none"/>
        </w:rPr>
      </w:pPr>
    </w:p>
    <w:p w14:paraId="055078DD">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36"/>
          <w:szCs w:val="36"/>
          <w:highlight w:val="none"/>
        </w:rPr>
      </w:pPr>
    </w:p>
    <w:p w14:paraId="43D5DBE9">
      <w:pPr>
        <w:pageBreakBefore w:val="0"/>
        <w:kinsoku/>
        <w:wordWrap/>
        <w:overflowPunct/>
        <w:topLinePunct w:val="0"/>
        <w:autoSpaceDE/>
        <w:autoSpaceDN/>
        <w:bidi w:val="0"/>
        <w:adjustRightInd/>
        <w:spacing w:line="560" w:lineRule="exact"/>
        <w:ind w:right="0" w:firstLine="1807" w:firstLineChars="500"/>
        <w:textAlignment w:val="auto"/>
        <w:rPr>
          <w:rFonts w:hint="eastAsia" w:asciiTheme="minorEastAsia" w:hAnsiTheme="minorEastAsia" w:eastAsiaTheme="minorEastAsia" w:cstheme="minorEastAsia"/>
          <w:b/>
          <w:bCs/>
          <w:color w:val="auto"/>
          <w:sz w:val="36"/>
          <w:szCs w:val="36"/>
          <w:highlight w:val="none"/>
          <w:u w:val="single"/>
        </w:rPr>
      </w:pPr>
      <w:r>
        <w:rPr>
          <w:rFonts w:hint="eastAsia" w:asciiTheme="minorEastAsia" w:hAnsiTheme="minorEastAsia" w:eastAsiaTheme="minorEastAsia" w:cstheme="minorEastAsia"/>
          <w:b/>
          <w:bCs/>
          <w:color w:val="auto"/>
          <w:sz w:val="36"/>
          <w:szCs w:val="36"/>
          <w:highlight w:val="none"/>
        </w:rPr>
        <w:t>供应商名称（公章）：</w:t>
      </w:r>
      <w:r>
        <w:rPr>
          <w:rFonts w:hint="eastAsia" w:asciiTheme="minorEastAsia" w:hAnsiTheme="minorEastAsia" w:eastAsiaTheme="minorEastAsia" w:cstheme="minorEastAsia"/>
          <w:b/>
          <w:bCs/>
          <w:color w:val="auto"/>
          <w:sz w:val="36"/>
          <w:szCs w:val="36"/>
          <w:highlight w:val="none"/>
          <w:u w:val="single"/>
        </w:rPr>
        <w:t xml:space="preserve">             </w:t>
      </w:r>
    </w:p>
    <w:p w14:paraId="36DCA5F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36"/>
          <w:szCs w:val="36"/>
          <w:highlight w:val="none"/>
        </w:rPr>
      </w:pPr>
      <w:r>
        <w:rPr>
          <w:rFonts w:hint="eastAsia" w:asciiTheme="minorEastAsia" w:hAnsiTheme="minorEastAsia" w:eastAsiaTheme="minorEastAsia" w:cstheme="minorEastAsia"/>
          <w:b/>
          <w:bCs/>
          <w:color w:val="auto"/>
          <w:sz w:val="36"/>
          <w:szCs w:val="36"/>
          <w:highlight w:val="none"/>
        </w:rPr>
        <w:t xml:space="preserve"> </w:t>
      </w:r>
    </w:p>
    <w:p w14:paraId="4ABEBDC9">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36"/>
          <w:szCs w:val="36"/>
          <w:highlight w:val="none"/>
        </w:rPr>
      </w:pPr>
      <w:r>
        <w:rPr>
          <w:rFonts w:hint="eastAsia" w:asciiTheme="minorEastAsia" w:hAnsiTheme="minorEastAsia" w:eastAsiaTheme="minorEastAsia" w:cstheme="minorEastAsia"/>
          <w:b/>
          <w:bCs/>
          <w:color w:val="auto"/>
          <w:sz w:val="36"/>
          <w:szCs w:val="36"/>
          <w:highlight w:val="none"/>
        </w:rPr>
        <w:t>年   月   日</w:t>
      </w:r>
    </w:p>
    <w:p w14:paraId="356EE21D">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p>
    <w:p w14:paraId="5ECE857D">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p>
    <w:p w14:paraId="513B99E9">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p>
    <w:p w14:paraId="21366A58">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p>
    <w:p w14:paraId="5551B44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p>
    <w:p w14:paraId="321E0F2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p>
    <w:p w14:paraId="10514D2E">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p>
    <w:p w14:paraId="572635FD">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p>
    <w:p w14:paraId="7AA0236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p>
    <w:p w14:paraId="439A75ED">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目 录</w:t>
      </w:r>
    </w:p>
    <w:p w14:paraId="38464D38">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p w14:paraId="3414A1E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（供应商自拟）</w:t>
      </w:r>
    </w:p>
    <w:p w14:paraId="45D359F7">
      <w:pPr>
        <w:pStyle w:val="3"/>
        <w:pageBreakBefore w:val="0"/>
        <w:kinsoku/>
        <w:wordWrap/>
        <w:overflowPunct/>
        <w:topLinePunct w:val="0"/>
        <w:autoSpaceDE/>
        <w:autoSpaceDN/>
        <w:bidi w:val="0"/>
        <w:adjustRightInd/>
        <w:spacing w:beforeLines="0" w:line="560" w:lineRule="exact"/>
        <w:ind w:left="0" w:leftChars="0" w:right="0" w:firstLine="562"/>
        <w:textAlignment w:val="auto"/>
        <w:rPr>
          <w:rFonts w:hint="eastAsia" w:asciiTheme="minorEastAsia" w:hAnsiTheme="minorEastAsia" w:eastAsiaTheme="minorEastAsia" w:cstheme="minorEastAsia"/>
          <w:bCs/>
          <w:color w:val="auto"/>
          <w:sz w:val="28"/>
          <w:szCs w:val="28"/>
          <w:highlight w:val="none"/>
        </w:rPr>
        <w:sectPr>
          <w:pgSz w:w="11905" w:h="16838"/>
          <w:pgMar w:top="1134" w:right="1134" w:bottom="1134" w:left="1134" w:header="850" w:footer="992" w:gutter="0"/>
          <w:pgNumType w:fmt="numberInDash"/>
          <w:cols w:space="0" w:num="1"/>
          <w:titlePg/>
          <w:docGrid w:type="lines" w:linePitch="385" w:charSpace="0"/>
        </w:sectPr>
      </w:pPr>
    </w:p>
    <w:p w14:paraId="72CBF205">
      <w:pPr>
        <w:pStyle w:val="3"/>
        <w:pageBreakBefore w:val="0"/>
        <w:kinsoku/>
        <w:wordWrap/>
        <w:overflowPunct/>
        <w:topLinePunct w:val="0"/>
        <w:autoSpaceDE/>
        <w:autoSpaceDN/>
        <w:bidi w:val="0"/>
        <w:adjustRightInd/>
        <w:spacing w:beforeLines="0" w:line="560" w:lineRule="exact"/>
        <w:ind w:left="0" w:leftChars="0" w:right="0" w:firstLine="562"/>
        <w:textAlignment w:val="auto"/>
        <w:rPr>
          <w:rFonts w:hint="eastAsia" w:asciiTheme="minorEastAsia" w:hAnsiTheme="minorEastAsia" w:eastAsiaTheme="minorEastAsia" w:cstheme="minorEastAsia"/>
          <w:b/>
          <w:bCs/>
          <w:color w:val="auto"/>
          <w:sz w:val="28"/>
          <w:szCs w:val="28"/>
          <w:highlight w:val="none"/>
        </w:rPr>
      </w:pPr>
      <w:bookmarkStart w:id="393" w:name="_Toc18527"/>
      <w:bookmarkStart w:id="394" w:name="_Toc18399"/>
      <w:r>
        <w:rPr>
          <w:rFonts w:hint="eastAsia" w:asciiTheme="minorEastAsia" w:hAnsiTheme="minorEastAsia" w:eastAsiaTheme="minorEastAsia" w:cstheme="minorEastAsia"/>
          <w:b/>
          <w:bCs/>
          <w:color w:val="auto"/>
          <w:sz w:val="28"/>
          <w:szCs w:val="28"/>
          <w:highlight w:val="none"/>
        </w:rPr>
        <w:t>一、</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r>
        <w:rPr>
          <w:rFonts w:hint="eastAsia" w:asciiTheme="minorEastAsia" w:hAnsiTheme="minorEastAsia" w:eastAsiaTheme="minorEastAsia" w:cstheme="minorEastAsia"/>
          <w:b/>
          <w:bCs/>
          <w:color w:val="auto"/>
          <w:sz w:val="28"/>
          <w:szCs w:val="28"/>
          <w:highlight w:val="none"/>
        </w:rPr>
        <w:t>经济部分</w:t>
      </w:r>
      <w:bookmarkEnd w:id="391"/>
      <w:bookmarkEnd w:id="393"/>
      <w:bookmarkEnd w:id="394"/>
    </w:p>
    <w:p w14:paraId="1A3179D3">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b w:val="0"/>
          <w:bCs w:val="0"/>
          <w:color w:val="auto"/>
          <w:sz w:val="28"/>
          <w:szCs w:val="28"/>
          <w:highlight w:val="none"/>
        </w:rPr>
      </w:pPr>
      <w:r>
        <w:rPr>
          <w:rFonts w:hint="eastAsia" w:asciiTheme="minorEastAsia" w:hAnsiTheme="minorEastAsia" w:eastAsiaTheme="minorEastAsia" w:cstheme="minorEastAsia"/>
          <w:b w:val="0"/>
          <w:bCs w:val="0"/>
          <w:color w:val="auto"/>
          <w:sz w:val="28"/>
          <w:szCs w:val="28"/>
          <w:highlight w:val="none"/>
        </w:rPr>
        <w:t>（一）报价函</w:t>
      </w:r>
    </w:p>
    <w:p w14:paraId="6D790047">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45A701DC">
      <w:pPr>
        <w:pageBreakBefore w:val="0"/>
        <w:tabs>
          <w:tab w:val="left" w:pos="6300"/>
        </w:tabs>
        <w:kinsoku/>
        <w:wordWrap/>
        <w:overflowPunct/>
        <w:topLinePunct w:val="0"/>
        <w:autoSpaceDE/>
        <w:autoSpaceDN/>
        <w:bidi w:val="0"/>
        <w:adjustRightInd/>
        <w:snapToGrid w:val="0"/>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u w:val="single"/>
        </w:rPr>
        <w:t>（采购人或采购代理机构名称）</w:t>
      </w:r>
      <w:r>
        <w:rPr>
          <w:rFonts w:hint="eastAsia" w:asciiTheme="minorEastAsia" w:hAnsiTheme="minorEastAsia" w:eastAsiaTheme="minorEastAsia" w:cstheme="minorEastAsia"/>
          <w:color w:val="auto"/>
          <w:sz w:val="28"/>
          <w:szCs w:val="28"/>
          <w:highlight w:val="none"/>
        </w:rPr>
        <w:t>：</w:t>
      </w:r>
    </w:p>
    <w:p w14:paraId="4BBCD82C">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我方收到____________________________（项目名称）的竞采文件，经详细研究，决定参加该项目的竞采。</w:t>
      </w:r>
    </w:p>
    <w:p w14:paraId="5C5C9793">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1、愿意按照竞采文件中的一切要求竞标本项目，竞采</w:t>
      </w:r>
      <w:r>
        <w:rPr>
          <w:rFonts w:hint="eastAsia" w:asciiTheme="minorEastAsia" w:hAnsiTheme="minorEastAsia" w:eastAsiaTheme="minorEastAsia" w:cstheme="minorEastAsia"/>
          <w:color w:val="auto"/>
          <w:sz w:val="28"/>
          <w:szCs w:val="28"/>
          <w:highlight w:val="none"/>
          <w:lang w:eastAsia="zh-CN"/>
        </w:rPr>
        <w:t>报价</w:t>
      </w:r>
      <w:r>
        <w:rPr>
          <w:rFonts w:hint="eastAsia" w:asciiTheme="minorEastAsia" w:hAnsiTheme="minorEastAsia" w:eastAsiaTheme="minorEastAsia" w:cstheme="minorEastAsia"/>
          <w:color w:val="auto"/>
          <w:sz w:val="28"/>
          <w:szCs w:val="28"/>
          <w:highlight w:val="none"/>
        </w:rPr>
        <w:t>为人民币大写：</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；人民币小写</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元。</w:t>
      </w:r>
    </w:p>
    <w:p w14:paraId="5238AF3D">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2、我方提交的响应文件数量为：</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正</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副</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电子档。</w:t>
      </w:r>
    </w:p>
    <w:p w14:paraId="700F1C5F">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3、我方承诺：本次竞采的有效期为90天。</w:t>
      </w:r>
    </w:p>
    <w:p w14:paraId="3D24A9C6">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4、我方完全理解和接受竞采文件的一切规定和要求及评审办法。</w:t>
      </w:r>
    </w:p>
    <w:p w14:paraId="0FE2A2FA">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5、在整个竞采过程中，我方若有违规行为，接受按照相关法律法规给予惩罚。</w:t>
      </w:r>
    </w:p>
    <w:p w14:paraId="4641971E">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6、我方若成为成交供应商，将按照最终评审结果签订合同，并且严格履行合同义务。本报价函将成为合同不可分割的一部分，与合同具有同等的法律效力。</w:t>
      </w:r>
    </w:p>
    <w:p w14:paraId="548AF5D3">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7、我方理解，最低报价不是成交的唯一条件。</w:t>
      </w:r>
    </w:p>
    <w:p w14:paraId="51062125">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8、如果我方成为成交供应商，保证在接到成交通知书后，向采购代理机构交纳竞采文件规定的采购代理服务费。</w:t>
      </w:r>
    </w:p>
    <w:p w14:paraId="5D390B64">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9、我方未为竞采项目提供整体设计、规范编制或者项目管理、监理、施工自检等服务。</w:t>
      </w:r>
    </w:p>
    <w:p w14:paraId="292003CA">
      <w:pPr>
        <w:pageBreakBefore w:val="0"/>
        <w:tabs>
          <w:tab w:val="left" w:pos="6300"/>
        </w:tabs>
        <w:kinsoku/>
        <w:wordWrap/>
        <w:overflowPunct/>
        <w:topLinePunct w:val="0"/>
        <w:autoSpaceDE/>
        <w:autoSpaceDN/>
        <w:bidi w:val="0"/>
        <w:adjustRightInd/>
        <w:snapToGrid w:val="0"/>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15EF3DB6">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 xml:space="preserve">                              供应商（公章）：</w:t>
      </w:r>
    </w:p>
    <w:p w14:paraId="0EDECD41">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sectPr>
          <w:pgSz w:w="11905" w:h="16838"/>
          <w:pgMar w:top="1134" w:right="1134" w:bottom="1134" w:left="1134" w:header="850" w:footer="992" w:gutter="0"/>
          <w:pgNumType w:fmt="numberInDash"/>
          <w:cols w:space="0" w:num="1"/>
          <w:titlePg/>
          <w:docGrid w:type="lines" w:linePitch="385" w:charSpace="0"/>
        </w:sectPr>
      </w:pPr>
      <w:r>
        <w:rPr>
          <w:rFonts w:hint="eastAsia" w:asciiTheme="minorEastAsia" w:hAnsiTheme="minorEastAsia" w:eastAsiaTheme="minorEastAsia" w:cstheme="minorEastAsia"/>
          <w:color w:val="auto"/>
          <w:sz w:val="28"/>
          <w:szCs w:val="28"/>
          <w:highlight w:val="none"/>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年   月   日</w:t>
      </w:r>
    </w:p>
    <w:p w14:paraId="457E24CD">
      <w:pPr>
        <w:pageBreakBefore w:val="0"/>
        <w:kinsoku/>
        <w:wordWrap/>
        <w:overflowPunct/>
        <w:topLinePunct w:val="0"/>
        <w:autoSpaceDE/>
        <w:autoSpaceDN/>
        <w:bidi w:val="0"/>
        <w:adjustRightInd/>
        <w:spacing w:line="560" w:lineRule="exact"/>
        <w:ind w:left="0" w:leftChars="0" w:right="0"/>
        <w:textAlignment w:val="auto"/>
        <w:outlineLvl w:val="1"/>
        <w:rPr>
          <w:rFonts w:hint="eastAsia" w:asciiTheme="minorEastAsia" w:hAnsiTheme="minorEastAsia" w:eastAsiaTheme="minorEastAsia" w:cstheme="minorEastAsia"/>
          <w:b/>
          <w:bCs/>
          <w:color w:val="auto"/>
          <w:sz w:val="28"/>
          <w:szCs w:val="28"/>
          <w:highlight w:val="none"/>
        </w:rPr>
      </w:pPr>
      <w:bookmarkStart w:id="395" w:name="_Toc553"/>
      <w:bookmarkStart w:id="396" w:name="_Toc4271"/>
      <w:bookmarkStart w:id="397" w:name="_Toc3974"/>
      <w:bookmarkStart w:id="398" w:name="_Toc18485"/>
      <w:bookmarkStart w:id="399" w:name="_Toc6124"/>
      <w:bookmarkStart w:id="400" w:name="_Toc18471"/>
      <w:bookmarkStart w:id="401" w:name="_Toc14140"/>
      <w:bookmarkStart w:id="402" w:name="_Toc23499"/>
      <w:bookmarkStart w:id="403" w:name="_Toc18310"/>
      <w:bookmarkStart w:id="404" w:name="_Toc3736"/>
      <w:r>
        <w:rPr>
          <w:rFonts w:hint="eastAsia" w:asciiTheme="minorEastAsia" w:hAnsiTheme="minorEastAsia" w:eastAsiaTheme="minorEastAsia" w:cstheme="minorEastAsia"/>
          <w:b/>
          <w:bCs/>
          <w:color w:val="auto"/>
          <w:sz w:val="28"/>
          <w:szCs w:val="28"/>
          <w:highlight w:val="none"/>
        </w:rPr>
        <w:t>二、资格</w:t>
      </w:r>
      <w:bookmarkEnd w:id="395"/>
      <w:bookmarkEnd w:id="396"/>
      <w:bookmarkEnd w:id="397"/>
      <w:bookmarkEnd w:id="398"/>
      <w:bookmarkEnd w:id="399"/>
      <w:bookmarkEnd w:id="400"/>
      <w:bookmarkEnd w:id="401"/>
      <w:bookmarkEnd w:id="402"/>
      <w:bookmarkEnd w:id="403"/>
      <w:r>
        <w:rPr>
          <w:rFonts w:hint="eastAsia" w:asciiTheme="minorEastAsia" w:hAnsiTheme="minorEastAsia" w:eastAsiaTheme="minorEastAsia" w:cstheme="minorEastAsia"/>
          <w:b/>
          <w:bCs/>
          <w:color w:val="auto"/>
          <w:sz w:val="28"/>
          <w:szCs w:val="28"/>
          <w:highlight w:val="none"/>
        </w:rPr>
        <w:t>文件</w:t>
      </w:r>
      <w:bookmarkEnd w:id="404"/>
    </w:p>
    <w:p w14:paraId="29EB5535">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（一）营业执照（副本）或事业单位法人证书（副本）或个体工商户营业执照或社会团体法人登记证书复印件</w:t>
      </w:r>
    </w:p>
    <w:p w14:paraId="53DE8D49">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u w:val="single"/>
        </w:rPr>
      </w:pPr>
    </w:p>
    <w:p w14:paraId="31EE0413">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55669732">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1A78EEF6">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25EFA576">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566DC853">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7C72FF36">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129B7FAA">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0329506E">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03A02EC6">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7BFF10B0">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24614F82">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1A33848D">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66DBEB70">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3C2385A5">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14C80A10">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75509863">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538B21E5">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color w:val="auto"/>
          <w:sz w:val="28"/>
          <w:szCs w:val="28"/>
          <w:highlight w:val="none"/>
        </w:rPr>
        <w:br w:type="page"/>
      </w:r>
      <w:bookmarkStart w:id="405" w:name="_Toc13155"/>
      <w:bookmarkStart w:id="406" w:name="_Toc22071"/>
      <w:bookmarkStart w:id="407" w:name="_Toc16414"/>
      <w:bookmarkStart w:id="408" w:name="_Toc15489"/>
      <w:r>
        <w:rPr>
          <w:rFonts w:hint="eastAsia" w:asciiTheme="minorEastAsia" w:hAnsiTheme="minorEastAsia" w:eastAsiaTheme="minorEastAsia" w:cstheme="minorEastAsia"/>
          <w:b w:val="0"/>
          <w:bCs w:val="0"/>
          <w:color w:val="auto"/>
          <w:sz w:val="28"/>
          <w:szCs w:val="28"/>
          <w:highlight w:val="none"/>
        </w:rPr>
        <w:t>（二）法定代表人身份证明书</w:t>
      </w:r>
      <w:bookmarkEnd w:id="405"/>
      <w:r>
        <w:rPr>
          <w:rFonts w:hint="eastAsia" w:asciiTheme="minorEastAsia" w:hAnsiTheme="minorEastAsia" w:eastAsiaTheme="minorEastAsia" w:cstheme="minorEastAsia"/>
          <w:b w:val="0"/>
          <w:bCs w:val="0"/>
          <w:color w:val="auto"/>
          <w:sz w:val="28"/>
          <w:szCs w:val="28"/>
          <w:highlight w:val="none"/>
        </w:rPr>
        <w:t>（格式）</w:t>
      </w:r>
      <w:bookmarkEnd w:id="406"/>
      <w:bookmarkEnd w:id="407"/>
      <w:bookmarkEnd w:id="408"/>
    </w:p>
    <w:p w14:paraId="1BDBAABD">
      <w:pPr>
        <w:pageBreakBefore w:val="0"/>
        <w:tabs>
          <w:tab w:val="left" w:pos="6300"/>
        </w:tabs>
        <w:kinsoku/>
        <w:wordWrap/>
        <w:overflowPunct/>
        <w:topLinePunct w:val="0"/>
        <w:autoSpaceDE/>
        <w:autoSpaceDN/>
        <w:bidi w:val="0"/>
        <w:adjustRightInd/>
        <w:snapToGrid w:val="0"/>
        <w:spacing w:line="560" w:lineRule="exact"/>
        <w:ind w:left="0" w:leftChars="0" w:right="0" w:firstLine="480"/>
        <w:textAlignment w:val="auto"/>
        <w:rPr>
          <w:rFonts w:hint="eastAsia" w:asciiTheme="minorEastAsia" w:hAnsiTheme="minorEastAsia" w:eastAsiaTheme="minorEastAsia" w:cstheme="minorEastAsia"/>
          <w:color w:val="auto"/>
          <w:sz w:val="28"/>
          <w:szCs w:val="28"/>
          <w:highlight w:val="none"/>
        </w:rPr>
      </w:pPr>
    </w:p>
    <w:p w14:paraId="5073024D">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项目名称：</w:t>
      </w:r>
      <w:r>
        <w:rPr>
          <w:rFonts w:hint="eastAsia" w:asciiTheme="minorEastAsia" w:hAnsiTheme="minorEastAsia" w:eastAsiaTheme="minorEastAsia" w:cstheme="minorEastAsia"/>
          <w:color w:val="auto"/>
          <w:sz w:val="28"/>
          <w:szCs w:val="28"/>
          <w:highlight w:val="none"/>
          <w:u w:val="single"/>
        </w:rPr>
        <w:t xml:space="preserve">                                          </w:t>
      </w:r>
    </w:p>
    <w:p w14:paraId="1F130724">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718C1C67">
      <w:pPr>
        <w:pageBreakBefore w:val="0"/>
        <w:tabs>
          <w:tab w:val="left" w:pos="6300"/>
        </w:tabs>
        <w:kinsoku/>
        <w:wordWrap/>
        <w:overflowPunct/>
        <w:topLinePunct w:val="0"/>
        <w:autoSpaceDE/>
        <w:autoSpaceDN/>
        <w:bidi w:val="0"/>
        <w:adjustRightInd/>
        <w:snapToGrid w:val="0"/>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致：</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（采购人或代理机构名称）：</w:t>
      </w:r>
    </w:p>
    <w:p w14:paraId="0B83E7AC">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（法定代表人姓名）在</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（供应商名称）任</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（职务名称）职务，是</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（供应商名称）的法定代表人。</w:t>
      </w:r>
    </w:p>
    <w:p w14:paraId="6794887E">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06716147">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特此证明。</w:t>
      </w:r>
    </w:p>
    <w:p w14:paraId="7FC0B28E">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6ED37643">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06DC4277">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5D9201BB">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 xml:space="preserve">                                             （供应商公章）</w:t>
      </w:r>
    </w:p>
    <w:p w14:paraId="4D174E9E">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48E67397">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 xml:space="preserve">                                             年   月   日</w:t>
      </w:r>
    </w:p>
    <w:p w14:paraId="50A68F6E">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法定代表人电话：XXXXXXX      电子邮箱：XXXXXX@XXXXX（若授权他人办理并签署响应文件的可不填写电话和邮箱）</w:t>
      </w:r>
    </w:p>
    <w:p w14:paraId="3FB5FB03">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1F75AD14">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（附：法定代表人身份证正反面复印件）</w:t>
      </w:r>
    </w:p>
    <w:p w14:paraId="6B1670ED">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p>
    <w:p w14:paraId="43E51586">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3BF41418">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color w:val="auto"/>
          <w:sz w:val="28"/>
          <w:szCs w:val="28"/>
          <w:highlight w:val="none"/>
        </w:rPr>
      </w:pPr>
    </w:p>
    <w:p w14:paraId="526956D8">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val="0"/>
          <w:bCs w:val="0"/>
          <w:color w:val="auto"/>
          <w:sz w:val="28"/>
          <w:szCs w:val="28"/>
          <w:highlight w:val="none"/>
        </w:rPr>
        <w:sectPr>
          <w:headerReference r:id="rId7" w:type="default"/>
          <w:footerReference r:id="rId8" w:type="default"/>
          <w:pgSz w:w="11905" w:h="16838"/>
          <w:pgMar w:top="1134" w:right="1134" w:bottom="1134" w:left="1134" w:header="850" w:footer="992" w:gutter="0"/>
          <w:pgNumType w:fmt="numberInDash"/>
          <w:cols w:space="0" w:num="1"/>
          <w:titlePg/>
          <w:docGrid w:type="lines" w:linePitch="385" w:charSpace="0"/>
        </w:sectPr>
      </w:pPr>
      <w:bookmarkStart w:id="409" w:name="_Toc5047"/>
      <w:bookmarkStart w:id="410" w:name="_Toc13955"/>
      <w:bookmarkStart w:id="411" w:name="_Toc13316"/>
      <w:bookmarkStart w:id="412" w:name="_Toc22622"/>
    </w:p>
    <w:p w14:paraId="138C36E6">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val="0"/>
          <w:bCs w:val="0"/>
          <w:color w:val="auto"/>
          <w:sz w:val="28"/>
          <w:szCs w:val="28"/>
          <w:highlight w:val="none"/>
        </w:rPr>
      </w:pPr>
      <w:r>
        <w:rPr>
          <w:rFonts w:hint="eastAsia" w:asciiTheme="minorEastAsia" w:hAnsiTheme="minorEastAsia" w:eastAsiaTheme="minorEastAsia" w:cstheme="minorEastAsia"/>
          <w:b w:val="0"/>
          <w:bCs w:val="0"/>
          <w:color w:val="auto"/>
          <w:sz w:val="28"/>
          <w:szCs w:val="28"/>
          <w:highlight w:val="none"/>
        </w:rPr>
        <w:t>（三）法定代表人授权委托书</w:t>
      </w:r>
      <w:bookmarkEnd w:id="409"/>
      <w:r>
        <w:rPr>
          <w:rFonts w:hint="eastAsia" w:asciiTheme="minorEastAsia" w:hAnsiTheme="minorEastAsia" w:eastAsiaTheme="minorEastAsia" w:cstheme="minorEastAsia"/>
          <w:b w:val="0"/>
          <w:bCs w:val="0"/>
          <w:color w:val="auto"/>
          <w:sz w:val="28"/>
          <w:szCs w:val="28"/>
          <w:highlight w:val="none"/>
        </w:rPr>
        <w:t>（格式）</w:t>
      </w:r>
      <w:bookmarkEnd w:id="410"/>
      <w:bookmarkEnd w:id="411"/>
      <w:bookmarkEnd w:id="412"/>
    </w:p>
    <w:p w14:paraId="61846E1B">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项目名称：</w:t>
      </w:r>
      <w:r>
        <w:rPr>
          <w:rFonts w:hint="eastAsia" w:asciiTheme="minorEastAsia" w:hAnsiTheme="minorEastAsia" w:eastAsiaTheme="minorEastAsia" w:cstheme="minorEastAsia"/>
          <w:color w:val="auto"/>
          <w:sz w:val="28"/>
          <w:szCs w:val="28"/>
          <w:highlight w:val="none"/>
          <w:u w:val="single"/>
        </w:rPr>
        <w:t xml:space="preserve">                                                </w:t>
      </w:r>
    </w:p>
    <w:p w14:paraId="24D2DF70">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485237DF">
      <w:pPr>
        <w:pageBreakBefore w:val="0"/>
        <w:tabs>
          <w:tab w:val="left" w:pos="6300"/>
        </w:tabs>
        <w:kinsoku/>
        <w:wordWrap/>
        <w:overflowPunct/>
        <w:topLinePunct w:val="0"/>
        <w:autoSpaceDE/>
        <w:autoSpaceDN/>
        <w:bidi w:val="0"/>
        <w:adjustRightInd/>
        <w:snapToGrid w:val="0"/>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致：</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（采购人或代理机构名称）：</w:t>
      </w:r>
    </w:p>
    <w:p w14:paraId="45269AE3">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（供应商法定代表人姓名）是</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（供应商名称）的法定代表人，特授权</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（被授权人姓名及身份证代码）代表我单位全权办理上述项目的的竞采、签约等具体工作，并签署全部有关文件、协议及合同。</w:t>
      </w:r>
    </w:p>
    <w:p w14:paraId="2FE059D5">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我单位对被授权人的签署负全部责任。</w:t>
      </w:r>
    </w:p>
    <w:p w14:paraId="6ADE828A">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在撤销授权的书面通知以前，本授权书一直有效。被授权人在授权书有效期内签署的所有文件不因授权的撤销而失效。</w:t>
      </w:r>
    </w:p>
    <w:p w14:paraId="15618405">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19134B03">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被授权人：                               供应商法定代表人：</w:t>
      </w:r>
    </w:p>
    <w:p w14:paraId="25E3170F">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（签署或盖章）                               （签署或盖章）</w:t>
      </w:r>
    </w:p>
    <w:p w14:paraId="5FE50B5D">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（附：被授权人身份证正反面复印件）</w:t>
      </w:r>
    </w:p>
    <w:p w14:paraId="6E463E6C">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 xml:space="preserve">                                </w:t>
      </w:r>
    </w:p>
    <w:p w14:paraId="59DF0E18">
      <w:pPr>
        <w:pageBreakBefore w:val="0"/>
        <w:tabs>
          <w:tab w:val="left" w:pos="6300"/>
        </w:tabs>
        <w:kinsoku/>
        <w:wordWrap/>
        <w:overflowPunct/>
        <w:topLinePunct w:val="0"/>
        <w:autoSpaceDE/>
        <w:autoSpaceDN/>
        <w:bidi w:val="0"/>
        <w:adjustRightInd/>
        <w:snapToGrid w:val="0"/>
        <w:spacing w:line="560" w:lineRule="exact"/>
        <w:ind w:left="0" w:leftChars="0" w:right="0" w:firstLine="570"/>
        <w:textAlignment w:val="auto"/>
        <w:rPr>
          <w:rFonts w:hint="eastAsia" w:asciiTheme="minorEastAsia" w:hAnsiTheme="minorEastAsia" w:eastAsiaTheme="minorEastAsia" w:cstheme="minorEastAsia"/>
          <w:color w:val="auto"/>
          <w:sz w:val="28"/>
          <w:szCs w:val="28"/>
          <w:highlight w:val="none"/>
        </w:rPr>
      </w:pPr>
    </w:p>
    <w:p w14:paraId="3880D340">
      <w:pPr>
        <w:pageBreakBefore w:val="0"/>
        <w:tabs>
          <w:tab w:val="left" w:pos="6300"/>
        </w:tabs>
        <w:kinsoku/>
        <w:wordWrap/>
        <w:overflowPunct/>
        <w:topLinePunct w:val="0"/>
        <w:autoSpaceDE/>
        <w:autoSpaceDN/>
        <w:bidi w:val="0"/>
        <w:adjustRightInd/>
        <w:snapToGrid w:val="0"/>
        <w:spacing w:line="560" w:lineRule="exact"/>
        <w:ind w:left="0" w:leftChars="0" w:right="0" w:firstLine="570"/>
        <w:jc w:val="righ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（供应商公章）</w:t>
      </w:r>
    </w:p>
    <w:p w14:paraId="741F6692">
      <w:pPr>
        <w:pageBreakBefore w:val="0"/>
        <w:tabs>
          <w:tab w:val="left" w:pos="6300"/>
        </w:tabs>
        <w:kinsoku/>
        <w:wordWrap/>
        <w:overflowPunct/>
        <w:topLinePunct w:val="0"/>
        <w:autoSpaceDE/>
        <w:autoSpaceDN/>
        <w:bidi w:val="0"/>
        <w:adjustRightInd/>
        <w:snapToGrid w:val="0"/>
        <w:spacing w:line="560" w:lineRule="exact"/>
        <w:ind w:left="0" w:leftChars="0" w:right="0" w:firstLine="570"/>
        <w:jc w:val="righ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年   月   日</w:t>
      </w:r>
    </w:p>
    <w:p w14:paraId="10BD49FE">
      <w:pPr>
        <w:pageBreakBefore w:val="0"/>
        <w:tabs>
          <w:tab w:val="left" w:pos="6300"/>
        </w:tabs>
        <w:kinsoku/>
        <w:wordWrap/>
        <w:overflowPunct/>
        <w:topLinePunct w:val="0"/>
        <w:autoSpaceDE/>
        <w:autoSpaceDN/>
        <w:bidi w:val="0"/>
        <w:adjustRightInd/>
        <w:snapToGrid w:val="0"/>
        <w:spacing w:line="560" w:lineRule="exact"/>
        <w:ind w:left="0" w:leftChars="0" w:right="0" w:firstLine="57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被授权人电话（手机）：XXXXXXX     电子邮箱：XXXXXX@XXXXX（若法定代表人办理并签署响应文件的可不填写）</w:t>
      </w:r>
    </w:p>
    <w:p w14:paraId="6E4CCDEE">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p>
    <w:p w14:paraId="44C11C0A">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注：若为法定代表人办理并签署响应文件的，不提供此文件。</w:t>
      </w:r>
    </w:p>
    <w:p w14:paraId="5EB733E7">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br w:type="page"/>
      </w:r>
    </w:p>
    <w:p w14:paraId="7BDF5D88">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val="0"/>
          <w:bCs w:val="0"/>
          <w:color w:val="auto"/>
          <w:sz w:val="28"/>
          <w:szCs w:val="28"/>
          <w:highlight w:val="none"/>
        </w:rPr>
      </w:pPr>
      <w:bookmarkStart w:id="413" w:name="_Toc16943"/>
      <w:bookmarkStart w:id="414" w:name="_Toc6935"/>
      <w:bookmarkStart w:id="415" w:name="_Toc30268"/>
      <w:bookmarkStart w:id="416" w:name="_Toc10882"/>
      <w:bookmarkStart w:id="417" w:name="_Toc14569"/>
      <w:r>
        <w:rPr>
          <w:rFonts w:hint="eastAsia" w:asciiTheme="minorEastAsia" w:hAnsiTheme="minorEastAsia" w:eastAsiaTheme="minorEastAsia" w:cstheme="minorEastAsia"/>
          <w:b w:val="0"/>
          <w:bCs w:val="0"/>
          <w:color w:val="auto"/>
          <w:sz w:val="28"/>
          <w:szCs w:val="28"/>
          <w:highlight w:val="none"/>
        </w:rPr>
        <w:t>（四）</w:t>
      </w:r>
      <w:bookmarkEnd w:id="413"/>
      <w:r>
        <w:rPr>
          <w:rFonts w:hint="eastAsia" w:asciiTheme="minorEastAsia" w:hAnsiTheme="minorEastAsia" w:eastAsiaTheme="minorEastAsia" w:cstheme="minorEastAsia"/>
          <w:b w:val="0"/>
          <w:bCs w:val="0"/>
          <w:color w:val="auto"/>
          <w:sz w:val="28"/>
          <w:szCs w:val="28"/>
          <w:highlight w:val="none"/>
        </w:rPr>
        <w:t>基本资格条件承诺函</w:t>
      </w:r>
      <w:bookmarkEnd w:id="414"/>
      <w:r>
        <w:rPr>
          <w:rFonts w:hint="eastAsia" w:asciiTheme="minorEastAsia" w:hAnsiTheme="minorEastAsia" w:eastAsiaTheme="minorEastAsia" w:cstheme="minorEastAsia"/>
          <w:b w:val="0"/>
          <w:bCs w:val="0"/>
          <w:color w:val="auto"/>
          <w:sz w:val="28"/>
          <w:szCs w:val="28"/>
          <w:highlight w:val="none"/>
        </w:rPr>
        <w:t>（格式）</w:t>
      </w:r>
      <w:bookmarkEnd w:id="415"/>
      <w:bookmarkEnd w:id="416"/>
      <w:bookmarkEnd w:id="417"/>
    </w:p>
    <w:p w14:paraId="581AE969">
      <w:pPr>
        <w:pageBreakBefore w:val="0"/>
        <w:kinsoku/>
        <w:wordWrap/>
        <w:overflowPunct/>
        <w:topLinePunct w:val="0"/>
        <w:autoSpaceDE/>
        <w:autoSpaceDN/>
        <w:bidi w:val="0"/>
        <w:adjustRightInd/>
        <w:spacing w:line="560" w:lineRule="exact"/>
        <w:ind w:left="0" w:leftChars="0" w:right="0" w:firstLine="562" w:firstLineChars="200"/>
        <w:jc w:val="center"/>
        <w:textAlignment w:val="auto"/>
        <w:rPr>
          <w:rFonts w:hint="eastAsia" w:asciiTheme="minorEastAsia" w:hAnsiTheme="minorEastAsia" w:eastAsiaTheme="minorEastAsia" w:cstheme="minorEastAsia"/>
          <w:b/>
          <w:bCs/>
          <w:color w:val="auto"/>
          <w:sz w:val="28"/>
          <w:szCs w:val="28"/>
          <w:highlight w:val="none"/>
        </w:rPr>
      </w:pPr>
    </w:p>
    <w:p w14:paraId="3D17A0C9">
      <w:pPr>
        <w:pageBreakBefore w:val="0"/>
        <w:kinsoku/>
        <w:wordWrap/>
        <w:overflowPunct/>
        <w:topLinePunct w:val="0"/>
        <w:autoSpaceDE/>
        <w:autoSpaceDN/>
        <w:bidi w:val="0"/>
        <w:adjustRightInd/>
        <w:spacing w:line="560" w:lineRule="exact"/>
        <w:ind w:left="0" w:leftChars="0" w:right="0" w:firstLine="562" w:firstLineChars="20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bCs/>
          <w:color w:val="auto"/>
          <w:sz w:val="28"/>
          <w:szCs w:val="28"/>
          <w:highlight w:val="none"/>
        </w:rPr>
        <w:t>基本资格条件承诺函</w:t>
      </w:r>
    </w:p>
    <w:p w14:paraId="1B7D09E3">
      <w:pPr>
        <w:pageBreakBefore w:val="0"/>
        <w:tabs>
          <w:tab w:val="left" w:pos="6300"/>
        </w:tabs>
        <w:kinsoku/>
        <w:wordWrap/>
        <w:overflowPunct/>
        <w:topLinePunct w:val="0"/>
        <w:autoSpaceDE/>
        <w:autoSpaceDN/>
        <w:bidi w:val="0"/>
        <w:adjustRightInd/>
        <w:snapToGrid w:val="0"/>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致</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（采购人或代理机构名称）：</w:t>
      </w:r>
    </w:p>
    <w:p w14:paraId="6710F467">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（供应商名称）郑重承诺：</w:t>
      </w:r>
    </w:p>
    <w:p w14:paraId="1601F6BB">
      <w:pPr>
        <w:pageBreakBefore w:val="0"/>
        <w:kinsoku/>
        <w:wordWrap/>
        <w:overflowPunct/>
        <w:topLinePunct w:val="0"/>
        <w:autoSpaceDE/>
        <w:autoSpaceDN/>
        <w:bidi w:val="0"/>
        <w:adjustRightInd/>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1.我方具有良好的商业信誉和健全的财务会计制度，具有履行合同所必需的设备和专业技术能力，具</w:t>
      </w:r>
      <w:r>
        <w:rPr>
          <w:rFonts w:hint="eastAsia" w:asciiTheme="minorEastAsia" w:hAnsiTheme="minorEastAsia" w:eastAsiaTheme="minorEastAsia" w:cstheme="minorEastAsia"/>
          <w:color w:val="auto"/>
          <w:sz w:val="28"/>
          <w:szCs w:val="28"/>
          <w:highlight w:val="none"/>
          <w:lang w:val="zh-CN"/>
        </w:rPr>
        <w:t>有依法缴纳税收和社会保障金的良好记录</w:t>
      </w:r>
      <w:r>
        <w:rPr>
          <w:rFonts w:hint="eastAsia" w:asciiTheme="minorEastAsia" w:hAnsiTheme="minorEastAsia" w:eastAsiaTheme="minorEastAsia" w:cstheme="minorEastAsia"/>
          <w:color w:val="auto"/>
          <w:sz w:val="28"/>
          <w:szCs w:val="28"/>
          <w:highlight w:val="none"/>
        </w:rPr>
        <w:t>，参加本项目采购活动前三年内无重大违法活动记录。</w:t>
      </w:r>
    </w:p>
    <w:p w14:paraId="21E8C0DC">
      <w:pPr>
        <w:pageBreakBefore w:val="0"/>
        <w:kinsoku/>
        <w:wordWrap/>
        <w:overflowPunct/>
        <w:topLinePunct w:val="0"/>
        <w:autoSpaceDE/>
        <w:autoSpaceDN/>
        <w:bidi w:val="0"/>
        <w:adjustRightInd/>
        <w:spacing w:line="560" w:lineRule="exact"/>
        <w:ind w:left="0" w:leftChars="0" w:right="0" w:firstLine="560" w:firstLineChars="20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2.我方未列入在信用中国网站（www.creditchina.gov.cn）“失信被执行人”、“重大税收违法案件当事人名单”中，也未列入中国政府采购（www.ccgp.gov.cn）“政府采购严重违法失信行为记录名单”中。</w:t>
      </w:r>
    </w:p>
    <w:p w14:paraId="547D04AE">
      <w:pPr>
        <w:pageBreakBefore w:val="0"/>
        <w:kinsoku/>
        <w:wordWrap/>
        <w:overflowPunct/>
        <w:topLinePunct w:val="0"/>
        <w:autoSpaceDE/>
        <w:autoSpaceDN/>
        <w:bidi w:val="0"/>
        <w:adjustRightInd/>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3.我方在项目评审（评审）环节结束后，随时接受采购人、采购代理机构的检查验证，配合提供相关证明材料，证明符合供应商基本资格条件。</w:t>
      </w:r>
    </w:p>
    <w:p w14:paraId="2C9B042C">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我方对以上承诺负全部法律责任。</w:t>
      </w:r>
    </w:p>
    <w:p w14:paraId="4800D016">
      <w:pPr>
        <w:pageBreakBefore w:val="0"/>
        <w:tabs>
          <w:tab w:val="left" w:pos="6300"/>
        </w:tabs>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特此承诺。</w:t>
      </w:r>
    </w:p>
    <w:p w14:paraId="2F2BD192">
      <w:pPr>
        <w:pageBreakBefore w:val="0"/>
        <w:tabs>
          <w:tab w:val="left" w:pos="6300"/>
        </w:tabs>
        <w:kinsoku/>
        <w:wordWrap/>
        <w:overflowPunct/>
        <w:topLinePunct w:val="0"/>
        <w:autoSpaceDE/>
        <w:autoSpaceDN/>
        <w:bidi w:val="0"/>
        <w:adjustRightInd/>
        <w:snapToGrid w:val="0"/>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546D61BC">
      <w:pPr>
        <w:pageBreakBefore w:val="0"/>
        <w:tabs>
          <w:tab w:val="left" w:pos="6300"/>
        </w:tabs>
        <w:kinsoku/>
        <w:wordWrap/>
        <w:overflowPunct/>
        <w:topLinePunct w:val="0"/>
        <w:autoSpaceDE/>
        <w:autoSpaceDN/>
        <w:bidi w:val="0"/>
        <w:adjustRightInd/>
        <w:snapToGrid w:val="0"/>
        <w:spacing w:line="560" w:lineRule="exact"/>
        <w:ind w:left="0" w:leftChars="0" w:right="0" w:firstLine="570"/>
        <w:jc w:val="right"/>
        <w:textAlignment w:val="auto"/>
        <w:rPr>
          <w:rFonts w:hint="eastAsia" w:asciiTheme="minorEastAsia" w:hAnsiTheme="minorEastAsia" w:eastAsiaTheme="minorEastAsia" w:cstheme="minorEastAsia"/>
          <w:color w:val="auto"/>
          <w:sz w:val="28"/>
          <w:szCs w:val="28"/>
          <w:highlight w:val="none"/>
        </w:rPr>
      </w:pPr>
    </w:p>
    <w:p w14:paraId="1A1525CB">
      <w:pPr>
        <w:pageBreakBefore w:val="0"/>
        <w:tabs>
          <w:tab w:val="left" w:pos="6300"/>
        </w:tabs>
        <w:kinsoku/>
        <w:wordWrap/>
        <w:overflowPunct/>
        <w:topLinePunct w:val="0"/>
        <w:autoSpaceDE/>
        <w:autoSpaceDN/>
        <w:bidi w:val="0"/>
        <w:adjustRightInd/>
        <w:snapToGrid w:val="0"/>
        <w:spacing w:line="560" w:lineRule="exact"/>
        <w:ind w:left="0" w:leftChars="0" w:right="0" w:firstLine="570"/>
        <w:jc w:val="right"/>
        <w:textAlignment w:val="auto"/>
        <w:rPr>
          <w:rFonts w:hint="eastAsia" w:asciiTheme="minorEastAsia" w:hAnsiTheme="minorEastAsia" w:eastAsiaTheme="minorEastAsia" w:cstheme="minorEastAsia"/>
          <w:color w:val="auto"/>
          <w:sz w:val="28"/>
          <w:szCs w:val="28"/>
          <w:highlight w:val="none"/>
        </w:rPr>
      </w:pPr>
    </w:p>
    <w:p w14:paraId="73A1588F">
      <w:pPr>
        <w:pageBreakBefore w:val="0"/>
        <w:tabs>
          <w:tab w:val="left" w:pos="6300"/>
        </w:tabs>
        <w:kinsoku/>
        <w:wordWrap/>
        <w:overflowPunct/>
        <w:topLinePunct w:val="0"/>
        <w:autoSpaceDE/>
        <w:autoSpaceDN/>
        <w:bidi w:val="0"/>
        <w:adjustRightInd/>
        <w:snapToGrid w:val="0"/>
        <w:spacing w:line="560" w:lineRule="exact"/>
        <w:ind w:left="0" w:leftChars="0" w:right="0" w:firstLine="570"/>
        <w:jc w:val="right"/>
        <w:textAlignment w:val="auto"/>
        <w:rPr>
          <w:rFonts w:hint="eastAsia" w:asciiTheme="minorEastAsia" w:hAnsiTheme="minorEastAsia" w:eastAsiaTheme="minorEastAsia" w:cstheme="minorEastAsia"/>
          <w:color w:val="auto"/>
          <w:sz w:val="28"/>
          <w:szCs w:val="28"/>
          <w:highlight w:val="none"/>
        </w:rPr>
      </w:pPr>
    </w:p>
    <w:p w14:paraId="29C661A6">
      <w:pPr>
        <w:pageBreakBefore w:val="0"/>
        <w:tabs>
          <w:tab w:val="left" w:pos="6300"/>
        </w:tabs>
        <w:kinsoku/>
        <w:wordWrap/>
        <w:overflowPunct/>
        <w:topLinePunct w:val="0"/>
        <w:autoSpaceDE/>
        <w:autoSpaceDN/>
        <w:bidi w:val="0"/>
        <w:adjustRightInd/>
        <w:snapToGrid w:val="0"/>
        <w:spacing w:line="560" w:lineRule="exact"/>
        <w:ind w:left="0" w:leftChars="0" w:right="0" w:firstLine="570"/>
        <w:jc w:val="righ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（供应商公章）</w:t>
      </w:r>
    </w:p>
    <w:p w14:paraId="66925F07">
      <w:pPr>
        <w:pageBreakBefore w:val="0"/>
        <w:tabs>
          <w:tab w:val="left" w:pos="6300"/>
        </w:tabs>
        <w:kinsoku/>
        <w:wordWrap/>
        <w:overflowPunct/>
        <w:topLinePunct w:val="0"/>
        <w:autoSpaceDE/>
        <w:autoSpaceDN/>
        <w:bidi w:val="0"/>
        <w:adjustRightInd/>
        <w:snapToGrid w:val="0"/>
        <w:spacing w:line="560" w:lineRule="exact"/>
        <w:ind w:left="0" w:leftChars="0" w:right="0" w:firstLine="570"/>
        <w:jc w:val="righ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年   月   日</w:t>
      </w:r>
    </w:p>
    <w:p w14:paraId="760D36BB">
      <w:pPr>
        <w:pageBreakBefore w:val="0"/>
        <w:kinsoku/>
        <w:wordWrap/>
        <w:overflowPunct/>
        <w:topLinePunct w:val="0"/>
        <w:autoSpaceDE/>
        <w:autoSpaceDN/>
        <w:bidi w:val="0"/>
        <w:adjustRightInd/>
        <w:spacing w:line="560" w:lineRule="exact"/>
        <w:ind w:left="0" w:leftChars="0" w:right="0" w:firstLine="3080" w:firstLineChars="1100"/>
        <w:jc w:val="right"/>
        <w:textAlignment w:val="auto"/>
        <w:rPr>
          <w:rFonts w:hint="eastAsia" w:asciiTheme="minorEastAsia" w:hAnsiTheme="minorEastAsia" w:eastAsiaTheme="minorEastAsia" w:cstheme="minorEastAsia"/>
          <w:color w:val="auto"/>
          <w:sz w:val="28"/>
          <w:szCs w:val="28"/>
          <w:highlight w:val="none"/>
        </w:rPr>
      </w:pPr>
    </w:p>
    <w:bookmarkEnd w:id="392"/>
    <w:p w14:paraId="66531E48">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bookmarkStart w:id="418" w:name="_Toc22450"/>
      <w:bookmarkStart w:id="419" w:name="_Toc32708"/>
      <w:bookmarkStart w:id="420" w:name="_Toc19365"/>
      <w:bookmarkStart w:id="421" w:name="_Toc1814"/>
      <w:bookmarkStart w:id="422" w:name="_Toc9726"/>
    </w:p>
    <w:p w14:paraId="77666E0C">
      <w:pPr>
        <w:pageBreakBefore w:val="0"/>
        <w:kinsoku/>
        <w:wordWrap/>
        <w:overflowPunct/>
        <w:topLinePunct w:val="0"/>
        <w:autoSpaceDE/>
        <w:autoSpaceDN/>
        <w:bidi w:val="0"/>
        <w:adjustRightInd/>
        <w:spacing w:line="560" w:lineRule="exact"/>
        <w:ind w:left="0" w:leftChars="0" w:right="0" w:firstLine="562" w:firstLineChars="200"/>
        <w:textAlignment w:val="auto"/>
        <w:rPr>
          <w:rFonts w:hint="eastAsia" w:asciiTheme="minorEastAsia" w:hAnsiTheme="minorEastAsia" w:eastAsiaTheme="minorEastAsia" w:cstheme="minorEastAsia"/>
          <w:b/>
          <w:bCs/>
          <w:color w:val="auto"/>
          <w:sz w:val="28"/>
          <w:szCs w:val="28"/>
          <w:highlight w:val="none"/>
        </w:rPr>
      </w:pPr>
      <w:bookmarkStart w:id="423" w:name="_Toc13006"/>
      <w:r>
        <w:rPr>
          <w:rFonts w:hint="eastAsia" w:asciiTheme="minorEastAsia" w:hAnsiTheme="minorEastAsia" w:eastAsiaTheme="minorEastAsia" w:cstheme="minorEastAsia"/>
          <w:b/>
          <w:bCs/>
          <w:color w:val="auto"/>
          <w:sz w:val="28"/>
          <w:szCs w:val="28"/>
          <w:highlight w:val="none"/>
        </w:rPr>
        <w:br w:type="page"/>
      </w:r>
    </w:p>
    <w:p w14:paraId="66F213F5">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val="0"/>
          <w:bCs w:val="0"/>
          <w:color w:val="auto"/>
          <w:sz w:val="28"/>
          <w:szCs w:val="28"/>
          <w:highlight w:val="none"/>
        </w:rPr>
      </w:pPr>
      <w:bookmarkStart w:id="424" w:name="_Toc23748"/>
      <w:bookmarkStart w:id="425" w:name="_Toc10274"/>
      <w:bookmarkStart w:id="426" w:name="_Toc31862"/>
      <w:r>
        <w:rPr>
          <w:rFonts w:hint="eastAsia" w:asciiTheme="minorEastAsia" w:hAnsiTheme="minorEastAsia" w:eastAsiaTheme="minorEastAsia" w:cstheme="minorEastAsia"/>
          <w:b w:val="0"/>
          <w:bCs w:val="0"/>
          <w:color w:val="auto"/>
          <w:sz w:val="28"/>
          <w:szCs w:val="28"/>
          <w:highlight w:val="none"/>
        </w:rPr>
        <w:t>（五）特定资格条件证明材料（如有）</w:t>
      </w:r>
    </w:p>
    <w:p w14:paraId="66BBCD8D">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br w:type="page"/>
      </w:r>
    </w:p>
    <w:bookmarkEnd w:id="424"/>
    <w:bookmarkEnd w:id="425"/>
    <w:bookmarkEnd w:id="426"/>
    <w:p w14:paraId="60589612">
      <w:pPr>
        <w:pageBreakBefore w:val="0"/>
        <w:kinsoku/>
        <w:wordWrap/>
        <w:overflowPunct/>
        <w:topLinePunct w:val="0"/>
        <w:autoSpaceDE/>
        <w:autoSpaceDN/>
        <w:bidi w:val="0"/>
        <w:adjustRightInd/>
        <w:spacing w:line="560" w:lineRule="exact"/>
        <w:ind w:left="0" w:leftChars="0" w:right="0"/>
        <w:textAlignment w:val="auto"/>
        <w:outlineLvl w:val="1"/>
        <w:rPr>
          <w:rFonts w:hint="eastAsia" w:asciiTheme="minorEastAsia" w:hAnsiTheme="minorEastAsia" w:eastAsiaTheme="minorEastAsia" w:cstheme="minorEastAsia"/>
          <w:b/>
          <w:bCs/>
          <w:color w:val="auto"/>
          <w:sz w:val="28"/>
          <w:szCs w:val="28"/>
          <w:highlight w:val="none"/>
        </w:rPr>
      </w:pPr>
      <w:bookmarkStart w:id="427" w:name="_Toc15378"/>
      <w:bookmarkStart w:id="428" w:name="_Toc29622"/>
      <w:bookmarkStart w:id="429" w:name="_Toc12587"/>
      <w:bookmarkStart w:id="430" w:name="_Toc7713"/>
      <w:bookmarkStart w:id="431" w:name="_Toc29104"/>
      <w:r>
        <w:rPr>
          <w:rFonts w:hint="eastAsia" w:asciiTheme="minorEastAsia" w:hAnsiTheme="minorEastAsia" w:eastAsiaTheme="minorEastAsia" w:cstheme="minorEastAsia"/>
          <w:b/>
          <w:bCs/>
          <w:color w:val="auto"/>
          <w:sz w:val="28"/>
          <w:szCs w:val="28"/>
          <w:highlight w:val="none"/>
        </w:rPr>
        <w:t>三、</w:t>
      </w:r>
      <w:bookmarkEnd w:id="418"/>
      <w:bookmarkEnd w:id="419"/>
      <w:bookmarkEnd w:id="420"/>
      <w:bookmarkEnd w:id="421"/>
      <w:bookmarkEnd w:id="423"/>
      <w:bookmarkEnd w:id="427"/>
      <w:bookmarkEnd w:id="428"/>
      <w:bookmarkEnd w:id="429"/>
      <w:r>
        <w:rPr>
          <w:rFonts w:hint="eastAsia" w:asciiTheme="minorEastAsia" w:hAnsiTheme="minorEastAsia" w:eastAsiaTheme="minorEastAsia" w:cstheme="minorEastAsia"/>
          <w:b/>
          <w:bCs/>
          <w:color w:val="auto"/>
          <w:sz w:val="28"/>
          <w:szCs w:val="28"/>
          <w:highlight w:val="none"/>
          <w:lang w:eastAsia="zh-CN"/>
        </w:rPr>
        <w:t>技术（服务）</w:t>
      </w:r>
      <w:r>
        <w:rPr>
          <w:rFonts w:hint="eastAsia" w:asciiTheme="minorEastAsia" w:hAnsiTheme="minorEastAsia" w:eastAsiaTheme="minorEastAsia" w:cstheme="minorEastAsia"/>
          <w:b/>
          <w:bCs/>
          <w:color w:val="auto"/>
          <w:sz w:val="28"/>
          <w:szCs w:val="28"/>
          <w:highlight w:val="none"/>
        </w:rPr>
        <w:t>部分</w:t>
      </w:r>
      <w:bookmarkEnd w:id="430"/>
      <w:bookmarkEnd w:id="431"/>
    </w:p>
    <w:p w14:paraId="17B895CD">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bookmarkStart w:id="432" w:name="_Toc17114"/>
      <w:bookmarkStart w:id="433" w:name="_Toc13297"/>
      <w:bookmarkStart w:id="434" w:name="_Toc8181"/>
      <w:r>
        <w:rPr>
          <w:rFonts w:hint="eastAsia" w:asciiTheme="minorEastAsia" w:hAnsiTheme="minorEastAsia" w:eastAsiaTheme="minorEastAsia" w:cstheme="minorEastAsia"/>
          <w:b/>
          <w:bCs/>
          <w:color w:val="auto"/>
          <w:sz w:val="28"/>
          <w:szCs w:val="28"/>
          <w:highlight w:val="none"/>
        </w:rPr>
        <w:t>（一）</w:t>
      </w:r>
      <w:r>
        <w:rPr>
          <w:rFonts w:hint="eastAsia" w:asciiTheme="minorEastAsia" w:hAnsiTheme="minorEastAsia" w:eastAsiaTheme="minorEastAsia" w:cstheme="minorEastAsia"/>
          <w:b/>
          <w:bCs/>
          <w:color w:val="auto"/>
          <w:sz w:val="28"/>
          <w:szCs w:val="28"/>
          <w:highlight w:val="none"/>
          <w:lang w:eastAsia="zh-CN"/>
        </w:rPr>
        <w:t>技术（服务）</w:t>
      </w:r>
      <w:r>
        <w:rPr>
          <w:rFonts w:hint="eastAsia" w:asciiTheme="minorEastAsia" w:hAnsiTheme="minorEastAsia" w:eastAsiaTheme="minorEastAsia" w:cstheme="minorEastAsia"/>
          <w:b/>
          <w:bCs/>
          <w:color w:val="auto"/>
          <w:sz w:val="28"/>
          <w:szCs w:val="28"/>
          <w:highlight w:val="none"/>
        </w:rPr>
        <w:t>条款差异表</w:t>
      </w:r>
      <w:bookmarkEnd w:id="432"/>
      <w:bookmarkEnd w:id="433"/>
      <w:bookmarkEnd w:id="434"/>
    </w:p>
    <w:bookmarkEnd w:id="422"/>
    <w:p w14:paraId="650A34DD">
      <w:pPr>
        <w:pageBreakBefore w:val="0"/>
        <w:tabs>
          <w:tab w:val="left" w:pos="720"/>
        </w:tabs>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eastAsia="zh-CN"/>
        </w:rPr>
        <w:t>技术（服务）</w:t>
      </w:r>
      <w:r>
        <w:rPr>
          <w:rFonts w:hint="eastAsia" w:asciiTheme="minorEastAsia" w:hAnsiTheme="minorEastAsia" w:eastAsiaTheme="minorEastAsia" w:cstheme="minorEastAsia"/>
          <w:color w:val="auto"/>
          <w:sz w:val="28"/>
          <w:szCs w:val="28"/>
          <w:highlight w:val="none"/>
        </w:rPr>
        <w:t>条款差异表</w:t>
      </w:r>
    </w:p>
    <w:tbl>
      <w:tblPr>
        <w:tblStyle w:val="26"/>
        <w:tblW w:w="9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3035"/>
        <w:gridCol w:w="3154"/>
        <w:gridCol w:w="2363"/>
      </w:tblGrid>
      <w:tr w14:paraId="40BAE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301" w:type="dxa"/>
            <w:vAlign w:val="center"/>
          </w:tcPr>
          <w:p w14:paraId="485F886C">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bookmarkStart w:id="435" w:name="_Toc11598"/>
            <w:bookmarkStart w:id="436" w:name="_Toc32321"/>
            <w:bookmarkStart w:id="437" w:name="_Toc19618"/>
            <w:bookmarkStart w:id="438" w:name="_Toc11785"/>
            <w:bookmarkStart w:id="439" w:name="_Toc20881"/>
            <w:bookmarkStart w:id="440" w:name="_Toc26811"/>
            <w:r>
              <w:rPr>
                <w:rFonts w:hint="eastAsia" w:asciiTheme="minorEastAsia" w:hAnsiTheme="minorEastAsia" w:eastAsiaTheme="minorEastAsia" w:cstheme="minorEastAsia"/>
                <w:color w:val="auto"/>
                <w:sz w:val="28"/>
                <w:szCs w:val="28"/>
                <w:highlight w:val="none"/>
              </w:rPr>
              <w:t>序号</w:t>
            </w:r>
            <w:bookmarkEnd w:id="435"/>
            <w:bookmarkEnd w:id="436"/>
            <w:bookmarkEnd w:id="437"/>
            <w:bookmarkEnd w:id="438"/>
            <w:bookmarkEnd w:id="439"/>
            <w:bookmarkEnd w:id="440"/>
          </w:p>
        </w:tc>
        <w:tc>
          <w:tcPr>
            <w:tcW w:w="3035" w:type="dxa"/>
            <w:vAlign w:val="center"/>
          </w:tcPr>
          <w:p w14:paraId="5B95CA9A">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bookmarkStart w:id="441" w:name="_Toc23124"/>
            <w:bookmarkStart w:id="442" w:name="_Toc10531"/>
            <w:bookmarkStart w:id="443" w:name="_Toc22352"/>
            <w:bookmarkStart w:id="444" w:name="_Toc18303"/>
            <w:bookmarkStart w:id="445" w:name="_Toc22837"/>
            <w:bookmarkStart w:id="446" w:name="_Toc25371"/>
            <w:r>
              <w:rPr>
                <w:rFonts w:hint="eastAsia" w:asciiTheme="minorEastAsia" w:hAnsiTheme="minorEastAsia" w:eastAsiaTheme="minorEastAsia" w:cstheme="minorEastAsia"/>
                <w:color w:val="auto"/>
                <w:sz w:val="28"/>
                <w:szCs w:val="28"/>
                <w:highlight w:val="none"/>
              </w:rPr>
              <w:t>项目</w:t>
            </w:r>
            <w:bookmarkEnd w:id="441"/>
            <w:bookmarkEnd w:id="442"/>
            <w:bookmarkEnd w:id="443"/>
            <w:bookmarkEnd w:id="444"/>
            <w:bookmarkEnd w:id="445"/>
            <w:bookmarkEnd w:id="446"/>
            <w:r>
              <w:rPr>
                <w:rFonts w:hint="eastAsia" w:asciiTheme="minorEastAsia" w:hAnsiTheme="minorEastAsia" w:eastAsiaTheme="minorEastAsia" w:cstheme="minorEastAsia"/>
                <w:color w:val="auto"/>
                <w:sz w:val="28"/>
                <w:szCs w:val="28"/>
                <w:highlight w:val="none"/>
              </w:rPr>
              <w:t>要求</w:t>
            </w:r>
          </w:p>
        </w:tc>
        <w:tc>
          <w:tcPr>
            <w:tcW w:w="3154" w:type="dxa"/>
            <w:vAlign w:val="center"/>
          </w:tcPr>
          <w:p w14:paraId="56272F6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bookmarkStart w:id="447" w:name="_Toc22442"/>
            <w:bookmarkStart w:id="448" w:name="_Toc11743"/>
            <w:bookmarkStart w:id="449" w:name="_Toc23328"/>
            <w:bookmarkStart w:id="450" w:name="_Toc27763"/>
            <w:bookmarkStart w:id="451" w:name="_Toc2096"/>
            <w:bookmarkStart w:id="452" w:name="_Toc2477"/>
            <w:r>
              <w:rPr>
                <w:rFonts w:hint="eastAsia" w:asciiTheme="minorEastAsia" w:hAnsiTheme="minorEastAsia" w:eastAsiaTheme="minorEastAsia" w:cstheme="minorEastAsia"/>
                <w:color w:val="auto"/>
                <w:sz w:val="28"/>
                <w:szCs w:val="28"/>
                <w:highlight w:val="none"/>
              </w:rPr>
              <w:t>响应情况</w:t>
            </w:r>
            <w:bookmarkEnd w:id="447"/>
            <w:bookmarkEnd w:id="448"/>
            <w:bookmarkEnd w:id="449"/>
            <w:bookmarkEnd w:id="450"/>
            <w:bookmarkEnd w:id="451"/>
            <w:bookmarkEnd w:id="452"/>
          </w:p>
        </w:tc>
        <w:tc>
          <w:tcPr>
            <w:tcW w:w="2363" w:type="dxa"/>
            <w:vAlign w:val="center"/>
          </w:tcPr>
          <w:p w14:paraId="3B779948">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bookmarkStart w:id="453" w:name="_Toc3009"/>
            <w:bookmarkStart w:id="454" w:name="_Toc14056"/>
            <w:bookmarkStart w:id="455" w:name="_Toc16701"/>
            <w:bookmarkStart w:id="456" w:name="_Toc5026"/>
            <w:bookmarkStart w:id="457" w:name="_Toc30250"/>
            <w:bookmarkStart w:id="458" w:name="_Toc10595"/>
            <w:r>
              <w:rPr>
                <w:rFonts w:hint="eastAsia" w:asciiTheme="minorEastAsia" w:hAnsiTheme="minorEastAsia" w:eastAsiaTheme="minorEastAsia" w:cstheme="minorEastAsia"/>
                <w:color w:val="auto"/>
                <w:sz w:val="28"/>
                <w:szCs w:val="28"/>
                <w:highlight w:val="none"/>
              </w:rPr>
              <w:t>差异说明</w:t>
            </w:r>
            <w:bookmarkEnd w:id="453"/>
            <w:bookmarkEnd w:id="454"/>
            <w:bookmarkEnd w:id="455"/>
            <w:bookmarkEnd w:id="456"/>
            <w:bookmarkEnd w:id="457"/>
            <w:bookmarkEnd w:id="458"/>
          </w:p>
        </w:tc>
      </w:tr>
      <w:tr w14:paraId="2E1DE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1" w:type="dxa"/>
            <w:vAlign w:val="center"/>
          </w:tcPr>
          <w:p w14:paraId="75ED56EC">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5" w:type="dxa"/>
            <w:vAlign w:val="center"/>
          </w:tcPr>
          <w:p w14:paraId="5FCD6A26">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4" w:type="dxa"/>
            <w:vAlign w:val="center"/>
          </w:tcPr>
          <w:p w14:paraId="5B9A421C">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59126C01">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4F9C5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1" w:type="dxa"/>
            <w:vAlign w:val="center"/>
          </w:tcPr>
          <w:p w14:paraId="5305EECF">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5" w:type="dxa"/>
            <w:vAlign w:val="center"/>
          </w:tcPr>
          <w:p w14:paraId="4CDC545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4" w:type="dxa"/>
            <w:vAlign w:val="center"/>
          </w:tcPr>
          <w:p w14:paraId="2CCA1E2B">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44C95CDD">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03586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1" w:type="dxa"/>
            <w:vAlign w:val="center"/>
          </w:tcPr>
          <w:p w14:paraId="04435EB1">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5" w:type="dxa"/>
            <w:vAlign w:val="center"/>
          </w:tcPr>
          <w:p w14:paraId="1C87B64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4" w:type="dxa"/>
            <w:vAlign w:val="center"/>
          </w:tcPr>
          <w:p w14:paraId="293C9FCC">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476DFA56">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7127E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1" w:type="dxa"/>
            <w:vAlign w:val="center"/>
          </w:tcPr>
          <w:p w14:paraId="35EBCCA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5" w:type="dxa"/>
            <w:vAlign w:val="center"/>
          </w:tcPr>
          <w:p w14:paraId="12ADEC2B">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4" w:type="dxa"/>
            <w:vAlign w:val="center"/>
          </w:tcPr>
          <w:p w14:paraId="62AD89B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4DC9A9BD">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4E477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1" w:type="dxa"/>
            <w:vAlign w:val="center"/>
          </w:tcPr>
          <w:p w14:paraId="76E8853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5" w:type="dxa"/>
            <w:vAlign w:val="center"/>
          </w:tcPr>
          <w:p w14:paraId="289265F6">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4" w:type="dxa"/>
            <w:vAlign w:val="center"/>
          </w:tcPr>
          <w:p w14:paraId="10AB405B">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3A2C1682">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6679E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1" w:type="dxa"/>
            <w:vAlign w:val="center"/>
          </w:tcPr>
          <w:p w14:paraId="1AB6536A">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5" w:type="dxa"/>
            <w:vAlign w:val="center"/>
          </w:tcPr>
          <w:p w14:paraId="7D0215E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4" w:type="dxa"/>
            <w:vAlign w:val="center"/>
          </w:tcPr>
          <w:p w14:paraId="73DCB413">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1A8CA00C">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760C1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1" w:type="dxa"/>
            <w:vAlign w:val="center"/>
          </w:tcPr>
          <w:p w14:paraId="7B7C6BD6">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5" w:type="dxa"/>
            <w:vAlign w:val="center"/>
          </w:tcPr>
          <w:p w14:paraId="3F15A1D1">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4" w:type="dxa"/>
            <w:vAlign w:val="center"/>
          </w:tcPr>
          <w:p w14:paraId="2CBE4489">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479B90FC">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46F3B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1" w:type="dxa"/>
            <w:vAlign w:val="center"/>
          </w:tcPr>
          <w:p w14:paraId="6EB4B7BF">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5" w:type="dxa"/>
            <w:vAlign w:val="center"/>
          </w:tcPr>
          <w:p w14:paraId="5DF5C94F">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4" w:type="dxa"/>
            <w:vAlign w:val="center"/>
          </w:tcPr>
          <w:p w14:paraId="496ADE58">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1391EFC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bl>
    <w:p w14:paraId="0A850915">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40D6384C">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供应商名称（公章）：                      法定代表人或授权代表（签署或盖章）：</w:t>
      </w:r>
    </w:p>
    <w:p w14:paraId="0BB8B215">
      <w:pPr>
        <w:pageBreakBefore w:val="0"/>
        <w:kinsoku/>
        <w:wordWrap/>
        <w:overflowPunct/>
        <w:topLinePunct w:val="0"/>
        <w:autoSpaceDE/>
        <w:autoSpaceDN/>
        <w:bidi w:val="0"/>
        <w:adjustRightInd/>
        <w:spacing w:line="560" w:lineRule="exact"/>
        <w:ind w:left="0" w:leftChars="0" w:right="0" w:firstLine="480"/>
        <w:jc w:val="right"/>
        <w:textAlignment w:val="auto"/>
        <w:rPr>
          <w:rFonts w:hint="eastAsia" w:asciiTheme="minorEastAsia" w:hAnsiTheme="minorEastAsia" w:eastAsiaTheme="minorEastAsia" w:cstheme="minorEastAsia"/>
          <w:color w:val="auto"/>
          <w:sz w:val="28"/>
          <w:szCs w:val="28"/>
          <w:highlight w:val="none"/>
        </w:rPr>
      </w:pPr>
    </w:p>
    <w:p w14:paraId="509B0D7E">
      <w:pPr>
        <w:pageBreakBefore w:val="0"/>
        <w:kinsoku/>
        <w:wordWrap/>
        <w:overflowPunct/>
        <w:topLinePunct w:val="0"/>
        <w:autoSpaceDE/>
        <w:autoSpaceDN/>
        <w:bidi w:val="0"/>
        <w:adjustRightInd/>
        <w:spacing w:line="560" w:lineRule="exact"/>
        <w:ind w:left="0" w:leftChars="0" w:right="0" w:firstLine="480"/>
        <w:jc w:val="righ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年  月  日</w:t>
      </w:r>
    </w:p>
    <w:p w14:paraId="079B1863">
      <w:pPr>
        <w:pStyle w:val="38"/>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注：</w:t>
      </w:r>
    </w:p>
    <w:p w14:paraId="5A02403D">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1.本表即为对本项目“第二篇”</w:t>
      </w:r>
      <w:r>
        <w:rPr>
          <w:rFonts w:hint="eastAsia" w:asciiTheme="minorEastAsia" w:hAnsiTheme="minorEastAsia" w:eastAsiaTheme="minorEastAsia" w:cstheme="minorEastAsia"/>
          <w:color w:val="auto"/>
          <w:sz w:val="28"/>
          <w:szCs w:val="28"/>
          <w:highlight w:val="none"/>
          <w:lang w:val="en-US" w:eastAsia="zh-CN"/>
        </w:rPr>
        <w:t>要求</w:t>
      </w:r>
      <w:r>
        <w:rPr>
          <w:rFonts w:hint="eastAsia" w:asciiTheme="minorEastAsia" w:hAnsiTheme="minorEastAsia" w:eastAsiaTheme="minorEastAsia" w:cstheme="minorEastAsia"/>
          <w:color w:val="auto"/>
          <w:sz w:val="28"/>
          <w:szCs w:val="28"/>
          <w:highlight w:val="none"/>
        </w:rPr>
        <w:t>进行比较和响应；</w:t>
      </w:r>
    </w:p>
    <w:p w14:paraId="1ABAA672">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2.该表必须按照竞采文件要求如实填写，根据响应情况在“差异说明”项填写“无差异”或正负偏离说明，※条款不得负偏离响应，否则作无效响应处理；</w:t>
      </w:r>
    </w:p>
    <w:p w14:paraId="45E25395">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3.该表可扩展；</w:t>
      </w:r>
    </w:p>
    <w:p w14:paraId="46E42C44">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4.可附相关技术支撑材料。（如有，格式自定。）</w:t>
      </w:r>
    </w:p>
    <w:p w14:paraId="1F0E43A7">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br w:type="page"/>
      </w:r>
    </w:p>
    <w:p w14:paraId="3D3AD4B0">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val="0"/>
          <w:bCs w:val="0"/>
          <w:color w:val="auto"/>
          <w:sz w:val="28"/>
          <w:szCs w:val="28"/>
          <w:highlight w:val="none"/>
        </w:rPr>
      </w:pPr>
      <w:bookmarkStart w:id="459" w:name="_Toc13717"/>
      <w:r>
        <w:rPr>
          <w:rFonts w:hint="eastAsia" w:asciiTheme="minorEastAsia" w:hAnsiTheme="minorEastAsia" w:eastAsiaTheme="minorEastAsia" w:cstheme="minorEastAsia"/>
          <w:b w:val="0"/>
          <w:bCs w:val="0"/>
          <w:color w:val="auto"/>
          <w:sz w:val="28"/>
          <w:szCs w:val="28"/>
          <w:highlight w:val="none"/>
        </w:rPr>
        <w:t>（二）其他</w:t>
      </w:r>
      <w:bookmarkEnd w:id="459"/>
      <w:r>
        <w:rPr>
          <w:rFonts w:hint="eastAsia" w:asciiTheme="minorEastAsia" w:hAnsiTheme="minorEastAsia" w:eastAsiaTheme="minorEastAsia" w:cstheme="minorEastAsia"/>
          <w:b w:val="0"/>
          <w:bCs w:val="0"/>
          <w:color w:val="auto"/>
          <w:sz w:val="28"/>
          <w:szCs w:val="28"/>
          <w:highlight w:val="none"/>
          <w:lang w:eastAsia="zh-CN"/>
        </w:rPr>
        <w:t>技术（服务）</w:t>
      </w:r>
      <w:r>
        <w:rPr>
          <w:rFonts w:hint="eastAsia" w:asciiTheme="minorEastAsia" w:hAnsiTheme="minorEastAsia" w:eastAsiaTheme="minorEastAsia" w:cstheme="minorEastAsia"/>
          <w:b w:val="0"/>
          <w:bCs w:val="0"/>
          <w:color w:val="auto"/>
          <w:sz w:val="28"/>
          <w:szCs w:val="28"/>
          <w:highlight w:val="none"/>
        </w:rPr>
        <w:t>部分相关资料（自拟）</w:t>
      </w:r>
    </w:p>
    <w:p w14:paraId="41D11EF6">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br w:type="page"/>
      </w:r>
      <w:bookmarkStart w:id="460" w:name="_Toc18349"/>
      <w:bookmarkStart w:id="461" w:name="_Toc5262"/>
      <w:bookmarkStart w:id="462" w:name="_Toc2630"/>
      <w:bookmarkStart w:id="463" w:name="_Toc16264"/>
      <w:bookmarkStart w:id="464" w:name="_Toc27337"/>
    </w:p>
    <w:p w14:paraId="5AA4CCBE">
      <w:pPr>
        <w:pageBreakBefore w:val="0"/>
        <w:kinsoku/>
        <w:wordWrap/>
        <w:overflowPunct/>
        <w:topLinePunct w:val="0"/>
        <w:autoSpaceDE/>
        <w:autoSpaceDN/>
        <w:bidi w:val="0"/>
        <w:adjustRightInd/>
        <w:spacing w:line="560" w:lineRule="exact"/>
        <w:ind w:left="0" w:leftChars="0" w:right="0"/>
        <w:textAlignment w:val="auto"/>
        <w:outlineLvl w:val="1"/>
        <w:rPr>
          <w:rFonts w:hint="eastAsia" w:asciiTheme="minorEastAsia" w:hAnsiTheme="minorEastAsia" w:eastAsiaTheme="minorEastAsia" w:cstheme="minorEastAsia"/>
          <w:b/>
          <w:bCs/>
          <w:color w:val="auto"/>
          <w:sz w:val="28"/>
          <w:szCs w:val="28"/>
          <w:highlight w:val="none"/>
        </w:rPr>
      </w:pPr>
      <w:bookmarkStart w:id="465" w:name="_Toc28286"/>
      <w:bookmarkStart w:id="466" w:name="_Toc17521"/>
      <w:bookmarkStart w:id="467" w:name="_Toc12301"/>
      <w:bookmarkStart w:id="468" w:name="_Toc11036"/>
      <w:bookmarkStart w:id="469" w:name="_Toc12163"/>
      <w:r>
        <w:rPr>
          <w:rFonts w:hint="eastAsia" w:asciiTheme="minorEastAsia" w:hAnsiTheme="minorEastAsia" w:eastAsiaTheme="minorEastAsia" w:cstheme="minorEastAsia"/>
          <w:b/>
          <w:bCs/>
          <w:color w:val="auto"/>
          <w:sz w:val="28"/>
          <w:szCs w:val="28"/>
          <w:highlight w:val="none"/>
        </w:rPr>
        <w:t>四、</w:t>
      </w:r>
      <w:bookmarkEnd w:id="460"/>
      <w:bookmarkEnd w:id="461"/>
      <w:bookmarkEnd w:id="462"/>
      <w:bookmarkEnd w:id="463"/>
      <w:bookmarkEnd w:id="464"/>
      <w:bookmarkEnd w:id="465"/>
      <w:bookmarkEnd w:id="466"/>
      <w:r>
        <w:rPr>
          <w:rFonts w:hint="eastAsia" w:asciiTheme="minorEastAsia" w:hAnsiTheme="minorEastAsia" w:eastAsiaTheme="minorEastAsia" w:cstheme="minorEastAsia"/>
          <w:b/>
          <w:bCs/>
          <w:color w:val="auto"/>
          <w:sz w:val="28"/>
          <w:szCs w:val="28"/>
          <w:highlight w:val="none"/>
        </w:rPr>
        <w:t>商务部分</w:t>
      </w:r>
      <w:bookmarkEnd w:id="467"/>
      <w:bookmarkEnd w:id="468"/>
      <w:bookmarkEnd w:id="469"/>
    </w:p>
    <w:p w14:paraId="6BD1C007">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b/>
          <w:bCs/>
          <w:color w:val="auto"/>
          <w:sz w:val="28"/>
          <w:szCs w:val="28"/>
          <w:highlight w:val="none"/>
        </w:rPr>
      </w:pPr>
    </w:p>
    <w:p w14:paraId="6F730CD1">
      <w:pPr>
        <w:pageBreakBefore w:val="0"/>
        <w:kinsoku/>
        <w:wordWrap/>
        <w:overflowPunct/>
        <w:topLinePunct w:val="0"/>
        <w:autoSpaceDE/>
        <w:autoSpaceDN/>
        <w:bidi w:val="0"/>
        <w:adjustRightInd/>
        <w:snapToGrid w:val="0"/>
        <w:spacing w:line="560" w:lineRule="exact"/>
        <w:ind w:left="0" w:leftChars="0" w:right="0" w:firstLine="562" w:firstLineChars="200"/>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rPr>
        <w:t>（一）投标函</w:t>
      </w:r>
    </w:p>
    <w:p w14:paraId="61B9FE2E">
      <w:pPr>
        <w:pageBreakBefore w:val="0"/>
        <w:kinsoku/>
        <w:wordWrap/>
        <w:overflowPunct/>
        <w:topLinePunct w:val="0"/>
        <w:autoSpaceDE/>
        <w:autoSpaceDN/>
        <w:bidi w:val="0"/>
        <w:adjustRightInd/>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项目名称：</w:t>
      </w:r>
      <w:r>
        <w:rPr>
          <w:rFonts w:hint="eastAsia" w:asciiTheme="minorEastAsia" w:hAnsiTheme="minorEastAsia" w:eastAsiaTheme="minorEastAsia" w:cstheme="minorEastAsia"/>
          <w:color w:val="auto"/>
          <w:sz w:val="28"/>
          <w:szCs w:val="28"/>
          <w:highlight w:val="none"/>
          <w:u w:val="single"/>
        </w:rPr>
        <w:t xml:space="preserve">                                             </w:t>
      </w:r>
    </w:p>
    <w:p w14:paraId="765A1692">
      <w:pPr>
        <w:pageBreakBefore w:val="0"/>
        <w:tabs>
          <w:tab w:val="left" w:pos="6300"/>
        </w:tabs>
        <w:kinsoku/>
        <w:wordWrap/>
        <w:overflowPunct/>
        <w:topLinePunct w:val="0"/>
        <w:autoSpaceDE/>
        <w:autoSpaceDN/>
        <w:bidi w:val="0"/>
        <w:adjustRightInd/>
        <w:snapToGrid w:val="0"/>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致：</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（采购人或代理机构名称）：</w:t>
      </w:r>
    </w:p>
    <w:p w14:paraId="0DD54D53">
      <w:pPr>
        <w:pageBreakBefore w:val="0"/>
        <w:kinsoku/>
        <w:wordWrap/>
        <w:overflowPunct/>
        <w:topLinePunct w:val="0"/>
        <w:autoSpaceDE/>
        <w:autoSpaceDN/>
        <w:bidi w:val="0"/>
        <w:adjustRightInd/>
        <w:snapToGrid w:val="0"/>
        <w:spacing w:line="560" w:lineRule="exact"/>
        <w:ind w:left="0" w:leftChars="0" w:right="0" w:firstLine="560" w:firstLineChars="20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（供应商名称），注册地址：</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。我方就参加本次采购有关事项郑重声明如下：</w:t>
      </w:r>
    </w:p>
    <w:p w14:paraId="030FBABB">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bookmarkStart w:id="470" w:name="_Toc15412"/>
      <w:bookmarkStart w:id="471" w:name="_Toc8065"/>
      <w:r>
        <w:rPr>
          <w:rFonts w:hint="eastAsia" w:asciiTheme="minorEastAsia" w:hAnsiTheme="minorEastAsia" w:eastAsiaTheme="minorEastAsia" w:cstheme="minorEastAsia"/>
          <w:color w:val="auto"/>
          <w:sz w:val="28"/>
          <w:szCs w:val="28"/>
          <w:highlight w:val="none"/>
        </w:rPr>
        <w:t>一、我方完全理解并接受该项目竞采文件所有要求。</w:t>
      </w:r>
      <w:bookmarkEnd w:id="470"/>
      <w:bookmarkEnd w:id="471"/>
    </w:p>
    <w:p w14:paraId="20CA2951">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二、我方提交的所有响应文件、资料都是准确和真实的，如有虚假或隐瞒，我方愿意承担一切法律责任。</w:t>
      </w:r>
    </w:p>
    <w:p w14:paraId="31523F80">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三、我方承诺按照竞采文件要求，提供本项目的工作。</w:t>
      </w:r>
    </w:p>
    <w:p w14:paraId="1C416DC6">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bookmarkStart w:id="472" w:name="_Toc5527"/>
      <w:bookmarkStart w:id="473" w:name="_Toc10192"/>
      <w:r>
        <w:rPr>
          <w:rFonts w:hint="eastAsia" w:asciiTheme="minorEastAsia" w:hAnsiTheme="minorEastAsia" w:eastAsia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rPr>
        <w:t>、我方承诺：本次竞采有效期为递交响应文件截止起90天。</w:t>
      </w:r>
      <w:bookmarkEnd w:id="472"/>
      <w:bookmarkEnd w:id="473"/>
    </w:p>
    <w:p w14:paraId="1B2D9630">
      <w:pPr>
        <w:pageBreakBefore w:val="0"/>
        <w:kinsoku/>
        <w:wordWrap/>
        <w:overflowPunct/>
        <w:topLinePunct w:val="0"/>
        <w:autoSpaceDE/>
        <w:autoSpaceDN/>
        <w:bidi w:val="0"/>
        <w:adjustRightInd/>
        <w:snapToGrid w:val="0"/>
        <w:spacing w:line="560" w:lineRule="exact"/>
        <w:ind w:left="0" w:leftChars="0" w:right="0" w:firstLine="562" w:firstLineChars="200"/>
        <w:textAlignment w:val="auto"/>
        <w:rPr>
          <w:rFonts w:hint="eastAsia" w:asciiTheme="minorEastAsia" w:hAnsiTheme="minorEastAsia" w:eastAsiaTheme="minorEastAsia" w:cstheme="minorEastAsia"/>
          <w:b/>
          <w:bCs/>
          <w:color w:val="auto"/>
          <w:sz w:val="28"/>
          <w:szCs w:val="28"/>
          <w:highlight w:val="none"/>
        </w:rPr>
      </w:pPr>
      <w:r>
        <w:rPr>
          <w:rFonts w:hint="eastAsia" w:asciiTheme="minorEastAsia" w:hAnsiTheme="minorEastAsia" w:eastAsiaTheme="minorEastAsia" w:cstheme="minorEastAsia"/>
          <w:b/>
          <w:bCs/>
          <w:color w:val="auto"/>
          <w:sz w:val="28"/>
          <w:szCs w:val="28"/>
          <w:highlight w:val="none"/>
          <w:lang w:val="en-US" w:eastAsia="zh-CN"/>
        </w:rPr>
        <w:t>五</w:t>
      </w:r>
      <w:r>
        <w:rPr>
          <w:rFonts w:hint="eastAsia" w:asciiTheme="minorEastAsia" w:hAnsiTheme="minorEastAsia" w:eastAsiaTheme="minorEastAsia" w:cstheme="minorEastAsia"/>
          <w:b/>
          <w:bCs/>
          <w:color w:val="auto"/>
          <w:sz w:val="28"/>
          <w:szCs w:val="28"/>
          <w:highlight w:val="none"/>
        </w:rPr>
        <w:t>、我方报价中的报价为闭口价，即在竞采有效期和合同有效期内，报价不变。</w:t>
      </w:r>
    </w:p>
    <w:p w14:paraId="7DA76437">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rPr>
        <w:t>、如果我方成为成交供应商，我方将履行竞采文件中规定的各项要求以及我方响应文件的各项承诺，按相关法律法规及合同约定条款承担我方责任。</w:t>
      </w:r>
    </w:p>
    <w:p w14:paraId="465A24F4">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七</w:t>
      </w:r>
      <w:r>
        <w:rPr>
          <w:rFonts w:hint="eastAsia" w:asciiTheme="minorEastAsia" w:hAnsiTheme="minorEastAsia" w:eastAsiaTheme="minorEastAsia" w:cstheme="minorEastAsia"/>
          <w:color w:val="auto"/>
          <w:sz w:val="28"/>
          <w:szCs w:val="28"/>
          <w:highlight w:val="none"/>
        </w:rPr>
        <w:t>、我方未为竞采项目提供整体设计、规范编制或者项目管理、监理、检测等服务。</w:t>
      </w:r>
    </w:p>
    <w:p w14:paraId="41335871">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八</w:t>
      </w:r>
      <w:r>
        <w:rPr>
          <w:rFonts w:hint="eastAsia" w:asciiTheme="minorEastAsia" w:hAnsiTheme="minorEastAsia" w:eastAsiaTheme="minorEastAsia" w:cstheme="minorEastAsia"/>
          <w:color w:val="auto"/>
          <w:sz w:val="28"/>
          <w:szCs w:val="28"/>
          <w:highlight w:val="none"/>
        </w:rPr>
        <w:t>、我方理解，最低报价不是成交的唯一条件。</w:t>
      </w:r>
    </w:p>
    <w:p w14:paraId="3C17FAEF">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九</w:t>
      </w:r>
      <w:r>
        <w:rPr>
          <w:rFonts w:hint="eastAsia" w:asciiTheme="minorEastAsia" w:hAnsiTheme="minorEastAsia" w:eastAsiaTheme="minorEastAsia" w:cstheme="minorEastAsia"/>
          <w:color w:val="auto"/>
          <w:sz w:val="28"/>
          <w:szCs w:val="28"/>
          <w:highlight w:val="none"/>
        </w:rPr>
        <w:t>、若我方成为成交供应商，愿意按有关规定及竞采文件要求缴纳采购代理服务费。</w:t>
      </w:r>
    </w:p>
    <w:p w14:paraId="6F8FAD70">
      <w:pPr>
        <w:pageBreakBefore w:val="0"/>
        <w:tabs>
          <w:tab w:val="left" w:pos="6300"/>
        </w:tabs>
        <w:kinsoku/>
        <w:wordWrap/>
        <w:overflowPunct/>
        <w:topLinePunct w:val="0"/>
        <w:autoSpaceDE/>
        <w:autoSpaceDN/>
        <w:bidi w:val="0"/>
        <w:adjustRightInd/>
        <w:snapToGrid w:val="0"/>
        <w:spacing w:line="560" w:lineRule="exact"/>
        <w:ind w:left="0" w:leftChars="0" w:right="0" w:firstLine="6370" w:firstLineChars="2275"/>
        <w:textAlignment w:val="auto"/>
        <w:rPr>
          <w:rFonts w:hint="eastAsia" w:asciiTheme="minorEastAsia" w:hAnsiTheme="minorEastAsia" w:eastAsiaTheme="minorEastAsia" w:cstheme="minorEastAsia"/>
          <w:color w:val="auto"/>
          <w:sz w:val="28"/>
          <w:szCs w:val="28"/>
          <w:highlight w:val="none"/>
        </w:rPr>
      </w:pPr>
    </w:p>
    <w:p w14:paraId="419FA0DC">
      <w:pPr>
        <w:pageBreakBefore w:val="0"/>
        <w:tabs>
          <w:tab w:val="left" w:pos="6300"/>
        </w:tabs>
        <w:kinsoku/>
        <w:wordWrap/>
        <w:overflowPunct/>
        <w:topLinePunct w:val="0"/>
        <w:autoSpaceDE/>
        <w:autoSpaceDN/>
        <w:bidi w:val="0"/>
        <w:adjustRightInd/>
        <w:snapToGrid w:val="0"/>
        <w:spacing w:line="560" w:lineRule="exact"/>
        <w:ind w:left="0" w:leftChars="0" w:right="0" w:firstLine="5040" w:firstLineChars="18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（供应商公章）</w:t>
      </w:r>
    </w:p>
    <w:p w14:paraId="0B714B14">
      <w:pPr>
        <w:pageBreakBefore w:val="0"/>
        <w:tabs>
          <w:tab w:val="left" w:pos="6300"/>
        </w:tabs>
        <w:kinsoku/>
        <w:wordWrap/>
        <w:overflowPunct/>
        <w:topLinePunct w:val="0"/>
        <w:autoSpaceDE/>
        <w:autoSpaceDN/>
        <w:bidi w:val="0"/>
        <w:adjustRightInd/>
        <w:snapToGrid w:val="0"/>
        <w:spacing w:line="560" w:lineRule="exact"/>
        <w:ind w:left="0" w:leftChars="0" w:right="0" w:firstLine="5600" w:firstLineChars="20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年    月   日</w:t>
      </w:r>
    </w:p>
    <w:p w14:paraId="4B27BC13">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br w:type="page"/>
      </w:r>
      <w:bookmarkStart w:id="474" w:name="_Toc19167"/>
      <w:bookmarkStart w:id="475" w:name="_Toc10242"/>
      <w:bookmarkStart w:id="476" w:name="_Toc17279"/>
      <w:r>
        <w:rPr>
          <w:rFonts w:hint="eastAsia" w:asciiTheme="minorEastAsia" w:hAnsiTheme="minorEastAsia" w:eastAsiaTheme="minorEastAsia" w:cstheme="minorEastAsia"/>
          <w:b w:val="0"/>
          <w:bCs w:val="0"/>
          <w:color w:val="auto"/>
          <w:sz w:val="28"/>
          <w:szCs w:val="28"/>
          <w:highlight w:val="none"/>
        </w:rPr>
        <w:t>（二）商务条款差异表</w:t>
      </w:r>
      <w:bookmarkEnd w:id="474"/>
      <w:bookmarkEnd w:id="475"/>
      <w:bookmarkEnd w:id="476"/>
    </w:p>
    <w:p w14:paraId="004B3590">
      <w:pPr>
        <w:pageBreakBefore w:val="0"/>
        <w:tabs>
          <w:tab w:val="left" w:pos="720"/>
        </w:tabs>
        <w:kinsoku/>
        <w:wordWrap/>
        <w:overflowPunct/>
        <w:topLinePunct w:val="0"/>
        <w:autoSpaceDE/>
        <w:autoSpaceDN/>
        <w:bidi w:val="0"/>
        <w:adjustRightInd/>
        <w:spacing w:line="560" w:lineRule="exact"/>
        <w:ind w:left="0" w:leftChars="0" w:right="0" w:firstLine="527"/>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商务条款差异表</w:t>
      </w:r>
    </w:p>
    <w:tbl>
      <w:tblPr>
        <w:tblStyle w:val="26"/>
        <w:tblW w:w="9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3037"/>
        <w:gridCol w:w="3153"/>
        <w:gridCol w:w="2363"/>
      </w:tblGrid>
      <w:tr w14:paraId="68E39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300" w:type="dxa"/>
            <w:vAlign w:val="center"/>
          </w:tcPr>
          <w:p w14:paraId="18A826E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bookmarkStart w:id="477" w:name="_Toc3165"/>
            <w:bookmarkStart w:id="478" w:name="_Toc30909"/>
            <w:bookmarkStart w:id="479" w:name="_Toc26650"/>
            <w:bookmarkStart w:id="480" w:name="_Toc12928"/>
            <w:r>
              <w:rPr>
                <w:rFonts w:hint="eastAsia" w:asciiTheme="minorEastAsia" w:hAnsiTheme="minorEastAsia" w:eastAsiaTheme="minorEastAsia" w:cstheme="minorEastAsia"/>
                <w:color w:val="auto"/>
                <w:sz w:val="28"/>
                <w:szCs w:val="28"/>
                <w:highlight w:val="none"/>
              </w:rPr>
              <w:t>序号</w:t>
            </w:r>
            <w:bookmarkEnd w:id="477"/>
            <w:bookmarkEnd w:id="478"/>
            <w:bookmarkEnd w:id="479"/>
            <w:bookmarkEnd w:id="480"/>
          </w:p>
        </w:tc>
        <w:tc>
          <w:tcPr>
            <w:tcW w:w="3037" w:type="dxa"/>
            <w:vAlign w:val="center"/>
          </w:tcPr>
          <w:p w14:paraId="52388EF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项目要求</w:t>
            </w:r>
          </w:p>
        </w:tc>
        <w:tc>
          <w:tcPr>
            <w:tcW w:w="3153" w:type="dxa"/>
            <w:vAlign w:val="center"/>
          </w:tcPr>
          <w:p w14:paraId="04B0268F">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bookmarkStart w:id="481" w:name="_Toc3511"/>
            <w:bookmarkStart w:id="482" w:name="_Toc4456"/>
            <w:bookmarkStart w:id="483" w:name="_Toc24660"/>
            <w:bookmarkStart w:id="484" w:name="_Toc22122"/>
            <w:r>
              <w:rPr>
                <w:rFonts w:hint="eastAsia" w:asciiTheme="minorEastAsia" w:hAnsiTheme="minorEastAsia" w:eastAsiaTheme="minorEastAsia" w:cstheme="minorEastAsia"/>
                <w:color w:val="auto"/>
                <w:sz w:val="28"/>
                <w:szCs w:val="28"/>
                <w:highlight w:val="none"/>
              </w:rPr>
              <w:t>响应情况</w:t>
            </w:r>
            <w:bookmarkEnd w:id="481"/>
            <w:bookmarkEnd w:id="482"/>
            <w:bookmarkEnd w:id="483"/>
            <w:bookmarkEnd w:id="484"/>
          </w:p>
        </w:tc>
        <w:tc>
          <w:tcPr>
            <w:tcW w:w="2363" w:type="dxa"/>
            <w:vAlign w:val="center"/>
          </w:tcPr>
          <w:p w14:paraId="01E0233D">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bookmarkStart w:id="485" w:name="_Toc13230"/>
            <w:bookmarkStart w:id="486" w:name="_Toc11128"/>
            <w:bookmarkStart w:id="487" w:name="_Toc15020"/>
            <w:bookmarkStart w:id="488" w:name="_Toc14571"/>
            <w:r>
              <w:rPr>
                <w:rFonts w:hint="eastAsia" w:asciiTheme="minorEastAsia" w:hAnsiTheme="minorEastAsia" w:eastAsiaTheme="minorEastAsia" w:cstheme="minorEastAsia"/>
                <w:color w:val="auto"/>
                <w:sz w:val="28"/>
                <w:szCs w:val="28"/>
                <w:highlight w:val="none"/>
              </w:rPr>
              <w:t>差异说明</w:t>
            </w:r>
            <w:bookmarkEnd w:id="485"/>
            <w:bookmarkEnd w:id="486"/>
            <w:bookmarkEnd w:id="487"/>
            <w:bookmarkEnd w:id="488"/>
          </w:p>
        </w:tc>
      </w:tr>
      <w:tr w14:paraId="11DFD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5F21898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73CD5EF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4A73AB4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1E0BAF16">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74676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3B1CA346">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5E734E0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13E938B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4F920088">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045A5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3AEA038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7C085038">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49690406">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00C0ED81">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0F569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35FA735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53E74DBD">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31908551">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1F356C69">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0CB8F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0C79FC0A">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04D4DD1D">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2FC2B6C9">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739E5305">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25D46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2FFDB2C6">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63FB01E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49379F4F">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1681D000">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438F1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6B422AB5">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70C9D44B">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12D6A332">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5AD1CFEA">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18F3B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1FBAB72E">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7BCB42E5">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00A415A3">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4208A443">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2AD64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79058B29">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6BC46A64">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760F287E">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0639F28A">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r w14:paraId="7849D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00" w:type="dxa"/>
            <w:vAlign w:val="center"/>
          </w:tcPr>
          <w:p w14:paraId="3FDFE161">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037" w:type="dxa"/>
            <w:vAlign w:val="center"/>
          </w:tcPr>
          <w:p w14:paraId="1DB442BA">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3153" w:type="dxa"/>
            <w:vAlign w:val="center"/>
          </w:tcPr>
          <w:p w14:paraId="032621E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c>
          <w:tcPr>
            <w:tcW w:w="2363" w:type="dxa"/>
            <w:vAlign w:val="center"/>
          </w:tcPr>
          <w:p w14:paraId="3D6FB3D7">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p>
        </w:tc>
      </w:tr>
    </w:tbl>
    <w:p w14:paraId="29B77F98">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29C93CAC">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供应商名称（公章）：                      法定代表人或授权代表（签署或盖章）：</w:t>
      </w:r>
    </w:p>
    <w:p w14:paraId="7664EED9">
      <w:pPr>
        <w:pageBreakBefore w:val="0"/>
        <w:kinsoku/>
        <w:wordWrap/>
        <w:overflowPunct/>
        <w:topLinePunct w:val="0"/>
        <w:autoSpaceDE/>
        <w:autoSpaceDN/>
        <w:bidi w:val="0"/>
        <w:adjustRightInd/>
        <w:spacing w:line="560" w:lineRule="exact"/>
        <w:ind w:left="0" w:leftChars="0" w:right="0" w:firstLine="480"/>
        <w:jc w:val="right"/>
        <w:textAlignment w:val="auto"/>
        <w:rPr>
          <w:rFonts w:hint="eastAsia" w:asciiTheme="minorEastAsia" w:hAnsiTheme="minorEastAsia" w:eastAsiaTheme="minorEastAsia" w:cstheme="minorEastAsia"/>
          <w:color w:val="auto"/>
          <w:sz w:val="28"/>
          <w:szCs w:val="28"/>
          <w:highlight w:val="none"/>
        </w:rPr>
      </w:pPr>
    </w:p>
    <w:p w14:paraId="74828C14">
      <w:pPr>
        <w:pageBreakBefore w:val="0"/>
        <w:kinsoku/>
        <w:wordWrap/>
        <w:overflowPunct/>
        <w:topLinePunct w:val="0"/>
        <w:autoSpaceDE/>
        <w:autoSpaceDN/>
        <w:bidi w:val="0"/>
        <w:adjustRightInd/>
        <w:spacing w:line="560" w:lineRule="exact"/>
        <w:ind w:left="0" w:leftChars="0" w:right="0" w:firstLine="480"/>
        <w:jc w:val="righ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年  月  日</w:t>
      </w:r>
    </w:p>
    <w:p w14:paraId="291A0536">
      <w:pPr>
        <w:pStyle w:val="38"/>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注：</w:t>
      </w:r>
    </w:p>
    <w:p w14:paraId="24C02EAE">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1.本表即为对本项目“第三篇”所列商务要求进行比较和响应；</w:t>
      </w:r>
    </w:p>
    <w:p w14:paraId="6F01E393">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2.该表必须按照竞采文件要求如实填写，根据响应情况在“差异说明”项填写“无差异”或正负偏离说明，※条款不得负偏离响应，否则作无效响应处理；</w:t>
      </w:r>
    </w:p>
    <w:p w14:paraId="5B615078">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3.该表可扩展；</w:t>
      </w:r>
    </w:p>
    <w:p w14:paraId="70B1D3F9">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4.可附相关</w:t>
      </w:r>
      <w:r>
        <w:rPr>
          <w:rFonts w:hint="eastAsia" w:asciiTheme="minorEastAsia" w:hAnsiTheme="minorEastAsia" w:eastAsiaTheme="minorEastAsia" w:cstheme="minorEastAsia"/>
          <w:color w:val="auto"/>
          <w:sz w:val="28"/>
          <w:szCs w:val="28"/>
          <w:highlight w:val="none"/>
          <w:lang w:eastAsia="zh-CN"/>
        </w:rPr>
        <w:t>技术（服务）</w:t>
      </w:r>
      <w:r>
        <w:rPr>
          <w:rFonts w:hint="eastAsia" w:asciiTheme="minorEastAsia" w:hAnsiTheme="minorEastAsia" w:eastAsiaTheme="minorEastAsia" w:cstheme="minorEastAsia"/>
          <w:color w:val="auto"/>
          <w:sz w:val="28"/>
          <w:szCs w:val="28"/>
          <w:highlight w:val="none"/>
        </w:rPr>
        <w:t>支撑材料。（格式自定）</w:t>
      </w:r>
    </w:p>
    <w:p w14:paraId="36825A90">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bookmarkStart w:id="489" w:name="_Toc25826"/>
      <w:bookmarkStart w:id="490" w:name="_Toc28259"/>
      <w:bookmarkStart w:id="491" w:name="_Toc20137"/>
      <w:bookmarkStart w:id="492" w:name="_Toc30526"/>
      <w:bookmarkStart w:id="493" w:name="_Toc13132"/>
      <w:bookmarkStart w:id="494" w:name="_Toc13056"/>
      <w:r>
        <w:rPr>
          <w:rFonts w:hint="eastAsia" w:asciiTheme="minorEastAsia" w:hAnsiTheme="minorEastAsia" w:eastAsiaTheme="minorEastAsia" w:cstheme="minorEastAsia"/>
          <w:b w:val="0"/>
          <w:bCs w:val="0"/>
          <w:color w:val="auto"/>
          <w:sz w:val="28"/>
          <w:szCs w:val="28"/>
          <w:highlight w:val="none"/>
        </w:rPr>
        <w:t>（三）商务部分相关证明材料（自附）</w:t>
      </w:r>
      <w:r>
        <w:rPr>
          <w:rFonts w:hint="eastAsia" w:asciiTheme="minorEastAsia" w:hAnsiTheme="minorEastAsia" w:eastAsiaTheme="minorEastAsia" w:cstheme="minorEastAsia"/>
          <w:color w:val="auto"/>
          <w:sz w:val="28"/>
          <w:szCs w:val="28"/>
          <w:highlight w:val="none"/>
        </w:rPr>
        <w:br w:type="page"/>
      </w:r>
    </w:p>
    <w:p w14:paraId="7EE7A442">
      <w:pPr>
        <w:pStyle w:val="3"/>
        <w:pageBreakBefore w:val="0"/>
        <w:kinsoku/>
        <w:wordWrap/>
        <w:overflowPunct/>
        <w:topLinePunct w:val="0"/>
        <w:autoSpaceDE/>
        <w:autoSpaceDN/>
        <w:bidi w:val="0"/>
        <w:adjustRightInd/>
        <w:spacing w:beforeLines="0" w:line="560" w:lineRule="exact"/>
        <w:ind w:left="0" w:leftChars="0" w:right="0" w:firstLine="562"/>
        <w:textAlignment w:val="auto"/>
        <w:rPr>
          <w:rFonts w:hint="eastAsia" w:asciiTheme="minorEastAsia" w:hAnsiTheme="minorEastAsia" w:eastAsiaTheme="minorEastAsia" w:cstheme="minorEastAsia"/>
          <w:color w:val="auto"/>
          <w:sz w:val="28"/>
          <w:szCs w:val="28"/>
          <w:highlight w:val="none"/>
        </w:rPr>
      </w:pPr>
      <w:bookmarkStart w:id="495" w:name="_Toc2353"/>
      <w:bookmarkStart w:id="496" w:name="_Toc23051"/>
      <w:bookmarkStart w:id="497" w:name="_Toc985"/>
      <w:bookmarkStart w:id="498" w:name="_Toc27347"/>
      <w:r>
        <w:rPr>
          <w:rFonts w:hint="eastAsia" w:asciiTheme="minorEastAsia" w:hAnsiTheme="minorEastAsia" w:eastAsiaTheme="minorEastAsia" w:cstheme="minorEastAsia"/>
          <w:color w:val="auto"/>
          <w:sz w:val="28"/>
          <w:szCs w:val="28"/>
          <w:highlight w:val="none"/>
        </w:rPr>
        <w:t>五、</w:t>
      </w:r>
      <w:bookmarkEnd w:id="489"/>
      <w:bookmarkEnd w:id="490"/>
      <w:bookmarkEnd w:id="491"/>
      <w:r>
        <w:rPr>
          <w:rFonts w:hint="eastAsia" w:asciiTheme="minorEastAsia" w:hAnsiTheme="minorEastAsia" w:eastAsiaTheme="minorEastAsia" w:cstheme="minorEastAsia"/>
          <w:color w:val="auto"/>
          <w:sz w:val="28"/>
          <w:szCs w:val="28"/>
          <w:highlight w:val="none"/>
        </w:rPr>
        <w:t>其他与项目有关的资料</w:t>
      </w:r>
      <w:bookmarkEnd w:id="492"/>
      <w:bookmarkEnd w:id="493"/>
      <w:bookmarkEnd w:id="494"/>
      <w:bookmarkEnd w:id="495"/>
      <w:bookmarkEnd w:id="496"/>
      <w:bookmarkEnd w:id="497"/>
      <w:bookmarkEnd w:id="498"/>
    </w:p>
    <w:p w14:paraId="012A558A">
      <w:pPr>
        <w:pageBreakBefore w:val="0"/>
        <w:kinsoku/>
        <w:wordWrap/>
        <w:overflowPunct/>
        <w:topLinePunct w:val="0"/>
        <w:autoSpaceDE/>
        <w:autoSpaceDN/>
        <w:bidi w:val="0"/>
        <w:adjustRightInd/>
        <w:snapToGrid w:val="0"/>
        <w:spacing w:line="560" w:lineRule="exact"/>
        <w:ind w:left="0" w:leftChars="0" w:right="0"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（一）其他与项目有关的资料（如有，自附。）</w:t>
      </w:r>
    </w:p>
    <w:p w14:paraId="1D066DE4">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369189FA">
      <w:pPr>
        <w:pStyle w:val="19"/>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6D9B381D">
      <w:pPr>
        <w:pStyle w:val="19"/>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70E57DB8">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02EC5AA3">
      <w:pPr>
        <w:pStyle w:val="9"/>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02683BCB">
      <w:pPr>
        <w:pStyle w:val="19"/>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7F5B5DB3">
      <w:pPr>
        <w:pageBreakBefore w:val="0"/>
        <w:kinsoku/>
        <w:wordWrap/>
        <w:overflowPunct/>
        <w:topLinePunct w:val="0"/>
        <w:autoSpaceDE/>
        <w:autoSpaceDN/>
        <w:bidi w:val="0"/>
        <w:adjustRightInd/>
        <w:spacing w:line="560" w:lineRule="exact"/>
        <w:ind w:left="0" w:leftChars="0" w:right="0"/>
        <w:textAlignment w:val="auto"/>
        <w:rPr>
          <w:rFonts w:hint="eastAsia" w:asciiTheme="minorEastAsia" w:hAnsiTheme="minorEastAsia" w:eastAsiaTheme="minorEastAsia" w:cstheme="minorEastAsia"/>
          <w:color w:val="auto"/>
          <w:sz w:val="28"/>
          <w:szCs w:val="28"/>
          <w:highlight w:val="none"/>
        </w:rPr>
      </w:pPr>
    </w:p>
    <w:p w14:paraId="27EF48E3">
      <w:pPr>
        <w:pageBreakBefore w:val="0"/>
        <w:kinsoku/>
        <w:wordWrap/>
        <w:overflowPunct/>
        <w:topLinePunct w:val="0"/>
        <w:autoSpaceDE/>
        <w:autoSpaceDN/>
        <w:bidi w:val="0"/>
        <w:adjustRightInd/>
        <w:spacing w:line="560" w:lineRule="exact"/>
        <w:ind w:left="0" w:leftChars="0" w:right="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（结  束）</w:t>
      </w:r>
    </w:p>
    <w:sectPr>
      <w:pgSz w:w="11905" w:h="16838"/>
      <w:pgMar w:top="1134" w:right="1134" w:bottom="1134" w:left="1134" w:header="850" w:footer="992" w:gutter="0"/>
      <w:pgNumType w:fmt="numberInDash"/>
      <w:cols w:space="0" w:num="1"/>
      <w:titlePg/>
      <w:docGrid w:type="lines" w:linePitch="3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B411B10-9ED3-4361-8351-A98E1C420305}"/>
  </w:font>
  <w:font w:name="Garamond">
    <w:altName w:val="ksdb"/>
    <w:panose1 w:val="02020404030301010803"/>
    <w:charset w:val="00"/>
    <w:family w:val="roman"/>
    <w:pitch w:val="default"/>
    <w:sig w:usb0="00000000" w:usb1="00000000" w:usb2="00000000" w:usb3="00000000" w:csb0="0000009F" w:csb1="DFD7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ksdb">
    <w:panose1 w:val="02000500000000000000"/>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F6E55">
    <w:pPr>
      <w:snapToGrid w:val="0"/>
      <w:ind w:firstLine="360"/>
      <w:rPr>
        <w:rFonts w:ascii="Calibri" w:hAnsi="Calibri"/>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9BFE8A">
    <w:pPr>
      <w:snapToGrid w:val="0"/>
      <w:ind w:firstLine="360"/>
      <w:rPr>
        <w:rFonts w:ascii="Calibri" w:hAnsi="Calibri"/>
        <w:sz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DF4F910">
                          <w:pPr>
                            <w:pStyle w:val="15"/>
                          </w:pPr>
                          <w:r>
                            <w:fldChar w:fldCharType="begin"/>
                          </w:r>
                          <w:r>
                            <w:instrText xml:space="preserve"> PAGE  \* MERGEFORMAT </w:instrText>
                          </w:r>
                          <w:r>
                            <w:fldChar w:fldCharType="separate"/>
                          </w:r>
                          <w:r>
                            <w:t>- 5 -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7DF4F910">
                    <w:pPr>
                      <w:pStyle w:val="15"/>
                    </w:pPr>
                    <w:r>
                      <w:fldChar w:fldCharType="begin"/>
                    </w:r>
                    <w:r>
                      <w:instrText xml:space="preserve"> PAGE  \* MERGEFORMAT </w:instrText>
                    </w:r>
                    <w:r>
                      <w:fldChar w:fldCharType="separate"/>
                    </w:r>
                    <w:r>
                      <w:t>- 5 -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7CBF3">
    <w:pPr>
      <w:snapToGrid w:val="0"/>
      <w:ind w:firstLine="360"/>
      <w:rPr>
        <w:rFonts w:ascii="Calibri" w:hAnsi="Calibri"/>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31DA1AD">
                          <w:pPr>
                            <w:pStyle w:val="15"/>
                          </w:pPr>
                          <w:r>
                            <w:fldChar w:fldCharType="begin"/>
                          </w:r>
                          <w:r>
                            <w:instrText xml:space="preserve"> PAGE  \* MERGEFORMAT </w:instrText>
                          </w:r>
                          <w:r>
                            <w:fldChar w:fldCharType="separate"/>
                          </w:r>
                          <w:r>
                            <w:t>- 23 -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231DA1AD">
                    <w:pPr>
                      <w:pStyle w:val="15"/>
                    </w:pPr>
                    <w:r>
                      <w:fldChar w:fldCharType="begin"/>
                    </w:r>
                    <w:r>
                      <w:instrText xml:space="preserve"> PAGE  \* MERGEFORMAT </w:instrText>
                    </w:r>
                    <w:r>
                      <w:fldChar w:fldCharType="separate"/>
                    </w:r>
                    <w:r>
                      <w:t>- 23 -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B8666">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14B4FF">
                          <w:pPr>
                            <w:pStyle w:val="15"/>
                          </w:pPr>
                          <w:r>
                            <w:fldChar w:fldCharType="begin"/>
                          </w:r>
                          <w:r>
                            <w:instrText xml:space="preserve"> PAGE  \* MERGEFORMAT </w:instrText>
                          </w:r>
                          <w:r>
                            <w:fldChar w:fldCharType="separate"/>
                          </w:r>
                          <w:r>
                            <w:t>- 25 -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3C14B4FF">
                    <w:pPr>
                      <w:pStyle w:val="15"/>
                    </w:pPr>
                    <w:r>
                      <w:fldChar w:fldCharType="begin"/>
                    </w:r>
                    <w:r>
                      <w:instrText xml:space="preserve"> PAGE  \* MERGEFORMAT </w:instrText>
                    </w:r>
                    <w:r>
                      <w:fldChar w:fldCharType="separate"/>
                    </w:r>
                    <w:r>
                      <w:t>- 25 -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3E31B">
    <w:pPr>
      <w:snapToGrid w:val="0"/>
      <w:ind w:firstLine="360"/>
      <w:rPr>
        <w:rFonts w:ascii="Calibri" w:hAnsi="Calibri"/>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D1D31DE">
                          <w:pPr>
                            <w:pStyle w:val="15"/>
                          </w:pPr>
                          <w:r>
                            <w:fldChar w:fldCharType="begin"/>
                          </w:r>
                          <w:r>
                            <w:instrText xml:space="preserve"> PAGE  \* MERGEFORMAT </w:instrText>
                          </w:r>
                          <w:r>
                            <w:fldChar w:fldCharType="separate"/>
                          </w:r>
                          <w:r>
                            <w:t>- 34 -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sitU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EGbPsrDV&#10;O8sjdJTH29UxQM6kchSlUwLdiQdMX+pTvylxvP88p6jHf4f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rLIrVMQIAAGUEAAAOAAAAAAAAAAEAIAAAAB8BAABkcnMvZTJvRG9jLnhtbFBLBQYA&#10;AAAABgAGAFkBAADCBQAAAAA=&#10;">
              <v:fill on="f" focussize="0,0"/>
              <v:stroke on="f" weight="0.5pt"/>
              <v:imagedata o:title=""/>
              <o:lock v:ext="edit" aspectratio="f"/>
              <v:textbox inset="0mm,0mm,0mm,0mm" style="mso-fit-shape-to-text:t;">
                <w:txbxContent>
                  <w:p w14:paraId="7D1D31DE">
                    <w:pPr>
                      <w:pStyle w:val="15"/>
                    </w:pPr>
                    <w:r>
                      <w:fldChar w:fldCharType="begin"/>
                    </w:r>
                    <w:r>
                      <w:instrText xml:space="preserve"> PAGE  \* MERGEFORMAT </w:instrText>
                    </w:r>
                    <w:r>
                      <w:fldChar w:fldCharType="separate"/>
                    </w:r>
                    <w:r>
                      <w:t>- 34 -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9DD75">
    <w:pPr>
      <w:pStyle w:val="1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280"/>
  <w:drawingGridVerticalSpacing w:val="193"/>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3OTAxN2EzNWMxOTY4N2I4ZmQwOGU3YmQxMjFlODIifQ=="/>
  </w:docVars>
  <w:rsids>
    <w:rsidRoot w:val="00DF6DB2"/>
    <w:rsid w:val="00003620"/>
    <w:rsid w:val="00023321"/>
    <w:rsid w:val="00044EF2"/>
    <w:rsid w:val="001065CA"/>
    <w:rsid w:val="001315D9"/>
    <w:rsid w:val="002630BB"/>
    <w:rsid w:val="002B6923"/>
    <w:rsid w:val="00460371"/>
    <w:rsid w:val="004D59BD"/>
    <w:rsid w:val="00540D96"/>
    <w:rsid w:val="005749D1"/>
    <w:rsid w:val="00610597"/>
    <w:rsid w:val="006460C2"/>
    <w:rsid w:val="006558E4"/>
    <w:rsid w:val="0069744B"/>
    <w:rsid w:val="00704336"/>
    <w:rsid w:val="00707FFD"/>
    <w:rsid w:val="0075194C"/>
    <w:rsid w:val="007D5EF2"/>
    <w:rsid w:val="00932107"/>
    <w:rsid w:val="009D033E"/>
    <w:rsid w:val="00B057ED"/>
    <w:rsid w:val="00B572D5"/>
    <w:rsid w:val="00DF6DB2"/>
    <w:rsid w:val="00E16FE2"/>
    <w:rsid w:val="00E30FAC"/>
    <w:rsid w:val="00E54D24"/>
    <w:rsid w:val="00E91C51"/>
    <w:rsid w:val="00EB1C0E"/>
    <w:rsid w:val="00F22F9D"/>
    <w:rsid w:val="00FC02BF"/>
    <w:rsid w:val="01121891"/>
    <w:rsid w:val="01150F1B"/>
    <w:rsid w:val="01203FAE"/>
    <w:rsid w:val="0123584C"/>
    <w:rsid w:val="01237FC0"/>
    <w:rsid w:val="012B64AF"/>
    <w:rsid w:val="012F2443"/>
    <w:rsid w:val="01317F69"/>
    <w:rsid w:val="01390BCC"/>
    <w:rsid w:val="013B0DE8"/>
    <w:rsid w:val="013C56E1"/>
    <w:rsid w:val="014A20C9"/>
    <w:rsid w:val="01510BEF"/>
    <w:rsid w:val="015E4AD6"/>
    <w:rsid w:val="016073E8"/>
    <w:rsid w:val="016F4205"/>
    <w:rsid w:val="017B7436"/>
    <w:rsid w:val="017E6F26"/>
    <w:rsid w:val="01944054"/>
    <w:rsid w:val="01973B44"/>
    <w:rsid w:val="01987FE8"/>
    <w:rsid w:val="019E4ED3"/>
    <w:rsid w:val="01AE15BA"/>
    <w:rsid w:val="01BA61B0"/>
    <w:rsid w:val="01C34939"/>
    <w:rsid w:val="01C761D7"/>
    <w:rsid w:val="01D34B7C"/>
    <w:rsid w:val="01D408F4"/>
    <w:rsid w:val="01D534BA"/>
    <w:rsid w:val="01D803E5"/>
    <w:rsid w:val="01F9035B"/>
    <w:rsid w:val="01FD42EF"/>
    <w:rsid w:val="01FF3BC3"/>
    <w:rsid w:val="020C008E"/>
    <w:rsid w:val="02414E7F"/>
    <w:rsid w:val="02532161"/>
    <w:rsid w:val="02535CBD"/>
    <w:rsid w:val="025657AD"/>
    <w:rsid w:val="027D2D3A"/>
    <w:rsid w:val="02811860"/>
    <w:rsid w:val="028213AB"/>
    <w:rsid w:val="028916DF"/>
    <w:rsid w:val="02963DFC"/>
    <w:rsid w:val="02A76009"/>
    <w:rsid w:val="02A91D81"/>
    <w:rsid w:val="02C473C4"/>
    <w:rsid w:val="02C72207"/>
    <w:rsid w:val="02C941D1"/>
    <w:rsid w:val="02CB1CF7"/>
    <w:rsid w:val="02D53891"/>
    <w:rsid w:val="02D54924"/>
    <w:rsid w:val="02D84414"/>
    <w:rsid w:val="02D908B8"/>
    <w:rsid w:val="02E35293"/>
    <w:rsid w:val="02F72AEC"/>
    <w:rsid w:val="02F96864"/>
    <w:rsid w:val="03060419"/>
    <w:rsid w:val="03123DCA"/>
    <w:rsid w:val="0313544C"/>
    <w:rsid w:val="031713E0"/>
    <w:rsid w:val="032612CE"/>
    <w:rsid w:val="0334549D"/>
    <w:rsid w:val="0341020B"/>
    <w:rsid w:val="034A5F18"/>
    <w:rsid w:val="034D4E02"/>
    <w:rsid w:val="03561F09"/>
    <w:rsid w:val="03595555"/>
    <w:rsid w:val="035A307B"/>
    <w:rsid w:val="03685798"/>
    <w:rsid w:val="036F2FCB"/>
    <w:rsid w:val="036F6B27"/>
    <w:rsid w:val="0371289F"/>
    <w:rsid w:val="03791753"/>
    <w:rsid w:val="03993BA4"/>
    <w:rsid w:val="039E565E"/>
    <w:rsid w:val="03A34A22"/>
    <w:rsid w:val="03A8028B"/>
    <w:rsid w:val="03B14776"/>
    <w:rsid w:val="03BC224B"/>
    <w:rsid w:val="03DD7F34"/>
    <w:rsid w:val="03E7176B"/>
    <w:rsid w:val="03EA08A3"/>
    <w:rsid w:val="03EB4794"/>
    <w:rsid w:val="03EC7C9F"/>
    <w:rsid w:val="03EF5EB9"/>
    <w:rsid w:val="03F31506"/>
    <w:rsid w:val="03F86B1C"/>
    <w:rsid w:val="040B3CB2"/>
    <w:rsid w:val="040B7E59"/>
    <w:rsid w:val="040D00EE"/>
    <w:rsid w:val="040F3E66"/>
    <w:rsid w:val="04155920"/>
    <w:rsid w:val="041B280B"/>
    <w:rsid w:val="04406715"/>
    <w:rsid w:val="044A3E16"/>
    <w:rsid w:val="045D1075"/>
    <w:rsid w:val="04697A1A"/>
    <w:rsid w:val="04767895"/>
    <w:rsid w:val="047F0FEB"/>
    <w:rsid w:val="04954A53"/>
    <w:rsid w:val="049B394B"/>
    <w:rsid w:val="049C7A2E"/>
    <w:rsid w:val="049D07A1"/>
    <w:rsid w:val="04AE367F"/>
    <w:rsid w:val="04BA7570"/>
    <w:rsid w:val="04C609C8"/>
    <w:rsid w:val="04D56E5D"/>
    <w:rsid w:val="04D8694E"/>
    <w:rsid w:val="04DF1A8A"/>
    <w:rsid w:val="04E34884"/>
    <w:rsid w:val="04E84DE3"/>
    <w:rsid w:val="04F05A45"/>
    <w:rsid w:val="050140F6"/>
    <w:rsid w:val="05025778"/>
    <w:rsid w:val="050E236F"/>
    <w:rsid w:val="05195C41"/>
    <w:rsid w:val="05260A35"/>
    <w:rsid w:val="052971A9"/>
    <w:rsid w:val="053D1916"/>
    <w:rsid w:val="054162A1"/>
    <w:rsid w:val="05455794"/>
    <w:rsid w:val="05542478"/>
    <w:rsid w:val="056401E1"/>
    <w:rsid w:val="05685F23"/>
    <w:rsid w:val="05706B86"/>
    <w:rsid w:val="057C552B"/>
    <w:rsid w:val="058E7496"/>
    <w:rsid w:val="058F1702"/>
    <w:rsid w:val="05922FA0"/>
    <w:rsid w:val="0595200F"/>
    <w:rsid w:val="05A21435"/>
    <w:rsid w:val="05C649F8"/>
    <w:rsid w:val="05C81985"/>
    <w:rsid w:val="05D37841"/>
    <w:rsid w:val="05D830A9"/>
    <w:rsid w:val="05E41A4E"/>
    <w:rsid w:val="05F61781"/>
    <w:rsid w:val="05F652DD"/>
    <w:rsid w:val="05F81055"/>
    <w:rsid w:val="060F45F1"/>
    <w:rsid w:val="06173ED7"/>
    <w:rsid w:val="061B11E8"/>
    <w:rsid w:val="062F07EF"/>
    <w:rsid w:val="063F4ED6"/>
    <w:rsid w:val="064249C6"/>
    <w:rsid w:val="064414E6"/>
    <w:rsid w:val="064E336B"/>
    <w:rsid w:val="064F0F69"/>
    <w:rsid w:val="0661309E"/>
    <w:rsid w:val="066163F9"/>
    <w:rsid w:val="06624721"/>
    <w:rsid w:val="066C2290"/>
    <w:rsid w:val="066C31F2"/>
    <w:rsid w:val="066F5090"/>
    <w:rsid w:val="06764670"/>
    <w:rsid w:val="069F3BC7"/>
    <w:rsid w:val="06A82D0D"/>
    <w:rsid w:val="06AB431A"/>
    <w:rsid w:val="06B036DE"/>
    <w:rsid w:val="06B11926"/>
    <w:rsid w:val="06B331CE"/>
    <w:rsid w:val="06B62CBE"/>
    <w:rsid w:val="06B807E5"/>
    <w:rsid w:val="06BA6A94"/>
    <w:rsid w:val="06C37F45"/>
    <w:rsid w:val="06CB4FA1"/>
    <w:rsid w:val="06CF5A14"/>
    <w:rsid w:val="06D7510F"/>
    <w:rsid w:val="06DE3CB3"/>
    <w:rsid w:val="070103DE"/>
    <w:rsid w:val="07035F04"/>
    <w:rsid w:val="07140111"/>
    <w:rsid w:val="0717375D"/>
    <w:rsid w:val="07195727"/>
    <w:rsid w:val="0721282E"/>
    <w:rsid w:val="074E3E49"/>
    <w:rsid w:val="07500A1D"/>
    <w:rsid w:val="07571DAC"/>
    <w:rsid w:val="075F5104"/>
    <w:rsid w:val="07634BF4"/>
    <w:rsid w:val="076B3AA9"/>
    <w:rsid w:val="076F1953"/>
    <w:rsid w:val="077C0C82"/>
    <w:rsid w:val="0784456A"/>
    <w:rsid w:val="07852DBD"/>
    <w:rsid w:val="078608E3"/>
    <w:rsid w:val="0789477F"/>
    <w:rsid w:val="07934F2A"/>
    <w:rsid w:val="0797489E"/>
    <w:rsid w:val="07975B80"/>
    <w:rsid w:val="07A07E80"/>
    <w:rsid w:val="07A64AE1"/>
    <w:rsid w:val="07B216D8"/>
    <w:rsid w:val="07B61B72"/>
    <w:rsid w:val="07CD6512"/>
    <w:rsid w:val="07D96C64"/>
    <w:rsid w:val="07E07FF3"/>
    <w:rsid w:val="07F41CF0"/>
    <w:rsid w:val="07FB307F"/>
    <w:rsid w:val="080F69C5"/>
    <w:rsid w:val="081465CD"/>
    <w:rsid w:val="08161C67"/>
    <w:rsid w:val="08326375"/>
    <w:rsid w:val="084367D4"/>
    <w:rsid w:val="084A1910"/>
    <w:rsid w:val="08564759"/>
    <w:rsid w:val="08566507"/>
    <w:rsid w:val="086A1FB2"/>
    <w:rsid w:val="08894C98"/>
    <w:rsid w:val="08BF40AC"/>
    <w:rsid w:val="08F63846"/>
    <w:rsid w:val="0913264A"/>
    <w:rsid w:val="09167A44"/>
    <w:rsid w:val="09252D8D"/>
    <w:rsid w:val="09336848"/>
    <w:rsid w:val="093F343F"/>
    <w:rsid w:val="095C5D9F"/>
    <w:rsid w:val="09641263"/>
    <w:rsid w:val="096E162E"/>
    <w:rsid w:val="09774987"/>
    <w:rsid w:val="097A4477"/>
    <w:rsid w:val="097C3D4B"/>
    <w:rsid w:val="09931095"/>
    <w:rsid w:val="09AE1167"/>
    <w:rsid w:val="09E55D95"/>
    <w:rsid w:val="0A037FC9"/>
    <w:rsid w:val="0A067AB9"/>
    <w:rsid w:val="0A072A97"/>
    <w:rsid w:val="0A0855DF"/>
    <w:rsid w:val="0A0A4865"/>
    <w:rsid w:val="0A0A75A9"/>
    <w:rsid w:val="0A0D0E47"/>
    <w:rsid w:val="0A2134F6"/>
    <w:rsid w:val="0A3E36F7"/>
    <w:rsid w:val="0A3E680D"/>
    <w:rsid w:val="0A4D717D"/>
    <w:rsid w:val="0A51342A"/>
    <w:rsid w:val="0A5151D8"/>
    <w:rsid w:val="0A56459C"/>
    <w:rsid w:val="0A6C3DC0"/>
    <w:rsid w:val="0A6F38B0"/>
    <w:rsid w:val="0A856C30"/>
    <w:rsid w:val="0A883B4D"/>
    <w:rsid w:val="0A984BB5"/>
    <w:rsid w:val="0AA70248"/>
    <w:rsid w:val="0AD23916"/>
    <w:rsid w:val="0AD950EC"/>
    <w:rsid w:val="0ADA3ECE"/>
    <w:rsid w:val="0ADD2F10"/>
    <w:rsid w:val="0AE97D90"/>
    <w:rsid w:val="0AEC6CAF"/>
    <w:rsid w:val="0B073AE9"/>
    <w:rsid w:val="0B0E4E77"/>
    <w:rsid w:val="0B16263E"/>
    <w:rsid w:val="0B187AA4"/>
    <w:rsid w:val="0B21104E"/>
    <w:rsid w:val="0B27418B"/>
    <w:rsid w:val="0B3A3EBE"/>
    <w:rsid w:val="0B425A17"/>
    <w:rsid w:val="0B445E0F"/>
    <w:rsid w:val="0B464611"/>
    <w:rsid w:val="0B4D5164"/>
    <w:rsid w:val="0B4E7969"/>
    <w:rsid w:val="0B521208"/>
    <w:rsid w:val="0B5717B6"/>
    <w:rsid w:val="0B667275"/>
    <w:rsid w:val="0B6B22C9"/>
    <w:rsid w:val="0B7D3DAB"/>
    <w:rsid w:val="0B8213C1"/>
    <w:rsid w:val="0B8A1792"/>
    <w:rsid w:val="0B8D0492"/>
    <w:rsid w:val="0B8E420A"/>
    <w:rsid w:val="0B903ADE"/>
    <w:rsid w:val="0B957346"/>
    <w:rsid w:val="0B980BE5"/>
    <w:rsid w:val="0B9B6CCA"/>
    <w:rsid w:val="0BAD28E2"/>
    <w:rsid w:val="0BB43C70"/>
    <w:rsid w:val="0BB84DE3"/>
    <w:rsid w:val="0BC814CA"/>
    <w:rsid w:val="0BD7170D"/>
    <w:rsid w:val="0BDA11FD"/>
    <w:rsid w:val="0BED7182"/>
    <w:rsid w:val="0C006EB6"/>
    <w:rsid w:val="0C05627A"/>
    <w:rsid w:val="0C083FBC"/>
    <w:rsid w:val="0C1622A5"/>
    <w:rsid w:val="0C1F4E62"/>
    <w:rsid w:val="0C2421D9"/>
    <w:rsid w:val="0C37664F"/>
    <w:rsid w:val="0C452B1A"/>
    <w:rsid w:val="0C460641"/>
    <w:rsid w:val="0C637445"/>
    <w:rsid w:val="0C6B22BE"/>
    <w:rsid w:val="0C9D4705"/>
    <w:rsid w:val="0CA737D5"/>
    <w:rsid w:val="0CAA0BCF"/>
    <w:rsid w:val="0CC021A1"/>
    <w:rsid w:val="0CC46135"/>
    <w:rsid w:val="0CC7259C"/>
    <w:rsid w:val="0CE340E1"/>
    <w:rsid w:val="0CE449F4"/>
    <w:rsid w:val="0CE95B9C"/>
    <w:rsid w:val="0CEA0CA3"/>
    <w:rsid w:val="0CEF17A8"/>
    <w:rsid w:val="0CF14A50"/>
    <w:rsid w:val="0CFA3905"/>
    <w:rsid w:val="0D2A3ABE"/>
    <w:rsid w:val="0D407866"/>
    <w:rsid w:val="0D40797F"/>
    <w:rsid w:val="0D442DD2"/>
    <w:rsid w:val="0D4E2C3A"/>
    <w:rsid w:val="0D5C45C0"/>
    <w:rsid w:val="0D611BD6"/>
    <w:rsid w:val="0D662D48"/>
    <w:rsid w:val="0D786F20"/>
    <w:rsid w:val="0D7C256C"/>
    <w:rsid w:val="0D7D0092"/>
    <w:rsid w:val="0D8238FA"/>
    <w:rsid w:val="0D894C89"/>
    <w:rsid w:val="0DA67DDF"/>
    <w:rsid w:val="0DAB10A3"/>
    <w:rsid w:val="0DC42165"/>
    <w:rsid w:val="0DC45CC1"/>
    <w:rsid w:val="0DC52BE4"/>
    <w:rsid w:val="0DCC5EB8"/>
    <w:rsid w:val="0DEF0A31"/>
    <w:rsid w:val="0DF26CD2"/>
    <w:rsid w:val="0DF90060"/>
    <w:rsid w:val="0DFA594D"/>
    <w:rsid w:val="0E224B6C"/>
    <w:rsid w:val="0E342E47"/>
    <w:rsid w:val="0E666D78"/>
    <w:rsid w:val="0E67321C"/>
    <w:rsid w:val="0E6C0832"/>
    <w:rsid w:val="0E6F3E7F"/>
    <w:rsid w:val="0E840486"/>
    <w:rsid w:val="0E9438E5"/>
    <w:rsid w:val="0E947D89"/>
    <w:rsid w:val="0E963B01"/>
    <w:rsid w:val="0E9C09EC"/>
    <w:rsid w:val="0EA0672E"/>
    <w:rsid w:val="0EC3241C"/>
    <w:rsid w:val="0EC35F79"/>
    <w:rsid w:val="0EC95C85"/>
    <w:rsid w:val="0ECC307F"/>
    <w:rsid w:val="0ECC4670"/>
    <w:rsid w:val="0EDB32C2"/>
    <w:rsid w:val="0F000F7B"/>
    <w:rsid w:val="0F274759"/>
    <w:rsid w:val="0F5372FC"/>
    <w:rsid w:val="0F691B78"/>
    <w:rsid w:val="0F7200CA"/>
    <w:rsid w:val="0F76123D"/>
    <w:rsid w:val="0F865924"/>
    <w:rsid w:val="0F9067A2"/>
    <w:rsid w:val="0F9470D3"/>
    <w:rsid w:val="0F9E52D1"/>
    <w:rsid w:val="0FA1450C"/>
    <w:rsid w:val="0FB44876"/>
    <w:rsid w:val="0FC87CEA"/>
    <w:rsid w:val="0FD06B9F"/>
    <w:rsid w:val="0FD52407"/>
    <w:rsid w:val="0FF22FB9"/>
    <w:rsid w:val="0FFF56D6"/>
    <w:rsid w:val="100665E8"/>
    <w:rsid w:val="100E1475"/>
    <w:rsid w:val="102869DB"/>
    <w:rsid w:val="10321608"/>
    <w:rsid w:val="103709CC"/>
    <w:rsid w:val="103C4234"/>
    <w:rsid w:val="1040283D"/>
    <w:rsid w:val="104355C3"/>
    <w:rsid w:val="10466E61"/>
    <w:rsid w:val="104D01F0"/>
    <w:rsid w:val="10587DF7"/>
    <w:rsid w:val="10593038"/>
    <w:rsid w:val="10596B94"/>
    <w:rsid w:val="105B0B5E"/>
    <w:rsid w:val="106F63B8"/>
    <w:rsid w:val="107A6B0B"/>
    <w:rsid w:val="107C5A41"/>
    <w:rsid w:val="108005C5"/>
    <w:rsid w:val="109D1177"/>
    <w:rsid w:val="10C33691"/>
    <w:rsid w:val="10EA5A3E"/>
    <w:rsid w:val="10EC2A75"/>
    <w:rsid w:val="10F20B4A"/>
    <w:rsid w:val="10FC5772"/>
    <w:rsid w:val="10FD39C4"/>
    <w:rsid w:val="110034B4"/>
    <w:rsid w:val="11196324"/>
    <w:rsid w:val="113B44EC"/>
    <w:rsid w:val="113E3FDC"/>
    <w:rsid w:val="116457F1"/>
    <w:rsid w:val="11721F69"/>
    <w:rsid w:val="1172466A"/>
    <w:rsid w:val="119D51A7"/>
    <w:rsid w:val="119D7604"/>
    <w:rsid w:val="119F0F1F"/>
    <w:rsid w:val="11A16A45"/>
    <w:rsid w:val="11A402E3"/>
    <w:rsid w:val="11AA3420"/>
    <w:rsid w:val="11C42733"/>
    <w:rsid w:val="11CE710E"/>
    <w:rsid w:val="11E066A4"/>
    <w:rsid w:val="11E701D0"/>
    <w:rsid w:val="11F22685"/>
    <w:rsid w:val="11F624FE"/>
    <w:rsid w:val="11F76665"/>
    <w:rsid w:val="12033835"/>
    <w:rsid w:val="121865DB"/>
    <w:rsid w:val="12323B41"/>
    <w:rsid w:val="12372F05"/>
    <w:rsid w:val="123840C4"/>
    <w:rsid w:val="124318AA"/>
    <w:rsid w:val="124B4C03"/>
    <w:rsid w:val="124F73DC"/>
    <w:rsid w:val="125D0492"/>
    <w:rsid w:val="125F095F"/>
    <w:rsid w:val="12641821"/>
    <w:rsid w:val="127203E1"/>
    <w:rsid w:val="12863E8D"/>
    <w:rsid w:val="12922832"/>
    <w:rsid w:val="129E11D6"/>
    <w:rsid w:val="129E2F84"/>
    <w:rsid w:val="12AA1929"/>
    <w:rsid w:val="12B502CE"/>
    <w:rsid w:val="12BE7183"/>
    <w:rsid w:val="12C10A21"/>
    <w:rsid w:val="12CA1FCB"/>
    <w:rsid w:val="12E34E3B"/>
    <w:rsid w:val="12F86309"/>
    <w:rsid w:val="12F86B39"/>
    <w:rsid w:val="12FD414F"/>
    <w:rsid w:val="12FE1C75"/>
    <w:rsid w:val="13044E54"/>
    <w:rsid w:val="130A23C8"/>
    <w:rsid w:val="130B0801"/>
    <w:rsid w:val="131C20FB"/>
    <w:rsid w:val="13482EF0"/>
    <w:rsid w:val="1356385F"/>
    <w:rsid w:val="13573133"/>
    <w:rsid w:val="136A2E67"/>
    <w:rsid w:val="136C6BDF"/>
    <w:rsid w:val="13785584"/>
    <w:rsid w:val="137F156C"/>
    <w:rsid w:val="13836400"/>
    <w:rsid w:val="13872098"/>
    <w:rsid w:val="138C7281"/>
    <w:rsid w:val="13904FC3"/>
    <w:rsid w:val="13925EE6"/>
    <w:rsid w:val="1399374C"/>
    <w:rsid w:val="139B3968"/>
    <w:rsid w:val="139C19DC"/>
    <w:rsid w:val="139F5206"/>
    <w:rsid w:val="139F6FB4"/>
    <w:rsid w:val="13A7230D"/>
    <w:rsid w:val="13AE5449"/>
    <w:rsid w:val="13CA6299"/>
    <w:rsid w:val="13CC15F2"/>
    <w:rsid w:val="13DD5D2E"/>
    <w:rsid w:val="13E470BD"/>
    <w:rsid w:val="13E7095B"/>
    <w:rsid w:val="13EA3C03"/>
    <w:rsid w:val="13F84916"/>
    <w:rsid w:val="141334FE"/>
    <w:rsid w:val="14264FE0"/>
    <w:rsid w:val="1436224E"/>
    <w:rsid w:val="143D67CD"/>
    <w:rsid w:val="144A162C"/>
    <w:rsid w:val="145A737F"/>
    <w:rsid w:val="1461070D"/>
    <w:rsid w:val="14636234"/>
    <w:rsid w:val="14665D24"/>
    <w:rsid w:val="146E6986"/>
    <w:rsid w:val="14726477"/>
    <w:rsid w:val="148368D6"/>
    <w:rsid w:val="14860174"/>
    <w:rsid w:val="14983A03"/>
    <w:rsid w:val="14A16D5C"/>
    <w:rsid w:val="14A64372"/>
    <w:rsid w:val="14BF71E2"/>
    <w:rsid w:val="14C2372B"/>
    <w:rsid w:val="14CB5B87"/>
    <w:rsid w:val="14D25167"/>
    <w:rsid w:val="14D92443"/>
    <w:rsid w:val="14E86739"/>
    <w:rsid w:val="15080B89"/>
    <w:rsid w:val="15190FE8"/>
    <w:rsid w:val="151B4D60"/>
    <w:rsid w:val="151E5B91"/>
    <w:rsid w:val="152534E9"/>
    <w:rsid w:val="1528122B"/>
    <w:rsid w:val="152A7C39"/>
    <w:rsid w:val="153674A4"/>
    <w:rsid w:val="153D78B4"/>
    <w:rsid w:val="15565D98"/>
    <w:rsid w:val="155C4A63"/>
    <w:rsid w:val="155C679B"/>
    <w:rsid w:val="156009C5"/>
    <w:rsid w:val="1574566E"/>
    <w:rsid w:val="15802E15"/>
    <w:rsid w:val="15907FD8"/>
    <w:rsid w:val="15997A33"/>
    <w:rsid w:val="15AC7766"/>
    <w:rsid w:val="15AD4406"/>
    <w:rsid w:val="15B7153F"/>
    <w:rsid w:val="15C639B1"/>
    <w:rsid w:val="15CF38CC"/>
    <w:rsid w:val="15D31197"/>
    <w:rsid w:val="15D53161"/>
    <w:rsid w:val="15DB629E"/>
    <w:rsid w:val="15EE7D7F"/>
    <w:rsid w:val="15EF417B"/>
    <w:rsid w:val="15F35395"/>
    <w:rsid w:val="15F5735F"/>
    <w:rsid w:val="15F80BFE"/>
    <w:rsid w:val="160475A2"/>
    <w:rsid w:val="160E6673"/>
    <w:rsid w:val="161A0B74"/>
    <w:rsid w:val="1629423D"/>
    <w:rsid w:val="162C6AF9"/>
    <w:rsid w:val="163D4862"/>
    <w:rsid w:val="164B6F7F"/>
    <w:rsid w:val="1658169C"/>
    <w:rsid w:val="1666025D"/>
    <w:rsid w:val="16687D3E"/>
    <w:rsid w:val="166D65D9"/>
    <w:rsid w:val="168A2AF7"/>
    <w:rsid w:val="16913548"/>
    <w:rsid w:val="16AE5760"/>
    <w:rsid w:val="16C64858"/>
    <w:rsid w:val="16D90A2F"/>
    <w:rsid w:val="16ED44DA"/>
    <w:rsid w:val="16EF3DAF"/>
    <w:rsid w:val="172B7C90"/>
    <w:rsid w:val="174E4CFE"/>
    <w:rsid w:val="175956CC"/>
    <w:rsid w:val="175D7112"/>
    <w:rsid w:val="175E2CE2"/>
    <w:rsid w:val="1767603B"/>
    <w:rsid w:val="17683B61"/>
    <w:rsid w:val="17C0399D"/>
    <w:rsid w:val="17C50FB3"/>
    <w:rsid w:val="17C84600"/>
    <w:rsid w:val="17D17958"/>
    <w:rsid w:val="17D94B36"/>
    <w:rsid w:val="17EE4066"/>
    <w:rsid w:val="17F56055"/>
    <w:rsid w:val="17FD699F"/>
    <w:rsid w:val="18194E5B"/>
    <w:rsid w:val="18267CA4"/>
    <w:rsid w:val="18295325"/>
    <w:rsid w:val="182C2DE0"/>
    <w:rsid w:val="182E6534"/>
    <w:rsid w:val="18363C5F"/>
    <w:rsid w:val="183B3024"/>
    <w:rsid w:val="184E0FA9"/>
    <w:rsid w:val="18561C0B"/>
    <w:rsid w:val="185A7104"/>
    <w:rsid w:val="185D743E"/>
    <w:rsid w:val="187F0273"/>
    <w:rsid w:val="18891FE1"/>
    <w:rsid w:val="188D7D23"/>
    <w:rsid w:val="188E75F7"/>
    <w:rsid w:val="189866C8"/>
    <w:rsid w:val="189A41EE"/>
    <w:rsid w:val="18A72D85"/>
    <w:rsid w:val="18B352B0"/>
    <w:rsid w:val="18B37049"/>
    <w:rsid w:val="18B807A5"/>
    <w:rsid w:val="18B8458C"/>
    <w:rsid w:val="18C64FE3"/>
    <w:rsid w:val="18CE3E98"/>
    <w:rsid w:val="18D544EC"/>
    <w:rsid w:val="18DE232D"/>
    <w:rsid w:val="19061883"/>
    <w:rsid w:val="190B6E9A"/>
    <w:rsid w:val="19137AFC"/>
    <w:rsid w:val="19153875"/>
    <w:rsid w:val="191C4C03"/>
    <w:rsid w:val="192166BD"/>
    <w:rsid w:val="19257F5C"/>
    <w:rsid w:val="19457408"/>
    <w:rsid w:val="19467ED2"/>
    <w:rsid w:val="194D1260"/>
    <w:rsid w:val="194D74B2"/>
    <w:rsid w:val="196E5FF2"/>
    <w:rsid w:val="197D7D98"/>
    <w:rsid w:val="1981715C"/>
    <w:rsid w:val="19874772"/>
    <w:rsid w:val="19C07C84"/>
    <w:rsid w:val="19EA4D01"/>
    <w:rsid w:val="19FB2A6A"/>
    <w:rsid w:val="19FE255B"/>
    <w:rsid w:val="1A18186E"/>
    <w:rsid w:val="1A18361C"/>
    <w:rsid w:val="1A240213"/>
    <w:rsid w:val="1A3345AB"/>
    <w:rsid w:val="1A381F10"/>
    <w:rsid w:val="1A4A57A0"/>
    <w:rsid w:val="1A5545C6"/>
    <w:rsid w:val="1A654388"/>
    <w:rsid w:val="1A6732D4"/>
    <w:rsid w:val="1A6844D4"/>
    <w:rsid w:val="1A6E148E"/>
    <w:rsid w:val="1A89276C"/>
    <w:rsid w:val="1A9C249F"/>
    <w:rsid w:val="1A9F5AEC"/>
    <w:rsid w:val="1AA1531C"/>
    <w:rsid w:val="1AA2738A"/>
    <w:rsid w:val="1AAB7407"/>
    <w:rsid w:val="1AB53561"/>
    <w:rsid w:val="1AB570BD"/>
    <w:rsid w:val="1AB80F1C"/>
    <w:rsid w:val="1AC11F06"/>
    <w:rsid w:val="1AD559B1"/>
    <w:rsid w:val="1ADB3280"/>
    <w:rsid w:val="1ADB7C95"/>
    <w:rsid w:val="1AE300CE"/>
    <w:rsid w:val="1AE654C9"/>
    <w:rsid w:val="1AE87493"/>
    <w:rsid w:val="1B0E2C71"/>
    <w:rsid w:val="1B132036"/>
    <w:rsid w:val="1B215345"/>
    <w:rsid w:val="1B232D26"/>
    <w:rsid w:val="1B285AE1"/>
    <w:rsid w:val="1B2F580A"/>
    <w:rsid w:val="1B371D78"/>
    <w:rsid w:val="1B41388C"/>
    <w:rsid w:val="1B636B19"/>
    <w:rsid w:val="1B697EA8"/>
    <w:rsid w:val="1B6B6201"/>
    <w:rsid w:val="1B701236"/>
    <w:rsid w:val="1B7C5E2D"/>
    <w:rsid w:val="1B9E7E6B"/>
    <w:rsid w:val="1BA875D4"/>
    <w:rsid w:val="1BAF48EB"/>
    <w:rsid w:val="1BBB4BA7"/>
    <w:rsid w:val="1BCD6688"/>
    <w:rsid w:val="1BD6378F"/>
    <w:rsid w:val="1BDB187A"/>
    <w:rsid w:val="1BEC2FB3"/>
    <w:rsid w:val="1BFB4FA4"/>
    <w:rsid w:val="1BFE4A94"/>
    <w:rsid w:val="1C063DFC"/>
    <w:rsid w:val="1C0A51E7"/>
    <w:rsid w:val="1C146065"/>
    <w:rsid w:val="1C1B73F4"/>
    <w:rsid w:val="1C2C1601"/>
    <w:rsid w:val="1C3D1800"/>
    <w:rsid w:val="1C493F61"/>
    <w:rsid w:val="1C512E16"/>
    <w:rsid w:val="1C542199"/>
    <w:rsid w:val="1C5446B4"/>
    <w:rsid w:val="1C5B5A42"/>
    <w:rsid w:val="1C730FDE"/>
    <w:rsid w:val="1C7F7983"/>
    <w:rsid w:val="1C850D11"/>
    <w:rsid w:val="1C8925AF"/>
    <w:rsid w:val="1C8D752E"/>
    <w:rsid w:val="1C9E5FCC"/>
    <w:rsid w:val="1CB57848"/>
    <w:rsid w:val="1CB6536F"/>
    <w:rsid w:val="1CBB2985"/>
    <w:rsid w:val="1CC7132A"/>
    <w:rsid w:val="1CD35F20"/>
    <w:rsid w:val="1CD83537"/>
    <w:rsid w:val="1CDA23B3"/>
    <w:rsid w:val="1CEE0E9A"/>
    <w:rsid w:val="1CFDA188"/>
    <w:rsid w:val="1D0460DA"/>
    <w:rsid w:val="1D0C4F8F"/>
    <w:rsid w:val="1D2642A2"/>
    <w:rsid w:val="1D300C7D"/>
    <w:rsid w:val="1D445881"/>
    <w:rsid w:val="1D4D5CD3"/>
    <w:rsid w:val="1D552DD9"/>
    <w:rsid w:val="1D5A5F73"/>
    <w:rsid w:val="1D5C5F16"/>
    <w:rsid w:val="1D685307"/>
    <w:rsid w:val="1D724B42"/>
    <w:rsid w:val="1D752B34"/>
    <w:rsid w:val="1D7D3EB6"/>
    <w:rsid w:val="1D864D41"/>
    <w:rsid w:val="1D8D2573"/>
    <w:rsid w:val="1DA23028"/>
    <w:rsid w:val="1DBC69B5"/>
    <w:rsid w:val="1DE859FC"/>
    <w:rsid w:val="1E002D45"/>
    <w:rsid w:val="1E081BFA"/>
    <w:rsid w:val="1E087E4C"/>
    <w:rsid w:val="1E0A7720"/>
    <w:rsid w:val="1E0C0B57"/>
    <w:rsid w:val="1E0D5462"/>
    <w:rsid w:val="1E0F2F88"/>
    <w:rsid w:val="1E0F4D36"/>
    <w:rsid w:val="1E197963"/>
    <w:rsid w:val="1E1B3C1A"/>
    <w:rsid w:val="1E200CF1"/>
    <w:rsid w:val="1E234C86"/>
    <w:rsid w:val="1E25455A"/>
    <w:rsid w:val="1E2F7187"/>
    <w:rsid w:val="1E4470D6"/>
    <w:rsid w:val="1E49223A"/>
    <w:rsid w:val="1E506D33"/>
    <w:rsid w:val="1E5906A7"/>
    <w:rsid w:val="1E607CAE"/>
    <w:rsid w:val="1E6905F2"/>
    <w:rsid w:val="1E766B63"/>
    <w:rsid w:val="1E7DB2E3"/>
    <w:rsid w:val="1E803E86"/>
    <w:rsid w:val="1EA90CE7"/>
    <w:rsid w:val="1EB83620"/>
    <w:rsid w:val="1EC93137"/>
    <w:rsid w:val="1ED241B0"/>
    <w:rsid w:val="1EDD4E34"/>
    <w:rsid w:val="1EDF295B"/>
    <w:rsid w:val="1F0C74C8"/>
    <w:rsid w:val="1F1072F4"/>
    <w:rsid w:val="1F132C50"/>
    <w:rsid w:val="1F1E7942"/>
    <w:rsid w:val="1F244811"/>
    <w:rsid w:val="1F264A2D"/>
    <w:rsid w:val="1F274302"/>
    <w:rsid w:val="1F274C01"/>
    <w:rsid w:val="1F3C1B5B"/>
    <w:rsid w:val="1F3E1D77"/>
    <w:rsid w:val="1F4E188E"/>
    <w:rsid w:val="1F6A2B6C"/>
    <w:rsid w:val="1F6D61B8"/>
    <w:rsid w:val="1F6D77C8"/>
    <w:rsid w:val="1F7532BF"/>
    <w:rsid w:val="1F8654CC"/>
    <w:rsid w:val="1F90634B"/>
    <w:rsid w:val="1FA20DCC"/>
    <w:rsid w:val="1FA47700"/>
    <w:rsid w:val="1FA53BA4"/>
    <w:rsid w:val="1FA807DA"/>
    <w:rsid w:val="1FB812A8"/>
    <w:rsid w:val="1FC3402A"/>
    <w:rsid w:val="1FE741BD"/>
    <w:rsid w:val="1FFD54FC"/>
    <w:rsid w:val="20104D96"/>
    <w:rsid w:val="20120B0E"/>
    <w:rsid w:val="20140D2A"/>
    <w:rsid w:val="20234AC9"/>
    <w:rsid w:val="20315438"/>
    <w:rsid w:val="203266EE"/>
    <w:rsid w:val="20346CD6"/>
    <w:rsid w:val="20407429"/>
    <w:rsid w:val="20457135"/>
    <w:rsid w:val="204D7D98"/>
    <w:rsid w:val="20542ED4"/>
    <w:rsid w:val="205C0C54"/>
    <w:rsid w:val="20653333"/>
    <w:rsid w:val="206550E2"/>
    <w:rsid w:val="20692E24"/>
    <w:rsid w:val="206A35D7"/>
    <w:rsid w:val="206A6B9C"/>
    <w:rsid w:val="206F41B2"/>
    <w:rsid w:val="207B1E2B"/>
    <w:rsid w:val="208A2D9A"/>
    <w:rsid w:val="208C6B12"/>
    <w:rsid w:val="208F6602"/>
    <w:rsid w:val="20947775"/>
    <w:rsid w:val="209D0D1F"/>
    <w:rsid w:val="20A0611A"/>
    <w:rsid w:val="20A21E92"/>
    <w:rsid w:val="20B17B77"/>
    <w:rsid w:val="20D12777"/>
    <w:rsid w:val="20D14525"/>
    <w:rsid w:val="20D34741"/>
    <w:rsid w:val="20DB1848"/>
    <w:rsid w:val="20E26732"/>
    <w:rsid w:val="20E56222"/>
    <w:rsid w:val="20E97AC1"/>
    <w:rsid w:val="21132D8F"/>
    <w:rsid w:val="211C60E8"/>
    <w:rsid w:val="211D60CE"/>
    <w:rsid w:val="213435D0"/>
    <w:rsid w:val="21380A48"/>
    <w:rsid w:val="213A47C0"/>
    <w:rsid w:val="21703D3E"/>
    <w:rsid w:val="21751354"/>
    <w:rsid w:val="218617B3"/>
    <w:rsid w:val="21933ED0"/>
    <w:rsid w:val="21983295"/>
    <w:rsid w:val="219914E7"/>
    <w:rsid w:val="21991DF6"/>
    <w:rsid w:val="21A1039B"/>
    <w:rsid w:val="21B62351"/>
    <w:rsid w:val="21CF315A"/>
    <w:rsid w:val="21D249F9"/>
    <w:rsid w:val="21E8421C"/>
    <w:rsid w:val="21E93AF0"/>
    <w:rsid w:val="21F77FBB"/>
    <w:rsid w:val="220B70F2"/>
    <w:rsid w:val="220F3557"/>
    <w:rsid w:val="22261312"/>
    <w:rsid w:val="223B434C"/>
    <w:rsid w:val="223C6316"/>
    <w:rsid w:val="224A27E1"/>
    <w:rsid w:val="224C6559"/>
    <w:rsid w:val="22592A24"/>
    <w:rsid w:val="225B2A36"/>
    <w:rsid w:val="22600256"/>
    <w:rsid w:val="2265586D"/>
    <w:rsid w:val="22775899"/>
    <w:rsid w:val="2280028D"/>
    <w:rsid w:val="22AC349C"/>
    <w:rsid w:val="22B20386"/>
    <w:rsid w:val="22B21902"/>
    <w:rsid w:val="22E36792"/>
    <w:rsid w:val="22E9024C"/>
    <w:rsid w:val="22F866E1"/>
    <w:rsid w:val="22F95FB5"/>
    <w:rsid w:val="22FD7853"/>
    <w:rsid w:val="22FE4E63"/>
    <w:rsid w:val="23160915"/>
    <w:rsid w:val="231B417D"/>
    <w:rsid w:val="232A43C0"/>
    <w:rsid w:val="233139A1"/>
    <w:rsid w:val="23566F63"/>
    <w:rsid w:val="23696C97"/>
    <w:rsid w:val="236B2A0F"/>
    <w:rsid w:val="23711FEF"/>
    <w:rsid w:val="2375388E"/>
    <w:rsid w:val="2382763C"/>
    <w:rsid w:val="23A423C5"/>
    <w:rsid w:val="23A45F21"/>
    <w:rsid w:val="23AB3753"/>
    <w:rsid w:val="23B26890"/>
    <w:rsid w:val="23CB5BA3"/>
    <w:rsid w:val="23D902C0"/>
    <w:rsid w:val="23DD1433"/>
    <w:rsid w:val="23DE7685"/>
    <w:rsid w:val="23DF164F"/>
    <w:rsid w:val="23EA427B"/>
    <w:rsid w:val="240D7F6A"/>
    <w:rsid w:val="24170DE9"/>
    <w:rsid w:val="241906BD"/>
    <w:rsid w:val="241C1F5B"/>
    <w:rsid w:val="242B03F0"/>
    <w:rsid w:val="242D5F16"/>
    <w:rsid w:val="24311EAA"/>
    <w:rsid w:val="24422DFE"/>
    <w:rsid w:val="244A2F6C"/>
    <w:rsid w:val="244D0366"/>
    <w:rsid w:val="245E07C6"/>
    <w:rsid w:val="24620CBA"/>
    <w:rsid w:val="24822706"/>
    <w:rsid w:val="2483022C"/>
    <w:rsid w:val="248A5117"/>
    <w:rsid w:val="2492046F"/>
    <w:rsid w:val="2492221D"/>
    <w:rsid w:val="249E5066"/>
    <w:rsid w:val="24B16B47"/>
    <w:rsid w:val="24BD373E"/>
    <w:rsid w:val="24C70119"/>
    <w:rsid w:val="24CA5E5B"/>
    <w:rsid w:val="24D40A88"/>
    <w:rsid w:val="24DB1E16"/>
    <w:rsid w:val="24EC4023"/>
    <w:rsid w:val="24ED38F7"/>
    <w:rsid w:val="24F164AA"/>
    <w:rsid w:val="250C6474"/>
    <w:rsid w:val="250C7BDD"/>
    <w:rsid w:val="25180974"/>
    <w:rsid w:val="25203CCD"/>
    <w:rsid w:val="2527505B"/>
    <w:rsid w:val="252E63EA"/>
    <w:rsid w:val="25333A00"/>
    <w:rsid w:val="25341526"/>
    <w:rsid w:val="253728AF"/>
    <w:rsid w:val="253B28B5"/>
    <w:rsid w:val="25430923"/>
    <w:rsid w:val="25473008"/>
    <w:rsid w:val="254774AC"/>
    <w:rsid w:val="254F010E"/>
    <w:rsid w:val="2553373E"/>
    <w:rsid w:val="25583467"/>
    <w:rsid w:val="255C556D"/>
    <w:rsid w:val="256040C9"/>
    <w:rsid w:val="25695674"/>
    <w:rsid w:val="25695F41"/>
    <w:rsid w:val="2572277A"/>
    <w:rsid w:val="257A162F"/>
    <w:rsid w:val="25A91362"/>
    <w:rsid w:val="25BD0EF9"/>
    <w:rsid w:val="25C20003"/>
    <w:rsid w:val="25EC3BAF"/>
    <w:rsid w:val="260B672B"/>
    <w:rsid w:val="261A071C"/>
    <w:rsid w:val="263317DE"/>
    <w:rsid w:val="263F0183"/>
    <w:rsid w:val="26400147"/>
    <w:rsid w:val="26413EFB"/>
    <w:rsid w:val="264659B5"/>
    <w:rsid w:val="26485289"/>
    <w:rsid w:val="26597496"/>
    <w:rsid w:val="2674607E"/>
    <w:rsid w:val="268B1CCF"/>
    <w:rsid w:val="26920BFA"/>
    <w:rsid w:val="26995AE5"/>
    <w:rsid w:val="269E759F"/>
    <w:rsid w:val="26A050C5"/>
    <w:rsid w:val="26AA40C1"/>
    <w:rsid w:val="26AD333E"/>
    <w:rsid w:val="26B3099D"/>
    <w:rsid w:val="26BA5C25"/>
    <w:rsid w:val="26BD5C77"/>
    <w:rsid w:val="26C1503C"/>
    <w:rsid w:val="26C37006"/>
    <w:rsid w:val="26C54B2C"/>
    <w:rsid w:val="26DD1E76"/>
    <w:rsid w:val="26E054C2"/>
    <w:rsid w:val="26F96584"/>
    <w:rsid w:val="26FC4863"/>
    <w:rsid w:val="27024388"/>
    <w:rsid w:val="27037402"/>
    <w:rsid w:val="270713C3"/>
    <w:rsid w:val="270D202F"/>
    <w:rsid w:val="27337E5F"/>
    <w:rsid w:val="27392E24"/>
    <w:rsid w:val="274243CE"/>
    <w:rsid w:val="275A34C6"/>
    <w:rsid w:val="275E1D48"/>
    <w:rsid w:val="27677991"/>
    <w:rsid w:val="277327DA"/>
    <w:rsid w:val="278B7B24"/>
    <w:rsid w:val="27A3569D"/>
    <w:rsid w:val="27A40BE5"/>
    <w:rsid w:val="27A55B0F"/>
    <w:rsid w:val="27AC6936"/>
    <w:rsid w:val="27B01338"/>
    <w:rsid w:val="27B626C7"/>
    <w:rsid w:val="27BB2ACC"/>
    <w:rsid w:val="27CB43C4"/>
    <w:rsid w:val="27D1743C"/>
    <w:rsid w:val="27DD55D8"/>
    <w:rsid w:val="27E40FE2"/>
    <w:rsid w:val="27E92A9C"/>
    <w:rsid w:val="28033B5E"/>
    <w:rsid w:val="280B2A12"/>
    <w:rsid w:val="2810627B"/>
    <w:rsid w:val="28137B19"/>
    <w:rsid w:val="281713B7"/>
    <w:rsid w:val="28274CC4"/>
    <w:rsid w:val="283B73C3"/>
    <w:rsid w:val="28463A4A"/>
    <w:rsid w:val="284657F9"/>
    <w:rsid w:val="28481571"/>
    <w:rsid w:val="285D414E"/>
    <w:rsid w:val="28620159"/>
    <w:rsid w:val="28687E65"/>
    <w:rsid w:val="28697739"/>
    <w:rsid w:val="288B4085"/>
    <w:rsid w:val="28926C90"/>
    <w:rsid w:val="28A30E9D"/>
    <w:rsid w:val="28A759AF"/>
    <w:rsid w:val="28B05368"/>
    <w:rsid w:val="28B27CA3"/>
    <w:rsid w:val="28B60BD0"/>
    <w:rsid w:val="28C332ED"/>
    <w:rsid w:val="28C606E7"/>
    <w:rsid w:val="28C72DDD"/>
    <w:rsid w:val="28CD5F1A"/>
    <w:rsid w:val="28D41056"/>
    <w:rsid w:val="28EA0701"/>
    <w:rsid w:val="28F16026"/>
    <w:rsid w:val="2903193C"/>
    <w:rsid w:val="290336EA"/>
    <w:rsid w:val="290D4568"/>
    <w:rsid w:val="290F208E"/>
    <w:rsid w:val="29193321"/>
    <w:rsid w:val="291C47AB"/>
    <w:rsid w:val="29233D8C"/>
    <w:rsid w:val="29476954"/>
    <w:rsid w:val="294F2DD3"/>
    <w:rsid w:val="29535AE8"/>
    <w:rsid w:val="29543F45"/>
    <w:rsid w:val="295464C2"/>
    <w:rsid w:val="29626662"/>
    <w:rsid w:val="296E0E36"/>
    <w:rsid w:val="297C6AA2"/>
    <w:rsid w:val="299D769A"/>
    <w:rsid w:val="29AC3D81"/>
    <w:rsid w:val="29AF73CD"/>
    <w:rsid w:val="29BB3FC4"/>
    <w:rsid w:val="29CE3CF8"/>
    <w:rsid w:val="29D11A3A"/>
    <w:rsid w:val="29DB6414"/>
    <w:rsid w:val="29E37FC4"/>
    <w:rsid w:val="29E4351B"/>
    <w:rsid w:val="29F6324E"/>
    <w:rsid w:val="2A0239A1"/>
    <w:rsid w:val="2A072FE9"/>
    <w:rsid w:val="2A14198E"/>
    <w:rsid w:val="2A16744D"/>
    <w:rsid w:val="2A1B4A63"/>
    <w:rsid w:val="2A263B34"/>
    <w:rsid w:val="2A347C01"/>
    <w:rsid w:val="2A375D41"/>
    <w:rsid w:val="2A3D0E87"/>
    <w:rsid w:val="2A510485"/>
    <w:rsid w:val="2A524929"/>
    <w:rsid w:val="2A567E78"/>
    <w:rsid w:val="2A5C1303"/>
    <w:rsid w:val="2A6102EC"/>
    <w:rsid w:val="2A77613D"/>
    <w:rsid w:val="2A7C7BF7"/>
    <w:rsid w:val="2A862824"/>
    <w:rsid w:val="2A88034A"/>
    <w:rsid w:val="2AA8279A"/>
    <w:rsid w:val="2AA9206F"/>
    <w:rsid w:val="2AB033FD"/>
    <w:rsid w:val="2ACC030F"/>
    <w:rsid w:val="2AD25A69"/>
    <w:rsid w:val="2AD27987"/>
    <w:rsid w:val="2AD9215F"/>
    <w:rsid w:val="2AD96DF8"/>
    <w:rsid w:val="2ADE440E"/>
    <w:rsid w:val="2AE964C6"/>
    <w:rsid w:val="2B05199B"/>
    <w:rsid w:val="2B14398C"/>
    <w:rsid w:val="2B1D39AC"/>
    <w:rsid w:val="2B1E0CAF"/>
    <w:rsid w:val="2B1E2A5D"/>
    <w:rsid w:val="2B357351"/>
    <w:rsid w:val="2B406E77"/>
    <w:rsid w:val="2B4C581C"/>
    <w:rsid w:val="2B606BD1"/>
    <w:rsid w:val="2B726905"/>
    <w:rsid w:val="2B8723B0"/>
    <w:rsid w:val="2B8A296A"/>
    <w:rsid w:val="2BAF1907"/>
    <w:rsid w:val="2BB62C95"/>
    <w:rsid w:val="2BC37160"/>
    <w:rsid w:val="2BD355F5"/>
    <w:rsid w:val="2BDF3BA3"/>
    <w:rsid w:val="2BE912BD"/>
    <w:rsid w:val="2BF235A7"/>
    <w:rsid w:val="2BF832AE"/>
    <w:rsid w:val="2C077995"/>
    <w:rsid w:val="2C1125C1"/>
    <w:rsid w:val="2C165AE7"/>
    <w:rsid w:val="2C1906D2"/>
    <w:rsid w:val="2C1A1178"/>
    <w:rsid w:val="2C2220D9"/>
    <w:rsid w:val="2C297BFF"/>
    <w:rsid w:val="2C3406FF"/>
    <w:rsid w:val="2C3B13EC"/>
    <w:rsid w:val="2C475FE3"/>
    <w:rsid w:val="2C506C46"/>
    <w:rsid w:val="2C6B7F24"/>
    <w:rsid w:val="2C6E4C6A"/>
    <w:rsid w:val="2C703257"/>
    <w:rsid w:val="2C736DD8"/>
    <w:rsid w:val="2C772424"/>
    <w:rsid w:val="2C9B7CA1"/>
    <w:rsid w:val="2CA70830"/>
    <w:rsid w:val="2CAA0D04"/>
    <w:rsid w:val="2CB82A3D"/>
    <w:rsid w:val="2CB847EB"/>
    <w:rsid w:val="2CBF201D"/>
    <w:rsid w:val="2CC3566A"/>
    <w:rsid w:val="2CD07CC3"/>
    <w:rsid w:val="2CD312DD"/>
    <w:rsid w:val="2CE2593C"/>
    <w:rsid w:val="2CFC5020"/>
    <w:rsid w:val="2D04536F"/>
    <w:rsid w:val="2D12039F"/>
    <w:rsid w:val="2D130447"/>
    <w:rsid w:val="2D2B7271"/>
    <w:rsid w:val="2D3227EF"/>
    <w:rsid w:val="2D3E73E6"/>
    <w:rsid w:val="2D4349FC"/>
    <w:rsid w:val="2D452523"/>
    <w:rsid w:val="2D4542D1"/>
    <w:rsid w:val="2D4762AF"/>
    <w:rsid w:val="2D5C161A"/>
    <w:rsid w:val="2D5C786C"/>
    <w:rsid w:val="2D6A0110"/>
    <w:rsid w:val="2D6A1F89"/>
    <w:rsid w:val="2D6B7AAF"/>
    <w:rsid w:val="2D6D1A79"/>
    <w:rsid w:val="2D720E3E"/>
    <w:rsid w:val="2D7C1CBC"/>
    <w:rsid w:val="2D8F7C42"/>
    <w:rsid w:val="2DAA4A7C"/>
    <w:rsid w:val="2DB9562B"/>
    <w:rsid w:val="2DBB4593"/>
    <w:rsid w:val="2DBD47AF"/>
    <w:rsid w:val="2DC93154"/>
    <w:rsid w:val="2DD65871"/>
    <w:rsid w:val="2DD90EBD"/>
    <w:rsid w:val="2DEC299E"/>
    <w:rsid w:val="2DEF06E0"/>
    <w:rsid w:val="2DFF595B"/>
    <w:rsid w:val="2E0E0B66"/>
    <w:rsid w:val="2E3507E9"/>
    <w:rsid w:val="2E3F2682"/>
    <w:rsid w:val="2E405189"/>
    <w:rsid w:val="2E4427DA"/>
    <w:rsid w:val="2E642E7C"/>
    <w:rsid w:val="2E67471B"/>
    <w:rsid w:val="2E825C96"/>
    <w:rsid w:val="2E831C2B"/>
    <w:rsid w:val="2E9D1EEA"/>
    <w:rsid w:val="2EB20408"/>
    <w:rsid w:val="2EB23BE8"/>
    <w:rsid w:val="2EC67693"/>
    <w:rsid w:val="2ED7322E"/>
    <w:rsid w:val="2ED81174"/>
    <w:rsid w:val="2EDE1C71"/>
    <w:rsid w:val="2EE45D6B"/>
    <w:rsid w:val="2EE66D0F"/>
    <w:rsid w:val="2EE82BD8"/>
    <w:rsid w:val="2EEA2EE4"/>
    <w:rsid w:val="2EFF2BA5"/>
    <w:rsid w:val="2F0F6197"/>
    <w:rsid w:val="2F192425"/>
    <w:rsid w:val="2F3339AA"/>
    <w:rsid w:val="2F3565C7"/>
    <w:rsid w:val="2F3C7955"/>
    <w:rsid w:val="2F464330"/>
    <w:rsid w:val="2F4F7689"/>
    <w:rsid w:val="2F542EF1"/>
    <w:rsid w:val="2F5527C5"/>
    <w:rsid w:val="2F5C3B54"/>
    <w:rsid w:val="2F603644"/>
    <w:rsid w:val="2F700004"/>
    <w:rsid w:val="2F750AF6"/>
    <w:rsid w:val="2F776BDF"/>
    <w:rsid w:val="2F837332"/>
    <w:rsid w:val="2F8512FC"/>
    <w:rsid w:val="2F994DA8"/>
    <w:rsid w:val="2FAA48BF"/>
    <w:rsid w:val="2FB674D6"/>
    <w:rsid w:val="2FB90FA6"/>
    <w:rsid w:val="2FBE036A"/>
    <w:rsid w:val="2FD656B4"/>
    <w:rsid w:val="2FE57FED"/>
    <w:rsid w:val="2FE73D65"/>
    <w:rsid w:val="30006BD5"/>
    <w:rsid w:val="301663F8"/>
    <w:rsid w:val="301D177E"/>
    <w:rsid w:val="302F1268"/>
    <w:rsid w:val="302F3016"/>
    <w:rsid w:val="303643A5"/>
    <w:rsid w:val="304F36B8"/>
    <w:rsid w:val="305111DE"/>
    <w:rsid w:val="30556F21"/>
    <w:rsid w:val="30586A11"/>
    <w:rsid w:val="305B04AF"/>
    <w:rsid w:val="305C3E68"/>
    <w:rsid w:val="305F4F6B"/>
    <w:rsid w:val="3062163D"/>
    <w:rsid w:val="30621B6B"/>
    <w:rsid w:val="307B625B"/>
    <w:rsid w:val="307C26FF"/>
    <w:rsid w:val="307D1FD3"/>
    <w:rsid w:val="308B46F0"/>
    <w:rsid w:val="3091782D"/>
    <w:rsid w:val="30B55C11"/>
    <w:rsid w:val="30EB33E1"/>
    <w:rsid w:val="30FE1366"/>
    <w:rsid w:val="31053E7C"/>
    <w:rsid w:val="31083F93"/>
    <w:rsid w:val="31093867"/>
    <w:rsid w:val="310E5321"/>
    <w:rsid w:val="31190263"/>
    <w:rsid w:val="311E37B6"/>
    <w:rsid w:val="313A1C72"/>
    <w:rsid w:val="31642CFA"/>
    <w:rsid w:val="318F1FBE"/>
    <w:rsid w:val="31945827"/>
    <w:rsid w:val="31975317"/>
    <w:rsid w:val="31A677D0"/>
    <w:rsid w:val="31AA6DF8"/>
    <w:rsid w:val="31BD2FCF"/>
    <w:rsid w:val="31C61758"/>
    <w:rsid w:val="31CC3212"/>
    <w:rsid w:val="31D40319"/>
    <w:rsid w:val="31D9265F"/>
    <w:rsid w:val="31E06CBE"/>
    <w:rsid w:val="31F10E53"/>
    <w:rsid w:val="31F84007"/>
    <w:rsid w:val="32002EBC"/>
    <w:rsid w:val="320F4EAD"/>
    <w:rsid w:val="3216623C"/>
    <w:rsid w:val="321D3A6E"/>
    <w:rsid w:val="321E3342"/>
    <w:rsid w:val="322840E9"/>
    <w:rsid w:val="323D5EBE"/>
    <w:rsid w:val="32472899"/>
    <w:rsid w:val="32494863"/>
    <w:rsid w:val="324C6101"/>
    <w:rsid w:val="325356E2"/>
    <w:rsid w:val="32560D2E"/>
    <w:rsid w:val="325A019F"/>
    <w:rsid w:val="3267118D"/>
    <w:rsid w:val="326A3B99"/>
    <w:rsid w:val="32780CA4"/>
    <w:rsid w:val="329F4483"/>
    <w:rsid w:val="32A73338"/>
    <w:rsid w:val="32AE2918"/>
    <w:rsid w:val="32CC0FF0"/>
    <w:rsid w:val="32E620B2"/>
    <w:rsid w:val="32EB591A"/>
    <w:rsid w:val="32EE540A"/>
    <w:rsid w:val="32F522F5"/>
    <w:rsid w:val="32F742BF"/>
    <w:rsid w:val="32F81DE5"/>
    <w:rsid w:val="32FA3DAF"/>
    <w:rsid w:val="32FA790B"/>
    <w:rsid w:val="32FB6D81"/>
    <w:rsid w:val="32FC18D5"/>
    <w:rsid w:val="32FF3174"/>
    <w:rsid w:val="33016EEC"/>
    <w:rsid w:val="33033C29"/>
    <w:rsid w:val="330A3CD4"/>
    <w:rsid w:val="330E785B"/>
    <w:rsid w:val="33332E1D"/>
    <w:rsid w:val="333515BA"/>
    <w:rsid w:val="33386686"/>
    <w:rsid w:val="333A23FE"/>
    <w:rsid w:val="335214F5"/>
    <w:rsid w:val="338813BB"/>
    <w:rsid w:val="339A2E9C"/>
    <w:rsid w:val="33BE302F"/>
    <w:rsid w:val="33BE4DDD"/>
    <w:rsid w:val="33D068BE"/>
    <w:rsid w:val="340D1B3C"/>
    <w:rsid w:val="3422536C"/>
    <w:rsid w:val="34376474"/>
    <w:rsid w:val="34480B4A"/>
    <w:rsid w:val="344C4197"/>
    <w:rsid w:val="345D2848"/>
    <w:rsid w:val="346516FC"/>
    <w:rsid w:val="346E6803"/>
    <w:rsid w:val="34733E19"/>
    <w:rsid w:val="347B74B6"/>
    <w:rsid w:val="348C4EDB"/>
    <w:rsid w:val="348E0C53"/>
    <w:rsid w:val="34983880"/>
    <w:rsid w:val="349B511E"/>
    <w:rsid w:val="34A35D81"/>
    <w:rsid w:val="34A75871"/>
    <w:rsid w:val="34B955A4"/>
    <w:rsid w:val="34CA36DC"/>
    <w:rsid w:val="34CB5A03"/>
    <w:rsid w:val="34E55713"/>
    <w:rsid w:val="34EC597A"/>
    <w:rsid w:val="34EE7BB1"/>
    <w:rsid w:val="34F0546A"/>
    <w:rsid w:val="34F07218"/>
    <w:rsid w:val="34F211E2"/>
    <w:rsid w:val="34FC1F43"/>
    <w:rsid w:val="34FC3E0F"/>
    <w:rsid w:val="35066A3B"/>
    <w:rsid w:val="350B5E00"/>
    <w:rsid w:val="35305866"/>
    <w:rsid w:val="353600E4"/>
    <w:rsid w:val="35402DD4"/>
    <w:rsid w:val="354B26A0"/>
    <w:rsid w:val="354E03E2"/>
    <w:rsid w:val="355F439E"/>
    <w:rsid w:val="356D6ABA"/>
    <w:rsid w:val="356E2833"/>
    <w:rsid w:val="35775454"/>
    <w:rsid w:val="35803815"/>
    <w:rsid w:val="35846425"/>
    <w:rsid w:val="358C4411"/>
    <w:rsid w:val="35951B6D"/>
    <w:rsid w:val="359E4EC6"/>
    <w:rsid w:val="35A85D44"/>
    <w:rsid w:val="35A87AF3"/>
    <w:rsid w:val="35BC359E"/>
    <w:rsid w:val="35BC534C"/>
    <w:rsid w:val="35CF507F"/>
    <w:rsid w:val="35DD410A"/>
    <w:rsid w:val="35E13004"/>
    <w:rsid w:val="35EF5721"/>
    <w:rsid w:val="36174C78"/>
    <w:rsid w:val="361E1B63"/>
    <w:rsid w:val="362A0508"/>
    <w:rsid w:val="36415E89"/>
    <w:rsid w:val="364517E5"/>
    <w:rsid w:val="365C49EA"/>
    <w:rsid w:val="36624145"/>
    <w:rsid w:val="366639ED"/>
    <w:rsid w:val="367B0D63"/>
    <w:rsid w:val="36806379"/>
    <w:rsid w:val="36A22794"/>
    <w:rsid w:val="36A858D0"/>
    <w:rsid w:val="36A95955"/>
    <w:rsid w:val="36AA789A"/>
    <w:rsid w:val="36B64491"/>
    <w:rsid w:val="36B6623F"/>
    <w:rsid w:val="36C50230"/>
    <w:rsid w:val="36C7763D"/>
    <w:rsid w:val="36CA1CEB"/>
    <w:rsid w:val="36D14E27"/>
    <w:rsid w:val="36D30B9F"/>
    <w:rsid w:val="36D84166"/>
    <w:rsid w:val="36D861B6"/>
    <w:rsid w:val="36E20DE2"/>
    <w:rsid w:val="36FA25D0"/>
    <w:rsid w:val="37024FE0"/>
    <w:rsid w:val="37054AD1"/>
    <w:rsid w:val="37060F75"/>
    <w:rsid w:val="371846FE"/>
    <w:rsid w:val="371B42F4"/>
    <w:rsid w:val="373A6E70"/>
    <w:rsid w:val="373D426B"/>
    <w:rsid w:val="373F4487"/>
    <w:rsid w:val="37461371"/>
    <w:rsid w:val="37557806"/>
    <w:rsid w:val="376A4769"/>
    <w:rsid w:val="377B16C2"/>
    <w:rsid w:val="378B147A"/>
    <w:rsid w:val="379876F3"/>
    <w:rsid w:val="379A790F"/>
    <w:rsid w:val="379C3687"/>
    <w:rsid w:val="379E11AD"/>
    <w:rsid w:val="37A0321C"/>
    <w:rsid w:val="37B207B5"/>
    <w:rsid w:val="37B22EAA"/>
    <w:rsid w:val="37C91822"/>
    <w:rsid w:val="37F05781"/>
    <w:rsid w:val="3810197F"/>
    <w:rsid w:val="38211DDE"/>
    <w:rsid w:val="3825367C"/>
    <w:rsid w:val="38325D99"/>
    <w:rsid w:val="38417D8A"/>
    <w:rsid w:val="384653A1"/>
    <w:rsid w:val="3852626E"/>
    <w:rsid w:val="38547ABE"/>
    <w:rsid w:val="385775AE"/>
    <w:rsid w:val="385B709E"/>
    <w:rsid w:val="387C0DC3"/>
    <w:rsid w:val="3882287D"/>
    <w:rsid w:val="38912BFC"/>
    <w:rsid w:val="38966328"/>
    <w:rsid w:val="389D0C7A"/>
    <w:rsid w:val="389E6F8B"/>
    <w:rsid w:val="389F58C0"/>
    <w:rsid w:val="38A071A7"/>
    <w:rsid w:val="38A547BD"/>
    <w:rsid w:val="38A65E3F"/>
    <w:rsid w:val="38AA3B82"/>
    <w:rsid w:val="38AD5420"/>
    <w:rsid w:val="38B13162"/>
    <w:rsid w:val="38B8629F"/>
    <w:rsid w:val="38B95B73"/>
    <w:rsid w:val="38BB18EB"/>
    <w:rsid w:val="38C70290"/>
    <w:rsid w:val="38CA5FD2"/>
    <w:rsid w:val="38CF5396"/>
    <w:rsid w:val="38D53385"/>
    <w:rsid w:val="38E52E0C"/>
    <w:rsid w:val="38EC3ACE"/>
    <w:rsid w:val="38F31085"/>
    <w:rsid w:val="38FB618B"/>
    <w:rsid w:val="390239BE"/>
    <w:rsid w:val="3905525C"/>
    <w:rsid w:val="39075A22"/>
    <w:rsid w:val="390C16F6"/>
    <w:rsid w:val="390E5EBF"/>
    <w:rsid w:val="390F72AC"/>
    <w:rsid w:val="3911775D"/>
    <w:rsid w:val="391536F1"/>
    <w:rsid w:val="39267E6B"/>
    <w:rsid w:val="39292CF8"/>
    <w:rsid w:val="392C73C4"/>
    <w:rsid w:val="39423DBA"/>
    <w:rsid w:val="39461AFC"/>
    <w:rsid w:val="394B7113"/>
    <w:rsid w:val="39557F91"/>
    <w:rsid w:val="39581830"/>
    <w:rsid w:val="395B4E7C"/>
    <w:rsid w:val="3965374F"/>
    <w:rsid w:val="39761CB6"/>
    <w:rsid w:val="39782384"/>
    <w:rsid w:val="39846389"/>
    <w:rsid w:val="39965EB4"/>
    <w:rsid w:val="39BA6046"/>
    <w:rsid w:val="39BB4388"/>
    <w:rsid w:val="39BF365D"/>
    <w:rsid w:val="39C42A21"/>
    <w:rsid w:val="39C96289"/>
    <w:rsid w:val="39CD7B28"/>
    <w:rsid w:val="39E10598"/>
    <w:rsid w:val="39E66E3B"/>
    <w:rsid w:val="39EB4452"/>
    <w:rsid w:val="39F8091D"/>
    <w:rsid w:val="39FF3A59"/>
    <w:rsid w:val="3A03179B"/>
    <w:rsid w:val="3A192D6D"/>
    <w:rsid w:val="3A2D4A6A"/>
    <w:rsid w:val="3A2F2590"/>
    <w:rsid w:val="3A421C70"/>
    <w:rsid w:val="3A4E3DF5"/>
    <w:rsid w:val="3A555D6F"/>
    <w:rsid w:val="3A7A7584"/>
    <w:rsid w:val="3A887EF3"/>
    <w:rsid w:val="3A8B353F"/>
    <w:rsid w:val="3A9E7870"/>
    <w:rsid w:val="3AA50AA5"/>
    <w:rsid w:val="3AAA1C17"/>
    <w:rsid w:val="3AAA2B43"/>
    <w:rsid w:val="3AB17449"/>
    <w:rsid w:val="3ABB3E24"/>
    <w:rsid w:val="3AC23405"/>
    <w:rsid w:val="3AD302F2"/>
    <w:rsid w:val="3AD9074E"/>
    <w:rsid w:val="3AD969A0"/>
    <w:rsid w:val="3ADA2622"/>
    <w:rsid w:val="3AF235BE"/>
    <w:rsid w:val="3B0532F1"/>
    <w:rsid w:val="3B07350D"/>
    <w:rsid w:val="3B0A4CF0"/>
    <w:rsid w:val="3B0D21A6"/>
    <w:rsid w:val="3B1C4F63"/>
    <w:rsid w:val="3B245E6D"/>
    <w:rsid w:val="3B3B53DC"/>
    <w:rsid w:val="3B3E6803"/>
    <w:rsid w:val="3B491E82"/>
    <w:rsid w:val="3B516536"/>
    <w:rsid w:val="3B530501"/>
    <w:rsid w:val="3B581673"/>
    <w:rsid w:val="3B5E72AB"/>
    <w:rsid w:val="3B65253E"/>
    <w:rsid w:val="3B671017"/>
    <w:rsid w:val="3B716BD9"/>
    <w:rsid w:val="3B732951"/>
    <w:rsid w:val="3B7364AD"/>
    <w:rsid w:val="3B8561E0"/>
    <w:rsid w:val="3B914B85"/>
    <w:rsid w:val="3B9308FD"/>
    <w:rsid w:val="3B9603ED"/>
    <w:rsid w:val="3BA42B0A"/>
    <w:rsid w:val="3BBF61AC"/>
    <w:rsid w:val="3BCA3066"/>
    <w:rsid w:val="3BCC2061"/>
    <w:rsid w:val="3BE13D5E"/>
    <w:rsid w:val="3BE15B0C"/>
    <w:rsid w:val="3BF07AFD"/>
    <w:rsid w:val="3BF13876"/>
    <w:rsid w:val="3BF27E3F"/>
    <w:rsid w:val="3BF84C04"/>
    <w:rsid w:val="3C0D4B53"/>
    <w:rsid w:val="3C1F4887"/>
    <w:rsid w:val="3C267A21"/>
    <w:rsid w:val="3C2A2785"/>
    <w:rsid w:val="3C37397E"/>
    <w:rsid w:val="3C3A521C"/>
    <w:rsid w:val="3C504A40"/>
    <w:rsid w:val="3C6329C5"/>
    <w:rsid w:val="3C6A3D54"/>
    <w:rsid w:val="3C6B3628"/>
    <w:rsid w:val="3C77021F"/>
    <w:rsid w:val="3C7945E5"/>
    <w:rsid w:val="3C7A386B"/>
    <w:rsid w:val="3C834E15"/>
    <w:rsid w:val="3C8D403D"/>
    <w:rsid w:val="3C991F43"/>
    <w:rsid w:val="3C9943D8"/>
    <w:rsid w:val="3CAA4150"/>
    <w:rsid w:val="3CB11983"/>
    <w:rsid w:val="3CB50CFF"/>
    <w:rsid w:val="3CB60D47"/>
    <w:rsid w:val="3CCF005B"/>
    <w:rsid w:val="3CD218F9"/>
    <w:rsid w:val="3CDD2778"/>
    <w:rsid w:val="3CED04E1"/>
    <w:rsid w:val="3CF96E86"/>
    <w:rsid w:val="3CFE26EE"/>
    <w:rsid w:val="3D0A1093"/>
    <w:rsid w:val="3D131BCB"/>
    <w:rsid w:val="3D257C7B"/>
    <w:rsid w:val="3D2F70B9"/>
    <w:rsid w:val="3D3879AE"/>
    <w:rsid w:val="3D4445A5"/>
    <w:rsid w:val="3D566086"/>
    <w:rsid w:val="3D65276D"/>
    <w:rsid w:val="3D670293"/>
    <w:rsid w:val="3D755FB3"/>
    <w:rsid w:val="3D780336"/>
    <w:rsid w:val="3D8A3F82"/>
    <w:rsid w:val="3D8B74C8"/>
    <w:rsid w:val="3D931088"/>
    <w:rsid w:val="3D9646D4"/>
    <w:rsid w:val="3D9A41C5"/>
    <w:rsid w:val="3D9F17DB"/>
    <w:rsid w:val="3DBD7EB3"/>
    <w:rsid w:val="3DC41242"/>
    <w:rsid w:val="3DC512D0"/>
    <w:rsid w:val="3DEE62BF"/>
    <w:rsid w:val="3DF71617"/>
    <w:rsid w:val="3DFC4E7F"/>
    <w:rsid w:val="3E012496"/>
    <w:rsid w:val="3E091A36"/>
    <w:rsid w:val="3E0E4BB3"/>
    <w:rsid w:val="3E104487"/>
    <w:rsid w:val="3E2241BA"/>
    <w:rsid w:val="3E241CE0"/>
    <w:rsid w:val="3E3F15CF"/>
    <w:rsid w:val="3E481E73"/>
    <w:rsid w:val="3E5C76CC"/>
    <w:rsid w:val="3E66054B"/>
    <w:rsid w:val="3E6A003B"/>
    <w:rsid w:val="3E6D18D9"/>
    <w:rsid w:val="3E733D99"/>
    <w:rsid w:val="3E7E421D"/>
    <w:rsid w:val="3E916C1F"/>
    <w:rsid w:val="3E970704"/>
    <w:rsid w:val="3E9A1FA2"/>
    <w:rsid w:val="3EA03A5D"/>
    <w:rsid w:val="3EAC6B85"/>
    <w:rsid w:val="3EB158B4"/>
    <w:rsid w:val="3EBB7322"/>
    <w:rsid w:val="3EBE3EE3"/>
    <w:rsid w:val="3EC6723B"/>
    <w:rsid w:val="3ED2798E"/>
    <w:rsid w:val="3EE651E8"/>
    <w:rsid w:val="3EEA1054"/>
    <w:rsid w:val="3EF773F5"/>
    <w:rsid w:val="3F027924"/>
    <w:rsid w:val="3F057D64"/>
    <w:rsid w:val="3F125FDD"/>
    <w:rsid w:val="3F1A55AC"/>
    <w:rsid w:val="3F210422"/>
    <w:rsid w:val="3F253F62"/>
    <w:rsid w:val="3F261A88"/>
    <w:rsid w:val="3F281CA4"/>
    <w:rsid w:val="3F2C52F0"/>
    <w:rsid w:val="3F402B4A"/>
    <w:rsid w:val="3F406FEE"/>
    <w:rsid w:val="3F450160"/>
    <w:rsid w:val="3F47037C"/>
    <w:rsid w:val="3F473ED8"/>
    <w:rsid w:val="3F5B3E28"/>
    <w:rsid w:val="3F5B5BD6"/>
    <w:rsid w:val="3F60143E"/>
    <w:rsid w:val="3F7A2278"/>
    <w:rsid w:val="3F7B0026"/>
    <w:rsid w:val="3F7F7B16"/>
    <w:rsid w:val="3F932D49"/>
    <w:rsid w:val="3F981D74"/>
    <w:rsid w:val="3FA01B56"/>
    <w:rsid w:val="3FA13A92"/>
    <w:rsid w:val="3FA16FFD"/>
    <w:rsid w:val="3FA4132B"/>
    <w:rsid w:val="3FAE3F57"/>
    <w:rsid w:val="3FB452E6"/>
    <w:rsid w:val="3FBB48C6"/>
    <w:rsid w:val="3FDF412C"/>
    <w:rsid w:val="3FE2019B"/>
    <w:rsid w:val="3FE52590"/>
    <w:rsid w:val="3FE61943"/>
    <w:rsid w:val="3FE94F8F"/>
    <w:rsid w:val="3FFD713A"/>
    <w:rsid w:val="3FFF2A05"/>
    <w:rsid w:val="400022D9"/>
    <w:rsid w:val="4001677D"/>
    <w:rsid w:val="40050825"/>
    <w:rsid w:val="400973E0"/>
    <w:rsid w:val="401C35B7"/>
    <w:rsid w:val="401F6C03"/>
    <w:rsid w:val="403703F1"/>
    <w:rsid w:val="403D46F7"/>
    <w:rsid w:val="40420B44"/>
    <w:rsid w:val="4044666A"/>
    <w:rsid w:val="40510BF2"/>
    <w:rsid w:val="40511FF8"/>
    <w:rsid w:val="405D597D"/>
    <w:rsid w:val="40615DE8"/>
    <w:rsid w:val="40775FC8"/>
    <w:rsid w:val="407F3756"/>
    <w:rsid w:val="408F7882"/>
    <w:rsid w:val="409F1FF3"/>
    <w:rsid w:val="40A4535A"/>
    <w:rsid w:val="40AC0D04"/>
    <w:rsid w:val="40EB11DB"/>
    <w:rsid w:val="40EF2A79"/>
    <w:rsid w:val="410F72DA"/>
    <w:rsid w:val="41135599"/>
    <w:rsid w:val="41173D7E"/>
    <w:rsid w:val="411C1395"/>
    <w:rsid w:val="412C782A"/>
    <w:rsid w:val="41314E40"/>
    <w:rsid w:val="413F5BE3"/>
    <w:rsid w:val="414813D4"/>
    <w:rsid w:val="4148218A"/>
    <w:rsid w:val="41601281"/>
    <w:rsid w:val="4171348E"/>
    <w:rsid w:val="418A4550"/>
    <w:rsid w:val="41AC096A"/>
    <w:rsid w:val="41B11ADD"/>
    <w:rsid w:val="41B25855"/>
    <w:rsid w:val="41B56B45"/>
    <w:rsid w:val="41BE244C"/>
    <w:rsid w:val="41BE41FA"/>
    <w:rsid w:val="41C45CB4"/>
    <w:rsid w:val="41C65DC8"/>
    <w:rsid w:val="41D00C05"/>
    <w:rsid w:val="41DF1BC4"/>
    <w:rsid w:val="41F83BB0"/>
    <w:rsid w:val="41F85FC5"/>
    <w:rsid w:val="41FD3881"/>
    <w:rsid w:val="42073DF3"/>
    <w:rsid w:val="42156510"/>
    <w:rsid w:val="421678CB"/>
    <w:rsid w:val="4218768D"/>
    <w:rsid w:val="42206C63"/>
    <w:rsid w:val="422A188F"/>
    <w:rsid w:val="4234125C"/>
    <w:rsid w:val="423D7815"/>
    <w:rsid w:val="42442951"/>
    <w:rsid w:val="42544DD7"/>
    <w:rsid w:val="42576B28"/>
    <w:rsid w:val="425F778B"/>
    <w:rsid w:val="42703746"/>
    <w:rsid w:val="427A2817"/>
    <w:rsid w:val="42834EA3"/>
    <w:rsid w:val="428D4052"/>
    <w:rsid w:val="429733C9"/>
    <w:rsid w:val="42A0764D"/>
    <w:rsid w:val="42A94F05"/>
    <w:rsid w:val="42CA554C"/>
    <w:rsid w:val="42D32572"/>
    <w:rsid w:val="42E20147"/>
    <w:rsid w:val="42F9198D"/>
    <w:rsid w:val="42FE0D52"/>
    <w:rsid w:val="43014CE6"/>
    <w:rsid w:val="430805CF"/>
    <w:rsid w:val="434F15AD"/>
    <w:rsid w:val="43560B8E"/>
    <w:rsid w:val="435A7F52"/>
    <w:rsid w:val="43635059"/>
    <w:rsid w:val="436808C1"/>
    <w:rsid w:val="436D237B"/>
    <w:rsid w:val="43721740"/>
    <w:rsid w:val="43741014"/>
    <w:rsid w:val="437B23A2"/>
    <w:rsid w:val="43813731"/>
    <w:rsid w:val="438D657A"/>
    <w:rsid w:val="43986235"/>
    <w:rsid w:val="43AD4526"/>
    <w:rsid w:val="43AF64F0"/>
    <w:rsid w:val="43B17484"/>
    <w:rsid w:val="43B24586"/>
    <w:rsid w:val="43B64397"/>
    <w:rsid w:val="43C20D21"/>
    <w:rsid w:val="43CC52F4"/>
    <w:rsid w:val="43D13C70"/>
    <w:rsid w:val="43D65C3E"/>
    <w:rsid w:val="43E32EF2"/>
    <w:rsid w:val="43F91FF0"/>
    <w:rsid w:val="43F959BD"/>
    <w:rsid w:val="44004F9E"/>
    <w:rsid w:val="442C2A84"/>
    <w:rsid w:val="44316F05"/>
    <w:rsid w:val="44471D2E"/>
    <w:rsid w:val="44480F49"/>
    <w:rsid w:val="444924A1"/>
    <w:rsid w:val="44564BBE"/>
    <w:rsid w:val="44621098"/>
    <w:rsid w:val="446472DA"/>
    <w:rsid w:val="447B63D2"/>
    <w:rsid w:val="4496320C"/>
    <w:rsid w:val="449D0A3E"/>
    <w:rsid w:val="449D459A"/>
    <w:rsid w:val="44A771C7"/>
    <w:rsid w:val="44A818BD"/>
    <w:rsid w:val="44A92F3F"/>
    <w:rsid w:val="44AD6ED3"/>
    <w:rsid w:val="44B30262"/>
    <w:rsid w:val="44BD4C3D"/>
    <w:rsid w:val="44C4421D"/>
    <w:rsid w:val="44CC6C2E"/>
    <w:rsid w:val="44CD1324"/>
    <w:rsid w:val="44D02BC2"/>
    <w:rsid w:val="44DD10D4"/>
    <w:rsid w:val="44FE14DD"/>
    <w:rsid w:val="45050ABD"/>
    <w:rsid w:val="4508410A"/>
    <w:rsid w:val="450C4AD6"/>
    <w:rsid w:val="451C1963"/>
    <w:rsid w:val="451E30B0"/>
    <w:rsid w:val="45230F44"/>
    <w:rsid w:val="452A0159"/>
    <w:rsid w:val="453452D6"/>
    <w:rsid w:val="453B25D8"/>
    <w:rsid w:val="4545710C"/>
    <w:rsid w:val="45462E84"/>
    <w:rsid w:val="454F7F8B"/>
    <w:rsid w:val="45513D03"/>
    <w:rsid w:val="456F454F"/>
    <w:rsid w:val="457B2B2E"/>
    <w:rsid w:val="4582210E"/>
    <w:rsid w:val="4588524B"/>
    <w:rsid w:val="458F482B"/>
    <w:rsid w:val="459E4A6E"/>
    <w:rsid w:val="45B778DE"/>
    <w:rsid w:val="45C1250B"/>
    <w:rsid w:val="45C85647"/>
    <w:rsid w:val="45D43FEC"/>
    <w:rsid w:val="45D64DA2"/>
    <w:rsid w:val="45DF26B5"/>
    <w:rsid w:val="45E16709"/>
    <w:rsid w:val="46026DAB"/>
    <w:rsid w:val="460423BC"/>
    <w:rsid w:val="46184820"/>
    <w:rsid w:val="46187058"/>
    <w:rsid w:val="46207231"/>
    <w:rsid w:val="463201EB"/>
    <w:rsid w:val="463B1919"/>
    <w:rsid w:val="464078D3"/>
    <w:rsid w:val="46455D41"/>
    <w:rsid w:val="46476EB4"/>
    <w:rsid w:val="464C44CA"/>
    <w:rsid w:val="4654512D"/>
    <w:rsid w:val="466229CE"/>
    <w:rsid w:val="466F6E02"/>
    <w:rsid w:val="4674757D"/>
    <w:rsid w:val="467557CF"/>
    <w:rsid w:val="467A2DE5"/>
    <w:rsid w:val="468C0D6B"/>
    <w:rsid w:val="46946C63"/>
    <w:rsid w:val="469A3487"/>
    <w:rsid w:val="469F45FA"/>
    <w:rsid w:val="46A614B6"/>
    <w:rsid w:val="46A63BDA"/>
    <w:rsid w:val="46B34549"/>
    <w:rsid w:val="46C202E8"/>
    <w:rsid w:val="46E22739"/>
    <w:rsid w:val="47266AC9"/>
    <w:rsid w:val="472F1E22"/>
    <w:rsid w:val="4736606C"/>
    <w:rsid w:val="47394A4E"/>
    <w:rsid w:val="47395E3D"/>
    <w:rsid w:val="47490A0A"/>
    <w:rsid w:val="47507FEA"/>
    <w:rsid w:val="478168DD"/>
    <w:rsid w:val="478B1022"/>
    <w:rsid w:val="479003E6"/>
    <w:rsid w:val="479B1265"/>
    <w:rsid w:val="479C322F"/>
    <w:rsid w:val="479D19EA"/>
    <w:rsid w:val="47AA14A8"/>
    <w:rsid w:val="47B265C4"/>
    <w:rsid w:val="47C54534"/>
    <w:rsid w:val="47C615D0"/>
    <w:rsid w:val="47CB7671"/>
    <w:rsid w:val="47DC362C"/>
    <w:rsid w:val="47DE73A4"/>
    <w:rsid w:val="47E81FD1"/>
    <w:rsid w:val="48027536"/>
    <w:rsid w:val="48090F70"/>
    <w:rsid w:val="48184616"/>
    <w:rsid w:val="48217291"/>
    <w:rsid w:val="482A3593"/>
    <w:rsid w:val="482C45B3"/>
    <w:rsid w:val="48313978"/>
    <w:rsid w:val="483671E0"/>
    <w:rsid w:val="48411E12"/>
    <w:rsid w:val="48413518"/>
    <w:rsid w:val="48484E0B"/>
    <w:rsid w:val="484A4A39"/>
    <w:rsid w:val="48552DCE"/>
    <w:rsid w:val="48561630"/>
    <w:rsid w:val="485D476D"/>
    <w:rsid w:val="486636D8"/>
    <w:rsid w:val="48780FA3"/>
    <w:rsid w:val="487A4C36"/>
    <w:rsid w:val="487D096B"/>
    <w:rsid w:val="48877A3B"/>
    <w:rsid w:val="48904B42"/>
    <w:rsid w:val="4893018E"/>
    <w:rsid w:val="48934632"/>
    <w:rsid w:val="48A67125"/>
    <w:rsid w:val="48B00D40"/>
    <w:rsid w:val="48BB1493"/>
    <w:rsid w:val="48BC5937"/>
    <w:rsid w:val="48DD3AFF"/>
    <w:rsid w:val="48E402F2"/>
    <w:rsid w:val="48EB621C"/>
    <w:rsid w:val="49060960"/>
    <w:rsid w:val="491C6DB7"/>
    <w:rsid w:val="49261002"/>
    <w:rsid w:val="493D634C"/>
    <w:rsid w:val="49494CF1"/>
    <w:rsid w:val="494E2307"/>
    <w:rsid w:val="494F67AB"/>
    <w:rsid w:val="49584F34"/>
    <w:rsid w:val="49830203"/>
    <w:rsid w:val="49951CE4"/>
    <w:rsid w:val="49BF4FB3"/>
    <w:rsid w:val="49C425C9"/>
    <w:rsid w:val="49D071C0"/>
    <w:rsid w:val="49D7054F"/>
    <w:rsid w:val="49E54A1A"/>
    <w:rsid w:val="49ED2E91"/>
    <w:rsid w:val="49FE3D2D"/>
    <w:rsid w:val="4A0B01F8"/>
    <w:rsid w:val="4A161077"/>
    <w:rsid w:val="4A1B668D"/>
    <w:rsid w:val="4A286FFC"/>
    <w:rsid w:val="4A2F038B"/>
    <w:rsid w:val="4A2F6CCB"/>
    <w:rsid w:val="4A3F69E7"/>
    <w:rsid w:val="4A4060F4"/>
    <w:rsid w:val="4A4F27DB"/>
    <w:rsid w:val="4A541B9F"/>
    <w:rsid w:val="4A584B8C"/>
    <w:rsid w:val="4A653DAC"/>
    <w:rsid w:val="4A6718D3"/>
    <w:rsid w:val="4A6D3238"/>
    <w:rsid w:val="4A857FAB"/>
    <w:rsid w:val="4A9D2749"/>
    <w:rsid w:val="4AA06B93"/>
    <w:rsid w:val="4AB34B18"/>
    <w:rsid w:val="4ABE79CD"/>
    <w:rsid w:val="4AD52CE0"/>
    <w:rsid w:val="4ADF3B5F"/>
    <w:rsid w:val="4AE21479"/>
    <w:rsid w:val="4AE253FD"/>
    <w:rsid w:val="4AEE78FE"/>
    <w:rsid w:val="4AFC64BF"/>
    <w:rsid w:val="4B115AA3"/>
    <w:rsid w:val="4B161640"/>
    <w:rsid w:val="4B1A4B97"/>
    <w:rsid w:val="4B26353C"/>
    <w:rsid w:val="4B2B6DA4"/>
    <w:rsid w:val="4B363221"/>
    <w:rsid w:val="4B393CE2"/>
    <w:rsid w:val="4B3C4E66"/>
    <w:rsid w:val="4B4B11F4"/>
    <w:rsid w:val="4B4B4D50"/>
    <w:rsid w:val="4B5D6832"/>
    <w:rsid w:val="4B661B8A"/>
    <w:rsid w:val="4B7122DD"/>
    <w:rsid w:val="4B7A73E4"/>
    <w:rsid w:val="4B8244EA"/>
    <w:rsid w:val="4B9D6A2F"/>
    <w:rsid w:val="4BA40904"/>
    <w:rsid w:val="4BA426B2"/>
    <w:rsid w:val="4BAD5A0B"/>
    <w:rsid w:val="4BB44F0C"/>
    <w:rsid w:val="4BBA1528"/>
    <w:rsid w:val="4BBD05CA"/>
    <w:rsid w:val="4BC56B3C"/>
    <w:rsid w:val="4BCA036B"/>
    <w:rsid w:val="4BCD39B7"/>
    <w:rsid w:val="4BE86A43"/>
    <w:rsid w:val="4BF058F8"/>
    <w:rsid w:val="4BF076A6"/>
    <w:rsid w:val="4C013661"/>
    <w:rsid w:val="4C0E5B16"/>
    <w:rsid w:val="4C1330DF"/>
    <w:rsid w:val="4C4C5224"/>
    <w:rsid w:val="4C545E87"/>
    <w:rsid w:val="4C5B3372"/>
    <w:rsid w:val="4C5F36AF"/>
    <w:rsid w:val="4C705496"/>
    <w:rsid w:val="4C714C8A"/>
    <w:rsid w:val="4C76404F"/>
    <w:rsid w:val="4C991AEB"/>
    <w:rsid w:val="4CA24E44"/>
    <w:rsid w:val="4CA7245A"/>
    <w:rsid w:val="4CA74208"/>
    <w:rsid w:val="4CAA74EC"/>
    <w:rsid w:val="4CB6269D"/>
    <w:rsid w:val="4CC50B32"/>
    <w:rsid w:val="4CC76658"/>
    <w:rsid w:val="4CC92CDF"/>
    <w:rsid w:val="4CCE170B"/>
    <w:rsid w:val="4CCF19B1"/>
    <w:rsid w:val="4CD86AB8"/>
    <w:rsid w:val="4CD945DE"/>
    <w:rsid w:val="4CDD429D"/>
    <w:rsid w:val="4CE23492"/>
    <w:rsid w:val="4CE3088A"/>
    <w:rsid w:val="4CE54D31"/>
    <w:rsid w:val="4CED056F"/>
    <w:rsid w:val="4CEF795D"/>
    <w:rsid w:val="4CFB27A6"/>
    <w:rsid w:val="4D16138E"/>
    <w:rsid w:val="4D5679DC"/>
    <w:rsid w:val="4D5A74CD"/>
    <w:rsid w:val="4D7560B4"/>
    <w:rsid w:val="4D783DF7"/>
    <w:rsid w:val="4D7A7B6F"/>
    <w:rsid w:val="4D8072B6"/>
    <w:rsid w:val="4D824513"/>
    <w:rsid w:val="4D8911E0"/>
    <w:rsid w:val="4D8C33FE"/>
    <w:rsid w:val="4DAB3725"/>
    <w:rsid w:val="4DAE3F37"/>
    <w:rsid w:val="4DB473A2"/>
    <w:rsid w:val="4DB964A1"/>
    <w:rsid w:val="4DC1754C"/>
    <w:rsid w:val="4DC51AD6"/>
    <w:rsid w:val="4DC66910"/>
    <w:rsid w:val="4DD674DB"/>
    <w:rsid w:val="4DD86E04"/>
    <w:rsid w:val="4DE4323A"/>
    <w:rsid w:val="4DEE5E67"/>
    <w:rsid w:val="4DF924BF"/>
    <w:rsid w:val="4E013DEC"/>
    <w:rsid w:val="4E061402"/>
    <w:rsid w:val="4E157897"/>
    <w:rsid w:val="4E353A96"/>
    <w:rsid w:val="4E355844"/>
    <w:rsid w:val="4E3D70E2"/>
    <w:rsid w:val="4E3F66C2"/>
    <w:rsid w:val="4E4B32B9"/>
    <w:rsid w:val="4E4C33F2"/>
    <w:rsid w:val="4E616639"/>
    <w:rsid w:val="4E6A7BE3"/>
    <w:rsid w:val="4E721C6A"/>
    <w:rsid w:val="4E726A98"/>
    <w:rsid w:val="4E741B0A"/>
    <w:rsid w:val="4EA12ED9"/>
    <w:rsid w:val="4EB01D52"/>
    <w:rsid w:val="4EBB21ED"/>
    <w:rsid w:val="4EC651E4"/>
    <w:rsid w:val="4EDD03B5"/>
    <w:rsid w:val="4F075432"/>
    <w:rsid w:val="4F0973FC"/>
    <w:rsid w:val="4F0E056F"/>
    <w:rsid w:val="4F1810E5"/>
    <w:rsid w:val="4F1D6A04"/>
    <w:rsid w:val="4F2935FA"/>
    <w:rsid w:val="4F3D70A6"/>
    <w:rsid w:val="4F4026F2"/>
    <w:rsid w:val="4F4154B6"/>
    <w:rsid w:val="4F495A4B"/>
    <w:rsid w:val="4F5B577E"/>
    <w:rsid w:val="4F604B42"/>
    <w:rsid w:val="4F610FE6"/>
    <w:rsid w:val="4F6E3703"/>
    <w:rsid w:val="4F6F2C6B"/>
    <w:rsid w:val="4F7A5C04"/>
    <w:rsid w:val="4F9053B1"/>
    <w:rsid w:val="4F905428"/>
    <w:rsid w:val="4F9273F2"/>
    <w:rsid w:val="4F934F18"/>
    <w:rsid w:val="4F9A44F8"/>
    <w:rsid w:val="4FB54E8E"/>
    <w:rsid w:val="4FB56C3C"/>
    <w:rsid w:val="4FBB7FCB"/>
    <w:rsid w:val="4FBF3F5F"/>
    <w:rsid w:val="4FC21359"/>
    <w:rsid w:val="4FC357FD"/>
    <w:rsid w:val="4FC41575"/>
    <w:rsid w:val="4FD03A76"/>
    <w:rsid w:val="4FFC2ABD"/>
    <w:rsid w:val="50091D29"/>
    <w:rsid w:val="500B2D00"/>
    <w:rsid w:val="500F6132"/>
    <w:rsid w:val="501778F7"/>
    <w:rsid w:val="50216A4B"/>
    <w:rsid w:val="50306C0B"/>
    <w:rsid w:val="50355FCF"/>
    <w:rsid w:val="50440650"/>
    <w:rsid w:val="504601DC"/>
    <w:rsid w:val="505523EB"/>
    <w:rsid w:val="50566671"/>
    <w:rsid w:val="505E1082"/>
    <w:rsid w:val="5076395C"/>
    <w:rsid w:val="50901407"/>
    <w:rsid w:val="50940F47"/>
    <w:rsid w:val="50964CC0"/>
    <w:rsid w:val="50A13664"/>
    <w:rsid w:val="50A62A29"/>
    <w:rsid w:val="50BE5FC4"/>
    <w:rsid w:val="50C17863"/>
    <w:rsid w:val="50C80047"/>
    <w:rsid w:val="50CE26AB"/>
    <w:rsid w:val="50F1639A"/>
    <w:rsid w:val="50F6750C"/>
    <w:rsid w:val="510936E3"/>
    <w:rsid w:val="510E0CFA"/>
    <w:rsid w:val="510F4A72"/>
    <w:rsid w:val="511939BD"/>
    <w:rsid w:val="511B3417"/>
    <w:rsid w:val="511B6F73"/>
    <w:rsid w:val="51220301"/>
    <w:rsid w:val="51383FC9"/>
    <w:rsid w:val="515240B8"/>
    <w:rsid w:val="515D0FE2"/>
    <w:rsid w:val="516052CE"/>
    <w:rsid w:val="5160707C"/>
    <w:rsid w:val="51646882"/>
    <w:rsid w:val="516721B8"/>
    <w:rsid w:val="51716209"/>
    <w:rsid w:val="51870AAC"/>
    <w:rsid w:val="518E3BE9"/>
    <w:rsid w:val="51A21442"/>
    <w:rsid w:val="51A52CE0"/>
    <w:rsid w:val="51A857F9"/>
    <w:rsid w:val="51AF41D3"/>
    <w:rsid w:val="51B82A14"/>
    <w:rsid w:val="51CC4711"/>
    <w:rsid w:val="51E11F6A"/>
    <w:rsid w:val="51E63A25"/>
    <w:rsid w:val="52196A42"/>
    <w:rsid w:val="523C53F3"/>
    <w:rsid w:val="525A3F94"/>
    <w:rsid w:val="525B6CEF"/>
    <w:rsid w:val="5260487F"/>
    <w:rsid w:val="52630468"/>
    <w:rsid w:val="52A31916"/>
    <w:rsid w:val="52A82A88"/>
    <w:rsid w:val="52A86F2C"/>
    <w:rsid w:val="52B21B59"/>
    <w:rsid w:val="52BB6C5F"/>
    <w:rsid w:val="52D01FDF"/>
    <w:rsid w:val="52E37F64"/>
    <w:rsid w:val="52E94FF6"/>
    <w:rsid w:val="52FC4B82"/>
    <w:rsid w:val="53061C45"/>
    <w:rsid w:val="530F48B5"/>
    <w:rsid w:val="531719BC"/>
    <w:rsid w:val="531760C4"/>
    <w:rsid w:val="53277E51"/>
    <w:rsid w:val="533A056C"/>
    <w:rsid w:val="533E503D"/>
    <w:rsid w:val="5354676C"/>
    <w:rsid w:val="5358625C"/>
    <w:rsid w:val="536015B5"/>
    <w:rsid w:val="53607807"/>
    <w:rsid w:val="53624E0A"/>
    <w:rsid w:val="5362532D"/>
    <w:rsid w:val="536C1D08"/>
    <w:rsid w:val="53764934"/>
    <w:rsid w:val="537E2EA2"/>
    <w:rsid w:val="538460DE"/>
    <w:rsid w:val="53876B42"/>
    <w:rsid w:val="538F3C48"/>
    <w:rsid w:val="53966D85"/>
    <w:rsid w:val="539B439B"/>
    <w:rsid w:val="53A12E87"/>
    <w:rsid w:val="53A414A2"/>
    <w:rsid w:val="53A4298E"/>
    <w:rsid w:val="53AF1757"/>
    <w:rsid w:val="53B16F24"/>
    <w:rsid w:val="53B316E5"/>
    <w:rsid w:val="53BA0CC5"/>
    <w:rsid w:val="53C02053"/>
    <w:rsid w:val="53DD2CA6"/>
    <w:rsid w:val="53E775E0"/>
    <w:rsid w:val="53EB5322"/>
    <w:rsid w:val="53F35F85"/>
    <w:rsid w:val="5403676A"/>
    <w:rsid w:val="54085ED4"/>
    <w:rsid w:val="54104D89"/>
    <w:rsid w:val="541805B7"/>
    <w:rsid w:val="541D3002"/>
    <w:rsid w:val="542E5358"/>
    <w:rsid w:val="54387E3C"/>
    <w:rsid w:val="543C792C"/>
    <w:rsid w:val="544762D1"/>
    <w:rsid w:val="54492049"/>
    <w:rsid w:val="54532EC8"/>
    <w:rsid w:val="545C3B2A"/>
    <w:rsid w:val="545D0467"/>
    <w:rsid w:val="54640C31"/>
    <w:rsid w:val="54642849"/>
    <w:rsid w:val="54696247"/>
    <w:rsid w:val="547075D6"/>
    <w:rsid w:val="54776BB6"/>
    <w:rsid w:val="547F1F0F"/>
    <w:rsid w:val="548D63DA"/>
    <w:rsid w:val="54905ECA"/>
    <w:rsid w:val="5492579E"/>
    <w:rsid w:val="54B0392B"/>
    <w:rsid w:val="54CB0CB0"/>
    <w:rsid w:val="54D2203E"/>
    <w:rsid w:val="54E0475B"/>
    <w:rsid w:val="54E56DB8"/>
    <w:rsid w:val="55063C85"/>
    <w:rsid w:val="550B5550"/>
    <w:rsid w:val="55222FC6"/>
    <w:rsid w:val="553B7BE4"/>
    <w:rsid w:val="5548346E"/>
    <w:rsid w:val="554F18E1"/>
    <w:rsid w:val="556829A3"/>
    <w:rsid w:val="556C4241"/>
    <w:rsid w:val="557355CF"/>
    <w:rsid w:val="55872E29"/>
    <w:rsid w:val="558772CD"/>
    <w:rsid w:val="55A439DB"/>
    <w:rsid w:val="55A57753"/>
    <w:rsid w:val="55AD03B6"/>
    <w:rsid w:val="55AE4859"/>
    <w:rsid w:val="55B22FA5"/>
    <w:rsid w:val="55B67727"/>
    <w:rsid w:val="55C0458D"/>
    <w:rsid w:val="55C23E61"/>
    <w:rsid w:val="55CC7E02"/>
    <w:rsid w:val="55CE0A58"/>
    <w:rsid w:val="55D32512"/>
    <w:rsid w:val="55F83D27"/>
    <w:rsid w:val="55FD3C3F"/>
    <w:rsid w:val="56024BA5"/>
    <w:rsid w:val="56075D18"/>
    <w:rsid w:val="561A1F82"/>
    <w:rsid w:val="56226FF5"/>
    <w:rsid w:val="56234C2D"/>
    <w:rsid w:val="5628491F"/>
    <w:rsid w:val="56315F82"/>
    <w:rsid w:val="5632548A"/>
    <w:rsid w:val="56334D5F"/>
    <w:rsid w:val="564B3E56"/>
    <w:rsid w:val="564E1B99"/>
    <w:rsid w:val="565151E5"/>
    <w:rsid w:val="56530F5D"/>
    <w:rsid w:val="56586573"/>
    <w:rsid w:val="565D4368"/>
    <w:rsid w:val="565F354D"/>
    <w:rsid w:val="56665134"/>
    <w:rsid w:val="56725887"/>
    <w:rsid w:val="567F61F6"/>
    <w:rsid w:val="568A7075"/>
    <w:rsid w:val="569854FE"/>
    <w:rsid w:val="56C37E91"/>
    <w:rsid w:val="56D71B8E"/>
    <w:rsid w:val="56E524FD"/>
    <w:rsid w:val="57064221"/>
    <w:rsid w:val="57064403"/>
    <w:rsid w:val="570E435D"/>
    <w:rsid w:val="571B25E3"/>
    <w:rsid w:val="57266671"/>
    <w:rsid w:val="573214BA"/>
    <w:rsid w:val="57407733"/>
    <w:rsid w:val="57437223"/>
    <w:rsid w:val="57487D4A"/>
    <w:rsid w:val="577218B7"/>
    <w:rsid w:val="57763155"/>
    <w:rsid w:val="57792C45"/>
    <w:rsid w:val="577D0987"/>
    <w:rsid w:val="57833AC4"/>
    <w:rsid w:val="57957FD1"/>
    <w:rsid w:val="579F39AA"/>
    <w:rsid w:val="57A001D2"/>
    <w:rsid w:val="57A51C8C"/>
    <w:rsid w:val="57A53A3A"/>
    <w:rsid w:val="57A803B9"/>
    <w:rsid w:val="57A85A6B"/>
    <w:rsid w:val="57B819BF"/>
    <w:rsid w:val="57C02622"/>
    <w:rsid w:val="57E24C8E"/>
    <w:rsid w:val="57E74053"/>
    <w:rsid w:val="57E94CAC"/>
    <w:rsid w:val="57EE718F"/>
    <w:rsid w:val="58022C3B"/>
    <w:rsid w:val="580943E3"/>
    <w:rsid w:val="580E5A83"/>
    <w:rsid w:val="581806B0"/>
    <w:rsid w:val="5831588C"/>
    <w:rsid w:val="583A0626"/>
    <w:rsid w:val="584119B5"/>
    <w:rsid w:val="58417C07"/>
    <w:rsid w:val="58555460"/>
    <w:rsid w:val="58612B92"/>
    <w:rsid w:val="586C6306"/>
    <w:rsid w:val="58704048"/>
    <w:rsid w:val="588C2D0D"/>
    <w:rsid w:val="5891029F"/>
    <w:rsid w:val="58947D5E"/>
    <w:rsid w:val="58950E5A"/>
    <w:rsid w:val="58953AAF"/>
    <w:rsid w:val="589B466B"/>
    <w:rsid w:val="58A70C52"/>
    <w:rsid w:val="58A921CB"/>
    <w:rsid w:val="58BE3005"/>
    <w:rsid w:val="58BF28DA"/>
    <w:rsid w:val="58DF11CE"/>
    <w:rsid w:val="58E80082"/>
    <w:rsid w:val="58EF7663"/>
    <w:rsid w:val="58FA5C29"/>
    <w:rsid w:val="58FC58DC"/>
    <w:rsid w:val="5915074C"/>
    <w:rsid w:val="591E3224"/>
    <w:rsid w:val="592738D0"/>
    <w:rsid w:val="592D3CE7"/>
    <w:rsid w:val="59400152"/>
    <w:rsid w:val="59417793"/>
    <w:rsid w:val="594313CB"/>
    <w:rsid w:val="5947124D"/>
    <w:rsid w:val="595347AB"/>
    <w:rsid w:val="595C281E"/>
    <w:rsid w:val="596F4300"/>
    <w:rsid w:val="59821A6D"/>
    <w:rsid w:val="5988716F"/>
    <w:rsid w:val="598D29D8"/>
    <w:rsid w:val="598D4786"/>
    <w:rsid w:val="59927FEE"/>
    <w:rsid w:val="5996123D"/>
    <w:rsid w:val="59A815C0"/>
    <w:rsid w:val="59C53F20"/>
    <w:rsid w:val="59D2488F"/>
    <w:rsid w:val="59D44AE4"/>
    <w:rsid w:val="59DD395F"/>
    <w:rsid w:val="59E3084A"/>
    <w:rsid w:val="59F82547"/>
    <w:rsid w:val="59FD190B"/>
    <w:rsid w:val="59FE19ED"/>
    <w:rsid w:val="5A0507C0"/>
    <w:rsid w:val="5A0A04CC"/>
    <w:rsid w:val="5A3B7DEC"/>
    <w:rsid w:val="5A4A2677"/>
    <w:rsid w:val="5A4B3859"/>
    <w:rsid w:val="5A623E64"/>
    <w:rsid w:val="5A646500"/>
    <w:rsid w:val="5A6A4AC7"/>
    <w:rsid w:val="5A737E20"/>
    <w:rsid w:val="5A7476F4"/>
    <w:rsid w:val="5AB02E22"/>
    <w:rsid w:val="5AB13AE4"/>
    <w:rsid w:val="5AB3646E"/>
    <w:rsid w:val="5AC643F3"/>
    <w:rsid w:val="5AC66EF9"/>
    <w:rsid w:val="5AD14B46"/>
    <w:rsid w:val="5AE3311B"/>
    <w:rsid w:val="5AE87C8F"/>
    <w:rsid w:val="5AEE74A6"/>
    <w:rsid w:val="5AF251E8"/>
    <w:rsid w:val="5AF33247"/>
    <w:rsid w:val="5AF36B9D"/>
    <w:rsid w:val="5AFA5E4B"/>
    <w:rsid w:val="5AFF16B3"/>
    <w:rsid w:val="5AFF3461"/>
    <w:rsid w:val="5B0942E0"/>
    <w:rsid w:val="5B0A0784"/>
    <w:rsid w:val="5B157129"/>
    <w:rsid w:val="5B172EA1"/>
    <w:rsid w:val="5B1F705C"/>
    <w:rsid w:val="5B2D18D4"/>
    <w:rsid w:val="5B565263"/>
    <w:rsid w:val="5B5A2D8E"/>
    <w:rsid w:val="5B6955F4"/>
    <w:rsid w:val="5B6B2007"/>
    <w:rsid w:val="5B742431"/>
    <w:rsid w:val="5B8F6EDB"/>
    <w:rsid w:val="5B94004E"/>
    <w:rsid w:val="5BA069F2"/>
    <w:rsid w:val="5BA74225"/>
    <w:rsid w:val="5BB93F58"/>
    <w:rsid w:val="5BBA09F3"/>
    <w:rsid w:val="5BD20B76"/>
    <w:rsid w:val="5BD357E1"/>
    <w:rsid w:val="5BD4669C"/>
    <w:rsid w:val="5BF40B0F"/>
    <w:rsid w:val="5C0056E3"/>
    <w:rsid w:val="5C0351D3"/>
    <w:rsid w:val="5C0C22DA"/>
    <w:rsid w:val="5C1178F0"/>
    <w:rsid w:val="5C1318BA"/>
    <w:rsid w:val="5C3435DF"/>
    <w:rsid w:val="5C50666A"/>
    <w:rsid w:val="5C531CB7"/>
    <w:rsid w:val="5C533A65"/>
    <w:rsid w:val="5C58107B"/>
    <w:rsid w:val="5C5D0D87"/>
    <w:rsid w:val="5C68135C"/>
    <w:rsid w:val="5C6D0731"/>
    <w:rsid w:val="5C71213D"/>
    <w:rsid w:val="5C8B76A2"/>
    <w:rsid w:val="5C902F0B"/>
    <w:rsid w:val="5C917CF5"/>
    <w:rsid w:val="5C983B6D"/>
    <w:rsid w:val="5C9C18B0"/>
    <w:rsid w:val="5CA6628A"/>
    <w:rsid w:val="5CA73DB1"/>
    <w:rsid w:val="5CAA564F"/>
    <w:rsid w:val="5CC52489"/>
    <w:rsid w:val="5CCE758F"/>
    <w:rsid w:val="5CE648D9"/>
    <w:rsid w:val="5D227715"/>
    <w:rsid w:val="5D284EF1"/>
    <w:rsid w:val="5D4D372F"/>
    <w:rsid w:val="5D5061F6"/>
    <w:rsid w:val="5D55380D"/>
    <w:rsid w:val="5D663C6C"/>
    <w:rsid w:val="5D6F2B20"/>
    <w:rsid w:val="5D740137"/>
    <w:rsid w:val="5D7C523D"/>
    <w:rsid w:val="5D8660BC"/>
    <w:rsid w:val="5D942587"/>
    <w:rsid w:val="5DA64068"/>
    <w:rsid w:val="5DCC7F73"/>
    <w:rsid w:val="5DD064B1"/>
    <w:rsid w:val="5DD619A0"/>
    <w:rsid w:val="5DF748C4"/>
    <w:rsid w:val="5E0349DE"/>
    <w:rsid w:val="5E1D07CE"/>
    <w:rsid w:val="5E303C13"/>
    <w:rsid w:val="5E3B2A02"/>
    <w:rsid w:val="5E413D91"/>
    <w:rsid w:val="5E451AD3"/>
    <w:rsid w:val="5E5D506F"/>
    <w:rsid w:val="5E6E2DD8"/>
    <w:rsid w:val="5E77D06B"/>
    <w:rsid w:val="5E7D126D"/>
    <w:rsid w:val="5E7D74BF"/>
    <w:rsid w:val="5E9A3AB1"/>
    <w:rsid w:val="5EAB402C"/>
    <w:rsid w:val="5EBD78BB"/>
    <w:rsid w:val="5EC51758"/>
    <w:rsid w:val="5EDF3CD6"/>
    <w:rsid w:val="5EDF7832"/>
    <w:rsid w:val="5EE30B66"/>
    <w:rsid w:val="5EF00C63"/>
    <w:rsid w:val="5EFC4888"/>
    <w:rsid w:val="5F0454EA"/>
    <w:rsid w:val="5F047298"/>
    <w:rsid w:val="5F0C439F"/>
    <w:rsid w:val="5F1F1842"/>
    <w:rsid w:val="5F2D2C93"/>
    <w:rsid w:val="5F49114F"/>
    <w:rsid w:val="5F4955F3"/>
    <w:rsid w:val="5F5E71A7"/>
    <w:rsid w:val="5F6C02C9"/>
    <w:rsid w:val="5F7A755A"/>
    <w:rsid w:val="5F926F9A"/>
    <w:rsid w:val="5F93686E"/>
    <w:rsid w:val="5FAA42E4"/>
    <w:rsid w:val="5FB011CE"/>
    <w:rsid w:val="5FB6CB2A"/>
    <w:rsid w:val="5FB707AE"/>
    <w:rsid w:val="5FBE38EB"/>
    <w:rsid w:val="5FBF1411"/>
    <w:rsid w:val="5FC65148"/>
    <w:rsid w:val="5FD01870"/>
    <w:rsid w:val="5FD0250C"/>
    <w:rsid w:val="5FD749AD"/>
    <w:rsid w:val="5FDA624B"/>
    <w:rsid w:val="5FEA2932"/>
    <w:rsid w:val="5FED41D0"/>
    <w:rsid w:val="5FF3956C"/>
    <w:rsid w:val="5FF60630"/>
    <w:rsid w:val="5FFD0658"/>
    <w:rsid w:val="6005776C"/>
    <w:rsid w:val="601C57A4"/>
    <w:rsid w:val="602120CC"/>
    <w:rsid w:val="6025396A"/>
    <w:rsid w:val="60285208"/>
    <w:rsid w:val="602A5424"/>
    <w:rsid w:val="602D281F"/>
    <w:rsid w:val="602F6597"/>
    <w:rsid w:val="60310561"/>
    <w:rsid w:val="603911C4"/>
    <w:rsid w:val="60522285"/>
    <w:rsid w:val="6057789C"/>
    <w:rsid w:val="605D3104"/>
    <w:rsid w:val="60787F3E"/>
    <w:rsid w:val="608F5287"/>
    <w:rsid w:val="60932FCA"/>
    <w:rsid w:val="60964868"/>
    <w:rsid w:val="60AE3960"/>
    <w:rsid w:val="60C05441"/>
    <w:rsid w:val="60C767CF"/>
    <w:rsid w:val="60CC028A"/>
    <w:rsid w:val="60DA0BF8"/>
    <w:rsid w:val="60DE7169"/>
    <w:rsid w:val="60E07891"/>
    <w:rsid w:val="60E4111E"/>
    <w:rsid w:val="60E5134B"/>
    <w:rsid w:val="60EE59F8"/>
    <w:rsid w:val="61016185"/>
    <w:rsid w:val="610E43FE"/>
    <w:rsid w:val="61137C66"/>
    <w:rsid w:val="6118702B"/>
    <w:rsid w:val="61206FA0"/>
    <w:rsid w:val="61243C22"/>
    <w:rsid w:val="61447E20"/>
    <w:rsid w:val="61477910"/>
    <w:rsid w:val="61481125"/>
    <w:rsid w:val="61483DB4"/>
    <w:rsid w:val="615C0C4D"/>
    <w:rsid w:val="615D19B1"/>
    <w:rsid w:val="615E2827"/>
    <w:rsid w:val="615F567B"/>
    <w:rsid w:val="61630BEE"/>
    <w:rsid w:val="616446A4"/>
    <w:rsid w:val="617E77D6"/>
    <w:rsid w:val="61835B97"/>
    <w:rsid w:val="618D5C6B"/>
    <w:rsid w:val="619706DF"/>
    <w:rsid w:val="61994561"/>
    <w:rsid w:val="619A3EE4"/>
    <w:rsid w:val="61A255D6"/>
    <w:rsid w:val="61A56C03"/>
    <w:rsid w:val="61A830E3"/>
    <w:rsid w:val="61AE5BE1"/>
    <w:rsid w:val="61B50D1E"/>
    <w:rsid w:val="61C45941"/>
    <w:rsid w:val="61CD250B"/>
    <w:rsid w:val="61DA565F"/>
    <w:rsid w:val="61DE2022"/>
    <w:rsid w:val="61F93300"/>
    <w:rsid w:val="61FE0917"/>
    <w:rsid w:val="623C31ED"/>
    <w:rsid w:val="624778AB"/>
    <w:rsid w:val="626400BF"/>
    <w:rsid w:val="626926F0"/>
    <w:rsid w:val="62764951"/>
    <w:rsid w:val="62791D4B"/>
    <w:rsid w:val="627E3805"/>
    <w:rsid w:val="62886318"/>
    <w:rsid w:val="629923ED"/>
    <w:rsid w:val="6299419B"/>
    <w:rsid w:val="629E7A04"/>
    <w:rsid w:val="62A468BF"/>
    <w:rsid w:val="62AC0373"/>
    <w:rsid w:val="62CA25A7"/>
    <w:rsid w:val="62DA4EE0"/>
    <w:rsid w:val="62E573E1"/>
    <w:rsid w:val="62EA2C49"/>
    <w:rsid w:val="62F13FD7"/>
    <w:rsid w:val="62F31AFE"/>
    <w:rsid w:val="630930CF"/>
    <w:rsid w:val="630A432C"/>
    <w:rsid w:val="631D301E"/>
    <w:rsid w:val="63310878"/>
    <w:rsid w:val="633A597E"/>
    <w:rsid w:val="633F4D43"/>
    <w:rsid w:val="6344075B"/>
    <w:rsid w:val="634560D1"/>
    <w:rsid w:val="63514A76"/>
    <w:rsid w:val="6353259C"/>
    <w:rsid w:val="63624ED5"/>
    <w:rsid w:val="636B3D8A"/>
    <w:rsid w:val="636D2D43"/>
    <w:rsid w:val="637075F2"/>
    <w:rsid w:val="638B442C"/>
    <w:rsid w:val="6393508F"/>
    <w:rsid w:val="63A23524"/>
    <w:rsid w:val="63A36518"/>
    <w:rsid w:val="63A728E8"/>
    <w:rsid w:val="63A948B2"/>
    <w:rsid w:val="63C416EC"/>
    <w:rsid w:val="63EF49BB"/>
    <w:rsid w:val="63FC4D1F"/>
    <w:rsid w:val="640D4E41"/>
    <w:rsid w:val="642301C1"/>
    <w:rsid w:val="64346872"/>
    <w:rsid w:val="643E0467"/>
    <w:rsid w:val="64414AEB"/>
    <w:rsid w:val="645E569D"/>
    <w:rsid w:val="64713622"/>
    <w:rsid w:val="6476316D"/>
    <w:rsid w:val="649B244D"/>
    <w:rsid w:val="64AA5F69"/>
    <w:rsid w:val="64AC28AC"/>
    <w:rsid w:val="64AD1B28"/>
    <w:rsid w:val="64CA4AE0"/>
    <w:rsid w:val="64D43BB1"/>
    <w:rsid w:val="64DB4F3F"/>
    <w:rsid w:val="64EA5182"/>
    <w:rsid w:val="64EB69CB"/>
    <w:rsid w:val="64ED03AD"/>
    <w:rsid w:val="64F93617"/>
    <w:rsid w:val="65071890"/>
    <w:rsid w:val="650A1380"/>
    <w:rsid w:val="650A75D2"/>
    <w:rsid w:val="65130235"/>
    <w:rsid w:val="651D5558"/>
    <w:rsid w:val="65200BA4"/>
    <w:rsid w:val="65202952"/>
    <w:rsid w:val="65295CAB"/>
    <w:rsid w:val="653D3504"/>
    <w:rsid w:val="65401246"/>
    <w:rsid w:val="65474383"/>
    <w:rsid w:val="6549634D"/>
    <w:rsid w:val="654C7BEB"/>
    <w:rsid w:val="65534AD5"/>
    <w:rsid w:val="6569254B"/>
    <w:rsid w:val="656E7B61"/>
    <w:rsid w:val="657F1D6E"/>
    <w:rsid w:val="658C6239"/>
    <w:rsid w:val="65931376"/>
    <w:rsid w:val="65B431E5"/>
    <w:rsid w:val="65BD63F3"/>
    <w:rsid w:val="65D1387D"/>
    <w:rsid w:val="65F362B8"/>
    <w:rsid w:val="65F8742B"/>
    <w:rsid w:val="65FA13F5"/>
    <w:rsid w:val="660364FC"/>
    <w:rsid w:val="660404C6"/>
    <w:rsid w:val="66056E07"/>
    <w:rsid w:val="66081D64"/>
    <w:rsid w:val="660B715E"/>
    <w:rsid w:val="660D2ED6"/>
    <w:rsid w:val="66154481"/>
    <w:rsid w:val="66187ACD"/>
    <w:rsid w:val="661C136B"/>
    <w:rsid w:val="661E3335"/>
    <w:rsid w:val="66285F62"/>
    <w:rsid w:val="663568D1"/>
    <w:rsid w:val="66387DD1"/>
    <w:rsid w:val="66546D57"/>
    <w:rsid w:val="665723A3"/>
    <w:rsid w:val="665B59B8"/>
    <w:rsid w:val="66651D93"/>
    <w:rsid w:val="66747DFB"/>
    <w:rsid w:val="667747F4"/>
    <w:rsid w:val="667B2536"/>
    <w:rsid w:val="668F1B3D"/>
    <w:rsid w:val="66925EA8"/>
    <w:rsid w:val="669C10B7"/>
    <w:rsid w:val="66B6356E"/>
    <w:rsid w:val="66BC66AA"/>
    <w:rsid w:val="66C37A39"/>
    <w:rsid w:val="66C814F3"/>
    <w:rsid w:val="66D24120"/>
    <w:rsid w:val="66E4179C"/>
    <w:rsid w:val="66FB71D3"/>
    <w:rsid w:val="670307BF"/>
    <w:rsid w:val="67073DC9"/>
    <w:rsid w:val="670E6B05"/>
    <w:rsid w:val="671A0817"/>
    <w:rsid w:val="67223341"/>
    <w:rsid w:val="67262C9D"/>
    <w:rsid w:val="672C3830"/>
    <w:rsid w:val="67656D42"/>
    <w:rsid w:val="67670D0C"/>
    <w:rsid w:val="676A13C4"/>
    <w:rsid w:val="676D40F6"/>
    <w:rsid w:val="677D408C"/>
    <w:rsid w:val="678F3DBF"/>
    <w:rsid w:val="67966EFB"/>
    <w:rsid w:val="67A34CD2"/>
    <w:rsid w:val="67A61834"/>
    <w:rsid w:val="67B6134C"/>
    <w:rsid w:val="67BC2E06"/>
    <w:rsid w:val="67BF46A4"/>
    <w:rsid w:val="67C223E6"/>
    <w:rsid w:val="67E660D5"/>
    <w:rsid w:val="67EA3F6E"/>
    <w:rsid w:val="67EB36EB"/>
    <w:rsid w:val="67F00D02"/>
    <w:rsid w:val="68077DF9"/>
    <w:rsid w:val="68126ECA"/>
    <w:rsid w:val="68141711"/>
    <w:rsid w:val="681744E0"/>
    <w:rsid w:val="68246BFD"/>
    <w:rsid w:val="682D5AB2"/>
    <w:rsid w:val="682E182A"/>
    <w:rsid w:val="68352BB8"/>
    <w:rsid w:val="683A1F7D"/>
    <w:rsid w:val="684E5A28"/>
    <w:rsid w:val="685079F2"/>
    <w:rsid w:val="68726C63"/>
    <w:rsid w:val="68842D99"/>
    <w:rsid w:val="6884575B"/>
    <w:rsid w:val="68906041"/>
    <w:rsid w:val="68945B31"/>
    <w:rsid w:val="68A5389A"/>
    <w:rsid w:val="68C31F72"/>
    <w:rsid w:val="68C77CB4"/>
    <w:rsid w:val="68CD4B9F"/>
    <w:rsid w:val="68D91796"/>
    <w:rsid w:val="68E11D62"/>
    <w:rsid w:val="68EF7605"/>
    <w:rsid w:val="69095EE2"/>
    <w:rsid w:val="69180510"/>
    <w:rsid w:val="691B590A"/>
    <w:rsid w:val="69201173"/>
    <w:rsid w:val="69272501"/>
    <w:rsid w:val="692F13B6"/>
    <w:rsid w:val="693B7875"/>
    <w:rsid w:val="69531548"/>
    <w:rsid w:val="695D23C7"/>
    <w:rsid w:val="696A6892"/>
    <w:rsid w:val="697274F4"/>
    <w:rsid w:val="697650E9"/>
    <w:rsid w:val="69821E2D"/>
    <w:rsid w:val="69886D18"/>
    <w:rsid w:val="698B1D32"/>
    <w:rsid w:val="698C2CAC"/>
    <w:rsid w:val="698C6808"/>
    <w:rsid w:val="699D0A15"/>
    <w:rsid w:val="69A27DD9"/>
    <w:rsid w:val="69B55AF0"/>
    <w:rsid w:val="69C75A92"/>
    <w:rsid w:val="69C95831"/>
    <w:rsid w:val="69E623BC"/>
    <w:rsid w:val="6A072332"/>
    <w:rsid w:val="6A2151A2"/>
    <w:rsid w:val="6A3C6480"/>
    <w:rsid w:val="6A4B66C3"/>
    <w:rsid w:val="6A507835"/>
    <w:rsid w:val="6A620E0B"/>
    <w:rsid w:val="6A6257BB"/>
    <w:rsid w:val="6A6D6639"/>
    <w:rsid w:val="6A8614A9"/>
    <w:rsid w:val="6A9516EC"/>
    <w:rsid w:val="6A9E2C97"/>
    <w:rsid w:val="6AA656A7"/>
    <w:rsid w:val="6AA73ABC"/>
    <w:rsid w:val="6AA87672"/>
    <w:rsid w:val="6AAA0797"/>
    <w:rsid w:val="6AB46016"/>
    <w:rsid w:val="6AD20B92"/>
    <w:rsid w:val="6ADB01D4"/>
    <w:rsid w:val="6ADE12E5"/>
    <w:rsid w:val="6AF26367"/>
    <w:rsid w:val="6AF64881"/>
    <w:rsid w:val="6B0F76F1"/>
    <w:rsid w:val="6B1116BB"/>
    <w:rsid w:val="6B192137"/>
    <w:rsid w:val="6B1B64B0"/>
    <w:rsid w:val="6B1D005F"/>
    <w:rsid w:val="6B386B50"/>
    <w:rsid w:val="6B477A2A"/>
    <w:rsid w:val="6B666406"/>
    <w:rsid w:val="6B67752D"/>
    <w:rsid w:val="6B6E08BB"/>
    <w:rsid w:val="6B712159"/>
    <w:rsid w:val="6B7834E8"/>
    <w:rsid w:val="6B7E6624"/>
    <w:rsid w:val="6B827EC3"/>
    <w:rsid w:val="6B881251"/>
    <w:rsid w:val="6BA73654"/>
    <w:rsid w:val="6BB0067E"/>
    <w:rsid w:val="6BB64010"/>
    <w:rsid w:val="6BC07C08"/>
    <w:rsid w:val="6BC47261"/>
    <w:rsid w:val="6BCA3618"/>
    <w:rsid w:val="6BCB7ABB"/>
    <w:rsid w:val="6BDF70C3"/>
    <w:rsid w:val="6BE02E3B"/>
    <w:rsid w:val="6BEC7A32"/>
    <w:rsid w:val="6BEE7306"/>
    <w:rsid w:val="6BF863D7"/>
    <w:rsid w:val="6BFD1C3F"/>
    <w:rsid w:val="6C156F89"/>
    <w:rsid w:val="6C1825D5"/>
    <w:rsid w:val="6C1F3963"/>
    <w:rsid w:val="6C240F7A"/>
    <w:rsid w:val="6C30791F"/>
    <w:rsid w:val="6C3A079D"/>
    <w:rsid w:val="6C4B4758"/>
    <w:rsid w:val="6C4C52F4"/>
    <w:rsid w:val="6C580C23"/>
    <w:rsid w:val="6C59228F"/>
    <w:rsid w:val="6C621AA2"/>
    <w:rsid w:val="6C7517D5"/>
    <w:rsid w:val="6C861C34"/>
    <w:rsid w:val="6C937EAD"/>
    <w:rsid w:val="6C9C4FB4"/>
    <w:rsid w:val="6C9F2CF6"/>
    <w:rsid w:val="6CA976D1"/>
    <w:rsid w:val="6CAE6A95"/>
    <w:rsid w:val="6CAF0778"/>
    <w:rsid w:val="6CB247D7"/>
    <w:rsid w:val="6CC13DA5"/>
    <w:rsid w:val="6CC8224D"/>
    <w:rsid w:val="6CDB1F80"/>
    <w:rsid w:val="6CDE55CC"/>
    <w:rsid w:val="6CFE17CB"/>
    <w:rsid w:val="6D0A4613"/>
    <w:rsid w:val="6D170ADE"/>
    <w:rsid w:val="6D17288C"/>
    <w:rsid w:val="6D1F1741"/>
    <w:rsid w:val="6D21370B"/>
    <w:rsid w:val="6D340359"/>
    <w:rsid w:val="6D3A595E"/>
    <w:rsid w:val="6D502D47"/>
    <w:rsid w:val="6D505279"/>
    <w:rsid w:val="6D5C3AC4"/>
    <w:rsid w:val="6D8617C0"/>
    <w:rsid w:val="6D8F68C7"/>
    <w:rsid w:val="6D911863"/>
    <w:rsid w:val="6D916E4E"/>
    <w:rsid w:val="6D940381"/>
    <w:rsid w:val="6DAD4F9F"/>
    <w:rsid w:val="6DB12CE1"/>
    <w:rsid w:val="6DB50C7A"/>
    <w:rsid w:val="6DCF13B9"/>
    <w:rsid w:val="6DDA7D0A"/>
    <w:rsid w:val="6DEC5AC7"/>
    <w:rsid w:val="6DED797A"/>
    <w:rsid w:val="6DEE183F"/>
    <w:rsid w:val="6DF350A8"/>
    <w:rsid w:val="6DFD31A3"/>
    <w:rsid w:val="6E0B0643"/>
    <w:rsid w:val="6E1319A6"/>
    <w:rsid w:val="6E184B0E"/>
    <w:rsid w:val="6E250FD9"/>
    <w:rsid w:val="6E3D4575"/>
    <w:rsid w:val="6E565636"/>
    <w:rsid w:val="6E641B01"/>
    <w:rsid w:val="6E755ABD"/>
    <w:rsid w:val="6E7F693B"/>
    <w:rsid w:val="6EA2087C"/>
    <w:rsid w:val="6EA52B9B"/>
    <w:rsid w:val="6EAB5982"/>
    <w:rsid w:val="6EBE3907"/>
    <w:rsid w:val="6ED21161"/>
    <w:rsid w:val="6EE40E94"/>
    <w:rsid w:val="6EE964AB"/>
    <w:rsid w:val="6EED5F9B"/>
    <w:rsid w:val="6F06705D"/>
    <w:rsid w:val="6F141779"/>
    <w:rsid w:val="6F193452"/>
    <w:rsid w:val="6F42021D"/>
    <w:rsid w:val="6F4831D1"/>
    <w:rsid w:val="6F4A1255"/>
    <w:rsid w:val="6F4D4C8B"/>
    <w:rsid w:val="6F6124E5"/>
    <w:rsid w:val="6F630BD6"/>
    <w:rsid w:val="6F6F075E"/>
    <w:rsid w:val="6F7044D6"/>
    <w:rsid w:val="6F774BAC"/>
    <w:rsid w:val="6F79782E"/>
    <w:rsid w:val="6F80296B"/>
    <w:rsid w:val="6F9603E0"/>
    <w:rsid w:val="6F975F07"/>
    <w:rsid w:val="6F9F6684"/>
    <w:rsid w:val="6FA7614A"/>
    <w:rsid w:val="6FB13580"/>
    <w:rsid w:val="6FB22D40"/>
    <w:rsid w:val="6FB72105"/>
    <w:rsid w:val="6FB95E7D"/>
    <w:rsid w:val="6FC5117A"/>
    <w:rsid w:val="6FD827A7"/>
    <w:rsid w:val="6FE949B4"/>
    <w:rsid w:val="6FF4238A"/>
    <w:rsid w:val="6FF62C2D"/>
    <w:rsid w:val="700323DB"/>
    <w:rsid w:val="702459EC"/>
    <w:rsid w:val="70253512"/>
    <w:rsid w:val="703D085C"/>
    <w:rsid w:val="704020FA"/>
    <w:rsid w:val="704718D2"/>
    <w:rsid w:val="70495D5B"/>
    <w:rsid w:val="7053007F"/>
    <w:rsid w:val="70840239"/>
    <w:rsid w:val="70AC7790"/>
    <w:rsid w:val="70AF6726"/>
    <w:rsid w:val="70AF7355"/>
    <w:rsid w:val="70BA6A2B"/>
    <w:rsid w:val="70BF5715"/>
    <w:rsid w:val="70CB5E68"/>
    <w:rsid w:val="70D50A94"/>
    <w:rsid w:val="70D867D7"/>
    <w:rsid w:val="70E37655"/>
    <w:rsid w:val="70EE7DA8"/>
    <w:rsid w:val="70F57389"/>
    <w:rsid w:val="70F74EAF"/>
    <w:rsid w:val="70FF1FB5"/>
    <w:rsid w:val="710C022E"/>
    <w:rsid w:val="7121252E"/>
    <w:rsid w:val="713357AB"/>
    <w:rsid w:val="7141612A"/>
    <w:rsid w:val="715045BF"/>
    <w:rsid w:val="715916C6"/>
    <w:rsid w:val="715E2BBD"/>
    <w:rsid w:val="715F4802"/>
    <w:rsid w:val="716B764B"/>
    <w:rsid w:val="718D2CFF"/>
    <w:rsid w:val="71A36DE5"/>
    <w:rsid w:val="71A37FFC"/>
    <w:rsid w:val="71A87F57"/>
    <w:rsid w:val="71AC3EEB"/>
    <w:rsid w:val="71B374B1"/>
    <w:rsid w:val="71C62CFF"/>
    <w:rsid w:val="71CB1E97"/>
    <w:rsid w:val="71D64AC4"/>
    <w:rsid w:val="71DB657E"/>
    <w:rsid w:val="71E427DC"/>
    <w:rsid w:val="71E52F59"/>
    <w:rsid w:val="71E74F23"/>
    <w:rsid w:val="71EA0570"/>
    <w:rsid w:val="71F65166"/>
    <w:rsid w:val="720C2BDC"/>
    <w:rsid w:val="721E62BD"/>
    <w:rsid w:val="72331F17"/>
    <w:rsid w:val="72347A3D"/>
    <w:rsid w:val="72361A07"/>
    <w:rsid w:val="72417DAB"/>
    <w:rsid w:val="724203AC"/>
    <w:rsid w:val="72457E9C"/>
    <w:rsid w:val="72536115"/>
    <w:rsid w:val="72556331"/>
    <w:rsid w:val="727051DB"/>
    <w:rsid w:val="727E04E4"/>
    <w:rsid w:val="72807126"/>
    <w:rsid w:val="728F2A40"/>
    <w:rsid w:val="729047C5"/>
    <w:rsid w:val="72A9042B"/>
    <w:rsid w:val="72AF5315"/>
    <w:rsid w:val="72B312A9"/>
    <w:rsid w:val="72BD7A32"/>
    <w:rsid w:val="72C214EC"/>
    <w:rsid w:val="72C62D8B"/>
    <w:rsid w:val="72C74D55"/>
    <w:rsid w:val="72D57472"/>
    <w:rsid w:val="72D6671B"/>
    <w:rsid w:val="72DA58DB"/>
    <w:rsid w:val="72EE5E3E"/>
    <w:rsid w:val="72F86CBC"/>
    <w:rsid w:val="72FC46DC"/>
    <w:rsid w:val="72FC49FE"/>
    <w:rsid w:val="73171838"/>
    <w:rsid w:val="7318735E"/>
    <w:rsid w:val="73335F46"/>
    <w:rsid w:val="73467A28"/>
    <w:rsid w:val="734F0FD2"/>
    <w:rsid w:val="73530396"/>
    <w:rsid w:val="73634A7D"/>
    <w:rsid w:val="73702CF6"/>
    <w:rsid w:val="73734595"/>
    <w:rsid w:val="737547B1"/>
    <w:rsid w:val="737F73DD"/>
    <w:rsid w:val="738F7621"/>
    <w:rsid w:val="73903399"/>
    <w:rsid w:val="7399224D"/>
    <w:rsid w:val="739A7D73"/>
    <w:rsid w:val="73B013B8"/>
    <w:rsid w:val="73BE73D7"/>
    <w:rsid w:val="73D2750D"/>
    <w:rsid w:val="73D43285"/>
    <w:rsid w:val="73DC3D05"/>
    <w:rsid w:val="73DE2356"/>
    <w:rsid w:val="73EA4B55"/>
    <w:rsid w:val="73EF6311"/>
    <w:rsid w:val="740022CC"/>
    <w:rsid w:val="740578E3"/>
    <w:rsid w:val="74096F68"/>
    <w:rsid w:val="7431692A"/>
    <w:rsid w:val="743B50B2"/>
    <w:rsid w:val="74432521"/>
    <w:rsid w:val="744F5002"/>
    <w:rsid w:val="74582108"/>
    <w:rsid w:val="745B5755"/>
    <w:rsid w:val="74602D6B"/>
    <w:rsid w:val="74604B19"/>
    <w:rsid w:val="746F4033"/>
    <w:rsid w:val="74732A9E"/>
    <w:rsid w:val="7475237C"/>
    <w:rsid w:val="74827185"/>
    <w:rsid w:val="748E78D8"/>
    <w:rsid w:val="74911176"/>
    <w:rsid w:val="74996C40"/>
    <w:rsid w:val="74B36375"/>
    <w:rsid w:val="74B44E65"/>
    <w:rsid w:val="74B97AD4"/>
    <w:rsid w:val="74BA06CD"/>
    <w:rsid w:val="74C23A26"/>
    <w:rsid w:val="74C257D4"/>
    <w:rsid w:val="74CB5A00"/>
    <w:rsid w:val="74CC6652"/>
    <w:rsid w:val="74D177C5"/>
    <w:rsid w:val="74DB0643"/>
    <w:rsid w:val="74DD616A"/>
    <w:rsid w:val="74F160B9"/>
    <w:rsid w:val="74FC0CE6"/>
    <w:rsid w:val="750F1338"/>
    <w:rsid w:val="751029E3"/>
    <w:rsid w:val="751122B7"/>
    <w:rsid w:val="75134281"/>
    <w:rsid w:val="75426C6E"/>
    <w:rsid w:val="7544268D"/>
    <w:rsid w:val="755448DA"/>
    <w:rsid w:val="75580C3E"/>
    <w:rsid w:val="75581C94"/>
    <w:rsid w:val="755C1784"/>
    <w:rsid w:val="755D1591"/>
    <w:rsid w:val="75635629"/>
    <w:rsid w:val="7564635F"/>
    <w:rsid w:val="757765BE"/>
    <w:rsid w:val="757C3BD5"/>
    <w:rsid w:val="758E3908"/>
    <w:rsid w:val="758F3FBD"/>
    <w:rsid w:val="75952EE8"/>
    <w:rsid w:val="75964274"/>
    <w:rsid w:val="759F5B15"/>
    <w:rsid w:val="75C31803"/>
    <w:rsid w:val="75D0399E"/>
    <w:rsid w:val="75D60D25"/>
    <w:rsid w:val="75D60E9A"/>
    <w:rsid w:val="75DB4D9F"/>
    <w:rsid w:val="75E33751"/>
    <w:rsid w:val="75E4177A"/>
    <w:rsid w:val="75EA4FE2"/>
    <w:rsid w:val="75EB2981"/>
    <w:rsid w:val="75F47896"/>
    <w:rsid w:val="75F55735"/>
    <w:rsid w:val="761258AB"/>
    <w:rsid w:val="76143E0D"/>
    <w:rsid w:val="762A3631"/>
    <w:rsid w:val="76311753"/>
    <w:rsid w:val="763F6D05"/>
    <w:rsid w:val="764A5A81"/>
    <w:rsid w:val="765132FA"/>
    <w:rsid w:val="765468FF"/>
    <w:rsid w:val="767369EB"/>
    <w:rsid w:val="76854D0B"/>
    <w:rsid w:val="76872831"/>
    <w:rsid w:val="76982C90"/>
    <w:rsid w:val="76A41635"/>
    <w:rsid w:val="76AF7FDA"/>
    <w:rsid w:val="76BA0E58"/>
    <w:rsid w:val="76BC3EBD"/>
    <w:rsid w:val="76C45833"/>
    <w:rsid w:val="76C577FD"/>
    <w:rsid w:val="76CC46E8"/>
    <w:rsid w:val="76D8308D"/>
    <w:rsid w:val="76DF08BF"/>
    <w:rsid w:val="76E00627"/>
    <w:rsid w:val="76E41A31"/>
    <w:rsid w:val="76EC6B38"/>
    <w:rsid w:val="76F1414E"/>
    <w:rsid w:val="76F31C74"/>
    <w:rsid w:val="77000835"/>
    <w:rsid w:val="77020109"/>
    <w:rsid w:val="770660D5"/>
    <w:rsid w:val="771B11CB"/>
    <w:rsid w:val="77277E88"/>
    <w:rsid w:val="772A4F3B"/>
    <w:rsid w:val="77376B08"/>
    <w:rsid w:val="773D55E5"/>
    <w:rsid w:val="7746449A"/>
    <w:rsid w:val="774E15A1"/>
    <w:rsid w:val="7750356B"/>
    <w:rsid w:val="775D7A36"/>
    <w:rsid w:val="77626DFA"/>
    <w:rsid w:val="7763329E"/>
    <w:rsid w:val="778E5E41"/>
    <w:rsid w:val="779725EC"/>
    <w:rsid w:val="77AE203F"/>
    <w:rsid w:val="77BF249E"/>
    <w:rsid w:val="77E51F05"/>
    <w:rsid w:val="77EA2BFF"/>
    <w:rsid w:val="780D3305"/>
    <w:rsid w:val="782115C4"/>
    <w:rsid w:val="78252301"/>
    <w:rsid w:val="78280044"/>
    <w:rsid w:val="782B3839"/>
    <w:rsid w:val="7831514A"/>
    <w:rsid w:val="783764D9"/>
    <w:rsid w:val="78411105"/>
    <w:rsid w:val="78415070"/>
    <w:rsid w:val="78484242"/>
    <w:rsid w:val="784C1F84"/>
    <w:rsid w:val="785D5F3F"/>
    <w:rsid w:val="78697682"/>
    <w:rsid w:val="787B1AA4"/>
    <w:rsid w:val="787B63C5"/>
    <w:rsid w:val="78830352"/>
    <w:rsid w:val="788566A9"/>
    <w:rsid w:val="78B47B29"/>
    <w:rsid w:val="78EF46BD"/>
    <w:rsid w:val="78F87A16"/>
    <w:rsid w:val="78FD6DDA"/>
    <w:rsid w:val="79052133"/>
    <w:rsid w:val="790A2B39"/>
    <w:rsid w:val="79110AD8"/>
    <w:rsid w:val="79134850"/>
    <w:rsid w:val="791D122B"/>
    <w:rsid w:val="791D747D"/>
    <w:rsid w:val="79202AC9"/>
    <w:rsid w:val="79294073"/>
    <w:rsid w:val="7931117A"/>
    <w:rsid w:val="795310F0"/>
    <w:rsid w:val="796926C2"/>
    <w:rsid w:val="79703A50"/>
    <w:rsid w:val="798412AA"/>
    <w:rsid w:val="79A66D50"/>
    <w:rsid w:val="79B67EF4"/>
    <w:rsid w:val="79BA116F"/>
    <w:rsid w:val="79D12015"/>
    <w:rsid w:val="79DA7170"/>
    <w:rsid w:val="79E166FC"/>
    <w:rsid w:val="7A150154"/>
    <w:rsid w:val="7A1940E8"/>
    <w:rsid w:val="7A1C7734"/>
    <w:rsid w:val="7A230AC3"/>
    <w:rsid w:val="7A232871"/>
    <w:rsid w:val="7A2605B3"/>
    <w:rsid w:val="7A2776B7"/>
    <w:rsid w:val="7A293BFF"/>
    <w:rsid w:val="7A2A295A"/>
    <w:rsid w:val="7A3C3932"/>
    <w:rsid w:val="7A48677B"/>
    <w:rsid w:val="7A4E3666"/>
    <w:rsid w:val="7A592736"/>
    <w:rsid w:val="7A5F138C"/>
    <w:rsid w:val="7A680BCB"/>
    <w:rsid w:val="7A6A66F1"/>
    <w:rsid w:val="7A6C36E3"/>
    <w:rsid w:val="7A796935"/>
    <w:rsid w:val="7A7C01D3"/>
    <w:rsid w:val="7A813A3B"/>
    <w:rsid w:val="7A9962D1"/>
    <w:rsid w:val="7AB47064"/>
    <w:rsid w:val="7AB91427"/>
    <w:rsid w:val="7ABB0CFB"/>
    <w:rsid w:val="7AC34054"/>
    <w:rsid w:val="7ADD5115"/>
    <w:rsid w:val="7B024B7C"/>
    <w:rsid w:val="7B0A1C83"/>
    <w:rsid w:val="7B1A0118"/>
    <w:rsid w:val="7B1B5C3E"/>
    <w:rsid w:val="7B3960C4"/>
    <w:rsid w:val="7B3A4316"/>
    <w:rsid w:val="7B3B62E0"/>
    <w:rsid w:val="7B4038F6"/>
    <w:rsid w:val="7B52755D"/>
    <w:rsid w:val="7B560A24"/>
    <w:rsid w:val="7B566C76"/>
    <w:rsid w:val="7B58479C"/>
    <w:rsid w:val="7B7D2454"/>
    <w:rsid w:val="7B86157B"/>
    <w:rsid w:val="7B8B4B71"/>
    <w:rsid w:val="7BA34766"/>
    <w:rsid w:val="7BA522FF"/>
    <w:rsid w:val="7BB66D05"/>
    <w:rsid w:val="7BC736D0"/>
    <w:rsid w:val="7BDD1145"/>
    <w:rsid w:val="7BF070CA"/>
    <w:rsid w:val="7BF72207"/>
    <w:rsid w:val="7BFD3595"/>
    <w:rsid w:val="7BFF32D4"/>
    <w:rsid w:val="7C1032C9"/>
    <w:rsid w:val="7C1728A9"/>
    <w:rsid w:val="7C3B3D9E"/>
    <w:rsid w:val="7C3D05C9"/>
    <w:rsid w:val="7C4B2553"/>
    <w:rsid w:val="7C5546E4"/>
    <w:rsid w:val="7C5A68F7"/>
    <w:rsid w:val="7C6333F8"/>
    <w:rsid w:val="7C885555"/>
    <w:rsid w:val="7C8C3AD6"/>
    <w:rsid w:val="7CB974BC"/>
    <w:rsid w:val="7CBBCC3C"/>
    <w:rsid w:val="7CD51E1C"/>
    <w:rsid w:val="7CD75B94"/>
    <w:rsid w:val="7CF77517"/>
    <w:rsid w:val="7CF83BBE"/>
    <w:rsid w:val="7D044000"/>
    <w:rsid w:val="7D1312C2"/>
    <w:rsid w:val="7D133070"/>
    <w:rsid w:val="7D2012E9"/>
    <w:rsid w:val="7D2E7EAA"/>
    <w:rsid w:val="7D311748"/>
    <w:rsid w:val="7D3B6123"/>
    <w:rsid w:val="7D407BDD"/>
    <w:rsid w:val="7D52346D"/>
    <w:rsid w:val="7D5D253D"/>
    <w:rsid w:val="7D6238ED"/>
    <w:rsid w:val="7D644BCE"/>
    <w:rsid w:val="7D697134"/>
    <w:rsid w:val="7D70600C"/>
    <w:rsid w:val="7D731D61"/>
    <w:rsid w:val="7D7635FF"/>
    <w:rsid w:val="7D7A30EF"/>
    <w:rsid w:val="7D7C2BAC"/>
    <w:rsid w:val="7D9F168F"/>
    <w:rsid w:val="7D9FB440"/>
    <w:rsid w:val="7DB051E5"/>
    <w:rsid w:val="7DC205F3"/>
    <w:rsid w:val="7DD766F1"/>
    <w:rsid w:val="7DE40569"/>
    <w:rsid w:val="7DE71E07"/>
    <w:rsid w:val="7DF74740"/>
    <w:rsid w:val="7DF804B8"/>
    <w:rsid w:val="7E002EC9"/>
    <w:rsid w:val="7E01111B"/>
    <w:rsid w:val="7E1626EC"/>
    <w:rsid w:val="7E2A71A9"/>
    <w:rsid w:val="7E2D1F10"/>
    <w:rsid w:val="7E327BA3"/>
    <w:rsid w:val="7E421307"/>
    <w:rsid w:val="7E4E5655"/>
    <w:rsid w:val="7E4F632A"/>
    <w:rsid w:val="7E551467"/>
    <w:rsid w:val="7E6478FC"/>
    <w:rsid w:val="7EB10D93"/>
    <w:rsid w:val="7EB517AA"/>
    <w:rsid w:val="7EC860DC"/>
    <w:rsid w:val="7ECF1219"/>
    <w:rsid w:val="7EED78F1"/>
    <w:rsid w:val="7EF0118F"/>
    <w:rsid w:val="7EF46ED2"/>
    <w:rsid w:val="7F0474A0"/>
    <w:rsid w:val="7F17671C"/>
    <w:rsid w:val="7F201A75"/>
    <w:rsid w:val="7F2257ED"/>
    <w:rsid w:val="7F25708B"/>
    <w:rsid w:val="7F2A644F"/>
    <w:rsid w:val="7F350DED"/>
    <w:rsid w:val="7F547970"/>
    <w:rsid w:val="7F596D35"/>
    <w:rsid w:val="7F620B11"/>
    <w:rsid w:val="7F710522"/>
    <w:rsid w:val="7F7309C6"/>
    <w:rsid w:val="7F735751"/>
    <w:rsid w:val="7F766D40"/>
    <w:rsid w:val="7F7973D7"/>
    <w:rsid w:val="7F7B4EFD"/>
    <w:rsid w:val="7F7D2A23"/>
    <w:rsid w:val="7F8114E6"/>
    <w:rsid w:val="7F9A1827"/>
    <w:rsid w:val="7FA8232B"/>
    <w:rsid w:val="7FAC50B6"/>
    <w:rsid w:val="7FB126CD"/>
    <w:rsid w:val="7FB25ED0"/>
    <w:rsid w:val="7FB72124"/>
    <w:rsid w:val="7FC5261C"/>
    <w:rsid w:val="7FC95C68"/>
    <w:rsid w:val="7FD14B1D"/>
    <w:rsid w:val="7FD775A6"/>
    <w:rsid w:val="7FEDE868"/>
    <w:rsid w:val="7FEF66E7"/>
    <w:rsid w:val="8ECB6B10"/>
    <w:rsid w:val="969F48C0"/>
    <w:rsid w:val="B1FFC2CC"/>
    <w:rsid w:val="BBFF31D7"/>
    <w:rsid w:val="BDCB545C"/>
    <w:rsid w:val="D33605D6"/>
    <w:rsid w:val="D6DC78F9"/>
    <w:rsid w:val="D7778344"/>
    <w:rsid w:val="EFF51731"/>
    <w:rsid w:val="F7B7799D"/>
    <w:rsid w:val="F7F3B2EE"/>
    <w:rsid w:val="F9D795E2"/>
    <w:rsid w:val="FBDF2AFD"/>
    <w:rsid w:val="FCFC372F"/>
    <w:rsid w:val="FDB74773"/>
    <w:rsid w:val="FDFF2667"/>
    <w:rsid w:val="FEF125BB"/>
    <w:rsid w:val="FF582390"/>
    <w:rsid w:val="FFB71095"/>
    <w:rsid w:val="FFBF8CB9"/>
    <w:rsid w:val="FFCDFC8D"/>
    <w:rsid w:val="FFDC9918"/>
    <w:rsid w:val="FFF6796A"/>
    <w:rsid w:val="FFF753D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link w:val="37"/>
    <w:qFormat/>
    <w:uiPriority w:val="0"/>
    <w:pPr>
      <w:keepNext/>
      <w:keepLines/>
      <w:spacing w:line="360" w:lineRule="auto"/>
      <w:jc w:val="center"/>
      <w:outlineLvl w:val="0"/>
    </w:pPr>
    <w:rPr>
      <w:b/>
      <w:kern w:val="44"/>
      <w:sz w:val="30"/>
    </w:rPr>
  </w:style>
  <w:style w:type="paragraph" w:styleId="3">
    <w:name w:val="heading 2"/>
    <w:basedOn w:val="1"/>
    <w:next w:val="1"/>
    <w:link w:val="30"/>
    <w:unhideWhenUsed/>
    <w:qFormat/>
    <w:uiPriority w:val="0"/>
    <w:pPr>
      <w:keepNext/>
      <w:keepLines/>
      <w:spacing w:beforeLines="50"/>
      <w:ind w:firstLine="1680" w:firstLineChars="200"/>
      <w:outlineLvl w:val="1"/>
    </w:pPr>
    <w:rPr>
      <w:rFonts w:ascii="Arial" w:hAnsi="Arial"/>
      <w:b/>
    </w:rPr>
  </w:style>
  <w:style w:type="paragraph" w:styleId="4">
    <w:name w:val="heading 3"/>
    <w:basedOn w:val="1"/>
    <w:next w:val="1"/>
    <w:link w:val="35"/>
    <w:semiHidden/>
    <w:unhideWhenUsed/>
    <w:qFormat/>
    <w:uiPriority w:val="0"/>
    <w:pPr>
      <w:keepNext/>
      <w:keepLines/>
      <w:spacing w:line="360" w:lineRule="auto"/>
      <w:ind w:firstLine="560" w:firstLineChars="200"/>
      <w:jc w:val="left"/>
      <w:outlineLvl w:val="2"/>
    </w:pPr>
    <w:rPr>
      <w:b/>
    </w:rPr>
  </w:style>
  <w:style w:type="paragraph" w:styleId="5">
    <w:name w:val="heading 4"/>
    <w:basedOn w:val="1"/>
    <w:next w:val="1"/>
    <w:link w:val="34"/>
    <w:semiHidden/>
    <w:unhideWhenUsed/>
    <w:qFormat/>
    <w:uiPriority w:val="0"/>
    <w:pPr>
      <w:keepNext/>
      <w:keepLines/>
      <w:spacing w:line="360" w:lineRule="auto"/>
      <w:ind w:firstLine="562" w:firstLineChars="200"/>
      <w:jc w:val="left"/>
      <w:outlineLvl w:val="3"/>
    </w:pPr>
    <w:rPr>
      <w:rFonts w:ascii="Arial" w:hAnsi="Arial"/>
      <w:b/>
    </w:rPr>
  </w:style>
  <w:style w:type="paragraph" w:styleId="6">
    <w:name w:val="heading 5"/>
    <w:basedOn w:val="1"/>
    <w:next w:val="1"/>
    <w:semiHidden/>
    <w:unhideWhenUsed/>
    <w:qFormat/>
    <w:uiPriority w:val="0"/>
    <w:pPr>
      <w:keepNext/>
      <w:keepLines/>
      <w:spacing w:line="360" w:lineRule="auto"/>
      <w:jc w:val="center"/>
      <w:outlineLvl w:val="4"/>
    </w:pPr>
    <w:rPr>
      <w:b/>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7">
    <w:name w:val="table of authorities"/>
    <w:basedOn w:val="1"/>
    <w:next w:val="1"/>
    <w:qFormat/>
    <w:uiPriority w:val="0"/>
    <w:pPr>
      <w:tabs>
        <w:tab w:val="right" w:leader="dot" w:pos="8640"/>
      </w:tabs>
      <w:autoSpaceDE w:val="0"/>
      <w:adjustRightInd w:val="0"/>
      <w:snapToGrid w:val="0"/>
      <w:spacing w:after="240"/>
      <w:ind w:firstLine="482"/>
    </w:pPr>
    <w:rPr>
      <w:rFonts w:ascii="Garamond" w:hAnsi="Garamond" w:eastAsia="PMingLiU"/>
      <w:lang w:eastAsia="zh-TW"/>
    </w:rPr>
  </w:style>
  <w:style w:type="paragraph" w:styleId="8">
    <w:name w:val="annotation text"/>
    <w:basedOn w:val="1"/>
    <w:qFormat/>
    <w:uiPriority w:val="0"/>
    <w:pPr>
      <w:jc w:val="left"/>
    </w:pPr>
  </w:style>
  <w:style w:type="paragraph" w:styleId="9">
    <w:name w:val="Body Text"/>
    <w:basedOn w:val="1"/>
    <w:qFormat/>
    <w:uiPriority w:val="0"/>
  </w:style>
  <w:style w:type="paragraph" w:styleId="10">
    <w:name w:val="Body Text Indent"/>
    <w:basedOn w:val="1"/>
    <w:next w:val="11"/>
    <w:qFormat/>
    <w:uiPriority w:val="0"/>
    <w:pPr>
      <w:spacing w:after="120"/>
      <w:ind w:left="420" w:leftChars="200"/>
    </w:pPr>
  </w:style>
  <w:style w:type="paragraph" w:styleId="11">
    <w:name w:val="envelope return"/>
    <w:basedOn w:val="1"/>
    <w:semiHidden/>
    <w:qFormat/>
    <w:uiPriority w:val="0"/>
    <w:pPr>
      <w:snapToGrid w:val="0"/>
    </w:pPr>
    <w:rPr>
      <w:rFonts w:ascii="Arial" w:hAnsi="Arial" w:cs="Arial"/>
    </w:rPr>
  </w:style>
  <w:style w:type="paragraph" w:styleId="12">
    <w:name w:val="Plain Text"/>
    <w:basedOn w:val="1"/>
    <w:qFormat/>
    <w:uiPriority w:val="0"/>
    <w:rPr>
      <w:rFonts w:ascii="宋体" w:hAnsi="Courier New"/>
    </w:rPr>
  </w:style>
  <w:style w:type="paragraph" w:styleId="13">
    <w:name w:val="Date"/>
    <w:basedOn w:val="1"/>
    <w:next w:val="1"/>
    <w:qFormat/>
    <w:uiPriority w:val="0"/>
  </w:style>
  <w:style w:type="paragraph" w:styleId="14">
    <w:name w:val="Balloon Text"/>
    <w:basedOn w:val="1"/>
    <w:link w:val="54"/>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qFormat/>
    <w:uiPriority w:val="0"/>
    <w:pPr>
      <w:spacing w:line="320" w:lineRule="exact"/>
      <w:jc w:val="left"/>
    </w:pPr>
    <w:rPr>
      <w:rFonts w:ascii="宋体" w:hAnsi="宋体"/>
      <w:sz w:val="24"/>
    </w:rPr>
  </w:style>
  <w:style w:type="paragraph" w:styleId="18">
    <w:name w:val="Body Text Indent 3"/>
    <w:basedOn w:val="1"/>
    <w:qFormat/>
    <w:uiPriority w:val="0"/>
    <w:pPr>
      <w:spacing w:line="360" w:lineRule="auto"/>
      <w:ind w:firstLine="632"/>
    </w:pPr>
    <w:rPr>
      <w:rFonts w:ascii="黑体" w:eastAsia="黑体"/>
    </w:rPr>
  </w:style>
  <w:style w:type="paragraph" w:styleId="19">
    <w:name w:val="index 9"/>
    <w:basedOn w:val="1"/>
    <w:next w:val="1"/>
    <w:qFormat/>
    <w:uiPriority w:val="0"/>
    <w:pPr>
      <w:ind w:left="1600" w:leftChars="1600"/>
    </w:pPr>
  </w:style>
  <w:style w:type="paragraph" w:styleId="20">
    <w:name w:val="table of figures"/>
    <w:next w:val="1"/>
    <w:qFormat/>
    <w:uiPriority w:val="0"/>
    <w:pPr>
      <w:widowControl w:val="0"/>
      <w:tabs>
        <w:tab w:val="right" w:leader="dot" w:pos="8640"/>
      </w:tabs>
      <w:spacing w:line="360" w:lineRule="auto"/>
      <w:ind w:left="400" w:hanging="400"/>
      <w:jc w:val="both"/>
    </w:pPr>
    <w:rPr>
      <w:rFonts w:ascii="Times New Roman" w:hAnsi="Times New Roman" w:eastAsia="宋体" w:cs="Times New Roman"/>
      <w:kern w:val="2"/>
      <w:sz w:val="24"/>
      <w:lang w:val="en-US" w:eastAsia="zh-CN" w:bidi="ar-SA"/>
    </w:rPr>
  </w:style>
  <w:style w:type="paragraph" w:styleId="21">
    <w:name w:val="toc 2"/>
    <w:basedOn w:val="1"/>
    <w:next w:val="1"/>
    <w:qFormat/>
    <w:uiPriority w:val="0"/>
    <w:pPr>
      <w:ind w:left="420" w:leftChars="200"/>
    </w:pPr>
  </w:style>
  <w:style w:type="paragraph" w:styleId="22">
    <w:name w:val="HTML Preformatted"/>
    <w:qFormat/>
    <w:uiPriority w:val="0"/>
    <w:pPr>
      <w:widowControl w:val="0"/>
      <w:jc w:val="both"/>
    </w:pPr>
    <w:rPr>
      <w:rFonts w:ascii="Courier New" w:hAnsi="Courier New" w:eastAsia="宋体" w:cs="Times New Roman"/>
      <w:kern w:val="2"/>
      <w:sz w:val="21"/>
      <w:szCs w:val="24"/>
      <w:lang w:val="en-US" w:eastAsia="zh-CN" w:bidi="ar-SA"/>
    </w:rPr>
  </w:style>
  <w:style w:type="paragraph" w:styleId="23">
    <w:name w:val="Normal (Web)"/>
    <w:basedOn w:val="1"/>
    <w:qFormat/>
    <w:uiPriority w:val="0"/>
    <w:pPr>
      <w:widowControl/>
      <w:spacing w:before="100" w:beforeAutospacing="1" w:after="100" w:afterAutospacing="1"/>
      <w:jc w:val="left"/>
    </w:pPr>
    <w:rPr>
      <w:rFonts w:ascii="宋体" w:hAnsi="宋体"/>
      <w:kern w:val="0"/>
      <w:sz w:val="24"/>
    </w:rPr>
  </w:style>
  <w:style w:type="paragraph" w:styleId="24">
    <w:name w:val="Title"/>
    <w:basedOn w:val="1"/>
    <w:next w:val="1"/>
    <w:qFormat/>
    <w:uiPriority w:val="0"/>
    <w:pPr>
      <w:widowControl/>
      <w:spacing w:line="360" w:lineRule="auto"/>
      <w:jc w:val="center"/>
    </w:pPr>
    <w:rPr>
      <w:rFonts w:ascii="Arial" w:hAnsi="Arial"/>
      <w:b/>
      <w:smallCaps/>
      <w:kern w:val="28"/>
      <w:sz w:val="36"/>
      <w:lang w:eastAsia="en-US"/>
    </w:rPr>
  </w:style>
  <w:style w:type="paragraph" w:styleId="25">
    <w:name w:val="Body Text First Indent 2"/>
    <w:basedOn w:val="10"/>
    <w:qFormat/>
    <w:uiPriority w:val="0"/>
    <w:pPr>
      <w:ind w:firstLine="420" w:firstLineChars="200"/>
    </w:pPr>
  </w:style>
  <w:style w:type="table" w:styleId="27">
    <w:name w:val="Table Grid"/>
    <w:basedOn w:val="26"/>
    <w:qFormat/>
    <w:uiPriority w:val="99"/>
    <w:pPr>
      <w:widowControl w:val="0"/>
      <w:jc w:val="both"/>
    </w:pPr>
    <w:rPr>
      <w:rFonts w:ascii="Calibri" w:hAnsi="Calibri"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annotation reference"/>
    <w:basedOn w:val="28"/>
    <w:qFormat/>
    <w:uiPriority w:val="0"/>
    <w:rPr>
      <w:sz w:val="21"/>
      <w:szCs w:val="21"/>
    </w:rPr>
  </w:style>
  <w:style w:type="character" w:customStyle="1" w:styleId="30">
    <w:name w:val="标题 2 Char"/>
    <w:link w:val="3"/>
    <w:qFormat/>
    <w:uiPriority w:val="0"/>
    <w:rPr>
      <w:rFonts w:ascii="Arial" w:hAnsi="Arial" w:eastAsia="宋体" w:cs="Times New Roman"/>
      <w:b/>
      <w:bCs/>
      <w:kern w:val="2"/>
      <w:sz w:val="28"/>
      <w:szCs w:val="32"/>
      <w:lang w:val="en-US" w:eastAsia="zh-CN" w:bidi="ar-SA"/>
    </w:rPr>
  </w:style>
  <w:style w:type="paragraph" w:customStyle="1" w:styleId="31">
    <w:name w:val="标书正文1"/>
    <w:basedOn w:val="1"/>
    <w:qFormat/>
    <w:uiPriority w:val="0"/>
    <w:pPr>
      <w:widowControl/>
      <w:spacing w:line="520" w:lineRule="exact"/>
      <w:ind w:firstLine="640" w:firstLineChars="200"/>
    </w:pPr>
  </w:style>
  <w:style w:type="paragraph" w:customStyle="1" w:styleId="32">
    <w:name w:val="_Style 3"/>
    <w:next w:val="18"/>
    <w:qFormat/>
    <w:uiPriority w:val="99"/>
    <w:pPr>
      <w:widowControl w:val="0"/>
      <w:jc w:val="both"/>
    </w:pPr>
    <w:rPr>
      <w:rFonts w:ascii="Times New Roman" w:hAnsi="Times New Roman" w:eastAsia="宋体" w:cs="Times New Roman"/>
      <w:kern w:val="2"/>
      <w:sz w:val="21"/>
      <w:szCs w:val="22"/>
      <w:lang w:val="en-US" w:eastAsia="zh-CN" w:bidi="ar-SA"/>
    </w:rPr>
  </w:style>
  <w:style w:type="character" w:customStyle="1" w:styleId="33">
    <w:name w:val="标题 1 Char"/>
    <w:link w:val="2"/>
    <w:qFormat/>
    <w:locked/>
    <w:uiPriority w:val="0"/>
    <w:rPr>
      <w:rFonts w:ascii="Times New Roman" w:hAnsi="Times New Roman" w:eastAsia="宋体" w:cs="Times New Roman"/>
      <w:b/>
      <w:bCs/>
      <w:kern w:val="2"/>
      <w:sz w:val="32"/>
      <w:szCs w:val="32"/>
      <w:lang w:val="en-US" w:eastAsia="zh-CN" w:bidi="ar-SA"/>
    </w:rPr>
  </w:style>
  <w:style w:type="character" w:customStyle="1" w:styleId="34">
    <w:name w:val="标题 4 Char"/>
    <w:link w:val="5"/>
    <w:qFormat/>
    <w:uiPriority w:val="0"/>
    <w:rPr>
      <w:rFonts w:ascii="Arial" w:hAnsi="Arial" w:eastAsia="宋体"/>
      <w:b/>
    </w:rPr>
  </w:style>
  <w:style w:type="character" w:customStyle="1" w:styleId="35">
    <w:name w:val="标题 3 Char"/>
    <w:link w:val="4"/>
    <w:qFormat/>
    <w:uiPriority w:val="0"/>
    <w:rPr>
      <w:rFonts w:ascii="Times New Roman" w:hAnsi="Times New Roman" w:eastAsia="宋体"/>
      <w:b/>
    </w:rPr>
  </w:style>
  <w:style w:type="paragraph" w:customStyle="1" w:styleId="36">
    <w:name w:val="图例"/>
    <w:basedOn w:val="1"/>
    <w:qFormat/>
    <w:uiPriority w:val="0"/>
    <w:pPr>
      <w:spacing w:before="120" w:after="120" w:line="360" w:lineRule="auto"/>
      <w:jc w:val="center"/>
    </w:pPr>
    <w:rPr>
      <w:rFonts w:eastAsia="仿宋_GB2312"/>
      <w:b/>
      <w:sz w:val="24"/>
    </w:rPr>
  </w:style>
  <w:style w:type="character" w:customStyle="1" w:styleId="37">
    <w:name w:val="标题 1 Char1"/>
    <w:link w:val="2"/>
    <w:qFormat/>
    <w:uiPriority w:val="0"/>
    <w:rPr>
      <w:rFonts w:ascii="Times New Roman" w:hAnsi="Times New Roman" w:eastAsia="宋体" w:cs="Times New Roman"/>
      <w:kern w:val="44"/>
      <w:sz w:val="32"/>
    </w:rPr>
  </w:style>
  <w:style w:type="paragraph" w:customStyle="1" w:styleId="38">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39">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40">
    <w:name w:val="font11"/>
    <w:basedOn w:val="28"/>
    <w:qFormat/>
    <w:uiPriority w:val="0"/>
    <w:rPr>
      <w:rFonts w:hint="default" w:ascii="Segoe UI" w:hAnsi="Segoe UI" w:eastAsia="Segoe UI" w:cs="Segoe UI"/>
      <w:color w:val="000000"/>
      <w:sz w:val="22"/>
      <w:szCs w:val="22"/>
      <w:u w:val="none"/>
    </w:rPr>
  </w:style>
  <w:style w:type="character" w:customStyle="1" w:styleId="41">
    <w:name w:val="font21"/>
    <w:basedOn w:val="28"/>
    <w:qFormat/>
    <w:uiPriority w:val="0"/>
    <w:rPr>
      <w:rFonts w:hint="default" w:ascii="Segoe UI" w:hAnsi="Segoe UI" w:eastAsia="Segoe UI" w:cs="Segoe UI"/>
      <w:color w:val="000000"/>
      <w:sz w:val="21"/>
      <w:szCs w:val="21"/>
      <w:u w:val="none"/>
    </w:rPr>
  </w:style>
  <w:style w:type="character" w:customStyle="1" w:styleId="42">
    <w:name w:val="font51"/>
    <w:basedOn w:val="28"/>
    <w:qFormat/>
    <w:uiPriority w:val="0"/>
    <w:rPr>
      <w:rFonts w:hint="eastAsia" w:ascii="微软雅黑" w:hAnsi="微软雅黑" w:eastAsia="微软雅黑" w:cs="微软雅黑"/>
      <w:color w:val="000000"/>
      <w:sz w:val="20"/>
      <w:szCs w:val="20"/>
      <w:u w:val="none"/>
    </w:rPr>
  </w:style>
  <w:style w:type="character" w:customStyle="1" w:styleId="43">
    <w:name w:val="font61"/>
    <w:basedOn w:val="28"/>
    <w:qFormat/>
    <w:uiPriority w:val="0"/>
    <w:rPr>
      <w:rFonts w:ascii="宋体" w:hAnsi="宋体" w:eastAsia="宋体" w:cs="宋体"/>
      <w:color w:val="000000"/>
      <w:sz w:val="20"/>
      <w:szCs w:val="20"/>
      <w:u w:val="none"/>
    </w:rPr>
  </w:style>
  <w:style w:type="character" w:customStyle="1" w:styleId="44">
    <w:name w:val="font01"/>
    <w:basedOn w:val="28"/>
    <w:qFormat/>
    <w:uiPriority w:val="0"/>
    <w:rPr>
      <w:rFonts w:hint="eastAsia" w:ascii="宋体" w:hAnsi="宋体" w:eastAsia="宋体" w:cs="宋体"/>
      <w:color w:val="000000"/>
      <w:sz w:val="20"/>
      <w:szCs w:val="20"/>
      <w:u w:val="none"/>
    </w:rPr>
  </w:style>
  <w:style w:type="paragraph" w:customStyle="1" w:styleId="45">
    <w:name w:val="正文1"/>
    <w:next w:val="1"/>
    <w:qFormat/>
    <w:uiPriority w:val="0"/>
    <w:pPr>
      <w:widowControl w:val="0"/>
      <w:jc w:val="both"/>
    </w:pPr>
    <w:rPr>
      <w:rFonts w:ascii="Times New Roman" w:hAnsi="Times New Roman" w:eastAsia="宋体" w:cs="Times New Roman"/>
      <w:kern w:val="2"/>
      <w:sz w:val="28"/>
      <w:szCs w:val="28"/>
      <w:lang w:val="en-US" w:eastAsia="zh-CN" w:bidi="ar-SA"/>
    </w:rPr>
  </w:style>
  <w:style w:type="paragraph" w:customStyle="1" w:styleId="46">
    <w:name w:val="正文首行缩进1"/>
    <w:basedOn w:val="1"/>
    <w:next w:val="1"/>
    <w:qFormat/>
    <w:uiPriority w:val="0"/>
    <w:pPr>
      <w:spacing w:line="360" w:lineRule="auto"/>
      <w:ind w:firstLine="420"/>
    </w:pPr>
    <w:rPr>
      <w:rFonts w:ascii="宋体" w:hAnsi="宋体" w:eastAsia="仿宋_GB2312" w:cs="宋体"/>
      <w:sz w:val="24"/>
      <w:szCs w:val="24"/>
    </w:rPr>
  </w:style>
  <w:style w:type="paragraph" w:customStyle="1" w:styleId="47">
    <w:name w:val="blockquote"/>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8">
    <w:name w:val="正文文本缩进1"/>
    <w:basedOn w:val="1"/>
    <w:qFormat/>
    <w:uiPriority w:val="0"/>
    <w:pPr>
      <w:ind w:firstLine="640" w:firstLineChars="200"/>
    </w:pPr>
    <w:rPr>
      <w:rFonts w:ascii="Calibri"/>
    </w:rPr>
  </w:style>
  <w:style w:type="paragraph" w:customStyle="1" w:styleId="49">
    <w:name w:val="正文首行缩进11"/>
    <w:basedOn w:val="9"/>
    <w:qFormat/>
    <w:uiPriority w:val="0"/>
    <w:pPr>
      <w:adjustRightInd w:val="0"/>
      <w:spacing w:line="275" w:lineRule="atLeast"/>
      <w:ind w:firstLine="420"/>
      <w:textAlignment w:val="baseline"/>
    </w:pPr>
    <w:rPr>
      <w:rFonts w:ascii="宋体" w:eastAsia="楷体_GB2312"/>
      <w:sz w:val="24"/>
    </w:rPr>
  </w:style>
  <w:style w:type="paragraph" w:customStyle="1" w:styleId="50">
    <w:name w:val="正文 A"/>
    <w:qFormat/>
    <w:uiPriority w:val="0"/>
    <w:pPr>
      <w:widowControl w:val="0"/>
      <w:jc w:val="both"/>
    </w:pPr>
    <w:rPr>
      <w:rFonts w:ascii="Times New Roman" w:hAnsi="Times New Roman" w:eastAsia="Times New Roman" w:cs="Times New Roman"/>
      <w:color w:val="000000"/>
      <w:kern w:val="2"/>
      <w:sz w:val="28"/>
      <w:szCs w:val="28"/>
      <w:lang w:val="en-US" w:eastAsia="zh-CN" w:bidi="ar-SA"/>
    </w:rPr>
  </w:style>
  <w:style w:type="paragraph" w:customStyle="1" w:styleId="51">
    <w:name w:val="正文文本首行缩进1"/>
    <w:basedOn w:val="1"/>
    <w:next w:val="1"/>
    <w:qFormat/>
    <w:uiPriority w:val="0"/>
    <w:pPr>
      <w:spacing w:line="360" w:lineRule="auto"/>
      <w:ind w:firstLine="420"/>
    </w:pPr>
    <w:rPr>
      <w:rFonts w:ascii="宋体" w:hAnsi="宋体" w:eastAsia="仿宋_GB2312" w:cs="宋体"/>
      <w:sz w:val="24"/>
      <w:szCs w:val="24"/>
    </w:rPr>
  </w:style>
  <w:style w:type="paragraph" w:customStyle="1" w:styleId="52">
    <w:name w:val="标书正文"/>
    <w:basedOn w:val="1"/>
    <w:qFormat/>
    <w:uiPriority w:val="0"/>
    <w:pPr>
      <w:spacing w:line="560" w:lineRule="exact"/>
      <w:ind w:firstLine="723"/>
      <w:jc w:val="center"/>
    </w:pPr>
    <w:rPr>
      <w:rFonts w:ascii="仿宋_GB2312" w:hAnsi="仿宋_GB2312" w:eastAsia="仿宋_GB2312" w:cs="仿宋_GB2312"/>
      <w:b/>
      <w:bCs/>
      <w:sz w:val="36"/>
      <w:szCs w:val="36"/>
    </w:rPr>
  </w:style>
  <w:style w:type="paragraph" w:customStyle="1" w:styleId="53">
    <w:name w:val="正文（缩进）"/>
    <w:next w:val="1"/>
    <w:qFormat/>
    <w:uiPriority w:val="0"/>
    <w:pPr>
      <w:widowControl w:val="0"/>
      <w:spacing w:before="156" w:after="156"/>
      <w:ind w:firstLine="480"/>
      <w:jc w:val="both"/>
    </w:pPr>
    <w:rPr>
      <w:rFonts w:ascii="Times New Roman" w:hAnsi="Times New Roman" w:eastAsia="宋体" w:cs="Times New Roman"/>
      <w:kern w:val="2"/>
      <w:sz w:val="28"/>
      <w:lang w:val="en-US" w:eastAsia="zh-CN" w:bidi="ar-SA"/>
    </w:rPr>
  </w:style>
  <w:style w:type="character" w:customStyle="1" w:styleId="54">
    <w:name w:val="批注框文本 Char"/>
    <w:basedOn w:val="28"/>
    <w:link w:val="14"/>
    <w:qFormat/>
    <w:uiPriority w:val="0"/>
    <w:rPr>
      <w:kern w:val="2"/>
      <w:sz w:val="18"/>
      <w:szCs w:val="18"/>
    </w:rPr>
  </w:style>
  <w:style w:type="paragraph" w:customStyle="1" w:styleId="55">
    <w:name w:val="1"/>
    <w:basedOn w:val="1"/>
    <w:next w:val="12"/>
    <w:qFormat/>
    <w:uiPriority w:val="99"/>
    <w:rPr>
      <w:rFonts w:ascii="宋体" w:hAnsi="Courier New" w:cs="宋体"/>
      <w:sz w:val="21"/>
      <w:szCs w:val="21"/>
    </w:rPr>
  </w:style>
  <w:style w:type="paragraph" w:customStyle="1" w:styleId="56">
    <w:name w:val="正文 A A"/>
    <w:qFormat/>
    <w:uiPriority w:val="0"/>
    <w:pPr>
      <w:widowControl w:val="0"/>
      <w:jc w:val="both"/>
    </w:pPr>
    <w:rPr>
      <w:rFonts w:hint="eastAsia" w:ascii="Arial Unicode MS" w:hAnsi="Arial Unicode MS" w:eastAsia="Arial Unicode MS" w:cs="Arial Unicode MS"/>
      <w:color w:val="000000"/>
      <w:kern w:val="2"/>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HP</Company>
  <Pages>35</Pages>
  <Words>11106</Words>
  <Characters>11590</Characters>
  <Lines>98</Lines>
  <Paragraphs>27</Paragraphs>
  <TotalTime>38</TotalTime>
  <ScaleCrop>false</ScaleCrop>
  <LinksUpToDate>false</LinksUpToDate>
  <CharactersWithSpaces>12672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2025-04-25T10:34:00Z</dcterms:created>
  <dc:creator>Admin</dc:creator>
  <cp:lastModifiedBy>任静茹</cp:lastModifiedBy>
  <cp:lastPrinted>2025-05-08T15:25:00Z</cp:lastPrinted>
  <dcterms:modified xsi:type="dcterms:W3CDTF">2025-06-16T07:19:09Z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6C6F0F1B78834BE58EF47FA1BB93F6BB_13</vt:lpwstr>
  </property>
  <property fmtid="{D5CDD505-2E9C-101B-9397-08002B2CF9AE}" pid="4" name="KSOTemplateDocerSaveRecord">
    <vt:lpwstr>eyJoZGlkIjoiNjEzMWViMWU4ODM3ODQxMjEyYzFhODUyNTg2M2I3ODEiLCJ1c2VySWQiOiIxMTUyNDQyNjA1In0=</vt:lpwstr>
  </property>
</Properties>
</file>