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default" w:ascii="方正小标宋_GBK" w:hAnsi="宋体" w:eastAsia="方正小标宋_GBK"/>
          <w:b/>
          <w:sz w:val="32"/>
          <w:szCs w:val="32"/>
          <w:lang w:val="en-US" w:eastAsia="zh-CN"/>
        </w:rPr>
      </w:pPr>
      <w:r>
        <w:rPr>
          <w:rFonts w:hint="eastAsia" w:ascii="方正小标宋_GBK" w:hAnsi="宋体" w:eastAsia="方正小标宋_GBK"/>
          <w:b/>
          <w:sz w:val="32"/>
          <w:szCs w:val="32"/>
        </w:rPr>
        <w:t>重庆医科大学</w:t>
      </w:r>
      <w:r>
        <w:rPr>
          <w:rFonts w:hint="eastAsia" w:ascii="方正小标宋_GBK" w:hAnsi="宋体" w:eastAsia="方正小标宋_GBK"/>
          <w:b/>
          <w:sz w:val="32"/>
          <w:szCs w:val="32"/>
          <w:lang w:eastAsia="zh-CN"/>
        </w:rPr>
        <w:t>采购正版</w:t>
      </w:r>
      <w:r>
        <w:rPr>
          <w:rFonts w:hint="eastAsia" w:ascii="方正小标宋_GBK" w:hAnsi="宋体" w:eastAsia="方正小标宋_GBK"/>
          <w:b/>
          <w:sz w:val="32"/>
          <w:szCs w:val="32"/>
          <w:lang w:val="en-US" w:eastAsia="zh-CN"/>
        </w:rPr>
        <w:t>WPS软件</w:t>
      </w:r>
    </w:p>
    <w:p>
      <w:pPr>
        <w:jc w:val="center"/>
        <w:rPr>
          <w:rFonts w:hint="eastAsia" w:ascii="方正小标宋_GBK" w:hAnsi="宋体" w:eastAsia="方正小标宋_GBK"/>
          <w:b/>
          <w:sz w:val="32"/>
          <w:szCs w:val="32"/>
          <w:lang w:eastAsia="zh-CN"/>
        </w:rPr>
      </w:pPr>
      <w:r>
        <w:rPr>
          <w:rFonts w:hint="eastAsia" w:ascii="方正小标宋_GBK" w:hAnsi="宋体" w:eastAsia="方正小标宋_GBK"/>
          <w:b/>
          <w:sz w:val="32"/>
          <w:szCs w:val="32"/>
        </w:rPr>
        <w:t>询</w:t>
      </w:r>
      <w:r>
        <w:rPr>
          <w:rFonts w:hint="eastAsia" w:ascii="方正小标宋_GBK" w:hAnsi="宋体" w:eastAsia="方正小标宋_GBK"/>
          <w:b/>
          <w:sz w:val="32"/>
          <w:szCs w:val="32"/>
          <w:lang w:val="en-US" w:eastAsia="zh-CN"/>
        </w:rPr>
        <w:t xml:space="preserve"> </w:t>
      </w:r>
      <w:r>
        <w:rPr>
          <w:rFonts w:hint="eastAsia" w:ascii="方正小标宋_GBK" w:hAnsi="宋体" w:eastAsia="方正小标宋_GBK"/>
          <w:b/>
          <w:sz w:val="32"/>
          <w:szCs w:val="32"/>
        </w:rPr>
        <w:t>价</w:t>
      </w:r>
      <w:r>
        <w:rPr>
          <w:rFonts w:hint="eastAsia" w:ascii="方正小标宋_GBK" w:hAnsi="宋体" w:eastAsia="方正小标宋_GBK"/>
          <w:b/>
          <w:sz w:val="32"/>
          <w:szCs w:val="32"/>
          <w:lang w:val="en-US" w:eastAsia="zh-CN"/>
        </w:rPr>
        <w:t xml:space="preserve"> </w:t>
      </w:r>
      <w:r>
        <w:rPr>
          <w:rFonts w:hint="eastAsia" w:ascii="方正小标宋_GBK" w:hAnsi="宋体" w:eastAsia="方正小标宋_GBK"/>
          <w:b/>
          <w:sz w:val="32"/>
          <w:szCs w:val="32"/>
          <w:lang w:eastAsia="zh-CN"/>
        </w:rPr>
        <w:t>文</w:t>
      </w:r>
      <w:r>
        <w:rPr>
          <w:rFonts w:hint="eastAsia" w:ascii="方正小标宋_GBK" w:hAnsi="宋体" w:eastAsia="方正小标宋_GBK"/>
          <w:b/>
          <w:sz w:val="32"/>
          <w:szCs w:val="32"/>
          <w:lang w:val="en-US" w:eastAsia="zh-CN"/>
        </w:rPr>
        <w:t xml:space="preserve"> </w:t>
      </w:r>
      <w:r>
        <w:rPr>
          <w:rFonts w:hint="eastAsia" w:ascii="方正小标宋_GBK" w:hAnsi="宋体" w:eastAsia="方正小标宋_GBK"/>
          <w:b/>
          <w:sz w:val="32"/>
          <w:szCs w:val="32"/>
          <w:lang w:eastAsia="zh-CN"/>
        </w:rPr>
        <w:t>件</w:t>
      </w:r>
    </w:p>
    <w:p>
      <w:pPr>
        <w:outlineLvl w:val="1"/>
        <w:rPr>
          <w:rFonts w:ascii="宋体" w:hAnsi="宋体" w:cs="宋体"/>
          <w:b/>
          <w:snapToGrid w:val="0"/>
          <w:kern w:val="0"/>
          <w:sz w:val="28"/>
          <w:szCs w:val="28"/>
        </w:rPr>
      </w:pPr>
      <w:r>
        <w:rPr>
          <w:rFonts w:hint="eastAsia" w:ascii="宋体" w:hAnsi="宋体" w:cs="宋体"/>
          <w:b/>
          <w:snapToGrid w:val="0"/>
          <w:kern w:val="0"/>
          <w:sz w:val="28"/>
          <w:szCs w:val="28"/>
        </w:rPr>
        <w:t>一、项目说明</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color w:val="000000"/>
          <w:sz w:val="24"/>
          <w:szCs w:val="24"/>
        </w:rPr>
      </w:pPr>
      <w:r>
        <w:rPr>
          <w:rFonts w:hint="eastAsia" w:ascii="宋体" w:hAnsi="宋体"/>
          <w:color w:val="000000"/>
          <w:sz w:val="24"/>
          <w:szCs w:val="24"/>
        </w:rPr>
        <w:t>（一）本项目为政府采购限额以下自主采购项目，根据《中华人民共和国政府采购法》第二条及重庆市财政局关于印发《重庆市政府集中采购目录及采购限额标准》的通知（渝财规〔2020〕14 号）第三条要求，本项目不适用《中华人民共和国政府采购法》及其实施条例的有关规定。</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color w:val="000000"/>
          <w:sz w:val="24"/>
          <w:szCs w:val="24"/>
        </w:rPr>
      </w:pPr>
      <w:r>
        <w:rPr>
          <w:rFonts w:hint="eastAsia" w:ascii="宋体" w:hAnsi="宋体"/>
          <w:color w:val="000000"/>
          <w:sz w:val="24"/>
          <w:szCs w:val="24"/>
        </w:rPr>
        <w:t>（二）本项目根据重庆医科大学内控制度及《重庆医科大学采购管理办法》，参照政府采购的网上询价方式进行采购，在遵守公开、公平、公正、高效廉洁的原则下，以保障学校科研及教学高质量为前提，合理设置采购需求，同步做好预算、合同、资产、支付等内控管理工作。</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color w:val="000000"/>
          <w:sz w:val="24"/>
          <w:szCs w:val="24"/>
        </w:rPr>
      </w:pPr>
      <w:r>
        <w:rPr>
          <w:rFonts w:hint="eastAsia" w:ascii="宋体" w:hAnsi="宋体"/>
          <w:color w:val="000000"/>
          <w:sz w:val="24"/>
          <w:szCs w:val="24"/>
        </w:rPr>
        <w:t>（三）本项目要求设备采购带安装，必须满足所有参数及使用要求，欢迎有符合要求的供应商参与投标。</w:t>
      </w:r>
    </w:p>
    <w:p>
      <w:pPr>
        <w:numPr>
          <w:ilvl w:val="0"/>
          <w:numId w:val="1"/>
        </w:numPr>
        <w:outlineLvl w:val="1"/>
        <w:rPr>
          <w:rFonts w:hint="eastAsia" w:ascii="宋体" w:hAnsi="宋体" w:eastAsia="宋体" w:cs="宋体"/>
          <w:b/>
          <w:snapToGrid w:val="0"/>
          <w:color w:val="auto"/>
          <w:kern w:val="0"/>
          <w:sz w:val="28"/>
          <w:szCs w:val="28"/>
        </w:rPr>
      </w:pPr>
      <w:r>
        <w:rPr>
          <w:rFonts w:hint="eastAsia" w:ascii="宋体" w:hAnsi="宋体" w:eastAsia="宋体" w:cs="宋体"/>
          <w:b/>
          <w:snapToGrid w:val="0"/>
          <w:color w:val="auto"/>
          <w:kern w:val="0"/>
          <w:sz w:val="28"/>
          <w:szCs w:val="28"/>
          <w:lang w:eastAsia="zh-CN"/>
        </w:rPr>
        <w:t>采购</w:t>
      </w:r>
      <w:r>
        <w:rPr>
          <w:rFonts w:hint="eastAsia" w:ascii="宋体" w:hAnsi="宋体" w:eastAsia="宋体" w:cs="宋体"/>
          <w:b/>
          <w:snapToGrid w:val="0"/>
          <w:color w:val="auto"/>
          <w:kern w:val="0"/>
          <w:sz w:val="28"/>
          <w:szCs w:val="28"/>
        </w:rPr>
        <w:t>清单及技术要求</w:t>
      </w:r>
    </w:p>
    <w:p>
      <w:pPr>
        <w:pStyle w:val="10"/>
        <w:keepNext w:val="0"/>
        <w:keepLines w:val="0"/>
        <w:pageBreakBefore w:val="0"/>
        <w:widowControl w:val="0"/>
        <w:kinsoku/>
        <w:wordWrap/>
        <w:overflowPunct/>
        <w:topLinePunct w:val="0"/>
        <w:autoSpaceDE/>
        <w:autoSpaceDN/>
        <w:bidi w:val="0"/>
        <w:adjustRightInd/>
        <w:snapToGrid/>
        <w:spacing w:after="157" w:afterLines="50" w:line="440" w:lineRule="exact"/>
        <w:ind w:firstLine="240" w:firstLineChars="100"/>
        <w:textAlignment w:val="auto"/>
        <w:outlineLvl w:val="9"/>
        <w:rPr>
          <w:rFonts w:hint="eastAsia" w:hAnsi="宋体"/>
          <w:bCs/>
          <w:color w:val="000000"/>
          <w:sz w:val="24"/>
          <w:szCs w:val="24"/>
        </w:rPr>
      </w:pPr>
      <w:bookmarkStart w:id="0" w:name="_Toc65660339"/>
      <w:bookmarkStart w:id="1" w:name="_Toc108272340"/>
      <w:bookmarkStart w:id="2" w:name="_Toc26971"/>
      <w:bookmarkStart w:id="3" w:name="_Toc24129"/>
      <w:r>
        <w:rPr>
          <w:rFonts w:hint="eastAsia" w:hAnsi="宋体"/>
          <w:bCs/>
          <w:color w:val="000000"/>
          <w:sz w:val="24"/>
          <w:szCs w:val="24"/>
          <w:lang w:eastAsia="zh-CN"/>
        </w:rPr>
        <w:t>（一）</w:t>
      </w:r>
      <w:r>
        <w:rPr>
          <w:rFonts w:hint="eastAsia" w:hAnsi="宋体"/>
          <w:bCs/>
          <w:color w:val="000000"/>
          <w:sz w:val="24"/>
          <w:szCs w:val="24"/>
        </w:rPr>
        <w:t>项目一览表</w:t>
      </w:r>
      <w:bookmarkEnd w:id="0"/>
      <w:bookmarkEnd w:id="1"/>
      <w:bookmarkEnd w:id="2"/>
      <w:bookmarkEnd w:id="3"/>
    </w:p>
    <w:tbl>
      <w:tblPr>
        <w:tblStyle w:val="18"/>
        <w:tblW w:w="9754" w:type="dxa"/>
        <w:jc w:val="center"/>
        <w:tblLayout w:type="fixed"/>
        <w:tblCellMar>
          <w:top w:w="0" w:type="dxa"/>
          <w:left w:w="108" w:type="dxa"/>
          <w:bottom w:w="0" w:type="dxa"/>
          <w:right w:w="108" w:type="dxa"/>
        </w:tblCellMar>
      </w:tblPr>
      <w:tblGrid>
        <w:gridCol w:w="1262"/>
        <w:gridCol w:w="3960"/>
        <w:gridCol w:w="1470"/>
        <w:gridCol w:w="1305"/>
        <w:gridCol w:w="1757"/>
      </w:tblGrid>
      <w:tr>
        <w:trPr>
          <w:trHeight w:val="574" w:hRule="atLeast"/>
          <w:jc w:val="center"/>
        </w:trPr>
        <w:tc>
          <w:tcPr>
            <w:tcW w:w="1262" w:type="dxa"/>
            <w:tcBorders>
              <w:top w:val="single" w:color="auto" w:sz="4" w:space="0"/>
              <w:left w:val="single" w:color="auto" w:sz="4" w:space="0"/>
              <w:bottom w:val="nil"/>
              <w:right w:val="single" w:color="auto" w:sz="4" w:space="0"/>
            </w:tcBorders>
            <w:shd w:val="clear" w:color="auto" w:fill="auto"/>
            <w:vAlign w:val="center"/>
          </w:tcPr>
          <w:p>
            <w:pPr>
              <w:pageBreakBefore w:val="0"/>
              <w:widowControl/>
              <w:kinsoku/>
              <w:wordWrap/>
              <w:overflowPunct/>
              <w:topLinePunct w:val="0"/>
              <w:bidi w:val="0"/>
              <w:spacing w:line="276" w:lineRule="auto"/>
              <w:jc w:val="center"/>
              <w:textAlignment w:val="auto"/>
              <w:rPr>
                <w:rFonts w:hint="eastAsia" w:ascii="宋体" w:hAnsi="宋体" w:eastAsia="宋体" w:cs="宋体"/>
                <w:sz w:val="28"/>
                <w:szCs w:val="28"/>
              </w:rPr>
            </w:pPr>
            <w:r>
              <w:rPr>
                <w:rFonts w:hint="eastAsia" w:ascii="宋体" w:hAnsi="宋体" w:eastAsia="宋体" w:cs="宋体"/>
                <w:sz w:val="28"/>
                <w:szCs w:val="28"/>
                <w:lang w:eastAsia="zh-CN"/>
              </w:rPr>
              <w:t>序</w:t>
            </w:r>
            <w:r>
              <w:rPr>
                <w:rFonts w:hint="eastAsia" w:ascii="宋体" w:hAnsi="宋体" w:eastAsia="宋体" w:cs="宋体"/>
                <w:sz w:val="28"/>
                <w:szCs w:val="28"/>
              </w:rPr>
              <w:t>号</w:t>
            </w:r>
          </w:p>
        </w:tc>
        <w:tc>
          <w:tcPr>
            <w:tcW w:w="3960" w:type="dxa"/>
            <w:tcBorders>
              <w:top w:val="single" w:color="auto" w:sz="4" w:space="0"/>
              <w:left w:val="nil"/>
              <w:bottom w:val="nil"/>
              <w:right w:val="single" w:color="auto" w:sz="4" w:space="0"/>
            </w:tcBorders>
            <w:shd w:val="clear" w:color="auto" w:fill="auto"/>
            <w:vAlign w:val="center"/>
          </w:tcPr>
          <w:p>
            <w:pPr>
              <w:pageBreakBefore w:val="0"/>
              <w:widowControl/>
              <w:kinsoku/>
              <w:wordWrap/>
              <w:overflowPunct/>
              <w:topLinePunct w:val="0"/>
              <w:bidi w:val="0"/>
              <w:spacing w:line="276" w:lineRule="auto"/>
              <w:jc w:val="center"/>
              <w:textAlignment w:val="auto"/>
              <w:rPr>
                <w:rFonts w:hint="eastAsia" w:ascii="宋体" w:hAnsi="宋体" w:eastAsia="宋体" w:cs="宋体"/>
                <w:sz w:val="28"/>
                <w:szCs w:val="28"/>
              </w:rPr>
            </w:pPr>
            <w:r>
              <w:rPr>
                <w:rFonts w:hint="eastAsia" w:ascii="宋体" w:hAnsi="宋体" w:eastAsia="宋体" w:cs="宋体"/>
                <w:sz w:val="28"/>
                <w:szCs w:val="28"/>
              </w:rPr>
              <w:t>设备名称</w:t>
            </w:r>
          </w:p>
        </w:tc>
        <w:tc>
          <w:tcPr>
            <w:tcW w:w="1470" w:type="dxa"/>
            <w:tcBorders>
              <w:top w:val="single" w:color="auto" w:sz="4" w:space="0"/>
              <w:left w:val="nil"/>
              <w:bottom w:val="nil"/>
              <w:right w:val="single" w:color="auto" w:sz="4" w:space="0"/>
            </w:tcBorders>
            <w:shd w:val="clear" w:color="auto" w:fill="auto"/>
            <w:vAlign w:val="center"/>
          </w:tcPr>
          <w:p>
            <w:pPr>
              <w:pageBreakBefore w:val="0"/>
              <w:widowControl/>
              <w:kinsoku/>
              <w:wordWrap/>
              <w:overflowPunct/>
              <w:topLinePunct w:val="0"/>
              <w:bidi w:val="0"/>
              <w:spacing w:line="276" w:lineRule="auto"/>
              <w:jc w:val="center"/>
              <w:textAlignment w:val="auto"/>
              <w:rPr>
                <w:rFonts w:hint="eastAsia" w:ascii="宋体" w:hAnsi="宋体" w:eastAsia="宋体" w:cs="宋体"/>
                <w:sz w:val="28"/>
                <w:szCs w:val="28"/>
              </w:rPr>
            </w:pPr>
            <w:r>
              <w:rPr>
                <w:rFonts w:hint="eastAsia" w:ascii="宋体" w:hAnsi="宋体" w:eastAsia="宋体" w:cs="宋体"/>
                <w:sz w:val="28"/>
                <w:szCs w:val="28"/>
              </w:rPr>
              <w:t>单位</w:t>
            </w:r>
          </w:p>
        </w:tc>
        <w:tc>
          <w:tcPr>
            <w:tcW w:w="1305" w:type="dxa"/>
            <w:tcBorders>
              <w:top w:val="single" w:color="auto" w:sz="4" w:space="0"/>
              <w:left w:val="nil"/>
              <w:bottom w:val="nil"/>
              <w:right w:val="single" w:color="auto" w:sz="4" w:space="0"/>
            </w:tcBorders>
            <w:shd w:val="clear" w:color="auto" w:fill="auto"/>
            <w:vAlign w:val="center"/>
          </w:tcPr>
          <w:p>
            <w:pPr>
              <w:pageBreakBefore w:val="0"/>
              <w:widowControl/>
              <w:kinsoku/>
              <w:wordWrap/>
              <w:overflowPunct/>
              <w:topLinePunct w:val="0"/>
              <w:bidi w:val="0"/>
              <w:spacing w:line="276" w:lineRule="auto"/>
              <w:jc w:val="center"/>
              <w:textAlignment w:val="auto"/>
              <w:rPr>
                <w:rFonts w:hint="eastAsia" w:ascii="宋体" w:hAnsi="宋体" w:eastAsia="宋体" w:cs="宋体"/>
                <w:sz w:val="28"/>
                <w:szCs w:val="28"/>
              </w:rPr>
            </w:pPr>
            <w:r>
              <w:rPr>
                <w:rFonts w:hint="eastAsia" w:ascii="宋体" w:hAnsi="宋体" w:eastAsia="宋体" w:cs="宋体"/>
                <w:sz w:val="28"/>
                <w:szCs w:val="28"/>
              </w:rPr>
              <w:t>数 量</w:t>
            </w:r>
          </w:p>
        </w:tc>
        <w:tc>
          <w:tcPr>
            <w:tcW w:w="1757" w:type="dxa"/>
            <w:tcBorders>
              <w:top w:val="single" w:color="auto" w:sz="4" w:space="0"/>
              <w:left w:val="nil"/>
              <w:bottom w:val="nil"/>
              <w:right w:val="single" w:color="auto" w:sz="4" w:space="0"/>
            </w:tcBorders>
            <w:shd w:val="clear" w:color="auto" w:fill="auto"/>
            <w:vAlign w:val="center"/>
          </w:tcPr>
          <w:p>
            <w:pPr>
              <w:pageBreakBefore w:val="0"/>
              <w:widowControl/>
              <w:kinsoku/>
              <w:wordWrap/>
              <w:overflowPunct/>
              <w:topLinePunct w:val="0"/>
              <w:bidi w:val="0"/>
              <w:spacing w:line="276" w:lineRule="auto"/>
              <w:jc w:val="center"/>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授权期限</w:t>
            </w:r>
          </w:p>
        </w:tc>
      </w:tr>
      <w:tr>
        <w:trPr>
          <w:trHeight w:val="524" w:hRule="atLeast"/>
          <w:jc w:val="center"/>
        </w:trPr>
        <w:tc>
          <w:tcPr>
            <w:tcW w:w="1262"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numPr>
                <w:ilvl w:val="0"/>
                <w:numId w:val="0"/>
              </w:numPr>
              <w:kinsoku/>
              <w:wordWrap/>
              <w:overflowPunct/>
              <w:topLinePunct w:val="0"/>
              <w:bidi w:val="0"/>
              <w:spacing w:line="276" w:lineRule="auto"/>
              <w:ind w:leftChars="0"/>
              <w:jc w:val="center"/>
              <w:textAlignment w:val="auto"/>
              <w:rPr>
                <w:rFonts w:hint="default"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1</w:t>
            </w:r>
          </w:p>
        </w:tc>
        <w:tc>
          <w:tcPr>
            <w:tcW w:w="396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宋体" w:hAnsi="宋体"/>
                <w:color w:val="000000"/>
                <w:sz w:val="24"/>
                <w:szCs w:val="24"/>
                <w:lang w:val="en-US" w:eastAsia="zh-CN"/>
              </w:rPr>
            </w:pPr>
            <w:r>
              <w:rPr>
                <w:rFonts w:hint="eastAsia" w:ascii="宋体" w:hAnsi="宋体"/>
                <w:color w:val="000000"/>
                <w:sz w:val="24"/>
                <w:szCs w:val="24"/>
                <w:lang w:val="en-US" w:eastAsia="zh-CN"/>
              </w:rPr>
              <w:t>金山WPS校园版</w:t>
            </w:r>
          </w:p>
        </w:tc>
        <w:tc>
          <w:tcPr>
            <w:tcW w:w="147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color w:val="000000"/>
                <w:sz w:val="24"/>
                <w:szCs w:val="24"/>
                <w:lang w:val="en-US" w:eastAsia="zh-CN"/>
              </w:rPr>
            </w:pPr>
            <w:r>
              <w:rPr>
                <w:rFonts w:hint="eastAsia" w:ascii="宋体" w:hAnsi="宋体"/>
                <w:color w:val="000000"/>
                <w:sz w:val="24"/>
                <w:szCs w:val="24"/>
                <w:lang w:val="en-US" w:eastAsia="zh-CN"/>
              </w:rPr>
              <w:t>套</w:t>
            </w:r>
          </w:p>
        </w:tc>
        <w:tc>
          <w:tcPr>
            <w:tcW w:w="130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color w:val="000000"/>
                <w:sz w:val="24"/>
                <w:szCs w:val="24"/>
                <w:lang w:val="en-US" w:eastAsia="zh-CN"/>
              </w:rPr>
            </w:pPr>
            <w:r>
              <w:rPr>
                <w:rFonts w:hint="eastAsia" w:ascii="宋体" w:hAnsi="宋体"/>
                <w:color w:val="000000"/>
                <w:sz w:val="24"/>
                <w:szCs w:val="24"/>
                <w:lang w:val="en-US" w:eastAsia="zh-CN"/>
              </w:rPr>
              <w:t>1</w:t>
            </w:r>
          </w:p>
        </w:tc>
        <w:tc>
          <w:tcPr>
            <w:tcW w:w="17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color w:val="000000"/>
                <w:sz w:val="24"/>
                <w:szCs w:val="24"/>
                <w:lang w:val="en-US" w:eastAsia="zh-CN"/>
              </w:rPr>
            </w:pPr>
            <w:r>
              <w:rPr>
                <w:rFonts w:hint="eastAsia" w:ascii="宋体" w:hAnsi="宋体"/>
                <w:color w:val="000000"/>
                <w:sz w:val="24"/>
                <w:szCs w:val="24"/>
                <w:lang w:val="en-US" w:eastAsia="zh-CN"/>
              </w:rPr>
              <w:t>一年</w:t>
            </w:r>
          </w:p>
        </w:tc>
      </w:tr>
      <w:tr>
        <w:trPr>
          <w:trHeight w:val="504" w:hRule="atLeast"/>
          <w:jc w:val="center"/>
        </w:trPr>
        <w:tc>
          <w:tcPr>
            <w:tcW w:w="1262"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numPr>
                <w:ilvl w:val="0"/>
                <w:numId w:val="0"/>
              </w:numPr>
              <w:kinsoku/>
              <w:wordWrap/>
              <w:overflowPunct/>
              <w:topLinePunct w:val="0"/>
              <w:bidi w:val="0"/>
              <w:spacing w:line="276" w:lineRule="auto"/>
              <w:ind w:leftChars="0"/>
              <w:jc w:val="center"/>
              <w:textAlignment w:val="auto"/>
              <w:rPr>
                <w:rFonts w:hint="default"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2</w:t>
            </w:r>
          </w:p>
        </w:tc>
        <w:tc>
          <w:tcPr>
            <w:tcW w:w="396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宋体" w:hAnsi="宋体"/>
                <w:color w:val="000000"/>
                <w:sz w:val="24"/>
                <w:szCs w:val="24"/>
                <w:lang w:val="en-US" w:eastAsia="zh-CN"/>
              </w:rPr>
            </w:pPr>
            <w:r>
              <w:rPr>
                <w:rFonts w:hint="eastAsia" w:ascii="宋体" w:hAnsi="宋体"/>
                <w:color w:val="000000"/>
                <w:sz w:val="24"/>
                <w:szCs w:val="24"/>
                <w:lang w:val="en-US" w:eastAsia="zh-CN"/>
              </w:rPr>
              <w:t>软件资源管理平台及服务</w:t>
            </w:r>
          </w:p>
        </w:tc>
        <w:tc>
          <w:tcPr>
            <w:tcW w:w="147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color w:val="000000"/>
                <w:sz w:val="24"/>
                <w:szCs w:val="24"/>
                <w:lang w:val="en-US" w:eastAsia="zh-CN"/>
              </w:rPr>
            </w:pPr>
            <w:r>
              <w:rPr>
                <w:rFonts w:hint="eastAsia" w:ascii="宋体" w:hAnsi="宋体"/>
                <w:color w:val="000000"/>
                <w:sz w:val="24"/>
                <w:szCs w:val="24"/>
                <w:lang w:val="en-US" w:eastAsia="zh-CN"/>
              </w:rPr>
              <w:t>套</w:t>
            </w:r>
          </w:p>
        </w:tc>
        <w:tc>
          <w:tcPr>
            <w:tcW w:w="130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color w:val="000000"/>
                <w:sz w:val="24"/>
                <w:szCs w:val="24"/>
                <w:lang w:val="en-US" w:eastAsia="zh-CN"/>
              </w:rPr>
            </w:pPr>
            <w:r>
              <w:rPr>
                <w:rFonts w:hint="eastAsia" w:ascii="宋体" w:hAnsi="宋体"/>
                <w:color w:val="000000"/>
                <w:sz w:val="24"/>
                <w:szCs w:val="24"/>
                <w:lang w:val="en-US" w:eastAsia="zh-CN"/>
              </w:rPr>
              <w:t>1</w:t>
            </w:r>
          </w:p>
        </w:tc>
        <w:tc>
          <w:tcPr>
            <w:tcW w:w="17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color w:val="000000"/>
                <w:sz w:val="24"/>
                <w:szCs w:val="24"/>
                <w:lang w:val="en-US" w:eastAsia="zh-CN"/>
              </w:rPr>
            </w:pPr>
            <w:r>
              <w:rPr>
                <w:rFonts w:hint="eastAsia" w:ascii="宋体" w:hAnsi="宋体"/>
                <w:color w:val="000000"/>
                <w:sz w:val="24"/>
                <w:szCs w:val="24"/>
                <w:lang w:val="en-US" w:eastAsia="zh-CN"/>
              </w:rPr>
              <w:t>一年</w:t>
            </w:r>
          </w:p>
        </w:tc>
      </w:tr>
    </w:tbl>
    <w:p>
      <w:pPr>
        <w:rPr>
          <w:rFonts w:hint="eastAsia" w:ascii="宋体" w:hAnsi="宋体"/>
          <w:color w:val="000000"/>
          <w:sz w:val="24"/>
          <w:szCs w:val="24"/>
          <w:lang w:val="en-US" w:eastAsia="zh-CN"/>
        </w:rPr>
      </w:pPr>
    </w:p>
    <w:p>
      <w:pPr>
        <w:numPr>
          <w:ilvl w:val="0"/>
          <w:numId w:val="0"/>
        </w:numPr>
        <w:ind w:firstLine="240" w:firstLineChars="100"/>
        <w:rPr>
          <w:rFonts w:hint="eastAsia" w:ascii="宋体" w:hAnsi="宋体"/>
          <w:color w:val="000000"/>
          <w:sz w:val="24"/>
          <w:szCs w:val="24"/>
          <w:lang w:val="en-US" w:eastAsia="zh-CN"/>
        </w:rPr>
      </w:pPr>
      <w:r>
        <w:rPr>
          <w:rFonts w:hint="eastAsia" w:ascii="宋体" w:hAnsi="宋体"/>
          <w:color w:val="000000"/>
          <w:sz w:val="24"/>
          <w:szCs w:val="24"/>
          <w:lang w:val="en-US" w:eastAsia="zh-CN"/>
        </w:rPr>
        <w:t>（二）具体技术参数要求</w:t>
      </w:r>
    </w:p>
    <w:p>
      <w:pPr>
        <w:pStyle w:val="17"/>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Theme="minorEastAsia" w:cstheme="minorBidi"/>
          <w:color w:val="000000"/>
          <w:kern w:val="2"/>
          <w:sz w:val="24"/>
          <w:szCs w:val="24"/>
          <w:lang w:val="en-US" w:eastAsia="zh-CN" w:bidi="ar-SA"/>
        </w:rPr>
      </w:pPr>
      <w:r>
        <w:rPr>
          <w:rFonts w:hint="eastAsia" w:ascii="宋体" w:hAnsi="宋体" w:eastAsiaTheme="minorEastAsia" w:cstheme="minorBidi"/>
          <w:color w:val="000000"/>
          <w:kern w:val="2"/>
          <w:sz w:val="24"/>
          <w:szCs w:val="24"/>
          <w:lang w:val="en-US" w:eastAsia="zh-CN" w:bidi="ar-SA"/>
        </w:rPr>
        <w:t>正版化服务包含两部分，一是为学校提供国产主流办公软件套件的正版授权。二是提供正版化服务，方便学校下载和激活软件。</w:t>
      </w:r>
    </w:p>
    <w:p>
      <w:pPr>
        <w:rPr>
          <w:rFonts w:hint="eastAsia"/>
          <w:lang w:val="en-US" w:eastAsia="zh-CN"/>
        </w:rPr>
      </w:pPr>
    </w:p>
    <w:tbl>
      <w:tblPr>
        <w:tblStyle w:val="18"/>
        <w:tblW w:w="96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5"/>
        <w:gridCol w:w="1754"/>
        <w:gridCol w:w="64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1455" w:type="dxa"/>
            <w:shd w:val="clear" w:color="auto" w:fill="auto"/>
            <w:vAlign w:val="center"/>
          </w:tcPr>
          <w:p>
            <w:pPr>
              <w:pageBreakBefore w:val="0"/>
              <w:widowControl/>
              <w:kinsoku/>
              <w:wordWrap/>
              <w:overflowPunct/>
              <w:topLinePunct w:val="0"/>
              <w:bidi w:val="0"/>
              <w:spacing w:line="276" w:lineRule="auto"/>
              <w:jc w:val="center"/>
              <w:textAlignment w:val="auto"/>
              <w:rPr>
                <w:rFonts w:hint="eastAsia" w:ascii="宋体" w:hAnsi="宋体" w:eastAsia="宋体" w:cs="宋体"/>
                <w:sz w:val="28"/>
                <w:szCs w:val="28"/>
                <w:lang w:eastAsia="zh-CN"/>
              </w:rPr>
            </w:pPr>
            <w:r>
              <w:rPr>
                <w:rFonts w:hint="eastAsia" w:ascii="宋体" w:hAnsi="宋体" w:eastAsia="宋体" w:cs="宋体"/>
                <w:sz w:val="28"/>
                <w:szCs w:val="28"/>
                <w:lang w:val="en-US" w:eastAsia="zh-CN"/>
              </w:rPr>
              <w:t>产品名称</w:t>
            </w:r>
          </w:p>
        </w:tc>
        <w:tc>
          <w:tcPr>
            <w:tcW w:w="1754" w:type="dxa"/>
            <w:shd w:val="clear" w:color="auto" w:fill="auto"/>
            <w:vAlign w:val="center"/>
          </w:tcPr>
          <w:p>
            <w:pPr>
              <w:pageBreakBefore w:val="0"/>
              <w:widowControl/>
              <w:kinsoku/>
              <w:wordWrap/>
              <w:overflowPunct/>
              <w:topLinePunct w:val="0"/>
              <w:bidi w:val="0"/>
              <w:spacing w:line="276" w:lineRule="auto"/>
              <w:jc w:val="center"/>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指标项</w:t>
            </w:r>
          </w:p>
        </w:tc>
        <w:tc>
          <w:tcPr>
            <w:tcW w:w="6481" w:type="dxa"/>
            <w:shd w:val="clear" w:color="auto" w:fill="auto"/>
            <w:noWrap/>
            <w:vAlign w:val="center"/>
          </w:tcPr>
          <w:p>
            <w:pPr>
              <w:pageBreakBefore w:val="0"/>
              <w:widowControl/>
              <w:kinsoku/>
              <w:wordWrap/>
              <w:overflowPunct/>
              <w:topLinePunct w:val="0"/>
              <w:bidi w:val="0"/>
              <w:spacing w:line="276" w:lineRule="auto"/>
              <w:jc w:val="center"/>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参数描述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55" w:type="dxa"/>
            <w:vMerge w:val="restart"/>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办公软件</w:t>
            </w:r>
          </w:p>
        </w:tc>
        <w:tc>
          <w:tcPr>
            <w:tcW w:w="1754" w:type="dxa"/>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办公软件总体要求</w:t>
            </w:r>
          </w:p>
        </w:tc>
        <w:tc>
          <w:tcPr>
            <w:tcW w:w="6481" w:type="dxa"/>
            <w:shd w:val="clear" w:color="auto" w:fill="auto"/>
            <w:noWrap/>
            <w:vAlign w:val="center"/>
          </w:tcPr>
          <w:p>
            <w:pPr>
              <w:keepNext w:val="0"/>
              <w:keepLines w:val="0"/>
              <w:pageBreakBefore w:val="0"/>
              <w:widowControl w:val="0"/>
              <w:numPr>
                <w:ilvl w:val="0"/>
                <w:numId w:val="2"/>
              </w:numPr>
              <w:kinsoku/>
              <w:wordWrap/>
              <w:overflowPunct/>
              <w:topLinePunct w:val="0"/>
              <w:autoSpaceDE/>
              <w:autoSpaceDN/>
              <w:bidi w:val="0"/>
              <w:adjustRightInd/>
              <w:snapToGrid/>
              <w:spacing w:line="440" w:lineRule="exact"/>
              <w:ind w:left="425" w:leftChars="0" w:hanging="425" w:firstLineChars="0"/>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rPr>
              <w:t>国产主流办公软件</w:t>
            </w:r>
            <w:r>
              <w:rPr>
                <w:rFonts w:hint="eastAsia" w:ascii="宋体" w:hAnsi="宋体" w:eastAsia="宋体" w:cs="宋体"/>
                <w:kern w:val="2"/>
                <w:sz w:val="24"/>
                <w:szCs w:val="24"/>
                <w:lang w:val="en-US" w:eastAsia="zh-CN" w:bidi="ar-SA"/>
              </w:rPr>
              <w:t>WPS+云服务，包含1000账号</w:t>
            </w:r>
          </w:p>
          <w:p>
            <w:pPr>
              <w:keepNext w:val="0"/>
              <w:keepLines w:val="0"/>
              <w:pageBreakBefore w:val="0"/>
              <w:widowControl w:val="0"/>
              <w:numPr>
                <w:ilvl w:val="0"/>
                <w:numId w:val="2"/>
              </w:numPr>
              <w:kinsoku/>
              <w:wordWrap/>
              <w:overflowPunct/>
              <w:topLinePunct w:val="0"/>
              <w:autoSpaceDE/>
              <w:autoSpaceDN/>
              <w:bidi w:val="0"/>
              <w:adjustRightInd/>
              <w:snapToGrid/>
              <w:spacing w:line="440" w:lineRule="exact"/>
              <w:ind w:left="425" w:leftChars="0" w:hanging="425" w:firstLineChars="0"/>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投标产品提供运行在Windows操作系统、安卓和IOS移动端上运行的office办公软件产品，包含文字处理、表格计算、幻灯片演示三个组件。</w:t>
            </w:r>
          </w:p>
          <w:p>
            <w:pPr>
              <w:keepNext w:val="0"/>
              <w:keepLines w:val="0"/>
              <w:pageBreakBefore w:val="0"/>
              <w:widowControl w:val="0"/>
              <w:numPr>
                <w:ilvl w:val="0"/>
                <w:numId w:val="2"/>
              </w:numPr>
              <w:kinsoku/>
              <w:wordWrap/>
              <w:overflowPunct/>
              <w:topLinePunct w:val="0"/>
              <w:autoSpaceDE/>
              <w:autoSpaceDN/>
              <w:bidi w:val="0"/>
              <w:adjustRightInd/>
              <w:snapToGrid/>
              <w:spacing w:line="440" w:lineRule="exact"/>
              <w:ind w:left="425" w:leftChars="0" w:hanging="425" w:firstLineChars="0"/>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投标产品支持窗口多组件/整合模式，支持进行单窗口多标签的拆分与组合，在多窗口模式下支持在系统任务栏显示多主窗口，可以通过ALT+TAB快捷键来回切换查看多个文档。</w:t>
            </w:r>
          </w:p>
          <w:p>
            <w:pPr>
              <w:keepNext w:val="0"/>
              <w:keepLines w:val="0"/>
              <w:pageBreakBefore w:val="0"/>
              <w:widowControl w:val="0"/>
              <w:numPr>
                <w:ilvl w:val="0"/>
                <w:numId w:val="2"/>
              </w:numPr>
              <w:kinsoku/>
              <w:wordWrap/>
              <w:overflowPunct/>
              <w:topLinePunct w:val="0"/>
              <w:autoSpaceDE/>
              <w:autoSpaceDN/>
              <w:bidi w:val="0"/>
              <w:adjustRightInd/>
              <w:snapToGrid/>
              <w:spacing w:line="440" w:lineRule="exact"/>
              <w:ind w:left="425" w:leftChars="0" w:hanging="425" w:firstLineChars="0"/>
              <w:jc w:val="left"/>
              <w:textAlignment w:val="auto"/>
              <w:rPr>
                <w:rFonts w:hint="eastAsia" w:ascii="宋体" w:hAnsi="宋体" w:eastAsia="宋体" w:cs="宋体"/>
                <w:sz w:val="24"/>
                <w:szCs w:val="24"/>
              </w:rPr>
            </w:pPr>
            <w:r>
              <w:rPr>
                <w:rFonts w:hint="eastAsia" w:ascii="宋体" w:hAnsi="宋体" w:eastAsia="宋体" w:cs="宋体"/>
                <w:sz w:val="24"/>
                <w:szCs w:val="24"/>
              </w:rPr>
              <w:t>文字处理、电子表格、文档演示三大应用均支持输出OFD</w:t>
            </w:r>
            <w:r>
              <w:rPr>
                <w:rFonts w:hint="eastAsia" w:ascii="宋体" w:hAnsi="宋体" w:eastAsia="宋体" w:cs="宋体"/>
                <w:sz w:val="24"/>
                <w:szCs w:val="24"/>
                <w:lang w:val="en-US" w:eastAsia="zh-CN"/>
              </w:rPr>
              <w:t>格式。</w:t>
            </w:r>
          </w:p>
          <w:p>
            <w:pPr>
              <w:keepNext w:val="0"/>
              <w:keepLines w:val="0"/>
              <w:pageBreakBefore w:val="0"/>
              <w:widowControl w:val="0"/>
              <w:numPr>
                <w:ilvl w:val="0"/>
                <w:numId w:val="2"/>
              </w:numPr>
              <w:kinsoku/>
              <w:wordWrap/>
              <w:overflowPunct/>
              <w:topLinePunct w:val="0"/>
              <w:autoSpaceDE/>
              <w:autoSpaceDN/>
              <w:bidi w:val="0"/>
              <w:adjustRightInd/>
              <w:snapToGrid/>
              <w:spacing w:line="440" w:lineRule="exact"/>
              <w:ind w:left="425" w:leftChars="0" w:hanging="425" w:firstLineChars="0"/>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投标产品支持内置浏览器，可通过办公软件浏览器访问网页</w:t>
            </w:r>
          </w:p>
          <w:p>
            <w:pPr>
              <w:keepNext w:val="0"/>
              <w:keepLines w:val="0"/>
              <w:pageBreakBefore w:val="0"/>
              <w:widowControl w:val="0"/>
              <w:numPr>
                <w:ilvl w:val="0"/>
                <w:numId w:val="2"/>
              </w:numPr>
              <w:kinsoku/>
              <w:wordWrap/>
              <w:overflowPunct/>
              <w:topLinePunct w:val="0"/>
              <w:autoSpaceDE/>
              <w:autoSpaceDN/>
              <w:bidi w:val="0"/>
              <w:adjustRightInd/>
              <w:snapToGrid/>
              <w:spacing w:line="440" w:lineRule="exact"/>
              <w:ind w:left="425" w:leftChars="0" w:hanging="425" w:firstLineChars="0"/>
              <w:jc w:val="left"/>
              <w:textAlignment w:val="auto"/>
              <w:rPr>
                <w:rFonts w:hint="eastAsia" w:ascii="宋体" w:hAnsi="宋体" w:eastAsia="宋体" w:cs="宋体"/>
                <w:sz w:val="24"/>
                <w:szCs w:val="24"/>
              </w:rPr>
            </w:pPr>
            <w:r>
              <w:rPr>
                <w:rFonts w:hint="eastAsia" w:ascii="宋体" w:hAnsi="宋体" w:eastAsia="宋体" w:cs="宋体"/>
                <w:sz w:val="24"/>
                <w:szCs w:val="24"/>
              </w:rPr>
              <w:t>软件产品内置主题功能，能够快速高效格式化文档，可以对文档的样式、颜色、字体进行统一的设置。</w:t>
            </w:r>
          </w:p>
          <w:p>
            <w:pPr>
              <w:keepNext w:val="0"/>
              <w:keepLines w:val="0"/>
              <w:pageBreakBefore w:val="0"/>
              <w:widowControl w:val="0"/>
              <w:numPr>
                <w:ilvl w:val="0"/>
                <w:numId w:val="2"/>
              </w:numPr>
              <w:kinsoku/>
              <w:wordWrap/>
              <w:overflowPunct/>
              <w:topLinePunct w:val="0"/>
              <w:autoSpaceDE/>
              <w:autoSpaceDN/>
              <w:bidi w:val="0"/>
              <w:adjustRightInd/>
              <w:snapToGrid/>
              <w:spacing w:line="440" w:lineRule="exact"/>
              <w:ind w:left="425" w:leftChars="0" w:hanging="425" w:firstLineChars="0"/>
              <w:jc w:val="left"/>
              <w:textAlignment w:val="auto"/>
              <w:rPr>
                <w:rFonts w:hint="eastAsia" w:ascii="宋体" w:hAnsi="宋体" w:eastAsia="宋体" w:cs="宋体"/>
                <w:sz w:val="24"/>
                <w:szCs w:val="24"/>
              </w:rPr>
            </w:pPr>
            <w:r>
              <w:rPr>
                <w:rFonts w:hint="eastAsia" w:ascii="宋体" w:hAnsi="宋体" w:eastAsia="宋体" w:cs="宋体"/>
                <w:sz w:val="24"/>
                <w:szCs w:val="24"/>
              </w:rPr>
              <w:t>软件品支持OLE对象插入，支持doc、docx、xls、xlsx、ppt、pptx格式对象插入式，支持对象插入后打开。</w:t>
            </w:r>
          </w:p>
          <w:p>
            <w:pPr>
              <w:keepNext w:val="0"/>
              <w:keepLines w:val="0"/>
              <w:pageBreakBefore w:val="0"/>
              <w:widowControl w:val="0"/>
              <w:numPr>
                <w:ilvl w:val="0"/>
                <w:numId w:val="2"/>
              </w:numPr>
              <w:kinsoku/>
              <w:wordWrap/>
              <w:overflowPunct/>
              <w:topLinePunct w:val="0"/>
              <w:autoSpaceDE/>
              <w:autoSpaceDN/>
              <w:bidi w:val="0"/>
              <w:adjustRightInd/>
              <w:snapToGrid/>
              <w:spacing w:line="440" w:lineRule="exact"/>
              <w:ind w:left="425" w:leftChars="0" w:hanging="425" w:firstLineChars="0"/>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需提供安卓和IOS移动端Office产品。两个系统的移动端产品都能够正常打开PC端的Office格式的文件，包括兼容DOC、XLS、PPT、PDF等文件格式；两个移动端产品支持PPT文件的同屏播放，以及和PC端办公软件进行文件移动快传的功能；支持向第三方App提供整合调用的API接口，并且API支持的功能要能满足文档打开、关闭、保存、修订、用户名修改、书签调用、手写批注、插入图片、字体调整、表格操作、文档加解密保护接口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2" w:hRule="atLeast"/>
          <w:jc w:val="center"/>
        </w:trPr>
        <w:tc>
          <w:tcPr>
            <w:tcW w:w="1455" w:type="dxa"/>
            <w:vMerge w:val="continue"/>
            <w:shd w:val="clear" w:color="auto" w:fill="auto"/>
            <w:noWrap/>
            <w:vAlign w:val="center"/>
          </w:tcPr>
          <w:p>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eastAsia="宋体" w:cs="宋体"/>
                <w:sz w:val="24"/>
                <w:szCs w:val="24"/>
              </w:rPr>
            </w:pPr>
          </w:p>
        </w:tc>
        <w:tc>
          <w:tcPr>
            <w:tcW w:w="1754" w:type="dxa"/>
            <w:shd w:val="clear" w:color="auto" w:fill="auto"/>
            <w:noWrap/>
            <w:vAlign w:val="center"/>
          </w:tcPr>
          <w:p>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办公软件兼容性</w:t>
            </w:r>
          </w:p>
        </w:tc>
        <w:tc>
          <w:tcPr>
            <w:tcW w:w="6481" w:type="dxa"/>
            <w:shd w:val="clear" w:color="auto" w:fill="auto"/>
            <w:noWrap/>
            <w:vAlign w:val="center"/>
          </w:tcPr>
          <w:p>
            <w:pPr>
              <w:keepNext w:val="0"/>
              <w:keepLines w:val="0"/>
              <w:pageBreakBefore w:val="0"/>
              <w:numPr>
                <w:ilvl w:val="0"/>
                <w:numId w:val="3"/>
              </w:numPr>
              <w:kinsoku/>
              <w:wordWrap/>
              <w:overflowPunct/>
              <w:topLinePunct w:val="0"/>
              <w:autoSpaceDE/>
              <w:autoSpaceDN/>
              <w:bidi w:val="0"/>
              <w:adjustRightInd/>
              <w:snapToGrid/>
              <w:spacing w:line="440" w:lineRule="exact"/>
              <w:ind w:left="425" w:leftChars="0" w:hanging="425" w:firstLineChars="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能够兼容OA办公自动化系统（兼容Microsoft Office2003、2007、2010等版本）。包含文字处理、电子表格和演示文稿；</w:t>
            </w:r>
          </w:p>
          <w:p>
            <w:pPr>
              <w:keepNext w:val="0"/>
              <w:keepLines w:val="0"/>
              <w:pageBreakBefore w:val="0"/>
              <w:numPr>
                <w:ilvl w:val="0"/>
                <w:numId w:val="3"/>
              </w:numPr>
              <w:kinsoku/>
              <w:wordWrap/>
              <w:overflowPunct/>
              <w:topLinePunct w:val="0"/>
              <w:autoSpaceDE/>
              <w:autoSpaceDN/>
              <w:bidi w:val="0"/>
              <w:adjustRightInd/>
              <w:snapToGrid/>
              <w:spacing w:line="440" w:lineRule="exact"/>
              <w:ind w:left="425" w:leftChars="0" w:hanging="425" w:firstLineChars="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宏代码兼容，能直接打开微软创建的宏文档，并运行宏代码。</w:t>
            </w:r>
          </w:p>
          <w:p>
            <w:pPr>
              <w:keepNext w:val="0"/>
              <w:keepLines w:val="0"/>
              <w:pageBreakBefore w:val="0"/>
              <w:numPr>
                <w:ilvl w:val="0"/>
                <w:numId w:val="3"/>
              </w:numPr>
              <w:kinsoku/>
              <w:wordWrap/>
              <w:overflowPunct/>
              <w:topLinePunct w:val="0"/>
              <w:autoSpaceDE/>
              <w:autoSpaceDN/>
              <w:bidi w:val="0"/>
              <w:adjustRightInd/>
              <w:snapToGrid/>
              <w:spacing w:line="440" w:lineRule="exact"/>
              <w:ind w:left="425" w:leftChars="0" w:hanging="425" w:firstLineChars="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兼容微软2007以上版本采用的CNG加密算法，能够打开CNG加密的文件。</w:t>
            </w:r>
          </w:p>
          <w:p>
            <w:pPr>
              <w:keepNext w:val="0"/>
              <w:keepLines w:val="0"/>
              <w:pageBreakBefore w:val="0"/>
              <w:numPr>
                <w:ilvl w:val="0"/>
                <w:numId w:val="3"/>
              </w:numPr>
              <w:kinsoku/>
              <w:wordWrap/>
              <w:overflowPunct/>
              <w:topLinePunct w:val="0"/>
              <w:autoSpaceDE/>
              <w:autoSpaceDN/>
              <w:bidi w:val="0"/>
              <w:adjustRightInd/>
              <w:snapToGrid/>
              <w:spacing w:line="440" w:lineRule="exact"/>
              <w:ind w:left="425" w:leftChars="0" w:hanging="425" w:firstLineChars="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历史文件格式兼容：办公软件文字、表格、演示、移动端产品各功能模块与微软 Office的Word、Excel、Powerpoint 三个功能模块文件相互兼容。软件可另存为和实现打开格式包括且不限于doc、docx、xls、xlsx、ppt、et、ett、dps、dpt、wps、wpt等。同时办公软件产品对应文件格式也能被微软Office等各对应模块打开。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jc w:val="center"/>
        </w:trPr>
        <w:tc>
          <w:tcPr>
            <w:tcW w:w="1455" w:type="dxa"/>
            <w:vMerge w:val="continue"/>
            <w:shd w:val="clear" w:color="auto" w:fill="auto"/>
            <w:noWrap/>
            <w:vAlign w:val="center"/>
          </w:tcPr>
          <w:p>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eastAsia="宋体" w:cs="宋体"/>
                <w:sz w:val="24"/>
                <w:szCs w:val="24"/>
              </w:rPr>
            </w:pPr>
          </w:p>
        </w:tc>
        <w:tc>
          <w:tcPr>
            <w:tcW w:w="1754" w:type="dxa"/>
            <w:shd w:val="clear" w:color="auto" w:fill="auto"/>
            <w:noWrap/>
            <w:vAlign w:val="center"/>
          </w:tcPr>
          <w:p>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云服务</w:t>
            </w:r>
          </w:p>
        </w:tc>
        <w:tc>
          <w:tcPr>
            <w:tcW w:w="6481" w:type="dxa"/>
            <w:shd w:val="clear" w:color="auto" w:fill="auto"/>
            <w:noWrap/>
            <w:vAlign w:val="center"/>
          </w:tcPr>
          <w:p>
            <w:pPr>
              <w:keepNext w:val="0"/>
              <w:keepLines w:val="0"/>
              <w:pageBreakBefore w:val="0"/>
              <w:numPr>
                <w:ilvl w:val="0"/>
                <w:numId w:val="4"/>
              </w:numPr>
              <w:kinsoku/>
              <w:wordWrap/>
              <w:overflowPunct/>
              <w:topLinePunct w:val="0"/>
              <w:autoSpaceDE/>
              <w:autoSpaceDN/>
              <w:bidi w:val="0"/>
              <w:adjustRightInd/>
              <w:snapToGrid/>
              <w:spacing w:line="440" w:lineRule="exact"/>
              <w:ind w:left="425" w:leftChars="0" w:hanging="425" w:firstLineChars="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要求可以通过客户端、APP、小程序、主流的浏览器(IE，Safari，Firefox，Chrome)访问云文档(文字、表格、演示)、实现在线编辑文档。形成协作记录和历史版本，并支持对历史版本的预览、下载和恢复；</w:t>
            </w:r>
          </w:p>
          <w:p>
            <w:pPr>
              <w:keepNext w:val="0"/>
              <w:keepLines w:val="0"/>
              <w:pageBreakBefore w:val="0"/>
              <w:numPr>
                <w:ilvl w:val="0"/>
                <w:numId w:val="4"/>
              </w:numPr>
              <w:kinsoku/>
              <w:wordWrap/>
              <w:overflowPunct/>
              <w:topLinePunct w:val="0"/>
              <w:autoSpaceDE/>
              <w:autoSpaceDN/>
              <w:bidi w:val="0"/>
              <w:adjustRightInd/>
              <w:snapToGrid/>
              <w:spacing w:line="440" w:lineRule="exact"/>
              <w:ind w:left="425" w:leftChars="0" w:hanging="425" w:firstLineChars="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支持用户企业通讯录，通过搭建单位、工作组网站进行协作沟通。支持同一企业内，存在成员不同权限、会员权益的分配。</w:t>
            </w:r>
          </w:p>
          <w:p>
            <w:pPr>
              <w:keepNext w:val="0"/>
              <w:keepLines w:val="0"/>
              <w:pageBreakBefore w:val="0"/>
              <w:widowControl w:val="0"/>
              <w:numPr>
                <w:ilvl w:val="0"/>
                <w:numId w:val="4"/>
              </w:numPr>
              <w:kinsoku/>
              <w:wordWrap/>
              <w:overflowPunct/>
              <w:topLinePunct w:val="0"/>
              <w:autoSpaceDE/>
              <w:autoSpaceDN/>
              <w:bidi w:val="0"/>
              <w:adjustRightInd/>
              <w:snapToGrid/>
              <w:spacing w:line="440" w:lineRule="exact"/>
              <w:ind w:left="425" w:leftChars="0" w:hanging="425" w:firstLineChars="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产品支持安全团队和安全文档功能。能够对Office文档进行加密保护，形成安全文档。支持根据组织机构对安全文档进行访问授权，包括阅读、编辑、复制、打印、另存、离线和再授权等权限，并支持制作外发文档，便于公出使用，支持无保护、水印保护和密码保护模式。</w:t>
            </w:r>
          </w:p>
          <w:p>
            <w:pPr>
              <w:keepNext w:val="0"/>
              <w:keepLines w:val="0"/>
              <w:pageBreakBefore w:val="0"/>
              <w:widowControl w:val="0"/>
              <w:numPr>
                <w:ilvl w:val="0"/>
                <w:numId w:val="4"/>
              </w:numPr>
              <w:kinsoku/>
              <w:wordWrap/>
              <w:overflowPunct/>
              <w:topLinePunct w:val="0"/>
              <w:autoSpaceDE/>
              <w:autoSpaceDN/>
              <w:bidi w:val="0"/>
              <w:adjustRightInd/>
              <w:snapToGrid/>
              <w:spacing w:line="440" w:lineRule="exact"/>
              <w:ind w:left="425" w:leftChars="0" w:hanging="425" w:firstLineChars="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产品支持提供公网云存储，容量不小于购买人数*50G/人。可通过WPS软件界面，账号登录，对文档统一存储管理；支持整理归档非结构化数据；支持外链分享、支持文档漫游，支持历史版本、全文检索等功能；支持文档实时跟踪与备份恢复；支持提供后台管理功能，文档统一把控。</w:t>
            </w:r>
          </w:p>
          <w:p>
            <w:pPr>
              <w:keepNext w:val="0"/>
              <w:keepLines w:val="0"/>
              <w:pageBreakBefore w:val="0"/>
              <w:numPr>
                <w:ilvl w:val="0"/>
                <w:numId w:val="4"/>
              </w:numPr>
              <w:kinsoku/>
              <w:wordWrap/>
              <w:overflowPunct/>
              <w:topLinePunct w:val="0"/>
              <w:autoSpaceDE/>
              <w:autoSpaceDN/>
              <w:bidi w:val="0"/>
              <w:adjustRightInd/>
              <w:snapToGrid/>
              <w:spacing w:line="440" w:lineRule="exact"/>
              <w:ind w:left="425" w:leftChars="0" w:hanging="425" w:firstLineChars="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#支持远程会议，可以在客户端、手机端、Web端轻松发起语音和视频会议，多人同步针对文档随时进行讨论。主持人可以控制与会者的音频和视频;在会议中共享桌面、文档。</w:t>
            </w:r>
          </w:p>
          <w:p>
            <w:pPr>
              <w:keepNext w:val="0"/>
              <w:keepLines w:val="0"/>
              <w:pageBreakBefore w:val="0"/>
              <w:numPr>
                <w:ilvl w:val="0"/>
                <w:numId w:val="4"/>
              </w:numPr>
              <w:kinsoku/>
              <w:wordWrap/>
              <w:overflowPunct/>
              <w:topLinePunct w:val="0"/>
              <w:autoSpaceDE/>
              <w:autoSpaceDN/>
              <w:bidi w:val="0"/>
              <w:adjustRightInd/>
              <w:snapToGrid/>
              <w:spacing w:line="440" w:lineRule="exact"/>
              <w:ind w:left="425" w:leftChars="0" w:hanging="425" w:firstLineChars="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产品需支持团队管理，可进行创建团队、修改团队名称、添加团队成员、移除团队成员、删除团队等。</w:t>
            </w:r>
          </w:p>
          <w:p>
            <w:pPr>
              <w:keepNext w:val="0"/>
              <w:keepLines w:val="0"/>
              <w:pageBreakBefore w:val="0"/>
              <w:numPr>
                <w:ilvl w:val="0"/>
                <w:numId w:val="4"/>
              </w:numPr>
              <w:kinsoku/>
              <w:wordWrap/>
              <w:overflowPunct/>
              <w:topLinePunct w:val="0"/>
              <w:autoSpaceDE/>
              <w:autoSpaceDN/>
              <w:bidi w:val="0"/>
              <w:adjustRightInd/>
              <w:snapToGrid/>
              <w:spacing w:line="440" w:lineRule="exact"/>
              <w:ind w:left="425" w:leftChars="0" w:hanging="425" w:firstLineChars="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可将文档集中存储在云端，可实现多名教职工可同时在不同的电脑、手机、平板、智慧大屏访问同一个文档，并进行查看、编辑、协作操作，实现在线协同工作能力，减少反复的文件传输及信息汇总，缩短流程，提高效率。</w:t>
            </w:r>
          </w:p>
          <w:p>
            <w:pPr>
              <w:keepNext w:val="0"/>
              <w:keepLines w:val="0"/>
              <w:pageBreakBefore w:val="0"/>
              <w:numPr>
                <w:ilvl w:val="0"/>
                <w:numId w:val="4"/>
              </w:numPr>
              <w:kinsoku/>
              <w:wordWrap/>
              <w:overflowPunct/>
              <w:topLinePunct w:val="0"/>
              <w:autoSpaceDE/>
              <w:autoSpaceDN/>
              <w:bidi w:val="0"/>
              <w:adjustRightInd/>
              <w:snapToGrid/>
              <w:spacing w:line="440" w:lineRule="exact"/>
              <w:ind w:left="425" w:leftChars="0" w:hanging="425" w:firstLineChars="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产品需支持Office文档在全平台客户端应用支持可进行在线编辑功能，包括Windows、Android、IOS、Linux、Mac多终端上协同编辑办公。</w:t>
            </w:r>
          </w:p>
          <w:p>
            <w:pPr>
              <w:keepNext w:val="0"/>
              <w:keepLines w:val="0"/>
              <w:pageBreakBefore w:val="0"/>
              <w:numPr>
                <w:ilvl w:val="0"/>
                <w:numId w:val="4"/>
              </w:numPr>
              <w:kinsoku/>
              <w:wordWrap/>
              <w:overflowPunct/>
              <w:topLinePunct w:val="0"/>
              <w:autoSpaceDE/>
              <w:autoSpaceDN/>
              <w:bidi w:val="0"/>
              <w:adjustRightInd/>
              <w:snapToGrid/>
              <w:spacing w:line="440" w:lineRule="exact"/>
              <w:ind w:left="425" w:leftChars="0" w:hanging="425" w:firstLineChars="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云服务产品支持私秘文件夹，支持文件夹二次加密设置。与他人分享时还可设置文档权限，安全完成文档协作任务。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455" w:type="dxa"/>
            <w:vMerge w:val="restart"/>
            <w:shd w:val="clear" w:color="auto" w:fill="auto"/>
            <w:vAlign w:val="center"/>
          </w:tcPr>
          <w:p>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软件资源管理平台及服务</w:t>
            </w:r>
          </w:p>
        </w:tc>
        <w:tc>
          <w:tcPr>
            <w:tcW w:w="1754" w:type="dxa"/>
            <w:shd w:val="clear" w:color="auto" w:fill="auto"/>
            <w:vAlign w:val="center"/>
          </w:tcPr>
          <w:p>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软件资源管理平台技术要求</w:t>
            </w:r>
          </w:p>
        </w:tc>
        <w:tc>
          <w:tcPr>
            <w:tcW w:w="6481" w:type="dxa"/>
            <w:shd w:val="clear" w:color="auto" w:fill="auto"/>
            <w:vAlign w:val="center"/>
          </w:tcPr>
          <w:p>
            <w:pPr>
              <w:keepNext w:val="0"/>
              <w:keepLines w:val="0"/>
              <w:pageBreakBefore w:val="0"/>
              <w:numPr>
                <w:ilvl w:val="0"/>
                <w:numId w:val="5"/>
              </w:numPr>
              <w:kinsoku/>
              <w:wordWrap/>
              <w:overflowPunct/>
              <w:topLinePunct w:val="0"/>
              <w:autoSpaceDE/>
              <w:autoSpaceDN/>
              <w:bidi w:val="0"/>
              <w:adjustRightInd/>
              <w:snapToGrid/>
              <w:spacing w:line="440" w:lineRule="exact"/>
              <w:ind w:left="425" w:leftChars="0" w:hanging="425" w:firstLineChars="0"/>
              <w:textAlignment w:val="auto"/>
              <w:rPr>
                <w:rFonts w:hint="eastAsia" w:ascii="宋体" w:hAnsi="宋体" w:eastAsia="宋体" w:cs="宋体"/>
                <w:sz w:val="24"/>
                <w:szCs w:val="24"/>
              </w:rPr>
            </w:pPr>
            <w:r>
              <w:rPr>
                <w:rFonts w:hint="eastAsia" w:ascii="宋体" w:hAnsi="宋体" w:eastAsia="宋体" w:cs="宋体"/>
                <w:color w:val="000000" w:themeColor="text1"/>
                <w:sz w:val="24"/>
                <w:szCs w:val="24"/>
                <w14:textFill>
                  <w14:solidFill>
                    <w14:schemeClr w14:val="tx1"/>
                  </w14:solidFill>
                </w14:textFill>
              </w:rPr>
              <w:t>提供校园正版软件管理运营平台系统一套，可满足对本次采购软件和其它软件的统一管理。校园正版软件管理运营平台系统部署在学校指定服务器。校园正版软件管理运营平台系统必须同时支持IPV4和IPV6，支持HTTPS。校园正版软件管理运营平台系统基于B/S技术架构。</w:t>
            </w:r>
          </w:p>
          <w:p>
            <w:pPr>
              <w:keepNext w:val="0"/>
              <w:keepLines w:val="0"/>
              <w:pageBreakBefore w:val="0"/>
              <w:widowControl/>
              <w:numPr>
                <w:ilvl w:val="0"/>
                <w:numId w:val="5"/>
              </w:numPr>
              <w:kinsoku/>
              <w:wordWrap/>
              <w:overflowPunct/>
              <w:topLinePunct w:val="0"/>
              <w:autoSpaceDE/>
              <w:autoSpaceDN/>
              <w:bidi w:val="0"/>
              <w:adjustRightInd/>
              <w:snapToGrid/>
              <w:spacing w:line="440" w:lineRule="exact"/>
              <w:ind w:left="425" w:leftChars="0" w:hanging="425" w:firstLineChars="0"/>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实现国产办公软件与统一认证系统接口对接，用户可通过统一认证系统登录办公软件</w:t>
            </w:r>
            <w:r>
              <w:rPr>
                <w:rFonts w:hint="eastAsia" w:ascii="宋体" w:hAnsi="宋体" w:eastAsia="宋体" w:cs="宋体"/>
                <w:sz w:val="24"/>
                <w:szCs w:val="24"/>
                <w:lang w:val="en-US" w:eastAsia="zh-CN"/>
              </w:rPr>
              <w:t>,实现用户自助账号绑定功能。（要求提供案例证明材料,并现场演示）</w:t>
            </w:r>
          </w:p>
          <w:p>
            <w:pPr>
              <w:keepNext w:val="0"/>
              <w:keepLines w:val="0"/>
              <w:pageBreakBefore w:val="0"/>
              <w:widowControl/>
              <w:numPr>
                <w:ilvl w:val="0"/>
                <w:numId w:val="5"/>
              </w:numPr>
              <w:kinsoku/>
              <w:wordWrap/>
              <w:overflowPunct/>
              <w:topLinePunct w:val="0"/>
              <w:autoSpaceDE/>
              <w:autoSpaceDN/>
              <w:bidi w:val="0"/>
              <w:adjustRightInd/>
              <w:snapToGrid/>
              <w:spacing w:line="440" w:lineRule="exact"/>
              <w:ind w:left="425" w:leftChars="0" w:hanging="425" w:firstLineChars="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提供数据同步功能，自动将离职、毕业生授权进行回收，回收的授权资源可重新分配。（要求提供案例证明材料,并现场演示）</w:t>
            </w:r>
          </w:p>
          <w:p>
            <w:pPr>
              <w:keepNext w:val="0"/>
              <w:keepLines w:val="0"/>
              <w:pageBreakBefore w:val="0"/>
              <w:widowControl/>
              <w:numPr>
                <w:ilvl w:val="0"/>
                <w:numId w:val="5"/>
              </w:numPr>
              <w:kinsoku/>
              <w:wordWrap/>
              <w:overflowPunct/>
              <w:topLinePunct w:val="0"/>
              <w:autoSpaceDE/>
              <w:autoSpaceDN/>
              <w:bidi w:val="0"/>
              <w:adjustRightInd/>
              <w:snapToGrid/>
              <w:spacing w:line="440" w:lineRule="exact"/>
              <w:ind w:left="425" w:leftChars="0" w:hanging="425" w:firstLineChars="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多软件集成管理，对采购的所有软件进行统一管理，实现用户自助下载、数据统计功能。（要求提供案例证明材料,并现场演示）</w:t>
            </w:r>
          </w:p>
          <w:p>
            <w:pPr>
              <w:keepNext w:val="0"/>
              <w:keepLines w:val="0"/>
              <w:pageBreakBefore w:val="0"/>
              <w:widowControl/>
              <w:numPr>
                <w:ilvl w:val="0"/>
                <w:numId w:val="5"/>
              </w:numPr>
              <w:kinsoku/>
              <w:wordWrap/>
              <w:overflowPunct/>
              <w:topLinePunct w:val="0"/>
              <w:autoSpaceDE/>
              <w:autoSpaceDN/>
              <w:bidi w:val="0"/>
              <w:adjustRightInd/>
              <w:snapToGrid/>
              <w:spacing w:line="440" w:lineRule="exact"/>
              <w:ind w:left="425" w:leftChars="0" w:hanging="425" w:firstLineChars="0"/>
              <w:textAlignment w:val="auto"/>
              <w:rPr>
                <w:rFonts w:hint="eastAsia" w:ascii="宋体" w:hAnsi="宋体" w:eastAsia="宋体" w:cs="宋体"/>
                <w:sz w:val="24"/>
                <w:szCs w:val="24"/>
              </w:rPr>
            </w:pPr>
            <w:r>
              <w:rPr>
                <w:rFonts w:hint="eastAsia" w:ascii="宋体" w:hAnsi="宋体" w:eastAsia="宋体" w:cs="宋体"/>
                <w:sz w:val="24"/>
                <w:szCs w:val="24"/>
              </w:rPr>
              <w:t>提供智能云数据中心功能，分析项目运维数据，出具多维度得数据分析报表。提供系统监控功能，实时数据报警，可自定义报警规则，提供微信报警功能。（要求提供证明材料</w:t>
            </w:r>
            <w:r>
              <w:rPr>
                <w:rFonts w:hint="eastAsia" w:ascii="宋体" w:hAnsi="宋体" w:eastAsia="宋体" w:cs="宋体"/>
                <w:sz w:val="24"/>
                <w:szCs w:val="24"/>
                <w:lang w:val="en-US" w:eastAsia="zh-CN"/>
              </w:rPr>
              <w:t>,并现场演示</w:t>
            </w:r>
            <w:r>
              <w:rPr>
                <w:rFonts w:hint="eastAsia" w:ascii="宋体" w:hAnsi="宋体" w:eastAsia="宋体" w:cs="宋体"/>
                <w:sz w:val="24"/>
                <w:szCs w:val="24"/>
              </w:rPr>
              <w:t>）</w:t>
            </w:r>
          </w:p>
          <w:p>
            <w:pPr>
              <w:keepNext w:val="0"/>
              <w:keepLines w:val="0"/>
              <w:pageBreakBefore w:val="0"/>
              <w:widowControl/>
              <w:numPr>
                <w:ilvl w:val="0"/>
                <w:numId w:val="5"/>
              </w:numPr>
              <w:kinsoku/>
              <w:wordWrap/>
              <w:overflowPunct/>
              <w:topLinePunct w:val="0"/>
              <w:autoSpaceDE/>
              <w:autoSpaceDN/>
              <w:bidi w:val="0"/>
              <w:adjustRightInd/>
              <w:snapToGrid/>
              <w:spacing w:line="440" w:lineRule="exact"/>
              <w:ind w:left="425" w:leftChars="0" w:hanging="425" w:firstLineChars="0"/>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提供与本项目相关的数据可视化大屏页面。（要求提供证明材料</w:t>
            </w:r>
            <w:r>
              <w:rPr>
                <w:rFonts w:hint="eastAsia" w:ascii="宋体" w:hAnsi="宋体" w:eastAsia="宋体" w:cs="宋体"/>
                <w:sz w:val="24"/>
                <w:szCs w:val="24"/>
                <w:lang w:val="en-US" w:eastAsia="zh-CN"/>
              </w:rPr>
              <w:t>,并现场演示</w:t>
            </w:r>
            <w:r>
              <w:rPr>
                <w:rFonts w:hint="eastAsia" w:ascii="宋体" w:hAnsi="宋体" w:eastAsia="宋体" w:cs="宋体"/>
                <w:sz w:val="24"/>
                <w:szCs w:val="24"/>
              </w:rPr>
              <w:t>）</w:t>
            </w:r>
          </w:p>
          <w:p>
            <w:pPr>
              <w:keepNext w:val="0"/>
              <w:keepLines w:val="0"/>
              <w:pageBreakBefore w:val="0"/>
              <w:widowControl/>
              <w:numPr>
                <w:ilvl w:val="0"/>
                <w:numId w:val="5"/>
              </w:numPr>
              <w:kinsoku/>
              <w:wordWrap/>
              <w:overflowPunct/>
              <w:topLinePunct w:val="0"/>
              <w:autoSpaceDE/>
              <w:autoSpaceDN/>
              <w:bidi w:val="0"/>
              <w:adjustRightInd/>
              <w:snapToGrid/>
              <w:spacing w:line="440" w:lineRule="exact"/>
              <w:ind w:left="425" w:leftChars="0" w:hanging="425" w:firstLineChars="0"/>
              <w:textAlignment w:val="auto"/>
              <w:rPr>
                <w:rFonts w:hint="eastAsia" w:ascii="宋体" w:hAnsi="宋体" w:eastAsia="宋体" w:cs="宋体"/>
                <w:sz w:val="24"/>
                <w:szCs w:val="24"/>
              </w:rPr>
            </w:pPr>
            <w:r>
              <w:rPr>
                <w:rFonts w:hint="eastAsia" w:ascii="宋体" w:hAnsi="宋体" w:eastAsia="宋体" w:cs="宋体"/>
                <w:sz w:val="24"/>
                <w:szCs w:val="24"/>
              </w:rPr>
              <w:t>软件管理平台应当对用户的下载、激活、注册、激活次数分配等数据进行实时的记录，并且按照时间、软件及软件类型、用户身份类型等元素进行多维度的使用统计。（要求提供证明材料）</w:t>
            </w:r>
          </w:p>
          <w:p>
            <w:pPr>
              <w:keepNext w:val="0"/>
              <w:keepLines w:val="0"/>
              <w:pageBreakBefore w:val="0"/>
              <w:widowControl/>
              <w:numPr>
                <w:ilvl w:val="0"/>
                <w:numId w:val="5"/>
              </w:numPr>
              <w:kinsoku/>
              <w:wordWrap/>
              <w:overflowPunct/>
              <w:topLinePunct w:val="0"/>
              <w:autoSpaceDE/>
              <w:autoSpaceDN/>
              <w:bidi w:val="0"/>
              <w:adjustRightInd/>
              <w:snapToGrid/>
              <w:spacing w:line="440" w:lineRule="exact"/>
              <w:ind w:left="425" w:leftChars="0" w:hanging="425" w:firstLineChars="0"/>
              <w:textAlignment w:val="auto"/>
              <w:rPr>
                <w:rFonts w:hint="eastAsia" w:ascii="宋体" w:hAnsi="宋体" w:eastAsia="宋体" w:cs="宋体"/>
                <w:sz w:val="24"/>
                <w:szCs w:val="24"/>
              </w:rPr>
            </w:pPr>
            <w:r>
              <w:rPr>
                <w:rFonts w:hint="eastAsia" w:ascii="宋体" w:hAnsi="宋体" w:eastAsia="宋体" w:cs="宋体"/>
                <w:sz w:val="24"/>
                <w:szCs w:val="24"/>
              </w:rPr>
              <w:t>提供自定义配置首页功能，可通过后台管理功能实现对页面整体模块的添加和编辑，对首页上各个模块的软件进行显示和排序。（要求提供证明材料）</w:t>
            </w:r>
          </w:p>
          <w:p>
            <w:pPr>
              <w:keepNext w:val="0"/>
              <w:keepLines w:val="0"/>
              <w:pageBreakBefore w:val="0"/>
              <w:widowControl/>
              <w:numPr>
                <w:ilvl w:val="0"/>
                <w:numId w:val="5"/>
              </w:numPr>
              <w:kinsoku/>
              <w:wordWrap/>
              <w:overflowPunct/>
              <w:topLinePunct w:val="0"/>
              <w:autoSpaceDE/>
              <w:autoSpaceDN/>
              <w:bidi w:val="0"/>
              <w:adjustRightInd/>
              <w:snapToGrid/>
              <w:spacing w:line="440" w:lineRule="exact"/>
              <w:ind w:left="425" w:leftChars="0" w:hanging="425" w:firstLineChars="0"/>
              <w:textAlignment w:val="auto"/>
              <w:rPr>
                <w:rFonts w:hint="eastAsia" w:ascii="宋体" w:hAnsi="宋体" w:eastAsia="宋体" w:cs="宋体"/>
                <w:sz w:val="24"/>
                <w:szCs w:val="24"/>
              </w:rPr>
            </w:pPr>
            <w:r>
              <w:rPr>
                <w:rFonts w:hint="eastAsia" w:ascii="宋体" w:hAnsi="宋体" w:eastAsia="宋体" w:cs="宋体"/>
                <w:sz w:val="24"/>
                <w:szCs w:val="24"/>
              </w:rPr>
              <w:t>系统巡检服务，软件管理平台服务提供商提供对系统的定期巡检，巡检内容包括（但不限于）软件管理平台服务器运行情况监测、激活测试、下载测试、系统及应用服务系统的补丁更新、数据备份检查。（要求提供证明材料）</w:t>
            </w:r>
          </w:p>
          <w:p>
            <w:pPr>
              <w:keepNext w:val="0"/>
              <w:keepLines w:val="0"/>
              <w:pageBreakBefore w:val="0"/>
              <w:widowControl/>
              <w:numPr>
                <w:ilvl w:val="0"/>
                <w:numId w:val="5"/>
              </w:numPr>
              <w:kinsoku/>
              <w:wordWrap/>
              <w:overflowPunct/>
              <w:topLinePunct w:val="0"/>
              <w:autoSpaceDE/>
              <w:autoSpaceDN/>
              <w:bidi w:val="0"/>
              <w:adjustRightInd/>
              <w:snapToGrid/>
              <w:spacing w:line="440" w:lineRule="exact"/>
              <w:ind w:left="425" w:leftChars="0" w:hanging="425" w:firstLineChars="0"/>
              <w:textAlignment w:val="auto"/>
              <w:rPr>
                <w:rFonts w:hint="eastAsia" w:ascii="宋体" w:hAnsi="宋体" w:eastAsia="宋体" w:cs="宋体"/>
                <w:sz w:val="24"/>
                <w:szCs w:val="24"/>
              </w:rPr>
            </w:pPr>
            <w:r>
              <w:rPr>
                <w:rFonts w:hint="eastAsia" w:ascii="宋体" w:hAnsi="宋体" w:eastAsia="宋体" w:cs="宋体"/>
                <w:sz w:val="24"/>
                <w:szCs w:val="24"/>
              </w:rPr>
              <w:t>提供服务文档内容，根据学校实际情况提供一套包括软件激活流程说明、激活客户端使用说明、操作系统和办公软件在使用过程中的常见问题解决方案、激活常见问题处理方案等帮助文档，并且每年的更新次数不少于2次。</w:t>
            </w:r>
          </w:p>
          <w:p>
            <w:pPr>
              <w:keepNext w:val="0"/>
              <w:keepLines w:val="0"/>
              <w:pageBreakBefore w:val="0"/>
              <w:widowControl/>
              <w:numPr>
                <w:ilvl w:val="0"/>
                <w:numId w:val="5"/>
              </w:numPr>
              <w:kinsoku/>
              <w:wordWrap/>
              <w:overflowPunct/>
              <w:topLinePunct w:val="0"/>
              <w:autoSpaceDE/>
              <w:autoSpaceDN/>
              <w:bidi w:val="0"/>
              <w:adjustRightInd/>
              <w:snapToGrid/>
              <w:spacing w:line="440" w:lineRule="exact"/>
              <w:ind w:left="425" w:leftChars="0" w:hanging="425" w:firstLineChars="0"/>
              <w:textAlignment w:val="auto"/>
              <w:rPr>
                <w:rFonts w:hint="eastAsia" w:ascii="宋体" w:hAnsi="宋体" w:eastAsia="宋体" w:cs="宋体"/>
                <w:sz w:val="24"/>
                <w:szCs w:val="24"/>
              </w:rPr>
            </w:pPr>
            <w:r>
              <w:rPr>
                <w:rFonts w:hint="eastAsia" w:ascii="宋体" w:hAnsi="宋体" w:eastAsia="宋体" w:cs="宋体"/>
                <w:sz w:val="24"/>
                <w:szCs w:val="24"/>
              </w:rPr>
              <w:t>学习资料及安装教程，管理平台需提供平台操作系统和办公软件的使用技巧的文档和视频资料，并提供一套操作系统和办公软件的安装视频和文档的详细教程。</w:t>
            </w:r>
          </w:p>
          <w:p>
            <w:pPr>
              <w:keepNext w:val="0"/>
              <w:keepLines w:val="0"/>
              <w:pageBreakBefore w:val="0"/>
              <w:widowControl/>
              <w:numPr>
                <w:ilvl w:val="0"/>
                <w:numId w:val="5"/>
              </w:numPr>
              <w:kinsoku/>
              <w:wordWrap/>
              <w:overflowPunct/>
              <w:topLinePunct w:val="0"/>
              <w:autoSpaceDE/>
              <w:autoSpaceDN/>
              <w:bidi w:val="0"/>
              <w:adjustRightInd/>
              <w:snapToGrid/>
              <w:spacing w:line="440" w:lineRule="exact"/>
              <w:ind w:left="425" w:leftChars="0" w:hanging="425" w:firstLineChars="0"/>
              <w:textAlignment w:val="auto"/>
              <w:rPr>
                <w:rFonts w:hint="eastAsia" w:ascii="宋体" w:hAnsi="宋体" w:eastAsia="宋体" w:cs="宋体"/>
                <w:sz w:val="24"/>
                <w:szCs w:val="24"/>
              </w:rPr>
            </w:pPr>
            <w:r>
              <w:rPr>
                <w:rFonts w:hint="eastAsia" w:ascii="宋体" w:hAnsi="宋体" w:eastAsia="宋体" w:cs="宋体"/>
                <w:sz w:val="24"/>
                <w:szCs w:val="24"/>
              </w:rPr>
              <w:t>管理平台支持分布式部署，支持传输加密，具有代码风险扫描功能，保障信息安全。</w:t>
            </w:r>
          </w:p>
          <w:p>
            <w:pPr>
              <w:keepNext w:val="0"/>
              <w:keepLines w:val="0"/>
              <w:pageBreakBefore w:val="0"/>
              <w:widowControl/>
              <w:numPr>
                <w:ilvl w:val="0"/>
                <w:numId w:val="5"/>
              </w:numPr>
              <w:kinsoku/>
              <w:wordWrap/>
              <w:overflowPunct/>
              <w:topLinePunct w:val="0"/>
              <w:autoSpaceDE/>
              <w:autoSpaceDN/>
              <w:bidi w:val="0"/>
              <w:adjustRightInd/>
              <w:snapToGrid/>
              <w:spacing w:line="440" w:lineRule="exact"/>
              <w:ind w:left="425" w:leftChars="0" w:hanging="425" w:firstLineChars="0"/>
              <w:textAlignment w:val="auto"/>
              <w:rPr>
                <w:rFonts w:hint="eastAsia" w:ascii="宋体" w:hAnsi="宋体" w:eastAsia="宋体" w:cs="宋体"/>
                <w:sz w:val="24"/>
                <w:szCs w:val="24"/>
              </w:rPr>
            </w:pPr>
            <w:r>
              <w:rPr>
                <w:rFonts w:hint="eastAsia" w:ascii="宋体" w:hAnsi="宋体" w:eastAsia="宋体" w:cs="宋体"/>
                <w:sz w:val="24"/>
                <w:szCs w:val="24"/>
              </w:rPr>
              <w:t>管理平台至少每年提供1次版本升级，更新内容不限于，软件版本、知识库、代码优化、功能更新等。</w:t>
            </w:r>
          </w:p>
          <w:p>
            <w:pPr>
              <w:keepNext w:val="0"/>
              <w:keepLines w:val="0"/>
              <w:pageBreakBefore w:val="0"/>
              <w:widowControl/>
              <w:numPr>
                <w:ilvl w:val="0"/>
                <w:numId w:val="5"/>
              </w:numPr>
              <w:kinsoku/>
              <w:wordWrap/>
              <w:overflowPunct/>
              <w:topLinePunct w:val="0"/>
              <w:autoSpaceDE/>
              <w:autoSpaceDN/>
              <w:bidi w:val="0"/>
              <w:adjustRightInd/>
              <w:snapToGrid/>
              <w:spacing w:line="440" w:lineRule="exact"/>
              <w:ind w:left="425" w:leftChars="0" w:hanging="425" w:firstLineChars="0"/>
              <w:textAlignment w:val="auto"/>
              <w:rPr>
                <w:rFonts w:hint="eastAsia" w:ascii="宋体" w:hAnsi="宋体" w:eastAsia="宋体" w:cs="宋体"/>
                <w:sz w:val="24"/>
                <w:szCs w:val="24"/>
              </w:rPr>
            </w:pPr>
            <w:r>
              <w:rPr>
                <w:rFonts w:hint="eastAsia" w:ascii="宋体" w:hAnsi="宋体" w:eastAsia="宋体" w:cs="宋体"/>
                <w:sz w:val="24"/>
                <w:szCs w:val="24"/>
              </w:rPr>
              <w:t>具有自定义发布公告功能，管理员可根据需要自己添加公告内容，编辑公告不限于文字、图片等形式。</w:t>
            </w:r>
          </w:p>
          <w:p>
            <w:pPr>
              <w:keepNext w:val="0"/>
              <w:keepLines w:val="0"/>
              <w:pageBreakBefore w:val="0"/>
              <w:widowControl/>
              <w:numPr>
                <w:ilvl w:val="0"/>
                <w:numId w:val="5"/>
              </w:numPr>
              <w:kinsoku/>
              <w:wordWrap/>
              <w:overflowPunct/>
              <w:topLinePunct w:val="0"/>
              <w:autoSpaceDE/>
              <w:autoSpaceDN/>
              <w:bidi w:val="0"/>
              <w:adjustRightInd/>
              <w:snapToGrid/>
              <w:spacing w:line="440" w:lineRule="exact"/>
              <w:ind w:left="425" w:leftChars="0" w:hanging="425" w:firstLineChars="0"/>
              <w:textAlignment w:val="auto"/>
              <w:rPr>
                <w:rFonts w:hint="eastAsia" w:ascii="宋体" w:hAnsi="宋体" w:eastAsia="宋体" w:cs="宋体"/>
                <w:sz w:val="24"/>
                <w:szCs w:val="24"/>
              </w:rPr>
            </w:pPr>
            <w:r>
              <w:rPr>
                <w:rFonts w:hint="eastAsia" w:ascii="宋体" w:hAnsi="宋体" w:eastAsia="宋体" w:cs="宋体"/>
                <w:sz w:val="24"/>
                <w:szCs w:val="24"/>
              </w:rPr>
              <w:t>提供问卷功能模块，支持自定义添加问卷调查功能，可添加多选、单选等体型，用户提交后实现数据统计功能。</w:t>
            </w:r>
          </w:p>
          <w:p>
            <w:pPr>
              <w:keepNext w:val="0"/>
              <w:keepLines w:val="0"/>
              <w:pageBreakBefore w:val="0"/>
              <w:widowControl/>
              <w:numPr>
                <w:ilvl w:val="0"/>
                <w:numId w:val="5"/>
              </w:numPr>
              <w:kinsoku/>
              <w:wordWrap/>
              <w:overflowPunct/>
              <w:topLinePunct w:val="0"/>
              <w:autoSpaceDE/>
              <w:autoSpaceDN/>
              <w:bidi w:val="0"/>
              <w:adjustRightInd/>
              <w:snapToGrid/>
              <w:spacing w:line="440" w:lineRule="exact"/>
              <w:ind w:left="425" w:leftChars="0" w:hanging="425" w:firstLineChars="0"/>
              <w:textAlignment w:val="auto"/>
              <w:rPr>
                <w:rFonts w:hint="eastAsia" w:ascii="宋体" w:hAnsi="宋体" w:eastAsia="宋体" w:cs="宋体"/>
                <w:sz w:val="24"/>
                <w:szCs w:val="24"/>
              </w:rPr>
            </w:pPr>
            <w:r>
              <w:rPr>
                <w:rFonts w:hint="eastAsia" w:ascii="宋体" w:hAnsi="宋体" w:eastAsia="宋体" w:cs="宋体"/>
                <w:sz w:val="24"/>
                <w:szCs w:val="24"/>
              </w:rPr>
              <w:t>提供服务文档内容，根据学校实际情况提供一套包括软件激活流程说明、激活客户端使用说明、操作系统和办公软件在使用过程中的常见问题解决方案、激活常见问题处理方案等帮助文档，并且每年的更新次数不少于2次。</w:t>
            </w:r>
          </w:p>
          <w:p>
            <w:pPr>
              <w:keepNext w:val="0"/>
              <w:keepLines w:val="0"/>
              <w:pageBreakBefore w:val="0"/>
              <w:widowControl/>
              <w:numPr>
                <w:ilvl w:val="0"/>
                <w:numId w:val="5"/>
              </w:numPr>
              <w:kinsoku/>
              <w:wordWrap/>
              <w:overflowPunct/>
              <w:topLinePunct w:val="0"/>
              <w:autoSpaceDE/>
              <w:autoSpaceDN/>
              <w:bidi w:val="0"/>
              <w:adjustRightInd/>
              <w:snapToGrid/>
              <w:spacing w:line="440" w:lineRule="exact"/>
              <w:ind w:left="425" w:leftChars="0" w:hanging="425" w:firstLineChars="0"/>
              <w:textAlignment w:val="auto"/>
              <w:rPr>
                <w:rFonts w:hint="eastAsia" w:ascii="宋体" w:hAnsi="宋体" w:eastAsia="宋体" w:cs="宋体"/>
                <w:sz w:val="24"/>
                <w:szCs w:val="24"/>
              </w:rPr>
            </w:pPr>
            <w:r>
              <w:rPr>
                <w:rFonts w:hint="eastAsia" w:ascii="宋体" w:hAnsi="宋体" w:eastAsia="宋体" w:cs="宋体"/>
                <w:sz w:val="24"/>
                <w:szCs w:val="24"/>
              </w:rPr>
              <w:t>具有个人中心功能，通过该功能用户可详细的了解到用户的使用的软件情况，在本平台的使用日志。</w:t>
            </w:r>
          </w:p>
          <w:p>
            <w:pPr>
              <w:keepNext w:val="0"/>
              <w:keepLines w:val="0"/>
              <w:pageBreakBefore w:val="0"/>
              <w:widowControl/>
              <w:numPr>
                <w:ilvl w:val="0"/>
                <w:numId w:val="5"/>
              </w:numPr>
              <w:kinsoku/>
              <w:wordWrap/>
              <w:overflowPunct/>
              <w:topLinePunct w:val="0"/>
              <w:autoSpaceDE/>
              <w:autoSpaceDN/>
              <w:bidi w:val="0"/>
              <w:adjustRightInd/>
              <w:snapToGrid/>
              <w:spacing w:line="440" w:lineRule="exact"/>
              <w:ind w:left="425" w:leftChars="0" w:hanging="425" w:firstLineChars="0"/>
              <w:textAlignment w:val="auto"/>
              <w:rPr>
                <w:rFonts w:hint="eastAsia" w:ascii="宋体" w:hAnsi="宋体" w:eastAsia="宋体" w:cs="宋体"/>
                <w:sz w:val="24"/>
                <w:szCs w:val="24"/>
              </w:rPr>
            </w:pPr>
            <w:r>
              <w:rPr>
                <w:rFonts w:hint="eastAsia" w:ascii="宋体" w:hAnsi="宋体" w:eastAsia="宋体" w:cs="宋体"/>
                <w:sz w:val="24"/>
                <w:szCs w:val="24"/>
              </w:rPr>
              <w:t>提供知识库功能，集中展示软件产品的常见问题、使用帮助、技巧视频等内容，管理员可将自定义添加说明文档。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jc w:val="center"/>
        </w:trPr>
        <w:tc>
          <w:tcPr>
            <w:tcW w:w="1455"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eastAsia="宋体" w:cs="宋体"/>
                <w:sz w:val="24"/>
                <w:szCs w:val="24"/>
                <w:lang w:val="en-US" w:eastAsia="zh-CN"/>
              </w:rPr>
            </w:pPr>
          </w:p>
        </w:tc>
        <w:tc>
          <w:tcPr>
            <w:tcW w:w="1754" w:type="dxa"/>
            <w:shd w:val="clear" w:color="auto" w:fill="auto"/>
            <w:vAlign w:val="center"/>
          </w:tcPr>
          <w:p>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rPr>
            </w:pPr>
            <w:r>
              <w:rPr>
                <w:rFonts w:hint="eastAsia" w:ascii="宋体" w:hAnsi="宋体" w:eastAsia="宋体" w:cs="宋体"/>
                <w:sz w:val="24"/>
                <w:szCs w:val="24"/>
              </w:rPr>
              <w:t>售后服务</w:t>
            </w:r>
          </w:p>
        </w:tc>
        <w:tc>
          <w:tcPr>
            <w:tcW w:w="6481" w:type="dxa"/>
            <w:shd w:val="clear" w:color="auto" w:fill="auto"/>
            <w:vAlign w:val="center"/>
          </w:tcPr>
          <w:p>
            <w:pPr>
              <w:keepNext w:val="0"/>
              <w:keepLines w:val="0"/>
              <w:pageBreakBefore w:val="0"/>
              <w:numPr>
                <w:ilvl w:val="0"/>
                <w:numId w:val="6"/>
              </w:numPr>
              <w:kinsoku/>
              <w:wordWrap/>
              <w:overflowPunct/>
              <w:topLinePunct w:val="0"/>
              <w:autoSpaceDE/>
              <w:autoSpaceDN/>
              <w:bidi w:val="0"/>
              <w:adjustRightInd/>
              <w:snapToGrid/>
              <w:spacing w:line="440" w:lineRule="exact"/>
              <w:ind w:left="425" w:leftChars="0" w:hanging="425" w:firstLineChars="0"/>
              <w:textAlignment w:val="auto"/>
              <w:rPr>
                <w:rFonts w:hint="eastAsia" w:ascii="宋体" w:hAnsi="宋体" w:eastAsia="宋体" w:cs="宋体"/>
                <w:sz w:val="24"/>
                <w:szCs w:val="24"/>
              </w:rPr>
            </w:pPr>
            <w:r>
              <w:rPr>
                <w:rFonts w:hint="eastAsia" w:ascii="宋体" w:hAnsi="宋体" w:eastAsia="宋体" w:cs="宋体"/>
                <w:sz w:val="24"/>
                <w:szCs w:val="24"/>
              </w:rPr>
              <w:t>质保期和交货期</w:t>
            </w:r>
          </w:p>
          <w:p>
            <w:pPr>
              <w:keepNext w:val="0"/>
              <w:keepLines w:val="0"/>
              <w:pageBreakBefore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质保期：一年；</w:t>
            </w:r>
          </w:p>
          <w:p>
            <w:pPr>
              <w:keepNext w:val="0"/>
              <w:keepLines w:val="0"/>
              <w:pageBreakBefore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交货期：签订合同后</w:t>
            </w:r>
            <w:r>
              <w:rPr>
                <w:rFonts w:hint="eastAsia" w:ascii="宋体" w:hAnsi="宋体" w:eastAsia="宋体" w:cs="宋体"/>
                <w:sz w:val="24"/>
                <w:szCs w:val="24"/>
                <w:lang w:val="en-US" w:eastAsia="zh-CN"/>
              </w:rPr>
              <w:t>3</w:t>
            </w:r>
            <w:r>
              <w:rPr>
                <w:rFonts w:hint="eastAsia" w:ascii="宋体" w:hAnsi="宋体" w:eastAsia="宋体" w:cs="宋体"/>
                <w:sz w:val="24"/>
                <w:szCs w:val="24"/>
              </w:rPr>
              <w:t>0日内；</w:t>
            </w:r>
          </w:p>
          <w:p>
            <w:pPr>
              <w:keepNext w:val="0"/>
              <w:keepLines w:val="0"/>
              <w:pageBreakBefore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交货地点：指定校区</w:t>
            </w:r>
          </w:p>
          <w:p>
            <w:pPr>
              <w:keepNext w:val="0"/>
              <w:keepLines w:val="0"/>
              <w:pageBreakBefore w:val="0"/>
              <w:numPr>
                <w:ilvl w:val="0"/>
                <w:numId w:val="6"/>
              </w:numPr>
              <w:kinsoku/>
              <w:wordWrap/>
              <w:overflowPunct/>
              <w:topLinePunct w:val="0"/>
              <w:autoSpaceDE/>
              <w:autoSpaceDN/>
              <w:bidi w:val="0"/>
              <w:adjustRightInd/>
              <w:snapToGrid/>
              <w:spacing w:line="440" w:lineRule="exact"/>
              <w:ind w:left="425" w:leftChars="0" w:hanging="425" w:firstLineChars="0"/>
              <w:textAlignment w:val="auto"/>
              <w:rPr>
                <w:rFonts w:hint="eastAsia" w:ascii="宋体" w:hAnsi="宋体" w:eastAsia="宋体" w:cs="宋体"/>
                <w:sz w:val="24"/>
                <w:szCs w:val="24"/>
              </w:rPr>
            </w:pPr>
            <w:r>
              <w:rPr>
                <w:rFonts w:hint="eastAsia" w:ascii="宋体" w:hAnsi="宋体" w:eastAsia="宋体" w:cs="宋体"/>
                <w:sz w:val="24"/>
                <w:szCs w:val="24"/>
              </w:rPr>
              <w:t>平台系统支持要求：</w:t>
            </w:r>
          </w:p>
          <w:p>
            <w:pPr>
              <w:keepNext w:val="0"/>
              <w:keepLines w:val="0"/>
              <w:pageBreakBefore w:val="0"/>
              <w:kinsoku/>
              <w:wordWrap/>
              <w:overflowPunct/>
              <w:topLinePunct w:val="0"/>
              <w:autoSpaceDE/>
              <w:autoSpaceDN/>
              <w:bidi w:val="0"/>
              <w:adjustRightInd/>
              <w:snapToGrid/>
              <w:spacing w:line="440" w:lineRule="exact"/>
              <w:ind w:left="479" w:leftChars="228" w:firstLine="0" w:firstLineChars="0"/>
              <w:textAlignment w:val="auto"/>
              <w:rPr>
                <w:rFonts w:hint="eastAsia" w:ascii="宋体" w:hAnsi="宋体" w:eastAsia="宋体" w:cs="宋体"/>
                <w:sz w:val="24"/>
                <w:szCs w:val="24"/>
              </w:rPr>
            </w:pPr>
            <w:r>
              <w:rPr>
                <w:rFonts w:hint="eastAsia" w:ascii="宋体" w:hAnsi="宋体" w:eastAsia="宋体" w:cs="宋体"/>
                <w:sz w:val="24"/>
                <w:szCs w:val="24"/>
              </w:rPr>
              <w:t>向用户提供软件管理平台咨询使用等服务,提供每周7×24小时的技术服务；</w:t>
            </w:r>
          </w:p>
          <w:p>
            <w:pPr>
              <w:keepNext w:val="0"/>
              <w:keepLines w:val="0"/>
              <w:pageBreakBefore w:val="0"/>
              <w:kinsoku/>
              <w:wordWrap/>
              <w:overflowPunct/>
              <w:topLinePunct w:val="0"/>
              <w:autoSpaceDE/>
              <w:autoSpaceDN/>
              <w:bidi w:val="0"/>
              <w:adjustRightInd/>
              <w:snapToGrid/>
              <w:spacing w:line="440" w:lineRule="exact"/>
              <w:ind w:left="479" w:leftChars="228" w:firstLine="0" w:firstLineChars="0"/>
              <w:textAlignment w:val="auto"/>
              <w:rPr>
                <w:rFonts w:hint="eastAsia" w:ascii="宋体" w:hAnsi="宋体" w:eastAsia="宋体" w:cs="宋体"/>
                <w:sz w:val="24"/>
                <w:szCs w:val="24"/>
              </w:rPr>
            </w:pPr>
            <w:r>
              <w:rPr>
                <w:rFonts w:hint="eastAsia" w:ascii="宋体" w:hAnsi="宋体" w:eastAsia="宋体" w:cs="宋体"/>
                <w:sz w:val="24"/>
                <w:szCs w:val="24"/>
              </w:rPr>
              <w:t>提供技术支持专线，以电话、即时消息、电子邮件的方式提供用户支持服务；</w:t>
            </w:r>
          </w:p>
          <w:p>
            <w:pPr>
              <w:keepNext w:val="0"/>
              <w:keepLines w:val="0"/>
              <w:pageBreakBefore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服务响应时间：即时响应，解决问题时间不超过24小时;</w:t>
            </w:r>
          </w:p>
          <w:p>
            <w:pPr>
              <w:keepNext w:val="0"/>
              <w:keepLines w:val="0"/>
              <w:pageBreakBefore w:val="0"/>
              <w:numPr>
                <w:ilvl w:val="0"/>
                <w:numId w:val="6"/>
              </w:numPr>
              <w:kinsoku/>
              <w:wordWrap/>
              <w:overflowPunct/>
              <w:topLinePunct w:val="0"/>
              <w:autoSpaceDE/>
              <w:autoSpaceDN/>
              <w:bidi w:val="0"/>
              <w:adjustRightInd/>
              <w:snapToGrid/>
              <w:spacing w:line="440" w:lineRule="exact"/>
              <w:ind w:left="425" w:leftChars="0" w:hanging="425" w:firstLineChars="0"/>
              <w:textAlignment w:val="auto"/>
              <w:rPr>
                <w:rFonts w:hint="eastAsia" w:ascii="宋体" w:hAnsi="宋体" w:eastAsia="宋体" w:cs="宋体"/>
                <w:sz w:val="24"/>
                <w:szCs w:val="24"/>
              </w:rPr>
            </w:pPr>
            <w:r>
              <w:rPr>
                <w:rFonts w:hint="eastAsia" w:ascii="宋体" w:hAnsi="宋体" w:eastAsia="宋体" w:cs="宋体"/>
                <w:sz w:val="24"/>
                <w:szCs w:val="24"/>
              </w:rPr>
              <w:t>系统运维服务要求：</w:t>
            </w:r>
          </w:p>
          <w:p>
            <w:pPr>
              <w:keepNext w:val="0"/>
              <w:keepLines w:val="0"/>
              <w:pageBreakBefore w:val="0"/>
              <w:kinsoku/>
              <w:wordWrap/>
              <w:overflowPunct/>
              <w:topLinePunct w:val="0"/>
              <w:autoSpaceDE/>
              <w:autoSpaceDN/>
              <w:bidi w:val="0"/>
              <w:adjustRightInd/>
              <w:snapToGrid/>
              <w:spacing w:line="440" w:lineRule="exact"/>
              <w:ind w:left="479" w:leftChars="228" w:firstLine="0" w:firstLineChars="0"/>
              <w:textAlignment w:val="auto"/>
              <w:rPr>
                <w:rFonts w:hint="eastAsia" w:ascii="宋体" w:hAnsi="宋体" w:eastAsia="宋体" w:cs="宋体"/>
                <w:sz w:val="24"/>
                <w:szCs w:val="24"/>
              </w:rPr>
            </w:pPr>
            <w:r>
              <w:rPr>
                <w:rFonts w:hint="eastAsia" w:ascii="宋体" w:hAnsi="宋体" w:eastAsia="宋体" w:cs="宋体"/>
                <w:sz w:val="24"/>
                <w:szCs w:val="24"/>
              </w:rPr>
              <w:t>提供（每周</w:t>
            </w:r>
            <w:r>
              <w:rPr>
                <w:rFonts w:hint="eastAsia" w:ascii="宋体" w:hAnsi="宋体" w:eastAsia="宋体" w:cs="宋体"/>
                <w:sz w:val="24"/>
                <w:szCs w:val="24"/>
                <w:lang w:val="en-US" w:eastAsia="zh-CN"/>
              </w:rPr>
              <w:t>5</w:t>
            </w:r>
            <w:r>
              <w:rPr>
                <w:rFonts w:hint="eastAsia" w:ascii="宋体" w:hAnsi="宋体" w:eastAsia="宋体" w:cs="宋体"/>
                <w:sz w:val="24"/>
                <w:szCs w:val="24"/>
              </w:rPr>
              <w:t>×</w:t>
            </w:r>
            <w:r>
              <w:rPr>
                <w:rFonts w:hint="eastAsia" w:ascii="宋体" w:hAnsi="宋体" w:eastAsia="宋体" w:cs="宋体"/>
                <w:sz w:val="24"/>
                <w:szCs w:val="24"/>
                <w:lang w:val="en-US" w:eastAsia="zh-CN"/>
              </w:rPr>
              <w:t>8</w:t>
            </w:r>
            <w:r>
              <w:rPr>
                <w:rFonts w:hint="eastAsia" w:ascii="宋体" w:hAnsi="宋体" w:eastAsia="宋体" w:cs="宋体"/>
                <w:sz w:val="24"/>
                <w:szCs w:val="24"/>
              </w:rPr>
              <w:t>）质保和服务,包括提供周期性的巡检服务（内容不少于管理平台检测、数据库检测、激活测试、补丁服务器运行状况、补丁的更新和优化、硬件运行情况等），对系统的运行状态进行监测验证，并根据业务需要对系统组件进行配置变更和维护。对软件库、补丁服务器的内容和状态进行及时的更新和维护。</w:t>
            </w:r>
          </w:p>
          <w:p>
            <w:pPr>
              <w:keepNext w:val="0"/>
              <w:keepLines w:val="0"/>
              <w:pageBreakBefore w:val="0"/>
              <w:numPr>
                <w:ilvl w:val="0"/>
                <w:numId w:val="6"/>
              </w:numPr>
              <w:kinsoku/>
              <w:wordWrap/>
              <w:overflowPunct/>
              <w:topLinePunct w:val="0"/>
              <w:autoSpaceDE/>
              <w:autoSpaceDN/>
              <w:bidi w:val="0"/>
              <w:adjustRightInd/>
              <w:snapToGrid/>
              <w:spacing w:line="440" w:lineRule="exact"/>
              <w:ind w:left="425" w:leftChars="0" w:hanging="425" w:firstLineChars="0"/>
              <w:textAlignment w:val="auto"/>
              <w:rPr>
                <w:rFonts w:hint="eastAsia" w:ascii="宋体" w:hAnsi="宋体" w:eastAsia="宋体" w:cs="宋体"/>
                <w:sz w:val="24"/>
                <w:szCs w:val="24"/>
              </w:rPr>
            </w:pPr>
            <w:r>
              <w:rPr>
                <w:rFonts w:hint="eastAsia" w:ascii="宋体" w:hAnsi="宋体" w:eastAsia="宋体" w:cs="宋体"/>
                <w:sz w:val="24"/>
                <w:szCs w:val="24"/>
              </w:rPr>
              <w:t>知识产权</w:t>
            </w:r>
          </w:p>
          <w:p>
            <w:pPr>
              <w:keepNext w:val="0"/>
              <w:keepLines w:val="0"/>
              <w:pageBreakBefore w:val="0"/>
              <w:kinsoku/>
              <w:wordWrap/>
              <w:overflowPunct/>
              <w:topLinePunct w:val="0"/>
              <w:autoSpaceDE/>
              <w:autoSpaceDN/>
              <w:bidi w:val="0"/>
              <w:adjustRightInd/>
              <w:snapToGrid/>
              <w:spacing w:line="440" w:lineRule="exact"/>
              <w:ind w:left="479" w:leftChars="228" w:firstLine="0" w:firstLineChars="0"/>
              <w:textAlignment w:val="auto"/>
              <w:rPr>
                <w:rFonts w:hint="eastAsia" w:ascii="宋体" w:hAnsi="宋体" w:eastAsia="宋体" w:cs="宋体"/>
                <w:sz w:val="24"/>
                <w:szCs w:val="24"/>
              </w:rPr>
            </w:pPr>
            <w:r>
              <w:rPr>
                <w:rFonts w:hint="eastAsia" w:ascii="宋体" w:hAnsi="宋体" w:eastAsia="宋体" w:cs="宋体"/>
                <w:sz w:val="24"/>
                <w:szCs w:val="24"/>
              </w:rPr>
              <w:t>供应商保证其提交的服务不侵犯任何第三方合法享有的知识产权和/或其他权益。若因上述原因引起的第三方追溯，供应商承担由此引起的全部责任，并赔偿因此给采购方带来的全部损失。</w:t>
            </w:r>
          </w:p>
        </w:tc>
      </w:tr>
    </w:tbl>
    <w:p>
      <w:pPr>
        <w:keepNext w:val="0"/>
        <w:keepLines w:val="0"/>
        <w:pageBreakBefore w:val="0"/>
        <w:kinsoku/>
        <w:wordWrap/>
        <w:overflowPunct/>
        <w:topLinePunct w:val="0"/>
        <w:autoSpaceDE/>
        <w:autoSpaceDN/>
        <w:bidi w:val="0"/>
        <w:adjustRightInd/>
        <w:snapToGrid/>
        <w:spacing w:line="440" w:lineRule="exact"/>
        <w:textAlignment w:val="auto"/>
        <w:outlineLvl w:val="9"/>
        <w:rPr>
          <w:rFonts w:hint="eastAsia"/>
          <w:lang w:val="en-US" w:eastAsia="zh-CN"/>
        </w:rPr>
      </w:pPr>
    </w:p>
    <w:p>
      <w:pPr>
        <w:keepNext w:val="0"/>
        <w:keepLines w:val="0"/>
        <w:pageBreakBefore w:val="0"/>
        <w:widowControl w:val="0"/>
        <w:numPr>
          <w:ilvl w:val="0"/>
          <w:numId w:val="7"/>
        </w:numPr>
        <w:kinsoku/>
        <w:wordWrap/>
        <w:overflowPunct/>
        <w:topLinePunct w:val="0"/>
        <w:autoSpaceDE/>
        <w:autoSpaceDN/>
        <w:bidi w:val="0"/>
        <w:adjustRightInd/>
        <w:snapToGrid/>
        <w:spacing w:line="440" w:lineRule="exact"/>
        <w:ind w:firstLine="480" w:firstLineChars="200"/>
        <w:textAlignment w:val="auto"/>
        <w:rPr>
          <w:rFonts w:hint="eastAsia" w:hAnsi="宋体"/>
          <w:bCs/>
          <w:color w:val="000000"/>
          <w:sz w:val="24"/>
          <w:szCs w:val="24"/>
          <w:lang w:val="en-US" w:eastAsia="zh-CN"/>
        </w:rPr>
      </w:pPr>
      <w:r>
        <w:rPr>
          <w:rFonts w:hint="eastAsia" w:hAnsi="宋体"/>
          <w:bCs/>
          <w:color w:val="000000"/>
          <w:sz w:val="24"/>
          <w:szCs w:val="24"/>
          <w:lang w:val="en-US" w:eastAsia="zh-CN"/>
        </w:rPr>
        <w:t>其他要求</w:t>
      </w:r>
    </w:p>
    <w:p>
      <w:pPr>
        <w:pStyle w:val="2"/>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lang w:val="en-US" w:eastAsia="zh-CN"/>
        </w:rPr>
      </w:pPr>
      <w:r>
        <w:rPr>
          <w:rFonts w:hint="eastAsia" w:hAnsi="宋体"/>
          <w:bCs/>
          <w:color w:val="000000"/>
          <w:sz w:val="24"/>
          <w:szCs w:val="24"/>
          <w:lang w:val="en-US" w:eastAsia="zh-CN"/>
        </w:rPr>
        <w:t xml:space="preserve">    投标供应商须提供正版WPS软件的制造商关于本项目的售后服务承诺函，并加盖制造商公章</w:t>
      </w:r>
      <w:bookmarkStart w:id="7" w:name="_GoBack"/>
      <w:bookmarkEnd w:id="7"/>
      <w:r>
        <w:rPr>
          <w:rFonts w:hint="eastAsia" w:hAnsi="宋体"/>
          <w:bCs/>
          <w:color w:val="000000"/>
          <w:sz w:val="24"/>
          <w:szCs w:val="24"/>
          <w:lang w:val="en-US" w:eastAsia="zh-CN"/>
        </w:rPr>
        <w:t>。投标时扫描上传承诺函PDF件，中标后2个工作日内将承诺函原件交使用部门审核。</w:t>
      </w:r>
    </w:p>
    <w:p>
      <w:pPr>
        <w:pStyle w:val="2"/>
        <w:numPr>
          <w:ilvl w:val="0"/>
          <w:numId w:val="0"/>
        </w:numPr>
        <w:jc w:val="both"/>
        <w:rPr>
          <w:rFonts w:hint="eastAsia"/>
          <w:lang w:val="en-US" w:eastAsia="zh-CN"/>
        </w:rPr>
      </w:pPr>
    </w:p>
    <w:p>
      <w:pPr>
        <w:outlineLvl w:val="1"/>
        <w:rPr>
          <w:rFonts w:ascii="宋体" w:hAnsi="宋体" w:eastAsia="宋体" w:cs="宋体"/>
          <w:snapToGrid w:val="0"/>
          <w:kern w:val="0"/>
          <w:sz w:val="28"/>
          <w:szCs w:val="28"/>
        </w:rPr>
      </w:pPr>
      <w:r>
        <w:rPr>
          <w:rFonts w:hint="eastAsia" w:ascii="宋体" w:hAnsi="宋体" w:eastAsia="宋体" w:cs="宋体"/>
          <w:b/>
          <w:snapToGrid w:val="0"/>
          <w:kern w:val="0"/>
          <w:sz w:val="28"/>
          <w:szCs w:val="28"/>
        </w:rPr>
        <w:t>三、资质要求</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hAnsi="宋体"/>
          <w:bCs/>
          <w:color w:val="000000"/>
          <w:sz w:val="24"/>
          <w:szCs w:val="24"/>
        </w:rPr>
      </w:pPr>
      <w:r>
        <w:rPr>
          <w:rFonts w:hint="eastAsia" w:hAnsi="宋体"/>
          <w:bCs/>
          <w:color w:val="000000"/>
          <w:sz w:val="24"/>
          <w:szCs w:val="24"/>
        </w:rPr>
        <w:t>供应商是指向采购人提供服务或者货物的法人、其他组织或者自然人。合格的供应商应首先符合政府采购法第二十二条规定的基本资格条件</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hAnsi="宋体"/>
          <w:bCs/>
          <w:color w:val="000000"/>
          <w:sz w:val="24"/>
          <w:szCs w:val="24"/>
        </w:rPr>
      </w:pPr>
      <w:r>
        <w:rPr>
          <w:rFonts w:hint="eastAsia" w:hAnsi="宋体"/>
          <w:bCs/>
          <w:color w:val="000000"/>
          <w:sz w:val="24"/>
          <w:szCs w:val="24"/>
        </w:rPr>
        <w:t>（一）基本资格条件</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hAnsi="宋体"/>
          <w:bCs/>
          <w:color w:val="000000"/>
          <w:sz w:val="24"/>
          <w:szCs w:val="24"/>
        </w:rPr>
      </w:pPr>
      <w:r>
        <w:rPr>
          <w:rFonts w:hint="eastAsia" w:hAnsi="宋体"/>
          <w:bCs/>
          <w:color w:val="000000"/>
          <w:sz w:val="24"/>
          <w:szCs w:val="24"/>
        </w:rPr>
        <w:t>1</w:t>
      </w:r>
      <w:r>
        <w:rPr>
          <w:rFonts w:hint="eastAsia" w:hAnsi="宋体"/>
          <w:bCs/>
          <w:color w:val="000000"/>
          <w:sz w:val="24"/>
          <w:szCs w:val="24"/>
          <w:lang w:eastAsia="zh-CN"/>
        </w:rPr>
        <w:t>、</w:t>
      </w:r>
      <w:r>
        <w:rPr>
          <w:rFonts w:hint="eastAsia" w:hAnsi="宋体"/>
          <w:bCs/>
          <w:color w:val="000000"/>
          <w:sz w:val="24"/>
          <w:szCs w:val="24"/>
        </w:rPr>
        <w:t>具有独立承担民事责任的能力；</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hAnsi="宋体"/>
          <w:bCs/>
          <w:color w:val="000000"/>
          <w:sz w:val="24"/>
          <w:szCs w:val="24"/>
        </w:rPr>
      </w:pPr>
      <w:r>
        <w:rPr>
          <w:rFonts w:hint="eastAsia" w:hAnsi="宋体"/>
          <w:bCs/>
          <w:color w:val="000000"/>
          <w:sz w:val="24"/>
          <w:szCs w:val="24"/>
        </w:rPr>
        <w:t>2</w:t>
      </w:r>
      <w:r>
        <w:rPr>
          <w:rFonts w:hint="eastAsia" w:hAnsi="宋体"/>
          <w:bCs/>
          <w:color w:val="000000"/>
          <w:sz w:val="24"/>
          <w:szCs w:val="24"/>
          <w:lang w:eastAsia="zh-CN"/>
        </w:rPr>
        <w:t>、</w:t>
      </w:r>
      <w:r>
        <w:rPr>
          <w:rFonts w:hint="eastAsia" w:hAnsi="宋体"/>
          <w:bCs/>
          <w:color w:val="000000"/>
          <w:sz w:val="24"/>
          <w:szCs w:val="24"/>
        </w:rPr>
        <w:t>具有良好的商业信誉和健全的财务会计制度；</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hAnsi="宋体"/>
          <w:bCs/>
          <w:color w:val="000000"/>
          <w:sz w:val="24"/>
          <w:szCs w:val="24"/>
        </w:rPr>
      </w:pPr>
      <w:r>
        <w:rPr>
          <w:rFonts w:hint="eastAsia" w:hAnsi="宋体"/>
          <w:bCs/>
          <w:color w:val="000000"/>
          <w:sz w:val="24"/>
          <w:szCs w:val="24"/>
        </w:rPr>
        <w:t>3</w:t>
      </w:r>
      <w:r>
        <w:rPr>
          <w:rFonts w:hint="eastAsia" w:hAnsi="宋体"/>
          <w:bCs/>
          <w:color w:val="000000"/>
          <w:sz w:val="24"/>
          <w:szCs w:val="24"/>
          <w:lang w:eastAsia="zh-CN"/>
        </w:rPr>
        <w:t>、</w:t>
      </w:r>
      <w:r>
        <w:rPr>
          <w:rFonts w:hint="eastAsia" w:hAnsi="宋体"/>
          <w:bCs/>
          <w:color w:val="000000"/>
          <w:sz w:val="24"/>
          <w:szCs w:val="24"/>
        </w:rPr>
        <w:t>具有履行合同所必需的设备和专业技术能力；</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hAnsi="宋体"/>
          <w:bCs/>
          <w:color w:val="000000"/>
          <w:sz w:val="24"/>
          <w:szCs w:val="24"/>
        </w:rPr>
      </w:pPr>
      <w:r>
        <w:rPr>
          <w:rFonts w:hint="eastAsia" w:hAnsi="宋体"/>
          <w:bCs/>
          <w:color w:val="000000"/>
          <w:sz w:val="24"/>
          <w:szCs w:val="24"/>
        </w:rPr>
        <w:t>4</w:t>
      </w:r>
      <w:r>
        <w:rPr>
          <w:rFonts w:hint="eastAsia" w:hAnsi="宋体"/>
          <w:bCs/>
          <w:color w:val="000000"/>
          <w:sz w:val="24"/>
          <w:szCs w:val="24"/>
          <w:lang w:eastAsia="zh-CN"/>
        </w:rPr>
        <w:t>、</w:t>
      </w:r>
      <w:r>
        <w:rPr>
          <w:rFonts w:hint="eastAsia" w:hAnsi="宋体"/>
          <w:bCs/>
          <w:color w:val="000000"/>
          <w:sz w:val="24"/>
          <w:szCs w:val="24"/>
        </w:rPr>
        <w:t>有依法缴纳税收和社会保障资金的良好记录；</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hAnsi="宋体"/>
          <w:bCs/>
          <w:color w:val="000000"/>
          <w:sz w:val="24"/>
          <w:szCs w:val="24"/>
        </w:rPr>
      </w:pPr>
      <w:r>
        <w:rPr>
          <w:rFonts w:hint="eastAsia" w:hAnsi="宋体"/>
          <w:bCs/>
          <w:color w:val="000000"/>
          <w:sz w:val="24"/>
          <w:szCs w:val="24"/>
        </w:rPr>
        <w:t>5</w:t>
      </w:r>
      <w:r>
        <w:rPr>
          <w:rFonts w:hint="eastAsia" w:hAnsi="宋体"/>
          <w:bCs/>
          <w:color w:val="000000"/>
          <w:sz w:val="24"/>
          <w:szCs w:val="24"/>
          <w:lang w:eastAsia="zh-CN"/>
        </w:rPr>
        <w:t>、</w:t>
      </w:r>
      <w:r>
        <w:rPr>
          <w:rFonts w:hint="eastAsia" w:hAnsi="宋体"/>
          <w:bCs/>
          <w:color w:val="000000"/>
          <w:sz w:val="24"/>
          <w:szCs w:val="24"/>
        </w:rPr>
        <w:t>参加政府采购活动前三年内，在经营活动中没有重大违法记录；</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hAnsi="宋体"/>
          <w:bCs/>
          <w:color w:val="000000"/>
          <w:sz w:val="24"/>
          <w:szCs w:val="24"/>
        </w:rPr>
      </w:pPr>
      <w:r>
        <w:rPr>
          <w:rFonts w:hint="eastAsia" w:hAnsi="宋体"/>
          <w:bCs/>
          <w:color w:val="000000"/>
          <w:sz w:val="24"/>
          <w:szCs w:val="24"/>
        </w:rPr>
        <w:t>6</w:t>
      </w:r>
      <w:r>
        <w:rPr>
          <w:rFonts w:hint="eastAsia" w:hAnsi="宋体"/>
          <w:bCs/>
          <w:color w:val="000000"/>
          <w:sz w:val="24"/>
          <w:szCs w:val="24"/>
          <w:lang w:eastAsia="zh-CN"/>
        </w:rPr>
        <w:t>、</w:t>
      </w:r>
      <w:r>
        <w:rPr>
          <w:rFonts w:hint="eastAsia" w:hAnsi="宋体"/>
          <w:bCs/>
          <w:color w:val="000000"/>
          <w:sz w:val="24"/>
          <w:szCs w:val="24"/>
        </w:rPr>
        <w:t>法律、行政法规规定的其他条件。</w:t>
      </w:r>
    </w:p>
    <w:p>
      <w:pPr>
        <w:keepNext w:val="0"/>
        <w:keepLines w:val="0"/>
        <w:pageBreakBefore w:val="0"/>
        <w:widowControl w:val="0"/>
        <w:kinsoku/>
        <w:wordWrap/>
        <w:overflowPunct/>
        <w:topLinePunct w:val="0"/>
        <w:autoSpaceDE/>
        <w:autoSpaceDN/>
        <w:bidi w:val="0"/>
        <w:adjustRightInd/>
        <w:snapToGrid/>
        <w:spacing w:line="440" w:lineRule="exact"/>
        <w:textAlignment w:val="auto"/>
        <w:outlineLvl w:val="1"/>
        <w:rPr>
          <w:rFonts w:hint="eastAsia"/>
        </w:rPr>
      </w:pPr>
      <w:r>
        <w:rPr>
          <w:rFonts w:hint="eastAsia" w:ascii="宋体" w:hAnsi="宋体" w:eastAsia="宋体" w:cs="宋体"/>
          <w:b/>
          <w:snapToGrid w:val="0"/>
          <w:kern w:val="0"/>
          <w:sz w:val="28"/>
          <w:szCs w:val="28"/>
          <w:lang w:eastAsia="zh-CN"/>
        </w:rPr>
        <w:t>四</w:t>
      </w:r>
      <w:r>
        <w:rPr>
          <w:rFonts w:hint="eastAsia" w:ascii="宋体" w:hAnsi="宋体" w:eastAsia="宋体" w:cs="宋体"/>
          <w:b/>
          <w:snapToGrid w:val="0"/>
          <w:kern w:val="0"/>
          <w:sz w:val="28"/>
          <w:szCs w:val="28"/>
        </w:rPr>
        <w:t>、保证金</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hAnsi="宋体"/>
          <w:bCs/>
          <w:color w:val="000000"/>
          <w:sz w:val="24"/>
          <w:szCs w:val="24"/>
        </w:rPr>
      </w:pPr>
      <w:r>
        <w:rPr>
          <w:rFonts w:hint="eastAsia" w:hAnsi="宋体"/>
          <w:bCs/>
          <w:color w:val="000000"/>
          <w:sz w:val="24"/>
          <w:szCs w:val="24"/>
        </w:rPr>
        <w:t>（一）履约保证金</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bCs/>
          <w:color w:val="000000"/>
          <w:sz w:val="24"/>
          <w:szCs w:val="24"/>
        </w:rPr>
      </w:pPr>
      <w:r>
        <w:rPr>
          <w:rFonts w:hint="eastAsia" w:ascii="宋体" w:hAnsi="宋体" w:eastAsia="宋体" w:cs="宋体"/>
          <w:bCs/>
          <w:color w:val="000000"/>
          <w:sz w:val="24"/>
          <w:szCs w:val="24"/>
        </w:rPr>
        <w:t>本项目履约担保的形式：现金或保函；采用保函形式的，保函必须为不可撤销且见索即付，履约保证金为中标金额的5%，履约担保的提交时间：在中标通知书领取后10个工作日，成交供应商按担保金额向采购人提交履约担保，否则视为放弃中标。履约保证金在合同履约验收合格后扣除应由供应商承担的违约金或赔偿费用后，在30个工作日内无息退还履约保证金。若成交供应商未在规定时间内缴纳履约保证金，我校有权没收其投标保证金，并取消其成交供应商资格。</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hAnsi="宋体"/>
          <w:bCs/>
          <w:color w:val="000000"/>
          <w:sz w:val="24"/>
          <w:szCs w:val="24"/>
        </w:rPr>
      </w:pPr>
      <w:r>
        <w:rPr>
          <w:rFonts w:hint="eastAsia" w:hAnsi="宋体"/>
          <w:bCs/>
          <w:color w:val="000000"/>
          <w:sz w:val="24"/>
          <w:szCs w:val="24"/>
        </w:rPr>
        <w:t>（二）递交保证金账户</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hAnsi="宋体"/>
          <w:bCs/>
          <w:color w:val="000000"/>
          <w:sz w:val="24"/>
          <w:szCs w:val="24"/>
        </w:rPr>
      </w:pPr>
      <w:r>
        <w:rPr>
          <w:rFonts w:hint="eastAsia" w:hAnsi="宋体"/>
          <w:bCs/>
          <w:color w:val="000000"/>
          <w:sz w:val="24"/>
          <w:szCs w:val="24"/>
        </w:rPr>
        <w:t>户  名：重庆医科大学</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hAnsi="宋体"/>
          <w:bCs/>
          <w:color w:val="000000"/>
          <w:sz w:val="24"/>
          <w:szCs w:val="24"/>
        </w:rPr>
      </w:pPr>
      <w:r>
        <w:rPr>
          <w:rFonts w:hint="eastAsia" w:hAnsi="宋体"/>
          <w:bCs/>
          <w:color w:val="000000"/>
          <w:sz w:val="24"/>
          <w:szCs w:val="24"/>
        </w:rPr>
        <w:t>开户行：建行重庆高新区分行</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hAnsi="宋体"/>
          <w:bCs/>
          <w:color w:val="000000"/>
          <w:sz w:val="24"/>
          <w:szCs w:val="24"/>
        </w:rPr>
      </w:pPr>
      <w:r>
        <w:rPr>
          <w:rFonts w:hint="eastAsia" w:hAnsi="宋体"/>
          <w:bCs/>
          <w:color w:val="000000"/>
          <w:sz w:val="24"/>
          <w:szCs w:val="24"/>
        </w:rPr>
        <w:t>账  号：50001033600050008726</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hAnsi="宋体"/>
          <w:bCs/>
          <w:color w:val="000000"/>
          <w:sz w:val="24"/>
          <w:szCs w:val="24"/>
        </w:rPr>
      </w:pPr>
      <w:r>
        <w:rPr>
          <w:rFonts w:hint="eastAsia" w:hAnsi="宋体"/>
          <w:bCs/>
          <w:color w:val="000000"/>
          <w:sz w:val="24"/>
          <w:szCs w:val="24"/>
        </w:rPr>
        <w:t>备  注：供应商必须在付款凭证备注栏中注明本项目的项目编号。</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hAnsi="宋体"/>
          <w:bCs/>
          <w:color w:val="000000"/>
          <w:sz w:val="24"/>
          <w:szCs w:val="24"/>
        </w:rPr>
      </w:pPr>
      <w:r>
        <w:rPr>
          <w:rFonts w:hint="eastAsia" w:hAnsi="宋体"/>
          <w:bCs/>
          <w:color w:val="000000"/>
          <w:sz w:val="24"/>
          <w:szCs w:val="24"/>
        </w:rPr>
        <w:t>（三）电子票据获取方式</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hAnsi="宋体"/>
          <w:bCs/>
          <w:color w:val="000000"/>
          <w:sz w:val="24"/>
          <w:szCs w:val="24"/>
        </w:rPr>
      </w:pPr>
      <w:r>
        <w:rPr>
          <w:rFonts w:hint="eastAsia" w:hAnsi="宋体"/>
          <w:bCs/>
          <w:color w:val="000000"/>
          <w:sz w:val="24"/>
          <w:szCs w:val="24"/>
        </w:rPr>
        <w:t>1、联系重庆医科大学财务处推送电子发票，电话68486151，地址第二教学楼110室；</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hAnsi="宋体"/>
          <w:bCs/>
          <w:color w:val="000000"/>
          <w:sz w:val="24"/>
          <w:szCs w:val="24"/>
        </w:rPr>
      </w:pPr>
      <w:r>
        <w:rPr>
          <w:rFonts w:hint="eastAsia" w:hAnsi="宋体"/>
          <w:bCs/>
          <w:color w:val="000000"/>
          <w:sz w:val="24"/>
          <w:szCs w:val="24"/>
        </w:rPr>
        <w:t>2、缴费绑定的手机号微信关注“重庆医科大学财务处”公众号→选择“我的票据”→“我的”，获取电子发票；</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hAnsi="宋体"/>
          <w:bCs/>
          <w:color w:val="000000"/>
          <w:sz w:val="24"/>
          <w:szCs w:val="24"/>
        </w:rPr>
      </w:pPr>
      <w:r>
        <w:rPr>
          <w:rFonts w:hint="eastAsia" w:hAnsi="宋体"/>
          <w:bCs/>
          <w:color w:val="000000"/>
          <w:sz w:val="24"/>
          <w:szCs w:val="24"/>
        </w:rPr>
        <w:t>3、缴费绑定的手机号微信关注“电子票夹”小程序获取电子发票。</w:t>
      </w:r>
    </w:p>
    <w:p>
      <w:pPr>
        <w:keepNext w:val="0"/>
        <w:keepLines w:val="0"/>
        <w:pageBreakBefore w:val="0"/>
        <w:widowControl w:val="0"/>
        <w:kinsoku/>
        <w:wordWrap/>
        <w:overflowPunct/>
        <w:topLinePunct w:val="0"/>
        <w:autoSpaceDE/>
        <w:autoSpaceDN/>
        <w:bidi w:val="0"/>
        <w:adjustRightInd/>
        <w:spacing w:line="440" w:lineRule="exact"/>
        <w:textAlignment w:val="auto"/>
        <w:outlineLvl w:val="1"/>
        <w:rPr>
          <w:rFonts w:ascii="宋体" w:hAnsi="宋体" w:eastAsia="宋体" w:cs="宋体"/>
          <w:b/>
          <w:snapToGrid w:val="0"/>
          <w:kern w:val="0"/>
          <w:sz w:val="28"/>
          <w:szCs w:val="28"/>
        </w:rPr>
      </w:pPr>
      <w:r>
        <w:rPr>
          <w:rFonts w:hint="eastAsia" w:ascii="宋体" w:hAnsi="宋体" w:eastAsia="宋体" w:cs="宋体"/>
          <w:b/>
          <w:snapToGrid w:val="0"/>
          <w:kern w:val="0"/>
          <w:sz w:val="28"/>
          <w:szCs w:val="28"/>
          <w:lang w:eastAsia="zh-CN"/>
        </w:rPr>
        <w:t>五</w:t>
      </w:r>
      <w:r>
        <w:rPr>
          <w:rFonts w:hint="eastAsia" w:ascii="宋体" w:hAnsi="宋体" w:eastAsia="宋体" w:cs="宋体"/>
          <w:b/>
          <w:snapToGrid w:val="0"/>
          <w:kern w:val="0"/>
          <w:sz w:val="28"/>
          <w:szCs w:val="28"/>
        </w:rPr>
        <w:t>、供货期</w:t>
      </w:r>
      <w:r>
        <w:rPr>
          <w:rFonts w:hint="eastAsia" w:ascii="宋体" w:hAnsi="宋体" w:eastAsia="宋体" w:cs="宋体"/>
          <w:b/>
          <w:snapToGrid w:val="0"/>
          <w:kern w:val="0"/>
          <w:sz w:val="28"/>
          <w:szCs w:val="28"/>
          <w:lang w:eastAsia="zh-CN"/>
        </w:rPr>
        <w:t>及供货地点</w:t>
      </w:r>
    </w:p>
    <w:p>
      <w:pPr>
        <w:keepNext w:val="0"/>
        <w:keepLines w:val="0"/>
        <w:pageBreakBefore w:val="0"/>
        <w:widowControl w:val="0"/>
        <w:kinsoku/>
        <w:wordWrap/>
        <w:overflowPunct/>
        <w:topLinePunct w:val="0"/>
        <w:autoSpaceDE/>
        <w:autoSpaceDN/>
        <w:bidi w:val="0"/>
        <w:adjustRightInd/>
        <w:snapToGrid/>
        <w:spacing w:line="440" w:lineRule="exact"/>
        <w:ind w:left="239" w:leftChars="114" w:firstLine="240" w:firstLineChars="100"/>
        <w:textAlignment w:val="auto"/>
        <w:rPr>
          <w:rFonts w:hint="eastAsia" w:hAnsi="宋体"/>
          <w:bCs/>
          <w:color w:val="000000"/>
          <w:sz w:val="24"/>
          <w:szCs w:val="24"/>
          <w:lang w:val="en-US" w:eastAsia="zh-CN"/>
        </w:rPr>
      </w:pPr>
      <w:r>
        <w:rPr>
          <w:rFonts w:hint="eastAsia" w:hAnsi="宋体"/>
          <w:bCs/>
          <w:color w:val="000000"/>
          <w:sz w:val="24"/>
          <w:szCs w:val="24"/>
          <w:lang w:val="en-US" w:eastAsia="zh-CN"/>
        </w:rPr>
        <w:t>（一）供货期：</w:t>
      </w:r>
      <w:r>
        <w:rPr>
          <w:rFonts w:hint="eastAsia" w:hAnsi="宋体"/>
          <w:bCs/>
          <w:color w:val="000000"/>
          <w:sz w:val="24"/>
          <w:szCs w:val="24"/>
          <w:lang w:eastAsia="zh-CN"/>
        </w:rPr>
        <w:t>中标人须在合同签订后</w:t>
      </w:r>
      <w:r>
        <w:rPr>
          <w:rFonts w:hint="eastAsia" w:hAnsi="宋体"/>
          <w:bCs/>
          <w:color w:val="000000"/>
          <w:sz w:val="24"/>
          <w:szCs w:val="24"/>
          <w:lang w:val="en-US" w:eastAsia="zh-CN"/>
        </w:rPr>
        <w:t>30日内，交货并完成安装调试。</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rPr>
      </w:pPr>
      <w:r>
        <w:rPr>
          <w:rFonts w:hint="eastAsia" w:hAnsi="宋体"/>
          <w:bCs/>
          <w:color w:val="000000"/>
          <w:sz w:val="24"/>
          <w:szCs w:val="24"/>
          <w:lang w:eastAsia="zh-CN"/>
        </w:rPr>
        <w:t>（二）供货地点：重庆医科大学采购人指定地点</w:t>
      </w:r>
    </w:p>
    <w:p>
      <w:pPr>
        <w:keepNext w:val="0"/>
        <w:keepLines w:val="0"/>
        <w:pageBreakBefore w:val="0"/>
        <w:widowControl w:val="0"/>
        <w:kinsoku/>
        <w:wordWrap/>
        <w:overflowPunct/>
        <w:topLinePunct w:val="0"/>
        <w:autoSpaceDE/>
        <w:autoSpaceDN/>
        <w:bidi w:val="0"/>
        <w:adjustRightInd/>
        <w:spacing w:line="440" w:lineRule="exact"/>
        <w:textAlignment w:val="auto"/>
        <w:outlineLvl w:val="1"/>
        <w:rPr>
          <w:rFonts w:ascii="宋体" w:hAnsi="宋体" w:eastAsia="宋体" w:cs="宋体"/>
          <w:b/>
          <w:snapToGrid w:val="0"/>
          <w:color w:val="auto"/>
          <w:kern w:val="0"/>
          <w:sz w:val="28"/>
          <w:szCs w:val="28"/>
        </w:rPr>
      </w:pPr>
      <w:r>
        <w:rPr>
          <w:rFonts w:hint="eastAsia" w:ascii="宋体" w:hAnsi="宋体" w:eastAsia="宋体" w:cs="宋体"/>
          <w:b/>
          <w:snapToGrid w:val="0"/>
          <w:kern w:val="0"/>
          <w:sz w:val="28"/>
          <w:szCs w:val="28"/>
          <w:lang w:eastAsia="zh-CN"/>
        </w:rPr>
        <w:t>六</w:t>
      </w:r>
      <w:r>
        <w:rPr>
          <w:rFonts w:hint="eastAsia" w:ascii="宋体" w:hAnsi="宋体" w:eastAsia="宋体" w:cs="宋体"/>
          <w:b/>
          <w:snapToGrid w:val="0"/>
          <w:kern w:val="0"/>
          <w:sz w:val="28"/>
          <w:szCs w:val="28"/>
        </w:rPr>
        <w:t>、</w:t>
      </w:r>
      <w:r>
        <w:rPr>
          <w:rFonts w:hint="eastAsia" w:ascii="宋体" w:hAnsi="宋体" w:eastAsia="宋体" w:cs="宋体"/>
          <w:b/>
          <w:snapToGrid w:val="0"/>
          <w:color w:val="auto"/>
          <w:kern w:val="0"/>
          <w:sz w:val="28"/>
          <w:szCs w:val="28"/>
        </w:rPr>
        <w:t>报价要求</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hAnsi="宋体"/>
          <w:bCs/>
          <w:color w:val="000000"/>
          <w:sz w:val="24"/>
          <w:szCs w:val="24"/>
          <w:lang w:val="en-US" w:eastAsia="zh-CN"/>
        </w:rPr>
      </w:pPr>
      <w:r>
        <w:rPr>
          <w:rFonts w:hint="eastAsia" w:hAnsi="宋体"/>
          <w:bCs/>
          <w:color w:val="000000"/>
          <w:sz w:val="24"/>
          <w:szCs w:val="24"/>
          <w:lang w:eastAsia="zh-CN"/>
        </w:rPr>
        <w:t>本次报价须</w:t>
      </w:r>
      <w:r>
        <w:rPr>
          <w:rFonts w:hint="eastAsia" w:hAnsi="宋体"/>
          <w:bCs/>
          <w:color w:val="000000"/>
          <w:sz w:val="24"/>
          <w:szCs w:val="24"/>
        </w:rPr>
        <w:t>为人民币报价</w:t>
      </w:r>
      <w:r>
        <w:rPr>
          <w:rFonts w:hint="eastAsia" w:hAnsi="宋体"/>
          <w:bCs/>
          <w:color w:val="000000"/>
          <w:sz w:val="24"/>
          <w:szCs w:val="24"/>
          <w:lang w:eastAsia="zh-CN"/>
        </w:rPr>
        <w:t>，供应商报一次性不可更改的价格，在技术参数要求及相应商务要求满足询价文件及采购人需求的情况下，最低价中标</w:t>
      </w:r>
      <w:r>
        <w:rPr>
          <w:rFonts w:hint="eastAsia" w:hAnsi="宋体"/>
          <w:bCs/>
          <w:color w:val="000000"/>
          <w:sz w:val="24"/>
          <w:szCs w:val="24"/>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hAnsi="宋体"/>
          <w:bCs/>
          <w:color w:val="000000"/>
          <w:sz w:val="24"/>
          <w:szCs w:val="24"/>
        </w:rPr>
      </w:pPr>
      <w:r>
        <w:rPr>
          <w:rFonts w:hint="eastAsia" w:hAnsi="宋体"/>
          <w:bCs/>
          <w:color w:val="000000"/>
          <w:sz w:val="24"/>
          <w:szCs w:val="24"/>
        </w:rPr>
        <w:t>报价包含：本项目所需的设备或货物购买（制造）费、辅材费、保险费、运输费（含装卸费）、安装调试费、税费、培训费等货到重庆医科大学采购人指定地点的所有费用。中标后采购人不追加任何费用，若成交供应商因价格问题拖延供货及安装，采购人有权没收其保证金，取消其中标资格。请供应商在投标时充分考虑所有费用。因成交供应商自身原因造成漏报、少报皆由其自行承担责任，采购人不再补偿。</w:t>
      </w:r>
    </w:p>
    <w:p>
      <w:pPr>
        <w:outlineLvl w:val="1"/>
        <w:rPr>
          <w:rFonts w:hint="eastAsia" w:ascii="宋体" w:hAnsi="宋体" w:eastAsia="宋体" w:cs="宋体"/>
          <w:b/>
          <w:snapToGrid w:val="0"/>
          <w:kern w:val="0"/>
          <w:sz w:val="28"/>
          <w:szCs w:val="28"/>
        </w:rPr>
      </w:pPr>
      <w:r>
        <w:rPr>
          <w:rFonts w:hint="eastAsia" w:ascii="宋体" w:hAnsi="宋体" w:eastAsia="宋体" w:cs="宋体"/>
          <w:b/>
          <w:snapToGrid w:val="0"/>
          <w:kern w:val="0"/>
          <w:sz w:val="28"/>
          <w:szCs w:val="28"/>
          <w:lang w:eastAsia="zh-CN"/>
        </w:rPr>
        <w:t>七</w:t>
      </w:r>
      <w:r>
        <w:rPr>
          <w:rFonts w:hint="eastAsia" w:ascii="宋体" w:hAnsi="宋体" w:eastAsia="宋体" w:cs="宋体"/>
          <w:b/>
          <w:snapToGrid w:val="0"/>
          <w:kern w:val="0"/>
          <w:sz w:val="28"/>
          <w:szCs w:val="28"/>
        </w:rPr>
        <w:t>、付款方式</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hAnsi="宋体"/>
          <w:bCs/>
          <w:color w:val="000000"/>
          <w:sz w:val="24"/>
          <w:szCs w:val="24"/>
        </w:rPr>
      </w:pPr>
      <w:r>
        <w:rPr>
          <w:rFonts w:hint="eastAsia" w:hAnsi="宋体"/>
          <w:bCs/>
          <w:color w:val="000000"/>
          <w:sz w:val="24"/>
          <w:szCs w:val="24"/>
        </w:rPr>
        <w:t>（一）本项目结算均使用人民币。</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hAnsi="宋体"/>
          <w:bCs/>
          <w:color w:val="000000"/>
          <w:sz w:val="24"/>
          <w:szCs w:val="24"/>
        </w:rPr>
      </w:pPr>
      <w:r>
        <w:rPr>
          <w:rFonts w:hint="eastAsia" w:hAnsi="宋体"/>
          <w:bCs/>
          <w:color w:val="000000"/>
          <w:sz w:val="24"/>
          <w:szCs w:val="24"/>
        </w:rPr>
        <w:t>（二）采购合同签订前，中标人向采购人交纳合同金额的5%作为履约保证金，验收合格，采购人按合同约定金额的100%付款。履约保证金在合同履约验收合格后扣除应由供应商承担的违约金或赔偿费用后，在30个工作日内无息退还履约保证金。</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snapToGrid w:val="0"/>
          <w:kern w:val="0"/>
          <w:sz w:val="28"/>
          <w:szCs w:val="28"/>
          <w:lang w:eastAsia="zh-CN"/>
        </w:rPr>
      </w:pPr>
      <w:r>
        <w:rPr>
          <w:rFonts w:hint="eastAsia" w:hAnsi="宋体"/>
          <w:bCs/>
          <w:color w:val="000000"/>
          <w:sz w:val="24"/>
          <w:szCs w:val="24"/>
        </w:rPr>
        <w:t>（四）因服务不善造成采购人财产和经济损失的，采购人在书面通知中标供应商后，有权从合同款中扣除相关损失的费用。</w:t>
      </w:r>
    </w:p>
    <w:p>
      <w:pPr>
        <w:outlineLvl w:val="1"/>
        <w:rPr>
          <w:rFonts w:hint="eastAsia" w:ascii="宋体" w:hAnsi="宋体" w:eastAsia="宋体" w:cs="宋体"/>
          <w:b/>
          <w:snapToGrid w:val="0"/>
          <w:kern w:val="0"/>
          <w:sz w:val="28"/>
          <w:szCs w:val="28"/>
          <w:lang w:eastAsia="zh-CN"/>
        </w:rPr>
      </w:pPr>
      <w:r>
        <w:rPr>
          <w:rFonts w:hint="eastAsia" w:ascii="宋体" w:hAnsi="宋体" w:eastAsia="宋体" w:cs="宋体"/>
          <w:b/>
          <w:snapToGrid w:val="0"/>
          <w:kern w:val="0"/>
          <w:sz w:val="28"/>
          <w:szCs w:val="28"/>
          <w:lang w:eastAsia="zh-CN"/>
        </w:rPr>
        <w:t>八、项目实施和验收</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hAnsi="宋体"/>
          <w:bCs/>
          <w:color w:val="000000"/>
          <w:sz w:val="24"/>
          <w:szCs w:val="24"/>
        </w:rPr>
      </w:pPr>
      <w:r>
        <w:rPr>
          <w:rFonts w:hint="eastAsia" w:hAnsi="宋体"/>
          <w:bCs/>
          <w:color w:val="000000"/>
          <w:sz w:val="24"/>
          <w:szCs w:val="24"/>
        </w:rPr>
        <w:t>中标单位按询价文件及合同要求供货，并安装调试完成，采购人按技术要求组织验收，如供货时实际产品技术参数达不到询价文件的技术参数要求，采购人将终止</w:t>
      </w:r>
      <w:r>
        <w:rPr>
          <w:rFonts w:hint="eastAsia" w:hAnsi="宋体"/>
          <w:bCs/>
          <w:color w:val="000000"/>
          <w:sz w:val="24"/>
          <w:szCs w:val="24"/>
          <w:lang w:eastAsia="zh-CN"/>
        </w:rPr>
        <w:t>本项目</w:t>
      </w:r>
      <w:r>
        <w:rPr>
          <w:rFonts w:hint="eastAsia" w:hAnsi="宋体"/>
          <w:bCs/>
          <w:color w:val="000000"/>
          <w:sz w:val="24"/>
          <w:szCs w:val="24"/>
        </w:rPr>
        <w:t>，不支付任何货款且上报上级监督部门进行处理。</w:t>
      </w:r>
    </w:p>
    <w:p>
      <w:pPr>
        <w:keepNext w:val="0"/>
        <w:keepLines w:val="0"/>
        <w:pageBreakBefore w:val="0"/>
        <w:widowControl w:val="0"/>
        <w:kinsoku/>
        <w:wordWrap/>
        <w:overflowPunct/>
        <w:topLinePunct w:val="0"/>
        <w:autoSpaceDE/>
        <w:autoSpaceDN/>
        <w:bidi w:val="0"/>
        <w:adjustRightInd/>
        <w:spacing w:line="440" w:lineRule="exact"/>
        <w:textAlignment w:val="auto"/>
        <w:outlineLvl w:val="1"/>
        <w:rPr>
          <w:rFonts w:ascii="宋体" w:hAnsi="宋体" w:eastAsia="宋体" w:cs="宋体"/>
          <w:b/>
          <w:snapToGrid w:val="0"/>
          <w:kern w:val="0"/>
          <w:sz w:val="28"/>
          <w:szCs w:val="28"/>
        </w:rPr>
      </w:pPr>
      <w:r>
        <w:rPr>
          <w:rFonts w:hint="eastAsia" w:ascii="宋体" w:hAnsi="宋体" w:eastAsia="宋体" w:cs="宋体"/>
          <w:b/>
          <w:snapToGrid w:val="0"/>
          <w:kern w:val="0"/>
          <w:sz w:val="28"/>
          <w:szCs w:val="28"/>
          <w:lang w:eastAsia="zh-CN"/>
        </w:rPr>
        <w:t>九</w:t>
      </w:r>
      <w:r>
        <w:rPr>
          <w:rFonts w:hint="eastAsia" w:ascii="宋体" w:hAnsi="宋体" w:eastAsia="宋体" w:cs="宋体"/>
          <w:b/>
          <w:snapToGrid w:val="0"/>
          <w:kern w:val="0"/>
          <w:sz w:val="28"/>
          <w:szCs w:val="28"/>
        </w:rPr>
        <w:t>、质量保证及售后服务</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hAnsi="宋体"/>
          <w:bCs/>
          <w:color w:val="000000"/>
          <w:sz w:val="24"/>
          <w:szCs w:val="24"/>
          <w:lang w:eastAsia="zh-CN"/>
        </w:rPr>
      </w:pPr>
      <w:r>
        <w:rPr>
          <w:rFonts w:hint="eastAsia" w:hAnsi="宋体"/>
          <w:bCs/>
          <w:color w:val="000000"/>
          <w:sz w:val="24"/>
          <w:szCs w:val="24"/>
          <w:lang w:eastAsia="zh-CN"/>
        </w:rPr>
        <w:t>（一）质量保证期：</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hAnsi="宋体"/>
          <w:bCs/>
          <w:color w:val="000000"/>
          <w:sz w:val="24"/>
          <w:szCs w:val="24"/>
          <w:lang w:eastAsia="zh-CN"/>
        </w:rPr>
      </w:pPr>
      <w:r>
        <w:rPr>
          <w:rFonts w:hint="eastAsia" w:hAnsi="宋体"/>
          <w:bCs/>
          <w:color w:val="000000"/>
          <w:sz w:val="24"/>
          <w:szCs w:val="24"/>
          <w:lang w:eastAsia="zh-CN"/>
        </w:rPr>
        <w:t>自验收之日起，提供1年的免费质保期。</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hAnsi="宋体"/>
          <w:bCs/>
          <w:color w:val="000000"/>
          <w:sz w:val="24"/>
          <w:szCs w:val="24"/>
          <w:lang w:eastAsia="zh-CN"/>
        </w:rPr>
      </w:pPr>
      <w:r>
        <w:rPr>
          <w:rFonts w:hint="eastAsia" w:hAnsi="宋体"/>
          <w:bCs/>
          <w:color w:val="000000"/>
          <w:sz w:val="24"/>
          <w:szCs w:val="24"/>
          <w:lang w:eastAsia="zh-CN"/>
        </w:rPr>
        <w:t>（二）售后服务内容</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hAnsi="宋体"/>
          <w:bCs/>
          <w:color w:val="000000"/>
          <w:sz w:val="24"/>
          <w:szCs w:val="24"/>
          <w:lang w:val="en-US" w:eastAsia="zh-CN"/>
        </w:rPr>
      </w:pPr>
      <w:r>
        <w:rPr>
          <w:rFonts w:hint="eastAsia" w:hAnsi="宋体"/>
          <w:bCs/>
          <w:color w:val="000000"/>
          <w:sz w:val="24"/>
          <w:szCs w:val="24"/>
          <w:lang w:eastAsia="zh-CN"/>
        </w:rPr>
        <w:t>详见</w:t>
      </w:r>
      <w:r>
        <w:rPr>
          <w:rFonts w:hint="eastAsia" w:hAnsi="宋体"/>
          <w:bCs/>
          <w:color w:val="000000"/>
          <w:sz w:val="24"/>
          <w:szCs w:val="24"/>
          <w:lang w:val="en-US" w:eastAsia="zh-CN"/>
        </w:rPr>
        <w:t xml:space="preserve"> 二、</w:t>
      </w:r>
      <w:r>
        <w:rPr>
          <w:rFonts w:hint="eastAsia" w:hAnsi="宋体"/>
          <w:bCs/>
          <w:color w:val="000000"/>
          <w:sz w:val="24"/>
          <w:szCs w:val="24"/>
          <w:lang w:eastAsia="zh-CN"/>
        </w:rPr>
        <w:t>设备清单及技术要求</w:t>
      </w:r>
      <w:r>
        <w:rPr>
          <w:rFonts w:hint="eastAsia" w:hAnsi="宋体"/>
          <w:bCs/>
          <w:color w:val="000000"/>
          <w:sz w:val="24"/>
          <w:szCs w:val="24"/>
          <w:lang w:val="en-US" w:eastAsia="zh-CN"/>
        </w:rPr>
        <w:t xml:space="preserve"> （二）具体技术参数要求 中的“售后服务”内容。</w:t>
      </w:r>
    </w:p>
    <w:p>
      <w:pPr>
        <w:pStyle w:val="10"/>
        <w:keepNext w:val="0"/>
        <w:keepLines w:val="0"/>
        <w:pageBreakBefore w:val="0"/>
        <w:widowControl w:val="0"/>
        <w:kinsoku/>
        <w:wordWrap/>
        <w:overflowPunct/>
        <w:topLinePunct w:val="0"/>
        <w:autoSpaceDE/>
        <w:autoSpaceDN/>
        <w:bidi w:val="0"/>
        <w:adjustRightInd/>
        <w:spacing w:line="440" w:lineRule="exact"/>
        <w:textAlignment w:val="auto"/>
        <w:outlineLvl w:val="1"/>
        <w:rPr>
          <w:rFonts w:hAnsi="宋体"/>
          <w:color w:val="000000"/>
          <w:sz w:val="24"/>
          <w:szCs w:val="24"/>
        </w:rPr>
      </w:pPr>
      <w:r>
        <w:rPr>
          <w:rFonts w:hint="eastAsia" w:hAnsi="宋体" w:eastAsia="宋体" w:cs="宋体"/>
          <w:b/>
          <w:snapToGrid w:val="0"/>
          <w:kern w:val="0"/>
          <w:sz w:val="28"/>
          <w:szCs w:val="28"/>
          <w:lang w:eastAsia="zh-CN"/>
        </w:rPr>
        <w:t>十</w:t>
      </w:r>
      <w:r>
        <w:rPr>
          <w:rFonts w:hint="eastAsia" w:hAnsi="宋体" w:eastAsia="宋体" w:cs="宋体"/>
          <w:b/>
          <w:snapToGrid w:val="0"/>
          <w:kern w:val="0"/>
          <w:sz w:val="28"/>
          <w:szCs w:val="28"/>
        </w:rPr>
        <w:t>、其他说明</w:t>
      </w:r>
    </w:p>
    <w:p>
      <w:pPr>
        <w:pStyle w:val="12"/>
        <w:keepNext w:val="0"/>
        <w:keepLines w:val="0"/>
        <w:pageBreakBefore w:val="0"/>
        <w:widowControl w:val="0"/>
        <w:kinsoku/>
        <w:wordWrap/>
        <w:overflowPunct/>
        <w:topLinePunct w:val="0"/>
        <w:autoSpaceDE/>
        <w:autoSpaceDN/>
        <w:bidi w:val="0"/>
        <w:adjustRightInd/>
        <w:spacing w:line="440" w:lineRule="exact"/>
        <w:ind w:firstLine="480" w:firstLineChars="200"/>
        <w:textAlignment w:val="auto"/>
        <w:rPr>
          <w:rFonts w:hint="eastAsia" w:hAnsi="宋体"/>
          <w:color w:val="000000"/>
          <w:sz w:val="24"/>
          <w:szCs w:val="24"/>
        </w:rPr>
      </w:pPr>
      <w:r>
        <w:rPr>
          <w:rFonts w:hint="eastAsia" w:ascii="宋体" w:hAnsi="宋体" w:cs="宋体"/>
          <w:sz w:val="24"/>
          <w:szCs w:val="24"/>
          <w:lang w:eastAsia="zh-CN"/>
        </w:rPr>
        <w:t>（</w:t>
      </w:r>
      <w:r>
        <w:rPr>
          <w:rFonts w:hint="eastAsia" w:ascii="宋体" w:hAnsi="宋体" w:cs="宋体"/>
          <w:sz w:val="24"/>
          <w:szCs w:val="24"/>
          <w:lang w:val="en-US" w:eastAsia="zh-CN"/>
        </w:rPr>
        <w:t>一</w:t>
      </w:r>
      <w:r>
        <w:rPr>
          <w:rFonts w:hint="eastAsia" w:ascii="宋体" w:hAnsi="宋体" w:cs="宋体"/>
          <w:sz w:val="24"/>
          <w:szCs w:val="24"/>
          <w:lang w:eastAsia="zh-CN"/>
        </w:rPr>
        <w:t>）</w:t>
      </w:r>
      <w:r>
        <w:rPr>
          <w:rFonts w:hint="eastAsia" w:ascii="宋体" w:hAnsi="宋体" w:cs="宋体"/>
          <w:sz w:val="24"/>
          <w:szCs w:val="24"/>
        </w:rPr>
        <w:t>供货及安装</w:t>
      </w:r>
      <w:r>
        <w:rPr>
          <w:rFonts w:hint="eastAsia" w:ascii="宋体" w:hAnsi="宋体" w:cs="宋体"/>
          <w:sz w:val="24"/>
          <w:szCs w:val="24"/>
          <w:lang w:eastAsia="zh-CN"/>
        </w:rPr>
        <w:t>、服务</w:t>
      </w:r>
      <w:r>
        <w:rPr>
          <w:rFonts w:hint="eastAsia" w:ascii="宋体" w:hAnsi="宋体" w:cs="宋体"/>
          <w:sz w:val="24"/>
          <w:szCs w:val="24"/>
        </w:rPr>
        <w:t>期间，所有安全责任全部由中标人承担。</w:t>
      </w:r>
    </w:p>
    <w:p>
      <w:pPr>
        <w:pStyle w:val="12"/>
        <w:keepNext w:val="0"/>
        <w:keepLines w:val="0"/>
        <w:pageBreakBefore w:val="0"/>
        <w:widowControl w:val="0"/>
        <w:kinsoku/>
        <w:wordWrap/>
        <w:overflowPunct/>
        <w:topLinePunct w:val="0"/>
        <w:autoSpaceDE/>
        <w:autoSpaceDN/>
        <w:bidi w:val="0"/>
        <w:adjustRightInd/>
        <w:spacing w:line="440" w:lineRule="exact"/>
        <w:ind w:firstLine="480" w:firstLineChars="200"/>
        <w:textAlignment w:val="auto"/>
        <w:rPr>
          <w:rFonts w:hint="eastAsia" w:hAnsi="宋体"/>
          <w:color w:val="000000"/>
          <w:sz w:val="24"/>
          <w:szCs w:val="24"/>
        </w:rPr>
      </w:pPr>
      <w:r>
        <w:rPr>
          <w:rFonts w:hint="eastAsia" w:hAnsi="宋体"/>
          <w:color w:val="000000"/>
          <w:sz w:val="24"/>
          <w:szCs w:val="24"/>
        </w:rPr>
        <w:t>（</w:t>
      </w:r>
      <w:r>
        <w:rPr>
          <w:rFonts w:hint="eastAsia" w:hAnsi="宋体"/>
          <w:color w:val="000000"/>
          <w:sz w:val="24"/>
          <w:szCs w:val="24"/>
          <w:lang w:eastAsia="zh-CN"/>
        </w:rPr>
        <w:t>二</w:t>
      </w:r>
      <w:r>
        <w:rPr>
          <w:rFonts w:hint="eastAsia" w:hAnsi="宋体"/>
          <w:color w:val="000000"/>
          <w:sz w:val="24"/>
          <w:szCs w:val="24"/>
        </w:rPr>
        <w:t>）其他未尽事宜由供需双方在采购合同中详细约定。</w:t>
      </w:r>
    </w:p>
    <w:p>
      <w:pPr>
        <w:keepNext w:val="0"/>
        <w:keepLines w:val="0"/>
        <w:pageBreakBefore w:val="0"/>
        <w:widowControl w:val="0"/>
        <w:kinsoku/>
        <w:wordWrap/>
        <w:overflowPunct/>
        <w:topLinePunct w:val="0"/>
        <w:autoSpaceDE/>
        <w:autoSpaceDN/>
        <w:bidi w:val="0"/>
        <w:adjustRightInd/>
        <w:snapToGrid/>
        <w:spacing w:line="440" w:lineRule="exact"/>
        <w:textAlignment w:val="auto"/>
        <w:outlineLvl w:val="1"/>
        <w:rPr>
          <w:rFonts w:hint="eastAsia" w:ascii="宋体" w:hAnsi="宋体" w:eastAsia="宋体" w:cs="宋体"/>
          <w:b/>
          <w:snapToGrid w:val="0"/>
          <w:color w:val="auto"/>
          <w:kern w:val="0"/>
          <w:sz w:val="28"/>
          <w:szCs w:val="28"/>
          <w:lang w:eastAsia="zh-CN"/>
        </w:rPr>
      </w:pPr>
      <w:r>
        <w:rPr>
          <w:rFonts w:hint="eastAsia" w:ascii="宋体" w:hAnsi="宋体" w:eastAsia="宋体" w:cs="宋体"/>
          <w:b/>
          <w:snapToGrid w:val="0"/>
          <w:color w:val="auto"/>
          <w:kern w:val="0"/>
          <w:sz w:val="28"/>
          <w:szCs w:val="28"/>
          <w:lang w:eastAsia="zh-CN"/>
        </w:rPr>
        <w:t>十一、项目联系人</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bCs/>
          <w:color w:val="000000"/>
          <w:sz w:val="24"/>
          <w:szCs w:val="24"/>
        </w:rPr>
      </w:pPr>
      <w:r>
        <w:rPr>
          <w:rFonts w:hint="eastAsia" w:ascii="宋体" w:hAnsi="宋体" w:eastAsia="宋体" w:cs="宋体"/>
          <w:bCs/>
          <w:color w:val="000000"/>
          <w:sz w:val="24"/>
          <w:szCs w:val="24"/>
          <w:lang w:eastAsia="zh-CN"/>
        </w:rPr>
        <w:t>（一）</w:t>
      </w:r>
      <w:r>
        <w:rPr>
          <w:rFonts w:hint="eastAsia" w:ascii="宋体" w:hAnsi="宋体" w:eastAsia="宋体" w:cs="宋体"/>
          <w:bCs/>
          <w:color w:val="000000"/>
          <w:sz w:val="24"/>
          <w:szCs w:val="24"/>
        </w:rPr>
        <w:t>采购人：重庆医科大学</w:t>
      </w:r>
    </w:p>
    <w:p>
      <w:pPr>
        <w:keepNext w:val="0"/>
        <w:keepLines w:val="0"/>
        <w:pageBreakBefore w:val="0"/>
        <w:widowControl w:val="0"/>
        <w:kinsoku/>
        <w:wordWrap/>
        <w:overflowPunct/>
        <w:topLinePunct w:val="0"/>
        <w:autoSpaceDE/>
        <w:autoSpaceDN/>
        <w:bidi w:val="0"/>
        <w:adjustRightInd/>
        <w:snapToGrid/>
        <w:spacing w:line="440" w:lineRule="exact"/>
        <w:ind w:firstLine="720" w:firstLineChars="300"/>
        <w:textAlignment w:val="auto"/>
        <w:rPr>
          <w:rFonts w:hint="eastAsia" w:ascii="宋体" w:hAnsi="宋体" w:eastAsia="宋体" w:cs="宋体"/>
          <w:bCs/>
          <w:color w:val="000000"/>
          <w:sz w:val="24"/>
          <w:szCs w:val="24"/>
        </w:rPr>
      </w:pPr>
      <w:r>
        <w:rPr>
          <w:rFonts w:hint="eastAsia" w:ascii="宋体" w:hAnsi="宋体" w:eastAsia="宋体" w:cs="宋体"/>
          <w:bCs/>
          <w:color w:val="000000"/>
          <w:sz w:val="24"/>
          <w:szCs w:val="24"/>
        </w:rPr>
        <w:t>联系人：邓老师</w:t>
      </w:r>
    </w:p>
    <w:p>
      <w:pPr>
        <w:keepNext w:val="0"/>
        <w:keepLines w:val="0"/>
        <w:pageBreakBefore w:val="0"/>
        <w:widowControl w:val="0"/>
        <w:kinsoku/>
        <w:wordWrap/>
        <w:overflowPunct/>
        <w:topLinePunct w:val="0"/>
        <w:autoSpaceDE/>
        <w:autoSpaceDN/>
        <w:bidi w:val="0"/>
        <w:adjustRightInd/>
        <w:snapToGrid/>
        <w:spacing w:line="440" w:lineRule="exact"/>
        <w:ind w:firstLine="720" w:firstLineChars="300"/>
        <w:textAlignment w:val="auto"/>
        <w:rPr>
          <w:rFonts w:hint="eastAsia" w:ascii="宋体" w:hAnsi="宋体" w:eastAsia="宋体" w:cs="宋体"/>
          <w:bCs/>
          <w:color w:val="000000"/>
          <w:sz w:val="24"/>
          <w:szCs w:val="24"/>
        </w:rPr>
      </w:pPr>
      <w:r>
        <w:rPr>
          <w:rFonts w:hint="eastAsia" w:ascii="宋体" w:hAnsi="宋体" w:eastAsia="宋体" w:cs="宋体"/>
          <w:bCs/>
          <w:color w:val="000000"/>
          <w:sz w:val="24"/>
          <w:szCs w:val="24"/>
        </w:rPr>
        <w:t>电  话：</w:t>
      </w:r>
      <w:r>
        <w:rPr>
          <w:rFonts w:hint="eastAsia" w:ascii="宋体" w:hAnsi="宋体" w:eastAsia="宋体" w:cs="宋体"/>
          <w:bCs/>
          <w:color w:val="000000"/>
          <w:sz w:val="24"/>
          <w:szCs w:val="24"/>
          <w:lang w:val="en-US" w:eastAsia="zh-CN"/>
        </w:rPr>
        <w:t>023-</w:t>
      </w:r>
      <w:r>
        <w:rPr>
          <w:rFonts w:hint="eastAsia" w:ascii="宋体" w:hAnsi="宋体" w:eastAsia="宋体" w:cs="宋体"/>
          <w:bCs/>
          <w:color w:val="000000"/>
          <w:sz w:val="24"/>
          <w:szCs w:val="24"/>
        </w:rPr>
        <w:t>60334382</w:t>
      </w:r>
    </w:p>
    <w:p>
      <w:pPr>
        <w:keepNext w:val="0"/>
        <w:keepLines w:val="0"/>
        <w:pageBreakBefore w:val="0"/>
        <w:widowControl w:val="0"/>
        <w:kinsoku/>
        <w:wordWrap/>
        <w:overflowPunct/>
        <w:topLinePunct w:val="0"/>
        <w:autoSpaceDE/>
        <w:autoSpaceDN/>
        <w:bidi w:val="0"/>
        <w:adjustRightInd/>
        <w:snapToGrid/>
        <w:spacing w:line="440" w:lineRule="exact"/>
        <w:ind w:firstLine="720" w:firstLineChars="300"/>
        <w:textAlignment w:val="auto"/>
        <w:rPr>
          <w:rFonts w:hint="eastAsia" w:ascii="宋体" w:hAnsi="宋体" w:eastAsia="宋体" w:cs="宋体"/>
          <w:bCs/>
          <w:color w:val="000000"/>
          <w:sz w:val="24"/>
          <w:szCs w:val="24"/>
        </w:rPr>
      </w:pPr>
      <w:r>
        <w:rPr>
          <w:rFonts w:hint="eastAsia" w:ascii="宋体" w:hAnsi="宋体" w:eastAsia="宋体" w:cs="宋体"/>
          <w:bCs/>
          <w:color w:val="000000"/>
          <w:sz w:val="24"/>
          <w:szCs w:val="24"/>
        </w:rPr>
        <w:t>地  址： 重庆市渝中区医学院路1号重庆医科大学5号楼招标采购中心</w:t>
      </w:r>
    </w:p>
    <w:p>
      <w:pPr>
        <w:keepNext w:val="0"/>
        <w:keepLines w:val="0"/>
        <w:pageBreakBefore w:val="0"/>
        <w:widowControl w:val="0"/>
        <w:numPr>
          <w:ilvl w:val="0"/>
          <w:numId w:val="8"/>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bCs/>
          <w:color w:val="000000"/>
          <w:sz w:val="24"/>
          <w:szCs w:val="24"/>
          <w:lang w:eastAsia="zh-CN"/>
        </w:rPr>
      </w:pPr>
      <w:r>
        <w:rPr>
          <w:rFonts w:hint="eastAsia" w:ascii="宋体" w:hAnsi="宋体" w:eastAsia="宋体" w:cs="宋体"/>
          <w:bCs/>
          <w:color w:val="000000"/>
          <w:sz w:val="24"/>
          <w:szCs w:val="24"/>
          <w:lang w:eastAsia="zh-CN"/>
        </w:rPr>
        <w:t>使用部门：重庆医科大学信息中心</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bCs/>
          <w:color w:val="000000"/>
          <w:sz w:val="24"/>
          <w:szCs w:val="24"/>
          <w:lang w:val="en-US" w:eastAsia="zh-CN"/>
        </w:rPr>
      </w:pPr>
      <w:r>
        <w:rPr>
          <w:rFonts w:hint="eastAsia" w:ascii="宋体" w:hAnsi="宋体" w:eastAsia="宋体" w:cs="宋体"/>
          <w:sz w:val="24"/>
          <w:szCs w:val="24"/>
          <w:lang w:val="en-US" w:eastAsia="zh-CN"/>
        </w:rPr>
        <w:t xml:space="preserve">  </w:t>
      </w:r>
      <w:r>
        <w:rPr>
          <w:rFonts w:hint="eastAsia" w:ascii="宋体" w:hAnsi="宋体" w:eastAsia="宋体" w:cs="宋体"/>
          <w:bCs/>
          <w:color w:val="000000"/>
          <w:sz w:val="24"/>
          <w:szCs w:val="24"/>
          <w:lang w:val="en-US" w:eastAsia="zh-CN"/>
        </w:rPr>
        <w:t>联系人：杨老师</w:t>
      </w:r>
    </w:p>
    <w:p>
      <w:pPr>
        <w:keepNext w:val="0"/>
        <w:keepLines w:val="0"/>
        <w:pageBreakBefore w:val="0"/>
        <w:widowControl w:val="0"/>
        <w:kinsoku/>
        <w:wordWrap/>
        <w:overflowPunct/>
        <w:topLinePunct w:val="0"/>
        <w:autoSpaceDE/>
        <w:autoSpaceDN/>
        <w:bidi w:val="0"/>
        <w:adjustRightInd/>
        <w:snapToGrid/>
        <w:spacing w:line="440" w:lineRule="exact"/>
        <w:ind w:firstLine="720" w:firstLineChars="300"/>
        <w:textAlignment w:val="auto"/>
        <w:rPr>
          <w:rFonts w:hint="eastAsia" w:hAnsi="宋体" w:asciiTheme="minorHAnsi" w:eastAsiaTheme="minorEastAsia" w:cstheme="minorBidi"/>
          <w:color w:val="000000"/>
          <w:kern w:val="2"/>
          <w:sz w:val="24"/>
          <w:szCs w:val="24"/>
          <w:lang w:val="en-US" w:eastAsia="zh-CN" w:bidi="ar-SA"/>
        </w:rPr>
      </w:pPr>
      <w:r>
        <w:rPr>
          <w:rFonts w:hint="eastAsia" w:hAnsi="宋体" w:asciiTheme="minorHAnsi" w:eastAsiaTheme="minorEastAsia" w:cstheme="minorBidi"/>
          <w:color w:val="000000"/>
          <w:kern w:val="2"/>
          <w:sz w:val="24"/>
          <w:szCs w:val="24"/>
          <w:lang w:val="en-US" w:eastAsia="zh-CN" w:bidi="ar-SA"/>
        </w:rPr>
        <w:t>电  话</w:t>
      </w:r>
      <w:r>
        <w:rPr>
          <w:rFonts w:hint="eastAsia" w:ascii="宋体" w:hAnsi="宋体" w:eastAsia="宋体" w:cs="宋体"/>
          <w:bCs/>
          <w:color w:val="000000"/>
          <w:sz w:val="24"/>
          <w:szCs w:val="24"/>
          <w:lang w:val="en-US" w:eastAsia="zh-CN"/>
        </w:rPr>
        <w:t>：023-68480445</w:t>
      </w:r>
    </w:p>
    <w:p>
      <w:pPr>
        <w:keepNext w:val="0"/>
        <w:keepLines w:val="0"/>
        <w:pageBreakBefore w:val="0"/>
        <w:widowControl w:val="0"/>
        <w:numPr>
          <w:ilvl w:val="0"/>
          <w:numId w:val="9"/>
        </w:numPr>
        <w:kinsoku/>
        <w:wordWrap/>
        <w:overflowPunct/>
        <w:topLinePunct w:val="0"/>
        <w:autoSpaceDE/>
        <w:autoSpaceDN/>
        <w:bidi w:val="0"/>
        <w:adjustRightInd/>
        <w:snapToGrid/>
        <w:spacing w:line="440" w:lineRule="exact"/>
        <w:textAlignment w:val="auto"/>
        <w:outlineLvl w:val="1"/>
        <w:rPr>
          <w:rFonts w:hint="eastAsia" w:ascii="宋体" w:hAnsi="宋体" w:eastAsia="宋体" w:cs="宋体"/>
          <w:b/>
          <w:snapToGrid w:val="0"/>
          <w:color w:val="auto"/>
          <w:kern w:val="0"/>
          <w:sz w:val="28"/>
          <w:szCs w:val="28"/>
          <w:lang w:val="en-US" w:eastAsia="zh-CN"/>
        </w:rPr>
      </w:pPr>
      <w:r>
        <w:rPr>
          <w:rFonts w:hint="eastAsia" w:ascii="宋体" w:hAnsi="宋体" w:eastAsia="宋体" w:cs="宋体"/>
          <w:b/>
          <w:snapToGrid w:val="0"/>
          <w:color w:val="auto"/>
          <w:kern w:val="0"/>
          <w:sz w:val="28"/>
          <w:szCs w:val="28"/>
          <w:lang w:val="en-US" w:eastAsia="zh-CN"/>
        </w:rPr>
        <w:t>响应文件提交要求</w:t>
      </w:r>
    </w:p>
    <w:p>
      <w:pPr>
        <w:pStyle w:val="12"/>
        <w:keepNext w:val="0"/>
        <w:keepLines w:val="0"/>
        <w:pageBreakBefore w:val="0"/>
        <w:widowControl w:val="0"/>
        <w:kinsoku/>
        <w:wordWrap/>
        <w:overflowPunct/>
        <w:topLinePunct w:val="0"/>
        <w:autoSpaceDE/>
        <w:autoSpaceDN/>
        <w:bidi w:val="0"/>
        <w:adjustRightInd/>
        <w:spacing w:line="440" w:lineRule="exact"/>
        <w:ind w:firstLine="480" w:firstLineChars="200"/>
        <w:textAlignment w:val="auto"/>
        <w:rPr>
          <w:rFonts w:hint="eastAsia" w:hAnsi="宋体"/>
          <w:color w:val="000000"/>
          <w:sz w:val="24"/>
          <w:szCs w:val="24"/>
          <w:lang w:val="en-US" w:eastAsia="zh-CN"/>
        </w:rPr>
      </w:pPr>
      <w:r>
        <w:rPr>
          <w:rFonts w:hint="eastAsia" w:hAnsi="宋体"/>
          <w:color w:val="000000"/>
          <w:sz w:val="24"/>
          <w:szCs w:val="24"/>
          <w:lang w:val="en-US" w:eastAsia="zh-CN"/>
        </w:rPr>
        <w:t>（一）投标时上传营业执照扫描件。</w:t>
      </w:r>
    </w:p>
    <w:p>
      <w:pPr>
        <w:pStyle w:val="12"/>
        <w:keepNext w:val="0"/>
        <w:keepLines w:val="0"/>
        <w:pageBreakBefore w:val="0"/>
        <w:widowControl w:val="0"/>
        <w:kinsoku/>
        <w:wordWrap/>
        <w:overflowPunct/>
        <w:topLinePunct w:val="0"/>
        <w:autoSpaceDE/>
        <w:autoSpaceDN/>
        <w:bidi w:val="0"/>
        <w:adjustRightInd/>
        <w:spacing w:line="440" w:lineRule="exact"/>
        <w:ind w:firstLine="480" w:firstLineChars="200"/>
        <w:textAlignment w:val="auto"/>
        <w:rPr>
          <w:rFonts w:hint="eastAsia" w:hAnsi="宋体"/>
          <w:color w:val="000000"/>
          <w:sz w:val="24"/>
          <w:szCs w:val="24"/>
          <w:lang w:val="en-US" w:eastAsia="zh-CN"/>
        </w:rPr>
      </w:pPr>
      <w:r>
        <w:rPr>
          <w:rFonts w:hint="eastAsia" w:hAnsi="宋体"/>
          <w:color w:val="000000"/>
          <w:sz w:val="24"/>
          <w:szCs w:val="24"/>
          <w:lang w:val="en-US" w:eastAsia="zh-CN"/>
        </w:rPr>
        <w:t>（二）扫描上传盖有投标人公章的报价表。</w:t>
      </w:r>
    </w:p>
    <w:p>
      <w:pPr>
        <w:pStyle w:val="12"/>
        <w:keepNext w:val="0"/>
        <w:keepLines w:val="0"/>
        <w:pageBreakBefore w:val="0"/>
        <w:widowControl w:val="0"/>
        <w:kinsoku/>
        <w:wordWrap/>
        <w:overflowPunct/>
        <w:topLinePunct w:val="0"/>
        <w:autoSpaceDE/>
        <w:autoSpaceDN/>
        <w:bidi w:val="0"/>
        <w:adjustRightInd/>
        <w:spacing w:line="440" w:lineRule="exact"/>
        <w:ind w:firstLine="480" w:firstLineChars="200"/>
        <w:textAlignment w:val="auto"/>
        <w:rPr>
          <w:rFonts w:hint="default" w:hAnsi="宋体"/>
          <w:color w:val="000000"/>
          <w:sz w:val="24"/>
          <w:szCs w:val="24"/>
          <w:lang w:val="en-US" w:eastAsia="zh-CN"/>
        </w:rPr>
      </w:pPr>
      <w:r>
        <w:rPr>
          <w:rFonts w:hint="eastAsia" w:ascii="宋体" w:hAnsi="宋体"/>
          <w:color w:val="000000"/>
          <w:sz w:val="24"/>
          <w:szCs w:val="24"/>
          <w:highlight w:val="none"/>
          <w:lang w:val="en-US" w:eastAsia="zh-CN"/>
        </w:rPr>
        <w:t>（三）扫描上传询价文件中要求上传的其他相关特定资料（如果有）。</w:t>
      </w:r>
    </w:p>
    <w:p>
      <w:pPr>
        <w:pStyle w:val="12"/>
        <w:keepNext w:val="0"/>
        <w:keepLines w:val="0"/>
        <w:pageBreakBefore w:val="0"/>
        <w:widowControl w:val="0"/>
        <w:kinsoku/>
        <w:wordWrap/>
        <w:overflowPunct/>
        <w:topLinePunct w:val="0"/>
        <w:autoSpaceDE/>
        <w:autoSpaceDN/>
        <w:bidi w:val="0"/>
        <w:adjustRightInd/>
        <w:spacing w:line="440" w:lineRule="exact"/>
        <w:ind w:firstLine="480" w:firstLineChars="200"/>
        <w:textAlignment w:val="auto"/>
        <w:rPr>
          <w:rFonts w:hint="eastAsia" w:hAnsi="宋体"/>
          <w:color w:val="000000"/>
          <w:sz w:val="24"/>
          <w:szCs w:val="24"/>
          <w:lang w:val="en-US" w:eastAsia="zh-CN"/>
        </w:rPr>
      </w:pPr>
      <w:r>
        <w:rPr>
          <w:rFonts w:hint="eastAsia" w:hAnsi="宋体"/>
          <w:color w:val="000000"/>
          <w:sz w:val="24"/>
          <w:szCs w:val="24"/>
          <w:lang w:val="en-US" w:eastAsia="zh-CN"/>
        </w:rPr>
        <w:t>（四）产品投标时不需要上传产品资料（除要求上传的特定资料外），但中标公示后2个工作日内需提供所有产品的相关检测报告及其他产品参数证明文件（产品生产厂家盖鲜章）供采购人使用部门审核，如中标人不能在规定时间内提供相关的资料或提供的产品资料不能证明产品满足本询价文件的参数要求，将视其为虚假应标，取消其中标资格，并禁止其再次参与本项目相关内容投标。提交资料前，可联系使用部门联系人。</w:t>
      </w:r>
    </w:p>
    <w:p>
      <w:pPr>
        <w:pStyle w:val="10"/>
        <w:keepNext w:val="0"/>
        <w:keepLines w:val="0"/>
        <w:pageBreakBefore w:val="0"/>
        <w:widowControl w:val="0"/>
        <w:kinsoku/>
        <w:wordWrap/>
        <w:overflowPunct/>
        <w:topLinePunct w:val="0"/>
        <w:autoSpaceDE/>
        <w:autoSpaceDN/>
        <w:bidi w:val="0"/>
        <w:adjustRightInd/>
        <w:spacing w:line="440" w:lineRule="exact"/>
        <w:textAlignment w:val="auto"/>
        <w:outlineLvl w:val="1"/>
        <w:rPr>
          <w:rFonts w:hint="eastAsia" w:hAnsi="宋体" w:eastAsia="宋体" w:cs="宋体"/>
          <w:b/>
          <w:snapToGrid w:val="0"/>
          <w:kern w:val="0"/>
          <w:sz w:val="28"/>
          <w:szCs w:val="28"/>
          <w:lang w:eastAsia="zh-CN"/>
        </w:rPr>
      </w:pPr>
      <w:r>
        <w:rPr>
          <w:rFonts w:hint="eastAsia" w:hAnsi="宋体" w:eastAsia="宋体" w:cs="宋体"/>
          <w:b/>
          <w:snapToGrid w:val="0"/>
          <w:kern w:val="0"/>
          <w:sz w:val="28"/>
          <w:szCs w:val="28"/>
          <w:lang w:eastAsia="zh-CN"/>
        </w:rPr>
        <w:t>十三、成交及废标原则</w:t>
      </w:r>
    </w:p>
    <w:p>
      <w:pPr>
        <w:pStyle w:val="12"/>
        <w:keepNext w:val="0"/>
        <w:keepLines w:val="0"/>
        <w:pageBreakBefore w:val="0"/>
        <w:widowControl w:val="0"/>
        <w:kinsoku/>
        <w:wordWrap/>
        <w:overflowPunct/>
        <w:topLinePunct w:val="0"/>
        <w:autoSpaceDE/>
        <w:autoSpaceDN/>
        <w:bidi w:val="0"/>
        <w:adjustRightInd/>
        <w:spacing w:line="440" w:lineRule="exact"/>
        <w:ind w:firstLine="480" w:firstLineChars="200"/>
        <w:textAlignment w:val="auto"/>
        <w:rPr>
          <w:rFonts w:hint="eastAsia" w:hAnsi="宋体"/>
          <w:color w:val="000000"/>
          <w:sz w:val="24"/>
          <w:szCs w:val="24"/>
          <w:lang w:eastAsia="zh-CN"/>
        </w:rPr>
      </w:pPr>
      <w:r>
        <w:rPr>
          <w:rFonts w:hint="eastAsia" w:hAnsi="宋体"/>
          <w:color w:val="000000"/>
          <w:sz w:val="24"/>
          <w:szCs w:val="24"/>
          <w:lang w:val="en-US" w:eastAsia="zh-CN"/>
        </w:rPr>
        <w:t>（一）成交原则：</w:t>
      </w:r>
    </w:p>
    <w:p>
      <w:pPr>
        <w:pStyle w:val="12"/>
        <w:keepNext w:val="0"/>
        <w:keepLines w:val="0"/>
        <w:pageBreakBefore w:val="0"/>
        <w:widowControl w:val="0"/>
        <w:kinsoku/>
        <w:wordWrap/>
        <w:overflowPunct/>
        <w:topLinePunct w:val="0"/>
        <w:autoSpaceDE/>
        <w:autoSpaceDN/>
        <w:bidi w:val="0"/>
        <w:adjustRightInd/>
        <w:spacing w:line="440" w:lineRule="exact"/>
        <w:ind w:firstLine="480" w:firstLineChars="200"/>
        <w:textAlignment w:val="auto"/>
        <w:rPr>
          <w:rFonts w:hint="eastAsia" w:hAnsi="宋体"/>
          <w:color w:val="000000"/>
          <w:sz w:val="24"/>
          <w:szCs w:val="24"/>
          <w:lang w:eastAsia="zh-CN"/>
        </w:rPr>
      </w:pPr>
      <w:r>
        <w:rPr>
          <w:rFonts w:hint="eastAsia" w:hAnsi="宋体"/>
          <w:color w:val="000000"/>
          <w:sz w:val="24"/>
          <w:szCs w:val="24"/>
          <w:lang w:val="en-US" w:eastAsia="zh-CN"/>
        </w:rPr>
        <w:t>在符合项目要求的供应商数量不少于“3家”的前提下，按报价最低的原则推荐成交供应商，如出现两个以上相同最低报价的，由采购人自行选择成交供应商。</w:t>
      </w:r>
    </w:p>
    <w:p>
      <w:pPr>
        <w:pStyle w:val="12"/>
        <w:keepNext w:val="0"/>
        <w:keepLines w:val="0"/>
        <w:pageBreakBefore w:val="0"/>
        <w:widowControl w:val="0"/>
        <w:kinsoku/>
        <w:wordWrap/>
        <w:overflowPunct/>
        <w:topLinePunct w:val="0"/>
        <w:autoSpaceDE/>
        <w:autoSpaceDN/>
        <w:bidi w:val="0"/>
        <w:adjustRightInd/>
        <w:spacing w:line="440" w:lineRule="exact"/>
        <w:ind w:firstLine="480" w:firstLineChars="200"/>
        <w:textAlignment w:val="auto"/>
        <w:rPr>
          <w:rFonts w:hint="eastAsia" w:hAnsi="宋体"/>
          <w:color w:val="000000"/>
          <w:sz w:val="24"/>
          <w:szCs w:val="24"/>
          <w:lang w:eastAsia="zh-CN"/>
        </w:rPr>
      </w:pPr>
      <w:r>
        <w:rPr>
          <w:rFonts w:hint="eastAsia" w:hAnsi="宋体"/>
          <w:color w:val="000000"/>
          <w:sz w:val="24"/>
          <w:szCs w:val="24"/>
          <w:lang w:val="en-US" w:eastAsia="zh-CN"/>
        </w:rPr>
        <w:t>（二）采购异议处理：</w:t>
      </w:r>
    </w:p>
    <w:p>
      <w:pPr>
        <w:pStyle w:val="12"/>
        <w:keepNext w:val="0"/>
        <w:keepLines w:val="0"/>
        <w:pageBreakBefore w:val="0"/>
        <w:widowControl w:val="0"/>
        <w:kinsoku/>
        <w:wordWrap/>
        <w:overflowPunct/>
        <w:topLinePunct w:val="0"/>
        <w:autoSpaceDE/>
        <w:autoSpaceDN/>
        <w:bidi w:val="0"/>
        <w:adjustRightInd/>
        <w:spacing w:line="440" w:lineRule="exact"/>
        <w:ind w:firstLine="480" w:firstLineChars="200"/>
        <w:textAlignment w:val="auto"/>
        <w:rPr>
          <w:rFonts w:hint="eastAsia" w:hAnsi="宋体"/>
          <w:color w:val="000000"/>
          <w:sz w:val="24"/>
          <w:szCs w:val="24"/>
          <w:lang w:eastAsia="zh-CN"/>
        </w:rPr>
      </w:pPr>
      <w:r>
        <w:rPr>
          <w:rFonts w:hint="eastAsia" w:hAnsi="宋体"/>
          <w:color w:val="000000"/>
          <w:sz w:val="24"/>
          <w:szCs w:val="24"/>
          <w:lang w:eastAsia="zh-CN"/>
        </w:rPr>
        <w:t>1、供应商对采购文件中供应商特定资格条件、技术质量和商务要求、评审标准及评审细则有异议的，应及时向采购人提出。</w:t>
      </w:r>
    </w:p>
    <w:p>
      <w:pPr>
        <w:pStyle w:val="12"/>
        <w:keepNext w:val="0"/>
        <w:keepLines w:val="0"/>
        <w:pageBreakBefore w:val="0"/>
        <w:widowControl w:val="0"/>
        <w:kinsoku/>
        <w:wordWrap/>
        <w:overflowPunct/>
        <w:topLinePunct w:val="0"/>
        <w:autoSpaceDE/>
        <w:autoSpaceDN/>
        <w:bidi w:val="0"/>
        <w:adjustRightInd/>
        <w:spacing w:line="440" w:lineRule="exact"/>
        <w:ind w:firstLine="480" w:firstLineChars="200"/>
        <w:textAlignment w:val="auto"/>
        <w:rPr>
          <w:rFonts w:hint="eastAsia" w:hAnsi="宋体"/>
          <w:color w:val="000000"/>
          <w:sz w:val="24"/>
          <w:szCs w:val="24"/>
          <w:lang w:eastAsia="zh-CN"/>
        </w:rPr>
      </w:pPr>
      <w:r>
        <w:rPr>
          <w:rFonts w:hint="eastAsia" w:hAnsi="宋体"/>
          <w:color w:val="000000"/>
          <w:sz w:val="24"/>
          <w:szCs w:val="24"/>
          <w:lang w:eastAsia="zh-CN"/>
        </w:rPr>
        <w:t>2、供应商对成交结果或中标结果有异议的，应当在成交预公示发布之日起</w:t>
      </w:r>
      <w:r>
        <w:rPr>
          <w:rFonts w:hint="eastAsia" w:hAnsi="宋体"/>
          <w:color w:val="000000"/>
          <w:sz w:val="24"/>
          <w:szCs w:val="24"/>
          <w:lang w:val="en-US" w:eastAsia="zh-CN"/>
        </w:rPr>
        <w:t>1</w:t>
      </w:r>
      <w:r>
        <w:rPr>
          <w:rFonts w:hint="eastAsia" w:hAnsi="宋体"/>
          <w:color w:val="000000"/>
          <w:sz w:val="24"/>
          <w:szCs w:val="24"/>
          <w:lang w:eastAsia="zh-CN"/>
        </w:rPr>
        <w:t>个日历日内以书面形式向采购人提出，并附相关证明材料。</w:t>
      </w:r>
    </w:p>
    <w:p>
      <w:pPr>
        <w:pStyle w:val="12"/>
        <w:keepNext w:val="0"/>
        <w:keepLines w:val="0"/>
        <w:pageBreakBefore w:val="0"/>
        <w:widowControl w:val="0"/>
        <w:kinsoku/>
        <w:wordWrap/>
        <w:overflowPunct/>
        <w:topLinePunct w:val="0"/>
        <w:autoSpaceDE/>
        <w:autoSpaceDN/>
        <w:bidi w:val="0"/>
        <w:adjustRightInd/>
        <w:spacing w:line="440" w:lineRule="exact"/>
        <w:ind w:firstLine="480" w:firstLineChars="200"/>
        <w:textAlignment w:val="auto"/>
        <w:rPr>
          <w:rFonts w:hint="eastAsia" w:hAnsi="宋体"/>
          <w:color w:val="000000"/>
          <w:sz w:val="24"/>
          <w:szCs w:val="24"/>
          <w:lang w:eastAsia="zh-CN"/>
        </w:rPr>
      </w:pPr>
      <w:r>
        <w:rPr>
          <w:rFonts w:hint="eastAsia" w:hAnsi="宋体"/>
          <w:color w:val="000000"/>
          <w:sz w:val="24"/>
          <w:szCs w:val="24"/>
          <w:lang w:eastAsia="zh-CN"/>
        </w:rPr>
        <w:t>3、采购人在收到供应商书面异议后</w:t>
      </w:r>
      <w:r>
        <w:rPr>
          <w:rFonts w:hint="eastAsia" w:hAnsi="宋体"/>
          <w:color w:val="000000"/>
          <w:sz w:val="24"/>
          <w:szCs w:val="24"/>
          <w:lang w:val="en-US" w:eastAsia="zh-CN"/>
        </w:rPr>
        <w:t>3</w:t>
      </w:r>
      <w:r>
        <w:rPr>
          <w:rFonts w:hint="eastAsia" w:hAnsi="宋体"/>
          <w:color w:val="000000"/>
          <w:sz w:val="24"/>
          <w:szCs w:val="24"/>
          <w:lang w:eastAsia="zh-CN"/>
        </w:rPr>
        <w:t>个工作日内，通过书面方式对异议进行答复。</w:t>
      </w:r>
    </w:p>
    <w:p>
      <w:pPr>
        <w:pStyle w:val="12"/>
        <w:keepNext w:val="0"/>
        <w:keepLines w:val="0"/>
        <w:pageBreakBefore w:val="0"/>
        <w:widowControl w:val="0"/>
        <w:kinsoku/>
        <w:wordWrap/>
        <w:overflowPunct/>
        <w:topLinePunct w:val="0"/>
        <w:autoSpaceDE/>
        <w:autoSpaceDN/>
        <w:bidi w:val="0"/>
        <w:adjustRightInd/>
        <w:spacing w:line="440" w:lineRule="exact"/>
        <w:ind w:firstLine="480" w:firstLineChars="200"/>
        <w:textAlignment w:val="auto"/>
        <w:rPr>
          <w:rFonts w:hint="eastAsia" w:hAnsi="宋体"/>
          <w:color w:val="000000"/>
          <w:sz w:val="24"/>
          <w:szCs w:val="24"/>
          <w:lang w:eastAsia="zh-CN"/>
        </w:rPr>
      </w:pPr>
      <w:r>
        <w:rPr>
          <w:rFonts w:hint="eastAsia" w:hAnsi="宋体"/>
          <w:color w:val="000000"/>
          <w:sz w:val="24"/>
          <w:szCs w:val="24"/>
          <w:lang w:eastAsia="zh-CN"/>
        </w:rPr>
        <w:t>4、对于供应商弄虚作假、恶意中标或中标后不履行服务承诺等不良行为，采购人有权取消其中标资格或扣除全部保证金。情节严重者，直接列入“重庆医科大学采购黑名单”。</w:t>
      </w:r>
    </w:p>
    <w:p>
      <w:pPr>
        <w:pStyle w:val="12"/>
        <w:keepNext w:val="0"/>
        <w:keepLines w:val="0"/>
        <w:pageBreakBefore w:val="0"/>
        <w:widowControl w:val="0"/>
        <w:kinsoku/>
        <w:wordWrap/>
        <w:overflowPunct/>
        <w:topLinePunct w:val="0"/>
        <w:autoSpaceDE/>
        <w:autoSpaceDN/>
        <w:bidi w:val="0"/>
        <w:adjustRightInd/>
        <w:spacing w:line="440" w:lineRule="exact"/>
        <w:ind w:firstLine="480" w:firstLineChars="200"/>
        <w:textAlignment w:val="auto"/>
        <w:rPr>
          <w:rFonts w:hint="eastAsia" w:hAnsi="宋体"/>
          <w:color w:val="000000"/>
          <w:sz w:val="24"/>
          <w:szCs w:val="24"/>
          <w:lang w:eastAsia="zh-CN"/>
        </w:rPr>
      </w:pPr>
      <w:r>
        <w:rPr>
          <w:rFonts w:hint="eastAsia" w:hAnsi="宋体"/>
          <w:color w:val="000000"/>
          <w:sz w:val="24"/>
          <w:szCs w:val="24"/>
          <w:lang w:val="en-US" w:eastAsia="zh-CN"/>
        </w:rPr>
        <w:t>（三）废标条款</w:t>
      </w:r>
    </w:p>
    <w:p>
      <w:pPr>
        <w:pStyle w:val="12"/>
        <w:keepNext w:val="0"/>
        <w:keepLines w:val="0"/>
        <w:pageBreakBefore w:val="0"/>
        <w:widowControl w:val="0"/>
        <w:kinsoku/>
        <w:wordWrap/>
        <w:overflowPunct/>
        <w:topLinePunct w:val="0"/>
        <w:autoSpaceDE/>
        <w:autoSpaceDN/>
        <w:bidi w:val="0"/>
        <w:adjustRightInd/>
        <w:spacing w:line="440" w:lineRule="exact"/>
        <w:ind w:firstLine="480" w:firstLineChars="200"/>
        <w:textAlignment w:val="auto"/>
        <w:rPr>
          <w:rFonts w:hint="eastAsia" w:hAnsi="宋体"/>
          <w:color w:val="000000"/>
          <w:sz w:val="24"/>
          <w:szCs w:val="24"/>
          <w:lang w:eastAsia="zh-CN"/>
        </w:rPr>
      </w:pPr>
      <w:r>
        <w:rPr>
          <w:rFonts w:hint="eastAsia" w:hAnsi="宋体"/>
          <w:color w:val="000000"/>
          <w:sz w:val="24"/>
          <w:szCs w:val="24"/>
          <w:lang w:eastAsia="zh-CN"/>
        </w:rPr>
        <w:t>出现下列情形之一的，采购人有权终止询价采购活动，发布项目终止公告并说明原因，根据采购人需求视情进行重新采购：</w:t>
      </w:r>
    </w:p>
    <w:p>
      <w:pPr>
        <w:pStyle w:val="12"/>
        <w:keepNext w:val="0"/>
        <w:keepLines w:val="0"/>
        <w:pageBreakBefore w:val="0"/>
        <w:widowControl w:val="0"/>
        <w:kinsoku/>
        <w:wordWrap/>
        <w:overflowPunct/>
        <w:topLinePunct w:val="0"/>
        <w:autoSpaceDE/>
        <w:autoSpaceDN/>
        <w:bidi w:val="0"/>
        <w:adjustRightInd/>
        <w:spacing w:line="440" w:lineRule="exact"/>
        <w:ind w:left="479" w:leftChars="228" w:firstLine="0" w:firstLineChars="0"/>
        <w:textAlignment w:val="auto"/>
        <w:rPr>
          <w:rFonts w:hint="eastAsia" w:hAnsi="宋体"/>
          <w:color w:val="000000"/>
          <w:sz w:val="24"/>
          <w:szCs w:val="24"/>
          <w:lang w:eastAsia="zh-CN"/>
        </w:rPr>
      </w:pPr>
      <w:r>
        <w:rPr>
          <w:rFonts w:hint="eastAsia" w:hAnsi="宋体"/>
          <w:color w:val="000000"/>
          <w:sz w:val="24"/>
          <w:szCs w:val="24"/>
          <w:lang w:eastAsia="zh-CN"/>
        </w:rPr>
        <w:t>1、因采购人需求做了变更，又无法补遗的情况下；</w:t>
      </w:r>
    </w:p>
    <w:p>
      <w:pPr>
        <w:pStyle w:val="12"/>
        <w:keepNext w:val="0"/>
        <w:keepLines w:val="0"/>
        <w:pageBreakBefore w:val="0"/>
        <w:widowControl w:val="0"/>
        <w:kinsoku/>
        <w:wordWrap/>
        <w:overflowPunct/>
        <w:topLinePunct w:val="0"/>
        <w:autoSpaceDE/>
        <w:autoSpaceDN/>
        <w:bidi w:val="0"/>
        <w:adjustRightInd/>
        <w:spacing w:line="440" w:lineRule="exact"/>
        <w:ind w:left="479" w:leftChars="228" w:firstLine="0" w:firstLineChars="0"/>
        <w:textAlignment w:val="auto"/>
        <w:rPr>
          <w:rFonts w:hint="eastAsia" w:hAnsi="宋体"/>
          <w:color w:val="000000"/>
          <w:sz w:val="24"/>
          <w:szCs w:val="24"/>
          <w:lang w:eastAsia="zh-CN"/>
        </w:rPr>
      </w:pPr>
      <w:r>
        <w:rPr>
          <w:rFonts w:hint="eastAsia" w:hAnsi="宋体"/>
          <w:color w:val="000000"/>
          <w:sz w:val="24"/>
          <w:szCs w:val="24"/>
          <w:lang w:eastAsia="zh-CN"/>
        </w:rPr>
        <w:t>2、出现影响采购公正的违法、违规行为的；</w:t>
      </w:r>
    </w:p>
    <w:p>
      <w:pPr>
        <w:pStyle w:val="12"/>
        <w:keepNext w:val="0"/>
        <w:keepLines w:val="0"/>
        <w:pageBreakBefore w:val="0"/>
        <w:widowControl w:val="0"/>
        <w:kinsoku/>
        <w:wordWrap/>
        <w:overflowPunct/>
        <w:topLinePunct w:val="0"/>
        <w:autoSpaceDE/>
        <w:autoSpaceDN/>
        <w:bidi w:val="0"/>
        <w:adjustRightInd/>
        <w:spacing w:line="440" w:lineRule="exact"/>
        <w:ind w:left="479" w:leftChars="228" w:firstLine="0" w:firstLineChars="0"/>
        <w:textAlignment w:val="auto"/>
        <w:rPr>
          <w:rFonts w:hint="eastAsia" w:hAnsi="宋体"/>
          <w:color w:val="000000"/>
          <w:sz w:val="24"/>
          <w:szCs w:val="24"/>
          <w:lang w:eastAsia="zh-CN"/>
        </w:rPr>
      </w:pPr>
      <w:r>
        <w:rPr>
          <w:rFonts w:hint="eastAsia" w:hAnsi="宋体"/>
          <w:color w:val="000000"/>
          <w:sz w:val="24"/>
          <w:szCs w:val="24"/>
          <w:lang w:eastAsia="zh-CN"/>
        </w:rPr>
        <w:t>3、在采购过程中符合竞争要求的供应商或者报价未超过采购预算的供应商不足3家的；</w:t>
      </w:r>
    </w:p>
    <w:p>
      <w:pPr>
        <w:pStyle w:val="12"/>
        <w:keepNext w:val="0"/>
        <w:keepLines w:val="0"/>
        <w:pageBreakBefore w:val="0"/>
        <w:widowControl w:val="0"/>
        <w:kinsoku/>
        <w:wordWrap/>
        <w:overflowPunct/>
        <w:topLinePunct w:val="0"/>
        <w:autoSpaceDE/>
        <w:autoSpaceDN/>
        <w:bidi w:val="0"/>
        <w:adjustRightInd/>
        <w:spacing w:line="440" w:lineRule="exact"/>
        <w:ind w:firstLine="480" w:firstLineChars="200"/>
        <w:textAlignment w:val="auto"/>
        <w:rPr>
          <w:rFonts w:hint="eastAsia" w:hAnsi="宋体"/>
          <w:color w:val="000000"/>
          <w:sz w:val="24"/>
          <w:szCs w:val="24"/>
          <w:lang w:eastAsia="zh-CN"/>
        </w:rPr>
      </w:pPr>
      <w:r>
        <w:rPr>
          <w:rFonts w:hint="eastAsia" w:hAnsi="宋体"/>
          <w:color w:val="000000"/>
          <w:sz w:val="24"/>
          <w:szCs w:val="24"/>
          <w:lang w:eastAsia="zh-CN"/>
        </w:rPr>
        <w:t>4、开标后，采购人需求做出改变，与询价需求严重不符时，采购人有权取消本次询价采购，并说明原因。</w:t>
      </w:r>
    </w:p>
    <w:p>
      <w:pPr>
        <w:pStyle w:val="12"/>
        <w:keepNext w:val="0"/>
        <w:keepLines w:val="0"/>
        <w:pageBreakBefore w:val="0"/>
        <w:widowControl w:val="0"/>
        <w:kinsoku/>
        <w:wordWrap/>
        <w:overflowPunct/>
        <w:topLinePunct w:val="0"/>
        <w:autoSpaceDE/>
        <w:autoSpaceDN/>
        <w:bidi w:val="0"/>
        <w:adjustRightInd/>
        <w:spacing w:line="440" w:lineRule="exact"/>
        <w:ind w:firstLine="480" w:firstLineChars="200"/>
        <w:textAlignment w:val="auto"/>
        <w:rPr>
          <w:rFonts w:hint="eastAsia" w:hAnsi="宋体"/>
          <w:color w:val="000000"/>
          <w:sz w:val="24"/>
          <w:szCs w:val="24"/>
          <w:lang w:eastAsia="zh-CN"/>
        </w:rPr>
      </w:pPr>
      <w:r>
        <w:rPr>
          <w:rFonts w:hint="eastAsia" w:hAnsi="宋体"/>
          <w:color w:val="000000"/>
          <w:sz w:val="24"/>
          <w:szCs w:val="24"/>
          <w:lang w:val="en-US" w:eastAsia="zh-CN"/>
        </w:rPr>
        <w:t>（四）成交供应商的变更情况</w:t>
      </w:r>
    </w:p>
    <w:p>
      <w:pPr>
        <w:pStyle w:val="12"/>
        <w:keepNext w:val="0"/>
        <w:keepLines w:val="0"/>
        <w:pageBreakBefore w:val="0"/>
        <w:widowControl w:val="0"/>
        <w:kinsoku/>
        <w:wordWrap/>
        <w:overflowPunct/>
        <w:topLinePunct w:val="0"/>
        <w:autoSpaceDE/>
        <w:autoSpaceDN/>
        <w:bidi w:val="0"/>
        <w:adjustRightInd/>
        <w:spacing w:line="440" w:lineRule="exact"/>
        <w:ind w:firstLine="480" w:firstLineChars="200"/>
        <w:textAlignment w:val="auto"/>
        <w:rPr>
          <w:rFonts w:hint="eastAsia" w:hAnsi="宋体"/>
          <w:color w:val="000000"/>
          <w:sz w:val="24"/>
          <w:szCs w:val="24"/>
          <w:lang w:eastAsia="zh-CN"/>
        </w:rPr>
      </w:pPr>
      <w:r>
        <w:rPr>
          <w:rFonts w:hint="eastAsia" w:hAnsi="宋体"/>
          <w:color w:val="000000"/>
          <w:sz w:val="24"/>
          <w:szCs w:val="24"/>
          <w:lang w:eastAsia="zh-CN"/>
        </w:rPr>
        <w:t>成交供应商因不可抗力或者自身原因不能履行合同的，采购人可以确定排名其后一位的成交候选人为成交供应商或重新组织挂网招标。</w:t>
      </w:r>
    </w:p>
    <w:p>
      <w:pPr>
        <w:keepNext w:val="0"/>
        <w:keepLines w:val="0"/>
        <w:pageBreakBefore w:val="0"/>
        <w:widowControl w:val="0"/>
        <w:kinsoku/>
        <w:wordWrap/>
        <w:overflowPunct/>
        <w:topLinePunct w:val="0"/>
        <w:autoSpaceDE/>
        <w:autoSpaceDN/>
        <w:bidi w:val="0"/>
        <w:adjustRightInd/>
        <w:snapToGrid/>
        <w:spacing w:line="440" w:lineRule="exact"/>
        <w:textAlignment w:val="auto"/>
        <w:outlineLvl w:val="1"/>
        <w:rPr>
          <w:rFonts w:hint="eastAsia" w:ascii="宋体" w:hAnsi="宋体" w:eastAsia="宋体" w:cs="宋体"/>
          <w:b/>
          <w:snapToGrid w:val="0"/>
          <w:color w:val="auto"/>
          <w:kern w:val="0"/>
          <w:sz w:val="28"/>
          <w:szCs w:val="28"/>
          <w:lang w:eastAsia="zh-CN"/>
        </w:rPr>
      </w:pPr>
      <w:r>
        <w:rPr>
          <w:rFonts w:hint="eastAsia" w:ascii="宋体" w:hAnsi="宋体" w:eastAsia="宋体" w:cs="宋体"/>
          <w:b/>
          <w:snapToGrid w:val="0"/>
          <w:color w:val="auto"/>
          <w:kern w:val="0"/>
          <w:sz w:val="28"/>
          <w:szCs w:val="28"/>
          <w:lang w:eastAsia="zh-CN"/>
        </w:rPr>
        <w:t>十四、采购合同条款及模版</w:t>
      </w:r>
    </w:p>
    <w:p>
      <w:pPr>
        <w:pStyle w:val="12"/>
        <w:keepNext w:val="0"/>
        <w:keepLines w:val="0"/>
        <w:pageBreakBefore w:val="0"/>
        <w:widowControl w:val="0"/>
        <w:kinsoku/>
        <w:wordWrap/>
        <w:overflowPunct/>
        <w:topLinePunct w:val="0"/>
        <w:autoSpaceDE/>
        <w:autoSpaceDN/>
        <w:bidi w:val="0"/>
        <w:adjustRightInd/>
        <w:spacing w:line="440" w:lineRule="exact"/>
        <w:ind w:left="479" w:leftChars="228" w:firstLine="0" w:firstLineChars="0"/>
        <w:textAlignment w:val="auto"/>
        <w:rPr>
          <w:rFonts w:hint="eastAsia" w:hAnsi="宋体"/>
          <w:color w:val="000000"/>
          <w:sz w:val="24"/>
          <w:szCs w:val="24"/>
          <w:lang w:eastAsia="zh-CN"/>
        </w:rPr>
      </w:pPr>
      <w:bookmarkStart w:id="4" w:name="_Toc303945820"/>
      <w:bookmarkStart w:id="5" w:name="_Toc148265480"/>
      <w:r>
        <w:rPr>
          <w:rFonts w:hint="eastAsia" w:hAnsi="宋体"/>
          <w:color w:val="000000"/>
          <w:sz w:val="24"/>
          <w:szCs w:val="24"/>
          <w:lang w:eastAsia="zh-CN"/>
        </w:rPr>
        <w:t>一、合同主要条款</w:t>
      </w:r>
    </w:p>
    <w:p>
      <w:pPr>
        <w:pStyle w:val="12"/>
        <w:keepNext w:val="0"/>
        <w:keepLines w:val="0"/>
        <w:pageBreakBefore w:val="0"/>
        <w:widowControl w:val="0"/>
        <w:kinsoku/>
        <w:wordWrap/>
        <w:overflowPunct/>
        <w:topLinePunct w:val="0"/>
        <w:autoSpaceDE/>
        <w:autoSpaceDN/>
        <w:bidi w:val="0"/>
        <w:adjustRightInd/>
        <w:spacing w:line="440" w:lineRule="exact"/>
        <w:ind w:left="479" w:leftChars="228" w:firstLine="0" w:firstLineChars="0"/>
        <w:textAlignment w:val="auto"/>
        <w:rPr>
          <w:rFonts w:hint="eastAsia" w:hAnsi="宋体"/>
          <w:color w:val="000000"/>
          <w:sz w:val="24"/>
          <w:szCs w:val="24"/>
          <w:lang w:eastAsia="zh-CN"/>
        </w:rPr>
      </w:pPr>
      <w:r>
        <w:rPr>
          <w:rFonts w:hint="eastAsia" w:hAnsi="宋体"/>
          <w:color w:val="000000"/>
          <w:sz w:val="24"/>
          <w:szCs w:val="24"/>
          <w:lang w:eastAsia="zh-CN"/>
        </w:rPr>
        <w:t>1.定义</w:t>
      </w:r>
      <w:r>
        <w:rPr>
          <w:rFonts w:hint="eastAsia" w:hAnsi="宋体"/>
          <w:color w:val="000000"/>
          <w:sz w:val="24"/>
          <w:szCs w:val="24"/>
          <w:lang w:eastAsia="zh-CN"/>
        </w:rPr>
        <w:tab/>
      </w:r>
    </w:p>
    <w:p>
      <w:pPr>
        <w:pStyle w:val="12"/>
        <w:keepNext w:val="0"/>
        <w:keepLines w:val="0"/>
        <w:pageBreakBefore w:val="0"/>
        <w:widowControl w:val="0"/>
        <w:kinsoku/>
        <w:wordWrap/>
        <w:overflowPunct/>
        <w:topLinePunct w:val="0"/>
        <w:autoSpaceDE/>
        <w:autoSpaceDN/>
        <w:bidi w:val="0"/>
        <w:adjustRightInd/>
        <w:spacing w:line="440" w:lineRule="exact"/>
        <w:ind w:left="479" w:leftChars="228" w:firstLine="0" w:firstLineChars="0"/>
        <w:textAlignment w:val="auto"/>
        <w:rPr>
          <w:rFonts w:hint="eastAsia" w:hAnsi="宋体"/>
          <w:color w:val="000000"/>
          <w:sz w:val="24"/>
          <w:szCs w:val="24"/>
          <w:lang w:eastAsia="zh-CN"/>
        </w:rPr>
      </w:pPr>
      <w:r>
        <w:rPr>
          <w:rFonts w:hint="eastAsia" w:hAnsi="宋体"/>
          <w:color w:val="000000"/>
          <w:sz w:val="24"/>
          <w:szCs w:val="24"/>
          <w:lang w:eastAsia="zh-CN"/>
        </w:rPr>
        <w:t>1.1甲方（需方）即采购人，是指通过招标采购，接受合同货物及服务的各级国家机关、事业单位和团体组织。</w:t>
      </w:r>
    </w:p>
    <w:p>
      <w:pPr>
        <w:pStyle w:val="12"/>
        <w:keepNext w:val="0"/>
        <w:keepLines w:val="0"/>
        <w:pageBreakBefore w:val="0"/>
        <w:widowControl w:val="0"/>
        <w:kinsoku/>
        <w:wordWrap/>
        <w:overflowPunct/>
        <w:topLinePunct w:val="0"/>
        <w:autoSpaceDE/>
        <w:autoSpaceDN/>
        <w:bidi w:val="0"/>
        <w:adjustRightInd/>
        <w:spacing w:line="440" w:lineRule="exact"/>
        <w:ind w:left="479" w:leftChars="228" w:firstLine="0" w:firstLineChars="0"/>
        <w:textAlignment w:val="auto"/>
        <w:rPr>
          <w:rFonts w:hint="eastAsia" w:hAnsi="宋体"/>
          <w:color w:val="000000"/>
          <w:sz w:val="24"/>
          <w:szCs w:val="24"/>
          <w:lang w:eastAsia="zh-CN"/>
        </w:rPr>
      </w:pPr>
      <w:r>
        <w:rPr>
          <w:rFonts w:hint="eastAsia" w:hAnsi="宋体"/>
          <w:color w:val="000000"/>
          <w:sz w:val="24"/>
          <w:szCs w:val="24"/>
          <w:lang w:eastAsia="zh-CN"/>
        </w:rPr>
        <w:t>1.2乙方（供方）即中标人，是指中标后提供合同货物和服务的自然人、法人及其他组织。</w:t>
      </w:r>
    </w:p>
    <w:p>
      <w:pPr>
        <w:pStyle w:val="12"/>
        <w:keepNext w:val="0"/>
        <w:keepLines w:val="0"/>
        <w:pageBreakBefore w:val="0"/>
        <w:widowControl w:val="0"/>
        <w:kinsoku/>
        <w:wordWrap/>
        <w:overflowPunct/>
        <w:topLinePunct w:val="0"/>
        <w:autoSpaceDE/>
        <w:autoSpaceDN/>
        <w:bidi w:val="0"/>
        <w:adjustRightInd/>
        <w:spacing w:line="440" w:lineRule="exact"/>
        <w:ind w:left="479" w:leftChars="228" w:firstLine="0" w:firstLineChars="0"/>
        <w:textAlignment w:val="auto"/>
        <w:rPr>
          <w:rFonts w:hint="eastAsia" w:hAnsi="宋体"/>
          <w:color w:val="000000"/>
          <w:sz w:val="24"/>
          <w:szCs w:val="24"/>
          <w:lang w:eastAsia="zh-CN"/>
        </w:rPr>
      </w:pPr>
      <w:r>
        <w:rPr>
          <w:rFonts w:hint="eastAsia" w:hAnsi="宋体"/>
          <w:color w:val="000000"/>
          <w:sz w:val="24"/>
          <w:szCs w:val="24"/>
          <w:lang w:eastAsia="zh-CN"/>
        </w:rPr>
        <w:t>1.3合同是指由甲乙双方按照招标文件和投标文件的实质性内容，通过协商一致达成的书面协议。</w:t>
      </w:r>
    </w:p>
    <w:p>
      <w:pPr>
        <w:pStyle w:val="12"/>
        <w:keepNext w:val="0"/>
        <w:keepLines w:val="0"/>
        <w:pageBreakBefore w:val="0"/>
        <w:widowControl w:val="0"/>
        <w:kinsoku/>
        <w:wordWrap/>
        <w:overflowPunct/>
        <w:topLinePunct w:val="0"/>
        <w:autoSpaceDE/>
        <w:autoSpaceDN/>
        <w:bidi w:val="0"/>
        <w:adjustRightInd/>
        <w:spacing w:line="440" w:lineRule="exact"/>
        <w:ind w:left="479" w:leftChars="228" w:firstLine="0" w:firstLineChars="0"/>
        <w:textAlignment w:val="auto"/>
        <w:rPr>
          <w:rFonts w:hint="eastAsia" w:hAnsi="宋体"/>
          <w:color w:val="000000"/>
          <w:sz w:val="24"/>
          <w:szCs w:val="24"/>
          <w:lang w:eastAsia="zh-CN"/>
        </w:rPr>
      </w:pPr>
      <w:r>
        <w:rPr>
          <w:rFonts w:hint="eastAsia" w:hAnsi="宋体"/>
          <w:color w:val="000000"/>
          <w:sz w:val="24"/>
          <w:szCs w:val="24"/>
          <w:lang w:eastAsia="zh-CN"/>
        </w:rPr>
        <w:t>1.4合同价格指以中标价格为依据，在供方全面履行合同义务后，需方（或财政部门）应支付给供方的金额。</w:t>
      </w:r>
    </w:p>
    <w:p>
      <w:pPr>
        <w:pStyle w:val="12"/>
        <w:keepNext w:val="0"/>
        <w:keepLines w:val="0"/>
        <w:pageBreakBefore w:val="0"/>
        <w:widowControl w:val="0"/>
        <w:kinsoku/>
        <w:wordWrap/>
        <w:overflowPunct/>
        <w:topLinePunct w:val="0"/>
        <w:autoSpaceDE/>
        <w:autoSpaceDN/>
        <w:bidi w:val="0"/>
        <w:adjustRightInd/>
        <w:spacing w:line="440" w:lineRule="exact"/>
        <w:ind w:left="479" w:leftChars="228" w:firstLine="0" w:firstLineChars="0"/>
        <w:textAlignment w:val="auto"/>
        <w:rPr>
          <w:rFonts w:hint="eastAsia" w:hAnsi="宋体"/>
          <w:color w:val="000000"/>
          <w:sz w:val="24"/>
          <w:szCs w:val="24"/>
          <w:lang w:eastAsia="zh-CN"/>
        </w:rPr>
      </w:pPr>
      <w:r>
        <w:rPr>
          <w:rFonts w:hint="eastAsia" w:hAnsi="宋体"/>
          <w:color w:val="000000"/>
          <w:sz w:val="24"/>
          <w:szCs w:val="24"/>
          <w:lang w:eastAsia="zh-CN"/>
        </w:rPr>
        <w:t>1.5技术资料是指合同货物及其相关的设计、制造、监造、检验、验收等文件（包括图纸、各种文字说明、标准）。</w:t>
      </w:r>
    </w:p>
    <w:p>
      <w:pPr>
        <w:pStyle w:val="12"/>
        <w:keepNext w:val="0"/>
        <w:keepLines w:val="0"/>
        <w:pageBreakBefore w:val="0"/>
        <w:widowControl w:val="0"/>
        <w:kinsoku/>
        <w:wordWrap/>
        <w:overflowPunct/>
        <w:topLinePunct w:val="0"/>
        <w:autoSpaceDE/>
        <w:autoSpaceDN/>
        <w:bidi w:val="0"/>
        <w:adjustRightInd/>
        <w:spacing w:line="440" w:lineRule="exact"/>
        <w:ind w:left="479" w:leftChars="228" w:firstLine="0" w:firstLineChars="0"/>
        <w:textAlignment w:val="auto"/>
        <w:rPr>
          <w:rFonts w:hint="eastAsia" w:hAnsi="宋体"/>
          <w:color w:val="000000"/>
          <w:sz w:val="24"/>
          <w:szCs w:val="24"/>
          <w:lang w:eastAsia="zh-CN"/>
        </w:rPr>
      </w:pPr>
      <w:r>
        <w:rPr>
          <w:rFonts w:hint="eastAsia" w:hAnsi="宋体"/>
          <w:color w:val="000000"/>
          <w:sz w:val="24"/>
          <w:szCs w:val="24"/>
          <w:lang w:eastAsia="zh-CN"/>
        </w:rPr>
        <w:t>2.货物内容</w:t>
      </w:r>
    </w:p>
    <w:p>
      <w:pPr>
        <w:pStyle w:val="12"/>
        <w:keepNext w:val="0"/>
        <w:keepLines w:val="0"/>
        <w:pageBreakBefore w:val="0"/>
        <w:widowControl w:val="0"/>
        <w:kinsoku/>
        <w:wordWrap/>
        <w:overflowPunct/>
        <w:topLinePunct w:val="0"/>
        <w:autoSpaceDE/>
        <w:autoSpaceDN/>
        <w:bidi w:val="0"/>
        <w:adjustRightInd/>
        <w:spacing w:line="440" w:lineRule="exact"/>
        <w:ind w:left="479" w:leftChars="228" w:firstLine="0" w:firstLineChars="0"/>
        <w:textAlignment w:val="auto"/>
        <w:rPr>
          <w:rFonts w:hint="eastAsia" w:hAnsi="宋体"/>
          <w:color w:val="000000"/>
          <w:sz w:val="24"/>
          <w:szCs w:val="24"/>
          <w:lang w:eastAsia="zh-CN"/>
        </w:rPr>
      </w:pPr>
      <w:r>
        <w:rPr>
          <w:rFonts w:hint="eastAsia" w:hAnsi="宋体"/>
          <w:color w:val="000000"/>
          <w:sz w:val="24"/>
          <w:szCs w:val="24"/>
          <w:lang w:eastAsia="zh-CN"/>
        </w:rPr>
        <w:t>合同包括以下内容：货物名称、型号规格、技术参数、数量（单位）等内容。</w:t>
      </w:r>
    </w:p>
    <w:p>
      <w:pPr>
        <w:pStyle w:val="12"/>
        <w:keepNext w:val="0"/>
        <w:keepLines w:val="0"/>
        <w:pageBreakBefore w:val="0"/>
        <w:widowControl w:val="0"/>
        <w:kinsoku/>
        <w:wordWrap/>
        <w:overflowPunct/>
        <w:topLinePunct w:val="0"/>
        <w:autoSpaceDE/>
        <w:autoSpaceDN/>
        <w:bidi w:val="0"/>
        <w:adjustRightInd/>
        <w:spacing w:line="440" w:lineRule="exact"/>
        <w:ind w:left="479" w:leftChars="228" w:firstLine="0" w:firstLineChars="0"/>
        <w:textAlignment w:val="auto"/>
        <w:rPr>
          <w:rFonts w:hint="eastAsia" w:hAnsi="宋体"/>
          <w:color w:val="000000"/>
          <w:sz w:val="24"/>
          <w:szCs w:val="24"/>
          <w:lang w:eastAsia="zh-CN"/>
        </w:rPr>
      </w:pPr>
      <w:r>
        <w:rPr>
          <w:rFonts w:hint="eastAsia" w:hAnsi="宋体"/>
          <w:color w:val="000000"/>
          <w:sz w:val="24"/>
          <w:szCs w:val="24"/>
          <w:lang w:eastAsia="zh-CN"/>
        </w:rPr>
        <w:t>3.合同价格</w:t>
      </w:r>
    </w:p>
    <w:p>
      <w:pPr>
        <w:pStyle w:val="12"/>
        <w:keepNext w:val="0"/>
        <w:keepLines w:val="0"/>
        <w:pageBreakBefore w:val="0"/>
        <w:widowControl w:val="0"/>
        <w:kinsoku/>
        <w:wordWrap/>
        <w:overflowPunct/>
        <w:topLinePunct w:val="0"/>
        <w:autoSpaceDE/>
        <w:autoSpaceDN/>
        <w:bidi w:val="0"/>
        <w:adjustRightInd/>
        <w:spacing w:line="440" w:lineRule="exact"/>
        <w:ind w:left="479" w:leftChars="228" w:firstLine="0" w:firstLineChars="0"/>
        <w:textAlignment w:val="auto"/>
        <w:rPr>
          <w:rFonts w:hint="eastAsia" w:hAnsi="宋体"/>
          <w:color w:val="000000"/>
          <w:sz w:val="24"/>
          <w:szCs w:val="24"/>
          <w:lang w:eastAsia="zh-CN"/>
        </w:rPr>
      </w:pPr>
      <w:r>
        <w:rPr>
          <w:rFonts w:hint="eastAsia" w:hAnsi="宋体"/>
          <w:color w:val="000000"/>
          <w:sz w:val="24"/>
          <w:szCs w:val="24"/>
          <w:lang w:eastAsia="zh-CN"/>
        </w:rPr>
        <w:t>3.1合同价格即合同总价。</w:t>
      </w:r>
    </w:p>
    <w:p>
      <w:pPr>
        <w:pStyle w:val="12"/>
        <w:keepNext w:val="0"/>
        <w:keepLines w:val="0"/>
        <w:pageBreakBefore w:val="0"/>
        <w:widowControl w:val="0"/>
        <w:kinsoku/>
        <w:wordWrap/>
        <w:overflowPunct/>
        <w:topLinePunct w:val="0"/>
        <w:autoSpaceDE/>
        <w:autoSpaceDN/>
        <w:bidi w:val="0"/>
        <w:adjustRightInd/>
        <w:spacing w:line="440" w:lineRule="exact"/>
        <w:ind w:left="479" w:leftChars="228" w:firstLine="0" w:firstLineChars="0"/>
        <w:textAlignment w:val="auto"/>
        <w:rPr>
          <w:rFonts w:hint="eastAsia" w:hAnsi="宋体"/>
          <w:color w:val="000000"/>
          <w:sz w:val="24"/>
          <w:szCs w:val="24"/>
          <w:lang w:eastAsia="zh-CN"/>
        </w:rPr>
      </w:pPr>
      <w:r>
        <w:rPr>
          <w:rFonts w:hint="eastAsia" w:hAnsi="宋体"/>
          <w:color w:val="000000"/>
          <w:sz w:val="24"/>
          <w:szCs w:val="24"/>
          <w:lang w:eastAsia="zh-CN"/>
        </w:rPr>
        <w:t>3.2合同价格包括合同货物、技术资料、合同货物的税费、运杂费、保险费、包装费、装卸费及与货物有关的供方应纳的税费，所有税费由乙方负担。</w:t>
      </w:r>
    </w:p>
    <w:p>
      <w:pPr>
        <w:pStyle w:val="12"/>
        <w:keepNext w:val="0"/>
        <w:keepLines w:val="0"/>
        <w:pageBreakBefore w:val="0"/>
        <w:widowControl w:val="0"/>
        <w:kinsoku/>
        <w:wordWrap/>
        <w:overflowPunct/>
        <w:topLinePunct w:val="0"/>
        <w:autoSpaceDE/>
        <w:autoSpaceDN/>
        <w:bidi w:val="0"/>
        <w:adjustRightInd/>
        <w:spacing w:line="440" w:lineRule="exact"/>
        <w:ind w:left="479" w:leftChars="228" w:firstLine="0" w:firstLineChars="0"/>
        <w:textAlignment w:val="auto"/>
        <w:rPr>
          <w:rFonts w:hint="eastAsia" w:hAnsi="宋体"/>
          <w:color w:val="000000"/>
          <w:sz w:val="24"/>
          <w:szCs w:val="24"/>
          <w:lang w:eastAsia="zh-CN"/>
        </w:rPr>
      </w:pPr>
      <w:r>
        <w:rPr>
          <w:rFonts w:hint="eastAsia" w:hAnsi="宋体"/>
          <w:color w:val="000000"/>
          <w:sz w:val="24"/>
          <w:szCs w:val="24"/>
          <w:lang w:eastAsia="zh-CN"/>
        </w:rPr>
        <w:t>3.3合同货物单价为不变价。</w:t>
      </w:r>
    </w:p>
    <w:p>
      <w:pPr>
        <w:pStyle w:val="12"/>
        <w:keepNext w:val="0"/>
        <w:keepLines w:val="0"/>
        <w:pageBreakBefore w:val="0"/>
        <w:widowControl w:val="0"/>
        <w:kinsoku/>
        <w:wordWrap/>
        <w:overflowPunct/>
        <w:topLinePunct w:val="0"/>
        <w:autoSpaceDE/>
        <w:autoSpaceDN/>
        <w:bidi w:val="0"/>
        <w:adjustRightInd/>
        <w:spacing w:line="440" w:lineRule="exact"/>
        <w:ind w:left="479" w:leftChars="228" w:firstLine="0" w:firstLineChars="0"/>
        <w:textAlignment w:val="auto"/>
        <w:rPr>
          <w:rFonts w:hint="eastAsia" w:hAnsi="宋体"/>
          <w:color w:val="000000"/>
          <w:sz w:val="24"/>
          <w:szCs w:val="24"/>
          <w:lang w:eastAsia="zh-CN"/>
        </w:rPr>
      </w:pPr>
      <w:r>
        <w:rPr>
          <w:rFonts w:hint="eastAsia" w:hAnsi="宋体"/>
          <w:color w:val="000000"/>
          <w:sz w:val="24"/>
          <w:szCs w:val="24"/>
          <w:lang w:eastAsia="zh-CN"/>
        </w:rPr>
        <w:t>4.转包或分包</w:t>
      </w:r>
    </w:p>
    <w:p>
      <w:pPr>
        <w:pStyle w:val="12"/>
        <w:keepNext w:val="0"/>
        <w:keepLines w:val="0"/>
        <w:pageBreakBefore w:val="0"/>
        <w:widowControl w:val="0"/>
        <w:kinsoku/>
        <w:wordWrap/>
        <w:overflowPunct/>
        <w:topLinePunct w:val="0"/>
        <w:autoSpaceDE/>
        <w:autoSpaceDN/>
        <w:bidi w:val="0"/>
        <w:adjustRightInd/>
        <w:spacing w:line="440" w:lineRule="exact"/>
        <w:ind w:left="479" w:leftChars="228" w:firstLine="0" w:firstLineChars="0"/>
        <w:textAlignment w:val="auto"/>
        <w:rPr>
          <w:rFonts w:hint="eastAsia" w:hAnsi="宋体"/>
          <w:color w:val="000000"/>
          <w:sz w:val="24"/>
          <w:szCs w:val="24"/>
          <w:lang w:eastAsia="zh-CN"/>
        </w:rPr>
      </w:pPr>
      <w:r>
        <w:rPr>
          <w:rFonts w:hint="eastAsia" w:hAnsi="宋体"/>
          <w:color w:val="000000"/>
          <w:sz w:val="24"/>
          <w:szCs w:val="24"/>
          <w:lang w:eastAsia="zh-CN"/>
        </w:rPr>
        <w:t>4.1本合同范围的货物，应由乙方直接供应，不得转让他人供应；</w:t>
      </w:r>
    </w:p>
    <w:p>
      <w:pPr>
        <w:pStyle w:val="12"/>
        <w:keepNext w:val="0"/>
        <w:keepLines w:val="0"/>
        <w:pageBreakBefore w:val="0"/>
        <w:widowControl w:val="0"/>
        <w:kinsoku/>
        <w:wordWrap/>
        <w:overflowPunct/>
        <w:topLinePunct w:val="0"/>
        <w:autoSpaceDE/>
        <w:autoSpaceDN/>
        <w:bidi w:val="0"/>
        <w:adjustRightInd/>
        <w:spacing w:line="440" w:lineRule="exact"/>
        <w:ind w:left="479" w:leftChars="228" w:firstLine="0" w:firstLineChars="0"/>
        <w:textAlignment w:val="auto"/>
        <w:rPr>
          <w:rFonts w:hint="eastAsia" w:hAnsi="宋体"/>
          <w:color w:val="000000"/>
          <w:sz w:val="24"/>
          <w:szCs w:val="24"/>
          <w:lang w:eastAsia="zh-CN"/>
        </w:rPr>
      </w:pPr>
      <w:r>
        <w:rPr>
          <w:rFonts w:hint="eastAsia" w:hAnsi="宋体"/>
          <w:color w:val="000000"/>
          <w:sz w:val="24"/>
          <w:szCs w:val="24"/>
          <w:lang w:eastAsia="zh-CN"/>
        </w:rPr>
        <w:t>4.2非经甲方书面同意，乙方不得将本合同范围的货物全部或部分分包给他人供应；</w:t>
      </w:r>
    </w:p>
    <w:p>
      <w:pPr>
        <w:pStyle w:val="12"/>
        <w:keepNext w:val="0"/>
        <w:keepLines w:val="0"/>
        <w:pageBreakBefore w:val="0"/>
        <w:widowControl w:val="0"/>
        <w:kinsoku/>
        <w:wordWrap/>
        <w:overflowPunct/>
        <w:topLinePunct w:val="0"/>
        <w:autoSpaceDE/>
        <w:autoSpaceDN/>
        <w:bidi w:val="0"/>
        <w:adjustRightInd/>
        <w:spacing w:line="440" w:lineRule="exact"/>
        <w:ind w:left="479" w:leftChars="228" w:firstLine="0" w:firstLineChars="0"/>
        <w:textAlignment w:val="auto"/>
        <w:rPr>
          <w:rFonts w:hint="eastAsia" w:hAnsi="宋体"/>
          <w:color w:val="000000"/>
          <w:sz w:val="24"/>
          <w:szCs w:val="24"/>
          <w:lang w:eastAsia="zh-CN"/>
        </w:rPr>
      </w:pPr>
      <w:r>
        <w:rPr>
          <w:rFonts w:hint="eastAsia" w:hAnsi="宋体"/>
          <w:color w:val="000000"/>
          <w:sz w:val="24"/>
          <w:szCs w:val="24"/>
          <w:lang w:eastAsia="zh-CN"/>
        </w:rPr>
        <w:t>4.3如有转让和未经甲方同意的分包行为，甲方有权解除合同，没收履约保证金并追究乙方的违约责任。</w:t>
      </w:r>
    </w:p>
    <w:p>
      <w:pPr>
        <w:pStyle w:val="12"/>
        <w:keepNext w:val="0"/>
        <w:keepLines w:val="0"/>
        <w:pageBreakBefore w:val="0"/>
        <w:widowControl w:val="0"/>
        <w:kinsoku/>
        <w:wordWrap/>
        <w:overflowPunct/>
        <w:topLinePunct w:val="0"/>
        <w:autoSpaceDE/>
        <w:autoSpaceDN/>
        <w:bidi w:val="0"/>
        <w:adjustRightInd/>
        <w:spacing w:line="440" w:lineRule="exact"/>
        <w:ind w:left="479" w:leftChars="228" w:firstLine="0" w:firstLineChars="0"/>
        <w:textAlignment w:val="auto"/>
        <w:rPr>
          <w:rFonts w:hint="eastAsia" w:hAnsi="宋体"/>
          <w:color w:val="000000"/>
          <w:sz w:val="24"/>
          <w:szCs w:val="24"/>
          <w:lang w:eastAsia="zh-CN"/>
        </w:rPr>
      </w:pPr>
      <w:r>
        <w:rPr>
          <w:rFonts w:hint="eastAsia" w:hAnsi="宋体"/>
          <w:color w:val="000000"/>
          <w:sz w:val="24"/>
          <w:szCs w:val="24"/>
          <w:lang w:eastAsia="zh-CN"/>
        </w:rPr>
        <w:t>5.质量保证及售后服务</w:t>
      </w:r>
    </w:p>
    <w:p>
      <w:pPr>
        <w:pStyle w:val="12"/>
        <w:keepNext w:val="0"/>
        <w:keepLines w:val="0"/>
        <w:pageBreakBefore w:val="0"/>
        <w:widowControl w:val="0"/>
        <w:kinsoku/>
        <w:wordWrap/>
        <w:overflowPunct/>
        <w:topLinePunct w:val="0"/>
        <w:autoSpaceDE/>
        <w:autoSpaceDN/>
        <w:bidi w:val="0"/>
        <w:adjustRightInd/>
        <w:spacing w:line="440" w:lineRule="exact"/>
        <w:ind w:left="479" w:leftChars="228" w:firstLine="0" w:firstLineChars="0"/>
        <w:textAlignment w:val="auto"/>
        <w:rPr>
          <w:rFonts w:hint="eastAsia" w:hAnsi="宋体"/>
          <w:color w:val="000000"/>
          <w:sz w:val="24"/>
          <w:szCs w:val="24"/>
          <w:lang w:eastAsia="zh-CN"/>
        </w:rPr>
      </w:pPr>
      <w:r>
        <w:rPr>
          <w:rFonts w:hint="eastAsia" w:hAnsi="宋体"/>
          <w:color w:val="000000"/>
          <w:sz w:val="24"/>
          <w:szCs w:val="24"/>
          <w:lang w:eastAsia="zh-CN"/>
        </w:rPr>
        <w:t>5.1乙方应按招标文件规定的货物性能、技术要求、质量标准向甲方提供未经使用的全新产品。</w:t>
      </w:r>
    </w:p>
    <w:p>
      <w:pPr>
        <w:pStyle w:val="12"/>
        <w:keepNext w:val="0"/>
        <w:keepLines w:val="0"/>
        <w:pageBreakBefore w:val="0"/>
        <w:widowControl w:val="0"/>
        <w:kinsoku/>
        <w:wordWrap/>
        <w:overflowPunct/>
        <w:topLinePunct w:val="0"/>
        <w:autoSpaceDE/>
        <w:autoSpaceDN/>
        <w:bidi w:val="0"/>
        <w:adjustRightInd/>
        <w:spacing w:line="440" w:lineRule="exact"/>
        <w:ind w:left="479" w:leftChars="228" w:firstLine="0" w:firstLineChars="0"/>
        <w:textAlignment w:val="auto"/>
        <w:rPr>
          <w:rFonts w:hint="eastAsia" w:hAnsi="宋体"/>
          <w:color w:val="000000"/>
          <w:sz w:val="24"/>
          <w:szCs w:val="24"/>
          <w:lang w:eastAsia="zh-CN"/>
        </w:rPr>
      </w:pPr>
      <w:r>
        <w:rPr>
          <w:rFonts w:hint="eastAsia" w:hAnsi="宋体"/>
          <w:color w:val="000000"/>
          <w:sz w:val="24"/>
          <w:szCs w:val="24"/>
          <w:lang w:eastAsia="zh-CN"/>
        </w:rPr>
        <w:t>5.2乙方提供的货物在质保期内因货物本身的质量问题发生故障，乙方应负责免费更换。对达不到技术要求者，根据实际情况，经双方协商，可按以下办法处理：</w:t>
      </w:r>
    </w:p>
    <w:p>
      <w:pPr>
        <w:pStyle w:val="12"/>
        <w:keepNext w:val="0"/>
        <w:keepLines w:val="0"/>
        <w:pageBreakBefore w:val="0"/>
        <w:widowControl w:val="0"/>
        <w:kinsoku/>
        <w:wordWrap/>
        <w:overflowPunct/>
        <w:topLinePunct w:val="0"/>
        <w:autoSpaceDE/>
        <w:autoSpaceDN/>
        <w:bidi w:val="0"/>
        <w:adjustRightInd/>
        <w:spacing w:line="440" w:lineRule="exact"/>
        <w:ind w:left="479" w:leftChars="228" w:firstLine="0" w:firstLineChars="0"/>
        <w:textAlignment w:val="auto"/>
        <w:rPr>
          <w:rFonts w:hint="eastAsia" w:hAnsi="宋体"/>
          <w:color w:val="000000"/>
          <w:sz w:val="24"/>
          <w:szCs w:val="24"/>
          <w:lang w:eastAsia="zh-CN"/>
        </w:rPr>
      </w:pPr>
      <w:r>
        <w:rPr>
          <w:rFonts w:hint="eastAsia" w:hAnsi="宋体"/>
          <w:color w:val="000000"/>
          <w:sz w:val="24"/>
          <w:szCs w:val="24"/>
          <w:lang w:eastAsia="zh-CN"/>
        </w:rPr>
        <w:t>5.2.1更换：由乙方承担所发生的全部费用。</w:t>
      </w:r>
    </w:p>
    <w:p>
      <w:pPr>
        <w:pStyle w:val="12"/>
        <w:keepNext w:val="0"/>
        <w:keepLines w:val="0"/>
        <w:pageBreakBefore w:val="0"/>
        <w:widowControl w:val="0"/>
        <w:kinsoku/>
        <w:wordWrap/>
        <w:overflowPunct/>
        <w:topLinePunct w:val="0"/>
        <w:autoSpaceDE/>
        <w:autoSpaceDN/>
        <w:bidi w:val="0"/>
        <w:adjustRightInd/>
        <w:spacing w:line="440" w:lineRule="exact"/>
        <w:ind w:left="479" w:leftChars="228" w:firstLine="0" w:firstLineChars="0"/>
        <w:textAlignment w:val="auto"/>
        <w:rPr>
          <w:rFonts w:hint="eastAsia" w:hAnsi="宋体"/>
          <w:color w:val="000000"/>
          <w:sz w:val="24"/>
          <w:szCs w:val="24"/>
          <w:lang w:eastAsia="zh-CN"/>
        </w:rPr>
      </w:pPr>
      <w:r>
        <w:rPr>
          <w:rFonts w:hint="eastAsia" w:hAnsi="宋体"/>
          <w:color w:val="000000"/>
          <w:sz w:val="24"/>
          <w:szCs w:val="24"/>
          <w:lang w:eastAsia="zh-CN"/>
        </w:rPr>
        <w:t>5.2.2贬值处理：由甲乙双方合议定价。</w:t>
      </w:r>
    </w:p>
    <w:p>
      <w:pPr>
        <w:pStyle w:val="12"/>
        <w:keepNext w:val="0"/>
        <w:keepLines w:val="0"/>
        <w:pageBreakBefore w:val="0"/>
        <w:widowControl w:val="0"/>
        <w:kinsoku/>
        <w:wordWrap/>
        <w:overflowPunct/>
        <w:topLinePunct w:val="0"/>
        <w:autoSpaceDE/>
        <w:autoSpaceDN/>
        <w:bidi w:val="0"/>
        <w:adjustRightInd/>
        <w:spacing w:line="440" w:lineRule="exact"/>
        <w:ind w:left="479" w:leftChars="228" w:firstLine="0" w:firstLineChars="0"/>
        <w:textAlignment w:val="auto"/>
        <w:rPr>
          <w:rFonts w:hint="eastAsia" w:hAnsi="宋体"/>
          <w:color w:val="000000"/>
          <w:sz w:val="24"/>
          <w:szCs w:val="24"/>
          <w:lang w:eastAsia="zh-CN"/>
        </w:rPr>
      </w:pPr>
      <w:r>
        <w:rPr>
          <w:rFonts w:hint="eastAsia" w:hAnsi="宋体"/>
          <w:color w:val="000000"/>
          <w:sz w:val="24"/>
          <w:szCs w:val="24"/>
          <w:lang w:eastAsia="zh-CN"/>
        </w:rPr>
        <w:t>5.2.3退货处理：乙方应退还甲方支付的合同款，同时应承担该货物的直接费用（运输、保险、检验、货款利息及银行手续费等）。</w:t>
      </w:r>
    </w:p>
    <w:p>
      <w:pPr>
        <w:pStyle w:val="12"/>
        <w:keepNext w:val="0"/>
        <w:keepLines w:val="0"/>
        <w:pageBreakBefore w:val="0"/>
        <w:widowControl w:val="0"/>
        <w:kinsoku/>
        <w:wordWrap/>
        <w:overflowPunct/>
        <w:topLinePunct w:val="0"/>
        <w:autoSpaceDE/>
        <w:autoSpaceDN/>
        <w:bidi w:val="0"/>
        <w:adjustRightInd/>
        <w:spacing w:line="440" w:lineRule="exact"/>
        <w:ind w:left="479" w:leftChars="228" w:firstLine="0" w:firstLineChars="0"/>
        <w:textAlignment w:val="auto"/>
        <w:rPr>
          <w:rFonts w:hint="eastAsia" w:hAnsi="宋体"/>
          <w:color w:val="000000"/>
          <w:sz w:val="24"/>
          <w:szCs w:val="24"/>
          <w:lang w:eastAsia="zh-CN"/>
        </w:rPr>
      </w:pPr>
      <w:r>
        <w:rPr>
          <w:rFonts w:hint="eastAsia" w:hAnsi="宋体"/>
          <w:color w:val="000000"/>
          <w:sz w:val="24"/>
          <w:szCs w:val="24"/>
          <w:lang w:eastAsia="zh-CN"/>
        </w:rPr>
        <w:t>5.3如在使用过程中发生质量问题，乙方应按本项目“第三篇 项目商务要求”中的要求处理。</w:t>
      </w:r>
    </w:p>
    <w:p>
      <w:pPr>
        <w:pStyle w:val="12"/>
        <w:keepNext w:val="0"/>
        <w:keepLines w:val="0"/>
        <w:pageBreakBefore w:val="0"/>
        <w:widowControl w:val="0"/>
        <w:kinsoku/>
        <w:wordWrap/>
        <w:overflowPunct/>
        <w:topLinePunct w:val="0"/>
        <w:autoSpaceDE/>
        <w:autoSpaceDN/>
        <w:bidi w:val="0"/>
        <w:adjustRightInd/>
        <w:spacing w:line="440" w:lineRule="exact"/>
        <w:ind w:left="479" w:leftChars="228" w:firstLine="0" w:firstLineChars="0"/>
        <w:textAlignment w:val="auto"/>
        <w:rPr>
          <w:rFonts w:hint="eastAsia" w:hAnsi="宋体"/>
          <w:color w:val="000000"/>
          <w:sz w:val="24"/>
          <w:szCs w:val="24"/>
          <w:lang w:eastAsia="zh-CN"/>
        </w:rPr>
      </w:pPr>
      <w:r>
        <w:rPr>
          <w:rFonts w:hint="eastAsia" w:hAnsi="宋体"/>
          <w:color w:val="000000"/>
          <w:sz w:val="24"/>
          <w:szCs w:val="24"/>
          <w:lang w:eastAsia="zh-CN"/>
        </w:rPr>
        <w:t>5.4在质保期内，乙方应对货物出现的质量及安全问题负责处理解决并承担一切费用。</w:t>
      </w:r>
    </w:p>
    <w:p>
      <w:pPr>
        <w:pStyle w:val="12"/>
        <w:keepNext w:val="0"/>
        <w:keepLines w:val="0"/>
        <w:pageBreakBefore w:val="0"/>
        <w:widowControl w:val="0"/>
        <w:kinsoku/>
        <w:wordWrap/>
        <w:overflowPunct/>
        <w:topLinePunct w:val="0"/>
        <w:autoSpaceDE/>
        <w:autoSpaceDN/>
        <w:bidi w:val="0"/>
        <w:adjustRightInd/>
        <w:spacing w:line="440" w:lineRule="exact"/>
        <w:ind w:left="479" w:leftChars="228" w:firstLine="0" w:firstLineChars="0"/>
        <w:textAlignment w:val="auto"/>
        <w:rPr>
          <w:rFonts w:hint="eastAsia" w:hAnsi="宋体"/>
          <w:color w:val="000000"/>
          <w:sz w:val="24"/>
          <w:szCs w:val="24"/>
          <w:lang w:eastAsia="zh-CN"/>
        </w:rPr>
      </w:pPr>
      <w:r>
        <w:rPr>
          <w:rFonts w:hint="eastAsia" w:hAnsi="宋体"/>
          <w:color w:val="000000"/>
          <w:sz w:val="24"/>
          <w:szCs w:val="24"/>
          <w:lang w:eastAsia="zh-CN"/>
        </w:rPr>
        <w:t>5.5 如甲方要求乙方提供履约保证金的，履约保证金的收取和退还应按本项目“第三篇 项目商务要求”中的要求处理。</w:t>
      </w:r>
    </w:p>
    <w:p>
      <w:pPr>
        <w:pStyle w:val="12"/>
        <w:keepNext w:val="0"/>
        <w:keepLines w:val="0"/>
        <w:pageBreakBefore w:val="0"/>
        <w:widowControl w:val="0"/>
        <w:kinsoku/>
        <w:wordWrap/>
        <w:overflowPunct/>
        <w:topLinePunct w:val="0"/>
        <w:autoSpaceDE/>
        <w:autoSpaceDN/>
        <w:bidi w:val="0"/>
        <w:adjustRightInd/>
        <w:spacing w:line="440" w:lineRule="exact"/>
        <w:ind w:left="479" w:leftChars="228" w:firstLine="0" w:firstLineChars="0"/>
        <w:textAlignment w:val="auto"/>
        <w:rPr>
          <w:rFonts w:hint="eastAsia" w:hAnsi="宋体"/>
          <w:color w:val="000000"/>
          <w:sz w:val="24"/>
          <w:szCs w:val="24"/>
          <w:lang w:eastAsia="zh-CN"/>
        </w:rPr>
      </w:pPr>
      <w:r>
        <w:rPr>
          <w:rFonts w:hint="eastAsia" w:hAnsi="宋体"/>
          <w:color w:val="000000"/>
          <w:sz w:val="24"/>
          <w:szCs w:val="24"/>
          <w:lang w:eastAsia="zh-CN"/>
        </w:rPr>
        <w:t>6.付款</w:t>
      </w:r>
    </w:p>
    <w:p>
      <w:pPr>
        <w:pStyle w:val="12"/>
        <w:keepNext w:val="0"/>
        <w:keepLines w:val="0"/>
        <w:pageBreakBefore w:val="0"/>
        <w:widowControl w:val="0"/>
        <w:kinsoku/>
        <w:wordWrap/>
        <w:overflowPunct/>
        <w:topLinePunct w:val="0"/>
        <w:autoSpaceDE/>
        <w:autoSpaceDN/>
        <w:bidi w:val="0"/>
        <w:adjustRightInd/>
        <w:spacing w:line="440" w:lineRule="exact"/>
        <w:ind w:left="479" w:leftChars="228" w:firstLine="0" w:firstLineChars="0"/>
        <w:textAlignment w:val="auto"/>
        <w:rPr>
          <w:rFonts w:hint="eastAsia" w:hAnsi="宋体"/>
          <w:color w:val="000000"/>
          <w:sz w:val="24"/>
          <w:szCs w:val="24"/>
          <w:lang w:eastAsia="zh-CN"/>
        </w:rPr>
      </w:pPr>
      <w:r>
        <w:rPr>
          <w:rFonts w:hint="eastAsia" w:hAnsi="宋体"/>
          <w:color w:val="000000"/>
          <w:sz w:val="24"/>
          <w:szCs w:val="24"/>
          <w:lang w:eastAsia="zh-CN"/>
        </w:rPr>
        <w:t>6.1本合同使用货币币制如未作特别说明均为人民币。</w:t>
      </w:r>
    </w:p>
    <w:p>
      <w:pPr>
        <w:pStyle w:val="12"/>
        <w:keepNext w:val="0"/>
        <w:keepLines w:val="0"/>
        <w:pageBreakBefore w:val="0"/>
        <w:widowControl w:val="0"/>
        <w:kinsoku/>
        <w:wordWrap/>
        <w:overflowPunct/>
        <w:topLinePunct w:val="0"/>
        <w:autoSpaceDE/>
        <w:autoSpaceDN/>
        <w:bidi w:val="0"/>
        <w:adjustRightInd/>
        <w:spacing w:line="440" w:lineRule="exact"/>
        <w:ind w:left="479" w:leftChars="228" w:firstLine="0" w:firstLineChars="0"/>
        <w:textAlignment w:val="auto"/>
        <w:rPr>
          <w:rFonts w:hint="eastAsia" w:hAnsi="宋体"/>
          <w:color w:val="000000"/>
          <w:sz w:val="24"/>
          <w:szCs w:val="24"/>
          <w:lang w:eastAsia="zh-CN"/>
        </w:rPr>
      </w:pPr>
      <w:r>
        <w:rPr>
          <w:rFonts w:hint="eastAsia" w:hAnsi="宋体"/>
          <w:color w:val="000000"/>
          <w:sz w:val="24"/>
          <w:szCs w:val="24"/>
          <w:lang w:eastAsia="zh-CN"/>
        </w:rPr>
        <w:t>6.2付款方式：银行转账、现金支票。</w:t>
      </w:r>
    </w:p>
    <w:p>
      <w:pPr>
        <w:pStyle w:val="12"/>
        <w:keepNext w:val="0"/>
        <w:keepLines w:val="0"/>
        <w:pageBreakBefore w:val="0"/>
        <w:widowControl w:val="0"/>
        <w:kinsoku/>
        <w:wordWrap/>
        <w:overflowPunct/>
        <w:topLinePunct w:val="0"/>
        <w:autoSpaceDE/>
        <w:autoSpaceDN/>
        <w:bidi w:val="0"/>
        <w:adjustRightInd/>
        <w:spacing w:line="440" w:lineRule="exact"/>
        <w:ind w:left="479" w:leftChars="228" w:firstLine="0" w:firstLineChars="0"/>
        <w:textAlignment w:val="auto"/>
        <w:rPr>
          <w:rFonts w:hint="eastAsia" w:hAnsi="宋体"/>
          <w:color w:val="000000"/>
          <w:sz w:val="24"/>
          <w:szCs w:val="24"/>
          <w:lang w:eastAsia="zh-CN"/>
        </w:rPr>
      </w:pPr>
      <w:r>
        <w:rPr>
          <w:rFonts w:hint="eastAsia" w:hAnsi="宋体"/>
          <w:color w:val="000000"/>
          <w:sz w:val="24"/>
          <w:szCs w:val="24"/>
          <w:lang w:eastAsia="zh-CN"/>
        </w:rPr>
        <w:t>6.3付款方法：同本项目“第三篇 商务条款”中关于付款方式的约定。</w:t>
      </w:r>
    </w:p>
    <w:p>
      <w:pPr>
        <w:pStyle w:val="12"/>
        <w:keepNext w:val="0"/>
        <w:keepLines w:val="0"/>
        <w:pageBreakBefore w:val="0"/>
        <w:widowControl w:val="0"/>
        <w:kinsoku/>
        <w:wordWrap/>
        <w:overflowPunct/>
        <w:topLinePunct w:val="0"/>
        <w:autoSpaceDE/>
        <w:autoSpaceDN/>
        <w:bidi w:val="0"/>
        <w:adjustRightInd/>
        <w:spacing w:line="440" w:lineRule="exact"/>
        <w:ind w:left="479" w:leftChars="228" w:firstLine="0" w:firstLineChars="0"/>
        <w:textAlignment w:val="auto"/>
        <w:rPr>
          <w:rFonts w:hint="eastAsia" w:hAnsi="宋体"/>
          <w:color w:val="000000"/>
          <w:sz w:val="24"/>
          <w:szCs w:val="24"/>
          <w:lang w:eastAsia="zh-CN"/>
        </w:rPr>
      </w:pPr>
      <w:r>
        <w:rPr>
          <w:rFonts w:hint="eastAsia" w:hAnsi="宋体"/>
          <w:color w:val="000000"/>
          <w:sz w:val="24"/>
          <w:szCs w:val="24"/>
          <w:lang w:eastAsia="zh-CN"/>
        </w:rPr>
        <w:t>7.检查验收</w:t>
      </w:r>
    </w:p>
    <w:p>
      <w:pPr>
        <w:pStyle w:val="12"/>
        <w:keepNext w:val="0"/>
        <w:keepLines w:val="0"/>
        <w:pageBreakBefore w:val="0"/>
        <w:widowControl w:val="0"/>
        <w:kinsoku/>
        <w:wordWrap/>
        <w:overflowPunct/>
        <w:topLinePunct w:val="0"/>
        <w:autoSpaceDE/>
        <w:autoSpaceDN/>
        <w:bidi w:val="0"/>
        <w:adjustRightInd/>
        <w:spacing w:line="440" w:lineRule="exact"/>
        <w:ind w:left="479" w:leftChars="228" w:firstLine="0" w:firstLineChars="0"/>
        <w:textAlignment w:val="auto"/>
        <w:rPr>
          <w:rFonts w:hint="eastAsia" w:hAnsi="宋体"/>
          <w:color w:val="000000"/>
          <w:sz w:val="24"/>
          <w:szCs w:val="24"/>
          <w:lang w:eastAsia="zh-CN"/>
        </w:rPr>
      </w:pPr>
      <w:r>
        <w:rPr>
          <w:rFonts w:hint="eastAsia" w:hAnsi="宋体"/>
          <w:color w:val="000000"/>
          <w:sz w:val="24"/>
          <w:szCs w:val="24"/>
          <w:lang w:eastAsia="zh-CN"/>
        </w:rPr>
        <w:t>7.1供方应随货物提供合格证和质量证明文件，如是国外进口的货物还须提供入关证明。</w:t>
      </w:r>
    </w:p>
    <w:p>
      <w:pPr>
        <w:pStyle w:val="12"/>
        <w:keepNext w:val="0"/>
        <w:keepLines w:val="0"/>
        <w:pageBreakBefore w:val="0"/>
        <w:widowControl w:val="0"/>
        <w:kinsoku/>
        <w:wordWrap/>
        <w:overflowPunct/>
        <w:topLinePunct w:val="0"/>
        <w:autoSpaceDE/>
        <w:autoSpaceDN/>
        <w:bidi w:val="0"/>
        <w:adjustRightInd/>
        <w:spacing w:line="440" w:lineRule="exact"/>
        <w:ind w:left="479" w:leftChars="228" w:firstLine="0" w:firstLineChars="0"/>
        <w:textAlignment w:val="auto"/>
        <w:rPr>
          <w:rFonts w:hint="eastAsia" w:hAnsi="宋体"/>
          <w:color w:val="000000"/>
          <w:sz w:val="24"/>
          <w:szCs w:val="24"/>
          <w:lang w:eastAsia="zh-CN"/>
        </w:rPr>
      </w:pPr>
      <w:r>
        <w:rPr>
          <w:rFonts w:hint="eastAsia" w:hAnsi="宋体"/>
          <w:color w:val="000000"/>
          <w:sz w:val="24"/>
          <w:szCs w:val="24"/>
          <w:lang w:eastAsia="zh-CN"/>
        </w:rPr>
        <w:t>7.2货物验收</w:t>
      </w:r>
    </w:p>
    <w:p>
      <w:pPr>
        <w:pStyle w:val="12"/>
        <w:keepNext w:val="0"/>
        <w:keepLines w:val="0"/>
        <w:pageBreakBefore w:val="0"/>
        <w:widowControl w:val="0"/>
        <w:kinsoku/>
        <w:wordWrap/>
        <w:overflowPunct/>
        <w:topLinePunct w:val="0"/>
        <w:autoSpaceDE/>
        <w:autoSpaceDN/>
        <w:bidi w:val="0"/>
        <w:adjustRightInd/>
        <w:spacing w:line="440" w:lineRule="exact"/>
        <w:ind w:left="479" w:leftChars="228" w:firstLine="0" w:firstLineChars="0"/>
        <w:textAlignment w:val="auto"/>
        <w:rPr>
          <w:rFonts w:hint="eastAsia" w:hAnsi="宋体"/>
          <w:color w:val="000000"/>
          <w:sz w:val="24"/>
          <w:szCs w:val="24"/>
          <w:lang w:eastAsia="zh-CN"/>
        </w:rPr>
      </w:pPr>
      <w:r>
        <w:rPr>
          <w:rFonts w:hint="eastAsia" w:hAnsi="宋体"/>
          <w:color w:val="000000"/>
          <w:sz w:val="24"/>
          <w:szCs w:val="24"/>
          <w:lang w:eastAsia="zh-CN"/>
        </w:rPr>
        <w:t>供方所交货物的各种质量指标不得低于供方提供样品的质量指标（无样品时按供方的投标时提供的“技术文件”执行），售后服务质量要求按照招标文件和投标文件的内容执行。供方交货时，需方可根据需要随机抽取一部分货物送有关权威检测部门检测，如检测不合格，供方负责赔偿需方一切损失。</w:t>
      </w:r>
    </w:p>
    <w:p>
      <w:pPr>
        <w:pStyle w:val="12"/>
        <w:keepNext w:val="0"/>
        <w:keepLines w:val="0"/>
        <w:pageBreakBefore w:val="0"/>
        <w:widowControl w:val="0"/>
        <w:kinsoku/>
        <w:wordWrap/>
        <w:overflowPunct/>
        <w:topLinePunct w:val="0"/>
        <w:autoSpaceDE/>
        <w:autoSpaceDN/>
        <w:bidi w:val="0"/>
        <w:adjustRightInd/>
        <w:spacing w:line="440" w:lineRule="exact"/>
        <w:ind w:left="479" w:leftChars="228" w:firstLine="0" w:firstLineChars="0"/>
        <w:textAlignment w:val="auto"/>
        <w:rPr>
          <w:rFonts w:hint="eastAsia" w:hAnsi="宋体"/>
          <w:color w:val="000000"/>
          <w:sz w:val="24"/>
          <w:szCs w:val="24"/>
          <w:lang w:eastAsia="zh-CN"/>
        </w:rPr>
      </w:pPr>
      <w:r>
        <w:rPr>
          <w:rFonts w:hint="eastAsia" w:hAnsi="宋体"/>
          <w:color w:val="000000"/>
          <w:sz w:val="24"/>
          <w:szCs w:val="24"/>
          <w:lang w:eastAsia="zh-CN"/>
        </w:rPr>
        <w:t>7.3货物验收报告应由需方、供方经办人签字，并加盖双方公章，以此作为支付凭据。</w:t>
      </w:r>
    </w:p>
    <w:p>
      <w:pPr>
        <w:pStyle w:val="12"/>
        <w:keepNext w:val="0"/>
        <w:keepLines w:val="0"/>
        <w:pageBreakBefore w:val="0"/>
        <w:widowControl w:val="0"/>
        <w:kinsoku/>
        <w:wordWrap/>
        <w:overflowPunct/>
        <w:topLinePunct w:val="0"/>
        <w:autoSpaceDE/>
        <w:autoSpaceDN/>
        <w:bidi w:val="0"/>
        <w:adjustRightInd/>
        <w:spacing w:line="440" w:lineRule="exact"/>
        <w:ind w:left="479" w:leftChars="228" w:firstLine="0" w:firstLineChars="0"/>
        <w:textAlignment w:val="auto"/>
        <w:rPr>
          <w:rFonts w:hint="eastAsia" w:hAnsi="宋体"/>
          <w:color w:val="000000"/>
          <w:sz w:val="24"/>
          <w:szCs w:val="24"/>
          <w:lang w:eastAsia="zh-CN"/>
        </w:rPr>
      </w:pPr>
      <w:r>
        <w:rPr>
          <w:rFonts w:hint="eastAsia" w:hAnsi="宋体"/>
          <w:color w:val="000000"/>
          <w:sz w:val="24"/>
          <w:szCs w:val="24"/>
          <w:lang w:eastAsia="zh-CN"/>
        </w:rPr>
        <w:t>8.索赔</w:t>
      </w:r>
    </w:p>
    <w:p>
      <w:pPr>
        <w:pStyle w:val="12"/>
        <w:keepNext w:val="0"/>
        <w:keepLines w:val="0"/>
        <w:pageBreakBefore w:val="0"/>
        <w:widowControl w:val="0"/>
        <w:kinsoku/>
        <w:wordWrap/>
        <w:overflowPunct/>
        <w:topLinePunct w:val="0"/>
        <w:autoSpaceDE/>
        <w:autoSpaceDN/>
        <w:bidi w:val="0"/>
        <w:adjustRightInd/>
        <w:spacing w:line="440" w:lineRule="exact"/>
        <w:ind w:left="479" w:leftChars="228" w:firstLine="0" w:firstLineChars="0"/>
        <w:textAlignment w:val="auto"/>
        <w:rPr>
          <w:rFonts w:hint="eastAsia" w:hAnsi="宋体"/>
          <w:color w:val="000000"/>
          <w:sz w:val="24"/>
          <w:szCs w:val="24"/>
          <w:lang w:eastAsia="zh-CN"/>
        </w:rPr>
      </w:pPr>
      <w:r>
        <w:rPr>
          <w:rFonts w:hint="eastAsia" w:hAnsi="宋体"/>
          <w:color w:val="000000"/>
          <w:sz w:val="24"/>
          <w:szCs w:val="24"/>
          <w:lang w:eastAsia="zh-CN"/>
        </w:rPr>
        <w:t>供方对货物与合同要求不符负有责任，并且需方已于规定交货内和质量保证期内提出索赔，供方应按需方同意的下述一种或多种方法解决索赔事宜。</w:t>
      </w:r>
    </w:p>
    <w:p>
      <w:pPr>
        <w:pStyle w:val="12"/>
        <w:keepNext w:val="0"/>
        <w:keepLines w:val="0"/>
        <w:pageBreakBefore w:val="0"/>
        <w:widowControl w:val="0"/>
        <w:kinsoku/>
        <w:wordWrap/>
        <w:overflowPunct/>
        <w:topLinePunct w:val="0"/>
        <w:autoSpaceDE/>
        <w:autoSpaceDN/>
        <w:bidi w:val="0"/>
        <w:adjustRightInd/>
        <w:spacing w:line="440" w:lineRule="exact"/>
        <w:ind w:left="479" w:leftChars="228" w:firstLine="0" w:firstLineChars="0"/>
        <w:textAlignment w:val="auto"/>
        <w:rPr>
          <w:rFonts w:hint="eastAsia" w:hAnsi="宋体"/>
          <w:color w:val="000000"/>
          <w:sz w:val="24"/>
          <w:szCs w:val="24"/>
          <w:lang w:eastAsia="zh-CN"/>
        </w:rPr>
      </w:pPr>
      <w:r>
        <w:rPr>
          <w:rFonts w:hint="eastAsia" w:hAnsi="宋体"/>
          <w:color w:val="000000"/>
          <w:sz w:val="24"/>
          <w:szCs w:val="24"/>
          <w:lang w:eastAsia="zh-CN"/>
        </w:rPr>
        <w:t>8.1供方同意需方拒收货物并把拒收货物的金额以合同规定的同类货币付给需方，供方负担发生的一切损失和费用，包括利息、运输和保险费、检验费、仓储和装卸费以及为保管和保护被拒绝货物所需要的其它必要费用。</w:t>
      </w:r>
    </w:p>
    <w:p>
      <w:pPr>
        <w:pStyle w:val="12"/>
        <w:keepNext w:val="0"/>
        <w:keepLines w:val="0"/>
        <w:pageBreakBefore w:val="0"/>
        <w:widowControl w:val="0"/>
        <w:kinsoku/>
        <w:wordWrap/>
        <w:overflowPunct/>
        <w:topLinePunct w:val="0"/>
        <w:autoSpaceDE/>
        <w:autoSpaceDN/>
        <w:bidi w:val="0"/>
        <w:adjustRightInd/>
        <w:spacing w:line="440" w:lineRule="exact"/>
        <w:ind w:left="479" w:leftChars="228" w:firstLine="0" w:firstLineChars="0"/>
        <w:textAlignment w:val="auto"/>
        <w:rPr>
          <w:rFonts w:hint="eastAsia" w:hAnsi="宋体"/>
          <w:color w:val="000000"/>
          <w:sz w:val="24"/>
          <w:szCs w:val="24"/>
          <w:lang w:eastAsia="zh-CN"/>
        </w:rPr>
      </w:pPr>
      <w:r>
        <w:rPr>
          <w:rFonts w:hint="eastAsia" w:hAnsi="宋体"/>
          <w:color w:val="000000"/>
          <w:sz w:val="24"/>
          <w:szCs w:val="24"/>
          <w:lang w:eastAsia="zh-CN"/>
        </w:rPr>
        <w:t>8.2根据货物的疵劣和受损程度以及需方遭受损失的金额，经双方同意降低货物价格。</w:t>
      </w:r>
    </w:p>
    <w:p>
      <w:pPr>
        <w:pStyle w:val="12"/>
        <w:keepNext w:val="0"/>
        <w:keepLines w:val="0"/>
        <w:pageBreakBefore w:val="0"/>
        <w:widowControl w:val="0"/>
        <w:kinsoku/>
        <w:wordWrap/>
        <w:overflowPunct/>
        <w:topLinePunct w:val="0"/>
        <w:autoSpaceDE/>
        <w:autoSpaceDN/>
        <w:bidi w:val="0"/>
        <w:adjustRightInd/>
        <w:spacing w:line="440" w:lineRule="exact"/>
        <w:ind w:left="479" w:leftChars="228" w:firstLine="0" w:firstLineChars="0"/>
        <w:textAlignment w:val="auto"/>
        <w:rPr>
          <w:rFonts w:hint="eastAsia" w:hAnsi="宋体"/>
          <w:color w:val="000000"/>
          <w:sz w:val="24"/>
          <w:szCs w:val="24"/>
          <w:lang w:eastAsia="zh-CN"/>
        </w:rPr>
      </w:pPr>
      <w:r>
        <w:rPr>
          <w:rFonts w:hint="eastAsia" w:hAnsi="宋体"/>
          <w:color w:val="000000"/>
          <w:sz w:val="24"/>
          <w:szCs w:val="24"/>
          <w:lang w:eastAsia="zh-CN"/>
        </w:rPr>
        <w:t>9.知识产权</w:t>
      </w:r>
    </w:p>
    <w:p>
      <w:pPr>
        <w:pStyle w:val="12"/>
        <w:keepNext w:val="0"/>
        <w:keepLines w:val="0"/>
        <w:pageBreakBefore w:val="0"/>
        <w:widowControl w:val="0"/>
        <w:kinsoku/>
        <w:wordWrap/>
        <w:overflowPunct/>
        <w:topLinePunct w:val="0"/>
        <w:autoSpaceDE/>
        <w:autoSpaceDN/>
        <w:bidi w:val="0"/>
        <w:adjustRightInd/>
        <w:spacing w:line="440" w:lineRule="exact"/>
        <w:ind w:left="479" w:leftChars="228" w:firstLine="0" w:firstLineChars="0"/>
        <w:textAlignment w:val="auto"/>
        <w:rPr>
          <w:rFonts w:hint="eastAsia" w:hAnsi="宋体"/>
          <w:color w:val="000000"/>
          <w:sz w:val="24"/>
          <w:szCs w:val="24"/>
          <w:lang w:eastAsia="zh-CN"/>
        </w:rPr>
      </w:pPr>
      <w:r>
        <w:rPr>
          <w:rFonts w:hint="eastAsia" w:hAnsi="宋体"/>
          <w:color w:val="000000"/>
          <w:sz w:val="24"/>
          <w:szCs w:val="24"/>
          <w:lang w:eastAsia="zh-CN"/>
        </w:rPr>
        <w:t>甲方在中华人民共和国境内使用乙方提供的货物及服务时免受第三方提出的侵犯其专利权或其它知识产权的起诉。如果第三方提出侵权指控，乙方应承担由此而引起的一切法律责任和费用。</w:t>
      </w:r>
    </w:p>
    <w:p>
      <w:pPr>
        <w:pStyle w:val="12"/>
        <w:keepNext w:val="0"/>
        <w:keepLines w:val="0"/>
        <w:pageBreakBefore w:val="0"/>
        <w:widowControl w:val="0"/>
        <w:kinsoku/>
        <w:wordWrap/>
        <w:overflowPunct/>
        <w:topLinePunct w:val="0"/>
        <w:autoSpaceDE/>
        <w:autoSpaceDN/>
        <w:bidi w:val="0"/>
        <w:adjustRightInd/>
        <w:spacing w:line="440" w:lineRule="exact"/>
        <w:ind w:left="479" w:leftChars="228" w:firstLine="0" w:firstLineChars="0"/>
        <w:textAlignment w:val="auto"/>
        <w:rPr>
          <w:rFonts w:hint="eastAsia" w:hAnsi="宋体"/>
          <w:color w:val="000000"/>
          <w:sz w:val="24"/>
          <w:szCs w:val="24"/>
          <w:lang w:eastAsia="zh-CN"/>
        </w:rPr>
      </w:pPr>
      <w:r>
        <w:rPr>
          <w:rFonts w:hint="eastAsia" w:hAnsi="宋体"/>
          <w:color w:val="000000"/>
          <w:sz w:val="24"/>
          <w:szCs w:val="24"/>
          <w:lang w:eastAsia="zh-CN"/>
        </w:rPr>
        <w:t>10.合同争议的解决</w:t>
      </w:r>
    </w:p>
    <w:p>
      <w:pPr>
        <w:pStyle w:val="12"/>
        <w:keepNext w:val="0"/>
        <w:keepLines w:val="0"/>
        <w:pageBreakBefore w:val="0"/>
        <w:widowControl w:val="0"/>
        <w:kinsoku/>
        <w:wordWrap/>
        <w:overflowPunct/>
        <w:topLinePunct w:val="0"/>
        <w:autoSpaceDE/>
        <w:autoSpaceDN/>
        <w:bidi w:val="0"/>
        <w:adjustRightInd/>
        <w:spacing w:line="440" w:lineRule="exact"/>
        <w:ind w:left="479" w:leftChars="228" w:firstLine="0" w:firstLineChars="0"/>
        <w:textAlignment w:val="auto"/>
        <w:rPr>
          <w:rFonts w:hint="eastAsia" w:hAnsi="宋体"/>
          <w:color w:val="000000"/>
          <w:sz w:val="24"/>
          <w:szCs w:val="24"/>
          <w:lang w:eastAsia="zh-CN"/>
        </w:rPr>
      </w:pPr>
      <w:r>
        <w:rPr>
          <w:rFonts w:hint="eastAsia" w:hAnsi="宋体"/>
          <w:color w:val="000000"/>
          <w:sz w:val="24"/>
          <w:szCs w:val="24"/>
          <w:lang w:eastAsia="zh-CN"/>
        </w:rPr>
        <w:t>10.1当事人友好协商达成一致</w:t>
      </w:r>
    </w:p>
    <w:p>
      <w:pPr>
        <w:pStyle w:val="12"/>
        <w:keepNext w:val="0"/>
        <w:keepLines w:val="0"/>
        <w:pageBreakBefore w:val="0"/>
        <w:widowControl w:val="0"/>
        <w:kinsoku/>
        <w:wordWrap/>
        <w:overflowPunct/>
        <w:topLinePunct w:val="0"/>
        <w:autoSpaceDE/>
        <w:autoSpaceDN/>
        <w:bidi w:val="0"/>
        <w:adjustRightInd/>
        <w:spacing w:line="440" w:lineRule="exact"/>
        <w:ind w:left="479" w:leftChars="228" w:firstLine="0" w:firstLineChars="0"/>
        <w:textAlignment w:val="auto"/>
        <w:rPr>
          <w:rFonts w:hint="eastAsia" w:hAnsi="宋体"/>
          <w:color w:val="000000"/>
          <w:sz w:val="24"/>
          <w:szCs w:val="24"/>
          <w:lang w:eastAsia="zh-CN"/>
        </w:rPr>
      </w:pPr>
      <w:r>
        <w:rPr>
          <w:rFonts w:hint="eastAsia" w:hAnsi="宋体"/>
          <w:color w:val="000000"/>
          <w:sz w:val="24"/>
          <w:szCs w:val="24"/>
          <w:lang w:eastAsia="zh-CN"/>
        </w:rPr>
        <w:t>10.2在60天内当事人协商不能达成协议的，可提请采购人当地仲裁机构仲裁。</w:t>
      </w:r>
    </w:p>
    <w:p>
      <w:pPr>
        <w:pStyle w:val="12"/>
        <w:keepNext w:val="0"/>
        <w:keepLines w:val="0"/>
        <w:pageBreakBefore w:val="0"/>
        <w:widowControl w:val="0"/>
        <w:kinsoku/>
        <w:wordWrap/>
        <w:overflowPunct/>
        <w:topLinePunct w:val="0"/>
        <w:autoSpaceDE/>
        <w:autoSpaceDN/>
        <w:bidi w:val="0"/>
        <w:adjustRightInd/>
        <w:spacing w:line="440" w:lineRule="exact"/>
        <w:ind w:left="479" w:leftChars="228" w:firstLine="0" w:firstLineChars="0"/>
        <w:textAlignment w:val="auto"/>
        <w:rPr>
          <w:rFonts w:hint="eastAsia" w:hAnsi="宋体"/>
          <w:color w:val="000000"/>
          <w:sz w:val="24"/>
          <w:szCs w:val="24"/>
          <w:lang w:eastAsia="zh-CN"/>
        </w:rPr>
      </w:pPr>
      <w:r>
        <w:rPr>
          <w:rFonts w:hint="eastAsia" w:hAnsi="宋体"/>
          <w:color w:val="000000"/>
          <w:sz w:val="24"/>
          <w:szCs w:val="24"/>
          <w:lang w:eastAsia="zh-CN"/>
        </w:rPr>
        <w:t>11.违约责任</w:t>
      </w:r>
    </w:p>
    <w:p>
      <w:pPr>
        <w:pStyle w:val="12"/>
        <w:keepNext w:val="0"/>
        <w:keepLines w:val="0"/>
        <w:pageBreakBefore w:val="0"/>
        <w:widowControl w:val="0"/>
        <w:kinsoku/>
        <w:wordWrap/>
        <w:overflowPunct/>
        <w:topLinePunct w:val="0"/>
        <w:autoSpaceDE/>
        <w:autoSpaceDN/>
        <w:bidi w:val="0"/>
        <w:adjustRightInd/>
        <w:spacing w:line="440" w:lineRule="exact"/>
        <w:ind w:left="479" w:leftChars="228" w:firstLine="0" w:firstLineChars="0"/>
        <w:textAlignment w:val="auto"/>
        <w:rPr>
          <w:rFonts w:hint="eastAsia" w:hAnsi="宋体"/>
          <w:color w:val="000000"/>
          <w:sz w:val="24"/>
          <w:szCs w:val="24"/>
          <w:lang w:eastAsia="zh-CN"/>
        </w:rPr>
      </w:pPr>
      <w:r>
        <w:rPr>
          <w:rFonts w:hint="eastAsia" w:hAnsi="宋体"/>
          <w:color w:val="000000"/>
          <w:sz w:val="24"/>
          <w:szCs w:val="24"/>
          <w:lang w:eastAsia="zh-CN"/>
        </w:rPr>
        <w:t>按《中华人民共和国民法典》、《中华人民共和国政府采购法》有关条款，或由供需双方约定。</w:t>
      </w:r>
    </w:p>
    <w:p>
      <w:pPr>
        <w:pStyle w:val="12"/>
        <w:keepNext w:val="0"/>
        <w:keepLines w:val="0"/>
        <w:pageBreakBefore w:val="0"/>
        <w:widowControl w:val="0"/>
        <w:kinsoku/>
        <w:wordWrap/>
        <w:overflowPunct/>
        <w:topLinePunct w:val="0"/>
        <w:autoSpaceDE/>
        <w:autoSpaceDN/>
        <w:bidi w:val="0"/>
        <w:adjustRightInd/>
        <w:spacing w:line="440" w:lineRule="exact"/>
        <w:ind w:left="479" w:leftChars="228" w:firstLine="0" w:firstLineChars="0"/>
        <w:textAlignment w:val="auto"/>
        <w:rPr>
          <w:rFonts w:hint="eastAsia" w:hAnsi="宋体"/>
          <w:color w:val="000000"/>
          <w:sz w:val="24"/>
          <w:szCs w:val="24"/>
          <w:lang w:eastAsia="zh-CN"/>
        </w:rPr>
      </w:pPr>
      <w:r>
        <w:rPr>
          <w:rFonts w:hint="eastAsia" w:hAnsi="宋体"/>
          <w:color w:val="000000"/>
          <w:sz w:val="24"/>
          <w:szCs w:val="24"/>
          <w:lang w:eastAsia="zh-CN"/>
        </w:rPr>
        <w:t>12.合同生效及其它</w:t>
      </w:r>
    </w:p>
    <w:p>
      <w:pPr>
        <w:pStyle w:val="12"/>
        <w:keepNext w:val="0"/>
        <w:keepLines w:val="0"/>
        <w:pageBreakBefore w:val="0"/>
        <w:widowControl w:val="0"/>
        <w:kinsoku/>
        <w:wordWrap/>
        <w:overflowPunct/>
        <w:topLinePunct w:val="0"/>
        <w:autoSpaceDE/>
        <w:autoSpaceDN/>
        <w:bidi w:val="0"/>
        <w:adjustRightInd/>
        <w:spacing w:line="440" w:lineRule="exact"/>
        <w:ind w:left="479" w:leftChars="228" w:firstLine="0" w:firstLineChars="0"/>
        <w:textAlignment w:val="auto"/>
        <w:rPr>
          <w:rFonts w:hint="eastAsia" w:hAnsi="宋体"/>
          <w:color w:val="000000"/>
          <w:sz w:val="24"/>
          <w:szCs w:val="24"/>
          <w:lang w:eastAsia="zh-CN"/>
        </w:rPr>
      </w:pPr>
      <w:r>
        <w:rPr>
          <w:rFonts w:hint="eastAsia" w:hAnsi="宋体"/>
          <w:color w:val="000000"/>
          <w:sz w:val="24"/>
          <w:szCs w:val="24"/>
          <w:lang w:eastAsia="zh-CN"/>
        </w:rPr>
        <w:t>12.1合同生效及其效力应符合《中华人民共和国民法典》有关规定。</w:t>
      </w:r>
    </w:p>
    <w:p>
      <w:pPr>
        <w:pStyle w:val="12"/>
        <w:keepNext w:val="0"/>
        <w:keepLines w:val="0"/>
        <w:pageBreakBefore w:val="0"/>
        <w:widowControl w:val="0"/>
        <w:kinsoku/>
        <w:wordWrap/>
        <w:overflowPunct/>
        <w:topLinePunct w:val="0"/>
        <w:autoSpaceDE/>
        <w:autoSpaceDN/>
        <w:bidi w:val="0"/>
        <w:adjustRightInd/>
        <w:spacing w:line="440" w:lineRule="exact"/>
        <w:ind w:left="479" w:leftChars="228" w:firstLine="0" w:firstLineChars="0"/>
        <w:textAlignment w:val="auto"/>
        <w:rPr>
          <w:rFonts w:hint="eastAsia" w:hAnsi="宋体"/>
          <w:color w:val="000000"/>
          <w:sz w:val="24"/>
          <w:szCs w:val="24"/>
          <w:lang w:eastAsia="zh-CN"/>
        </w:rPr>
      </w:pPr>
      <w:r>
        <w:rPr>
          <w:rFonts w:hint="eastAsia" w:hAnsi="宋体"/>
          <w:color w:val="000000"/>
          <w:sz w:val="24"/>
          <w:szCs w:val="24"/>
          <w:lang w:eastAsia="zh-CN"/>
        </w:rPr>
        <w:t>12.2合同应经当事人法定代表人或委托代理人签字，加盖双方合同专用章或公章。</w:t>
      </w:r>
    </w:p>
    <w:p>
      <w:pPr>
        <w:pStyle w:val="12"/>
        <w:keepNext w:val="0"/>
        <w:keepLines w:val="0"/>
        <w:pageBreakBefore w:val="0"/>
        <w:widowControl w:val="0"/>
        <w:kinsoku/>
        <w:wordWrap/>
        <w:overflowPunct/>
        <w:topLinePunct w:val="0"/>
        <w:autoSpaceDE/>
        <w:autoSpaceDN/>
        <w:bidi w:val="0"/>
        <w:adjustRightInd/>
        <w:spacing w:line="440" w:lineRule="exact"/>
        <w:ind w:left="479" w:leftChars="228" w:firstLine="0" w:firstLineChars="0"/>
        <w:textAlignment w:val="auto"/>
        <w:rPr>
          <w:rFonts w:hint="eastAsia" w:hAnsi="宋体"/>
          <w:color w:val="000000"/>
          <w:sz w:val="24"/>
          <w:szCs w:val="24"/>
          <w:lang w:eastAsia="zh-CN"/>
        </w:rPr>
      </w:pPr>
      <w:r>
        <w:rPr>
          <w:rFonts w:hint="eastAsia" w:hAnsi="宋体"/>
          <w:color w:val="000000"/>
          <w:sz w:val="24"/>
          <w:szCs w:val="24"/>
          <w:lang w:eastAsia="zh-CN"/>
        </w:rPr>
        <w:t>12.3合同所包括附件，是合同不可分割的一部分，具有同等法律效力。</w:t>
      </w:r>
    </w:p>
    <w:p>
      <w:pPr>
        <w:pStyle w:val="12"/>
        <w:keepNext w:val="0"/>
        <w:keepLines w:val="0"/>
        <w:pageBreakBefore w:val="0"/>
        <w:widowControl w:val="0"/>
        <w:kinsoku/>
        <w:wordWrap/>
        <w:overflowPunct/>
        <w:topLinePunct w:val="0"/>
        <w:autoSpaceDE/>
        <w:autoSpaceDN/>
        <w:bidi w:val="0"/>
        <w:adjustRightInd/>
        <w:spacing w:line="440" w:lineRule="exact"/>
        <w:ind w:left="479" w:leftChars="228" w:firstLine="0" w:firstLineChars="0"/>
        <w:textAlignment w:val="auto"/>
        <w:rPr>
          <w:rFonts w:hint="eastAsia" w:hAnsi="宋体"/>
          <w:color w:val="000000"/>
          <w:sz w:val="24"/>
          <w:szCs w:val="24"/>
          <w:lang w:eastAsia="zh-CN"/>
        </w:rPr>
      </w:pPr>
      <w:r>
        <w:rPr>
          <w:rFonts w:hint="eastAsia" w:hAnsi="宋体"/>
          <w:color w:val="000000"/>
          <w:sz w:val="24"/>
          <w:szCs w:val="24"/>
          <w:lang w:eastAsia="zh-CN"/>
        </w:rPr>
        <w:t>12.4合同需提供担保的，按《中华人民共和国民法典》规定执行。</w:t>
      </w:r>
    </w:p>
    <w:p>
      <w:pPr>
        <w:pStyle w:val="12"/>
        <w:keepNext w:val="0"/>
        <w:keepLines w:val="0"/>
        <w:pageBreakBefore w:val="0"/>
        <w:widowControl w:val="0"/>
        <w:kinsoku/>
        <w:wordWrap/>
        <w:overflowPunct/>
        <w:topLinePunct w:val="0"/>
        <w:autoSpaceDE/>
        <w:autoSpaceDN/>
        <w:bidi w:val="0"/>
        <w:adjustRightInd/>
        <w:spacing w:line="440" w:lineRule="exact"/>
        <w:ind w:left="479" w:leftChars="228" w:firstLine="0" w:firstLineChars="0"/>
        <w:textAlignment w:val="auto"/>
        <w:rPr>
          <w:rFonts w:ascii="方正仿宋_GBK" w:eastAsia="方正仿宋_GBK"/>
          <w:szCs w:val="28"/>
        </w:rPr>
      </w:pPr>
      <w:r>
        <w:rPr>
          <w:rFonts w:hint="eastAsia" w:hAnsi="宋体"/>
          <w:color w:val="000000"/>
          <w:sz w:val="24"/>
          <w:szCs w:val="24"/>
          <w:lang w:eastAsia="zh-CN"/>
        </w:rPr>
        <w:t>12.5本合同条件未尽事宜依照《中华人民共和国民法典》，由供需双方共同协商确定。</w:t>
      </w:r>
      <w:bookmarkEnd w:id="4"/>
      <w:bookmarkEnd w:id="5"/>
    </w:p>
    <w:p>
      <w:pPr>
        <w:pStyle w:val="2"/>
        <w:jc w:val="both"/>
        <w:rPr>
          <w:rFonts w:ascii="方正仿宋_GBK" w:eastAsia="方正仿宋_GBK"/>
          <w:szCs w:val="28"/>
        </w:rPr>
      </w:pPr>
    </w:p>
    <w:p/>
    <w:p>
      <w:pPr>
        <w:outlineLvl w:val="9"/>
        <w:rPr>
          <w:rFonts w:ascii="黑体" w:hAnsi="黑体" w:eastAsia="黑体"/>
        </w:rPr>
      </w:pPr>
      <w:bookmarkStart w:id="6" w:name="_Toc96412730"/>
      <w:r>
        <w:rPr>
          <w:rFonts w:hint="eastAsia" w:ascii="黑体" w:hAnsi="黑体" w:eastAsia="黑体"/>
        </w:rPr>
        <w:t>附页：合同格式</w:t>
      </w:r>
      <w:bookmarkEnd w:id="6"/>
    </w:p>
    <w:p>
      <w:pPr>
        <w:spacing w:line="560" w:lineRule="exact"/>
        <w:jc w:val="center"/>
        <w:rPr>
          <w:rFonts w:ascii="方正仿宋_GBK" w:hAnsi="宋体" w:eastAsia="方正仿宋_GBK"/>
          <w:color w:val="000000"/>
          <w:sz w:val="32"/>
          <w:szCs w:val="32"/>
          <w:u w:val="single"/>
        </w:rPr>
      </w:pPr>
      <w:r>
        <w:rPr>
          <w:rFonts w:hint="eastAsia" w:ascii="方正仿宋_GBK" w:hAnsi="宋体" w:eastAsia="方正仿宋_GBK"/>
          <w:color w:val="000000"/>
          <w:sz w:val="32"/>
          <w:szCs w:val="32"/>
        </w:rPr>
        <w:t xml:space="preserve">  合同编号：</w:t>
      </w:r>
    </w:p>
    <w:p>
      <w:pPr>
        <w:spacing w:line="560" w:lineRule="exact"/>
        <w:jc w:val="center"/>
        <w:rPr>
          <w:rFonts w:ascii="方正仿宋_GBK" w:hAnsi="宋体" w:eastAsia="方正仿宋_GBK"/>
          <w:color w:val="000000"/>
          <w:sz w:val="32"/>
          <w:szCs w:val="32"/>
        </w:rPr>
      </w:pPr>
      <w:r>
        <w:rPr>
          <w:rFonts w:hint="eastAsia" w:ascii="方正仿宋_GBK" w:hAnsi="楷体" w:eastAsia="方正仿宋_GBK"/>
          <w:color w:val="000000"/>
          <w:sz w:val="32"/>
          <w:szCs w:val="32"/>
        </w:rPr>
        <w:sym w:font="Wingdings 2" w:char="00A3"/>
      </w:r>
      <w:r>
        <w:rPr>
          <w:rFonts w:hint="eastAsia" w:ascii="方正仿宋_GBK" w:hAnsi="宋体" w:eastAsia="方正仿宋_GBK"/>
          <w:color w:val="000000"/>
          <w:sz w:val="32"/>
          <w:szCs w:val="32"/>
        </w:rPr>
        <w:t xml:space="preserve">正本      </w:t>
      </w:r>
      <w:r>
        <w:rPr>
          <w:rFonts w:hint="eastAsia" w:ascii="方正仿宋_GBK" w:hAnsi="楷体" w:eastAsia="方正仿宋_GBK"/>
          <w:color w:val="000000"/>
          <w:sz w:val="32"/>
          <w:szCs w:val="32"/>
        </w:rPr>
        <w:sym w:font="Wingdings 2" w:char="00A3"/>
      </w:r>
      <w:r>
        <w:rPr>
          <w:rFonts w:hint="eastAsia" w:ascii="方正仿宋_GBK" w:hAnsi="楷体" w:eastAsia="方正仿宋_GBK"/>
          <w:color w:val="000000"/>
          <w:sz w:val="32"/>
          <w:szCs w:val="32"/>
        </w:rPr>
        <w:t>副本</w:t>
      </w:r>
    </w:p>
    <w:p>
      <w:pPr>
        <w:spacing w:line="560" w:lineRule="exact"/>
        <w:rPr>
          <w:rFonts w:ascii="方正仿宋_GBK" w:hAnsi="宋体" w:eastAsia="方正仿宋_GBK"/>
          <w:color w:val="000000"/>
          <w:szCs w:val="28"/>
        </w:rPr>
      </w:pPr>
    </w:p>
    <w:p>
      <w:pPr>
        <w:spacing w:line="560" w:lineRule="exact"/>
        <w:rPr>
          <w:rFonts w:ascii="方正仿宋_GBK" w:hAnsi="宋体" w:eastAsia="方正仿宋_GBK"/>
          <w:color w:val="000000"/>
          <w:szCs w:val="28"/>
        </w:rPr>
      </w:pPr>
    </w:p>
    <w:p>
      <w:pPr>
        <w:spacing w:line="560" w:lineRule="exact"/>
        <w:rPr>
          <w:rFonts w:ascii="方正仿宋_GBK" w:hAnsi="宋体" w:eastAsia="方正仿宋_GBK"/>
          <w:color w:val="000000"/>
          <w:szCs w:val="28"/>
        </w:rPr>
      </w:pPr>
    </w:p>
    <w:p>
      <w:pPr>
        <w:spacing w:line="900" w:lineRule="exact"/>
        <w:jc w:val="center"/>
        <w:rPr>
          <w:rFonts w:ascii="方正小标宋简体" w:hAnsi="楷体" w:eastAsia="方正小标宋简体"/>
          <w:color w:val="000000"/>
          <w:sz w:val="72"/>
          <w:szCs w:val="72"/>
        </w:rPr>
      </w:pPr>
      <w:r>
        <w:rPr>
          <w:rFonts w:hint="eastAsia" w:ascii="方正小标宋简体" w:hAnsi="楷体" w:eastAsia="方正小标宋简体"/>
          <w:color w:val="000000"/>
          <w:sz w:val="72"/>
          <w:szCs w:val="72"/>
        </w:rPr>
        <w:t>重庆医科大学经济合同</w:t>
      </w:r>
    </w:p>
    <w:p>
      <w:pPr>
        <w:spacing w:line="640" w:lineRule="exact"/>
        <w:jc w:val="center"/>
        <w:rPr>
          <w:rFonts w:ascii="方正仿宋_GBK" w:hAnsi="楷体" w:eastAsia="方正仿宋_GBK"/>
          <w:color w:val="000000"/>
          <w:szCs w:val="28"/>
        </w:rPr>
      </w:pPr>
    </w:p>
    <w:p>
      <w:pPr>
        <w:spacing w:line="640" w:lineRule="exact"/>
        <w:rPr>
          <w:rFonts w:ascii="方正仿宋_GBK" w:hAnsi="楷体" w:eastAsia="方正仿宋_GBK"/>
          <w:color w:val="000000"/>
          <w:szCs w:val="28"/>
        </w:rPr>
      </w:pPr>
    </w:p>
    <w:p>
      <w:pPr>
        <w:spacing w:line="640" w:lineRule="exact"/>
        <w:rPr>
          <w:rFonts w:ascii="方正仿宋_GBK" w:hAnsi="楷体" w:eastAsia="方正仿宋_GBK"/>
          <w:color w:val="000000"/>
          <w:szCs w:val="28"/>
        </w:rPr>
      </w:pPr>
    </w:p>
    <w:p>
      <w:pPr>
        <w:spacing w:line="640" w:lineRule="exact"/>
        <w:rPr>
          <w:rFonts w:ascii="方正仿宋_GBK" w:hAnsi="楷体" w:eastAsia="方正仿宋_GBK"/>
          <w:color w:val="000000"/>
          <w:szCs w:val="28"/>
        </w:rPr>
      </w:pPr>
    </w:p>
    <w:p>
      <w:pPr>
        <w:spacing w:line="640" w:lineRule="exact"/>
        <w:ind w:firstLine="480" w:firstLineChars="150"/>
        <w:rPr>
          <w:rFonts w:ascii="方正仿宋_GBK" w:hAnsi="楷体" w:eastAsia="方正仿宋_GBK"/>
          <w:color w:val="000000"/>
          <w:sz w:val="32"/>
          <w:szCs w:val="32"/>
        </w:rPr>
      </w:pPr>
      <w:r>
        <w:rPr>
          <w:rFonts w:hint="eastAsia" w:ascii="方正仿宋_GBK" w:hAnsi="楷体" w:eastAsia="方正仿宋_GBK"/>
          <w:color w:val="000000"/>
          <w:sz w:val="32"/>
          <w:szCs w:val="32"/>
        </w:rPr>
        <w:t xml:space="preserve">合同类型：■买卖合同  </w:t>
      </w:r>
      <w:r>
        <w:rPr>
          <w:rFonts w:hint="eastAsia" w:ascii="方正仿宋_GBK" w:hAnsi="楷体" w:eastAsia="方正仿宋_GBK"/>
          <w:color w:val="000000"/>
          <w:sz w:val="32"/>
          <w:szCs w:val="32"/>
        </w:rPr>
        <w:sym w:font="Wingdings 2" w:char="00A3"/>
      </w:r>
      <w:r>
        <w:rPr>
          <w:rFonts w:hint="eastAsia" w:ascii="方正仿宋_GBK" w:hAnsi="楷体" w:eastAsia="方正仿宋_GBK"/>
          <w:color w:val="000000"/>
          <w:sz w:val="32"/>
          <w:szCs w:val="32"/>
        </w:rPr>
        <w:t xml:space="preserve">技术合同 </w:t>
      </w:r>
      <w:r>
        <w:rPr>
          <w:rFonts w:hint="eastAsia" w:ascii="方正仿宋_GBK" w:hAnsi="楷体" w:eastAsia="方正仿宋_GBK"/>
          <w:color w:val="000000"/>
          <w:sz w:val="32"/>
          <w:szCs w:val="32"/>
        </w:rPr>
        <w:sym w:font="Wingdings 2" w:char="00A3"/>
      </w:r>
      <w:r>
        <w:rPr>
          <w:rFonts w:hint="eastAsia" w:ascii="方正仿宋_GBK" w:hAnsi="楷体" w:eastAsia="方正仿宋_GBK"/>
          <w:color w:val="000000"/>
          <w:sz w:val="32"/>
          <w:szCs w:val="32"/>
        </w:rPr>
        <w:t>建设工程合同</w:t>
      </w:r>
    </w:p>
    <w:p>
      <w:pPr>
        <w:spacing w:line="640" w:lineRule="exact"/>
        <w:ind w:firstLine="2080" w:firstLineChars="650"/>
        <w:rPr>
          <w:rFonts w:ascii="方正仿宋_GBK" w:hAnsi="楷体" w:eastAsia="方正仿宋_GBK"/>
          <w:color w:val="000000"/>
          <w:sz w:val="32"/>
          <w:szCs w:val="32"/>
        </w:rPr>
      </w:pPr>
      <w:r>
        <w:rPr>
          <w:rFonts w:hint="eastAsia" w:ascii="方正仿宋_GBK" w:hAnsi="楷体" w:eastAsia="方正仿宋_GBK"/>
          <w:color w:val="000000"/>
          <w:sz w:val="32"/>
          <w:szCs w:val="32"/>
        </w:rPr>
        <w:sym w:font="Wingdings 2" w:char="00A3"/>
      </w:r>
      <w:r>
        <w:rPr>
          <w:rFonts w:hint="eastAsia" w:ascii="方正仿宋_GBK" w:hAnsi="楷体" w:eastAsia="方正仿宋_GBK"/>
          <w:color w:val="000000"/>
          <w:sz w:val="32"/>
          <w:szCs w:val="32"/>
        </w:rPr>
        <w:t xml:space="preserve">委托合同  </w:t>
      </w:r>
      <w:r>
        <w:rPr>
          <w:rFonts w:hint="eastAsia" w:ascii="方正仿宋_GBK" w:hAnsi="楷体" w:eastAsia="方正仿宋_GBK"/>
          <w:color w:val="000000"/>
          <w:sz w:val="32"/>
          <w:szCs w:val="32"/>
        </w:rPr>
        <w:sym w:font="Wingdings 2" w:char="00A3"/>
      </w:r>
      <w:r>
        <w:rPr>
          <w:rFonts w:hint="eastAsia" w:ascii="方正仿宋_GBK" w:hAnsi="楷体" w:eastAsia="方正仿宋_GBK"/>
          <w:color w:val="000000"/>
          <w:sz w:val="32"/>
          <w:szCs w:val="32"/>
        </w:rPr>
        <w:t xml:space="preserve">租赁合同 </w:t>
      </w:r>
      <w:r>
        <w:rPr>
          <w:rFonts w:hint="eastAsia" w:ascii="方正仿宋_GBK" w:hAnsi="楷体" w:eastAsia="方正仿宋_GBK"/>
          <w:color w:val="000000"/>
          <w:sz w:val="32"/>
          <w:szCs w:val="32"/>
        </w:rPr>
        <w:sym w:font="Wingdings 2" w:char="00A3"/>
      </w:r>
      <w:r>
        <w:rPr>
          <w:rFonts w:hint="eastAsia" w:ascii="方正仿宋_GBK" w:hAnsi="楷体" w:eastAsia="方正仿宋_GBK"/>
          <w:color w:val="000000"/>
          <w:sz w:val="32"/>
          <w:szCs w:val="32"/>
        </w:rPr>
        <w:t>承揽合同</w:t>
      </w:r>
    </w:p>
    <w:p>
      <w:pPr>
        <w:spacing w:line="640" w:lineRule="exact"/>
        <w:ind w:firstLine="2080" w:firstLineChars="650"/>
        <w:rPr>
          <w:rFonts w:ascii="方正仿宋_GBK" w:hAnsi="楷体" w:eastAsia="方正仿宋_GBK"/>
          <w:color w:val="000000"/>
          <w:sz w:val="32"/>
          <w:szCs w:val="32"/>
        </w:rPr>
      </w:pPr>
      <w:r>
        <w:rPr>
          <w:rFonts w:hint="eastAsia" w:ascii="方正仿宋_GBK" w:hAnsi="楷体" w:eastAsia="方正仿宋_GBK"/>
          <w:color w:val="000000"/>
          <w:sz w:val="32"/>
          <w:szCs w:val="32"/>
        </w:rPr>
        <w:sym w:font="Wingdings 2" w:char="00A3"/>
      </w:r>
      <w:r>
        <w:rPr>
          <w:rFonts w:hint="eastAsia" w:ascii="方正仿宋_GBK" w:hAnsi="楷体" w:eastAsia="方正仿宋_GBK"/>
          <w:color w:val="000000"/>
          <w:sz w:val="32"/>
          <w:szCs w:val="32"/>
        </w:rPr>
        <w:t xml:space="preserve">赠与合同  </w:t>
      </w:r>
      <w:r>
        <w:rPr>
          <w:rFonts w:hint="eastAsia" w:ascii="方正仿宋_GBK" w:hAnsi="楷体" w:eastAsia="方正仿宋_GBK"/>
          <w:color w:val="000000"/>
          <w:sz w:val="32"/>
          <w:szCs w:val="32"/>
        </w:rPr>
        <w:sym w:font="Wingdings 2" w:char="00A3"/>
      </w:r>
      <w:r>
        <w:rPr>
          <w:rFonts w:hint="eastAsia" w:ascii="方正仿宋_GBK" w:hAnsi="楷体" w:eastAsia="方正仿宋_GBK"/>
          <w:color w:val="000000"/>
          <w:sz w:val="32"/>
          <w:szCs w:val="32"/>
        </w:rPr>
        <w:t xml:space="preserve">运输合同 </w:t>
      </w:r>
      <w:r>
        <w:rPr>
          <w:rFonts w:hint="eastAsia" w:ascii="方正仿宋_GBK" w:hAnsi="楷体" w:eastAsia="方正仿宋_GBK"/>
          <w:color w:val="000000"/>
          <w:sz w:val="32"/>
          <w:szCs w:val="32"/>
        </w:rPr>
        <w:sym w:font="Wingdings 2" w:char="00A3"/>
      </w:r>
      <w:r>
        <w:rPr>
          <w:rFonts w:hint="eastAsia" w:ascii="方正仿宋_GBK" w:hAnsi="楷体" w:eastAsia="方正仿宋_GBK"/>
          <w:color w:val="000000"/>
          <w:sz w:val="32"/>
          <w:szCs w:val="32"/>
        </w:rPr>
        <w:t>物业服务合同</w:t>
      </w:r>
    </w:p>
    <w:p>
      <w:pPr>
        <w:spacing w:line="640" w:lineRule="exact"/>
        <w:ind w:firstLine="2080" w:firstLineChars="650"/>
        <w:rPr>
          <w:rFonts w:ascii="方正仿宋_GBK" w:hAnsi="楷体" w:eastAsia="方正仿宋_GBK"/>
          <w:color w:val="000000"/>
          <w:sz w:val="32"/>
          <w:szCs w:val="32"/>
          <w:u w:val="single"/>
        </w:rPr>
      </w:pPr>
      <w:r>
        <w:rPr>
          <w:rFonts w:hint="eastAsia" w:ascii="方正仿宋_GBK" w:hAnsi="楷体" w:eastAsia="方正仿宋_GBK"/>
          <w:color w:val="000000"/>
          <w:sz w:val="32"/>
          <w:szCs w:val="32"/>
        </w:rPr>
        <w:sym w:font="Wingdings 2" w:char="00A3"/>
      </w:r>
      <w:r>
        <w:rPr>
          <w:rFonts w:hint="eastAsia" w:ascii="方正仿宋_GBK" w:hAnsi="楷体" w:eastAsia="方正仿宋_GBK"/>
          <w:color w:val="000000"/>
          <w:sz w:val="32"/>
          <w:szCs w:val="32"/>
        </w:rPr>
        <w:t>其它典型合同</w:t>
      </w:r>
    </w:p>
    <w:p>
      <w:pPr>
        <w:spacing w:line="640" w:lineRule="exact"/>
        <w:rPr>
          <w:rFonts w:ascii="方正仿宋_GBK" w:hAnsi="楷体" w:eastAsia="方正仿宋_GBK"/>
          <w:color w:val="000000"/>
          <w:sz w:val="32"/>
          <w:szCs w:val="32"/>
        </w:rPr>
      </w:pPr>
      <w:r>
        <w:rPr>
          <w:rFonts w:hint="eastAsia" w:ascii="方正仿宋_GBK" w:hAnsi="楷体" w:eastAsia="方正仿宋_GBK"/>
          <w:color w:val="000000"/>
          <w:sz w:val="32"/>
          <w:szCs w:val="32"/>
        </w:rPr>
        <w:t xml:space="preserve">    合同甲方：重庆医科大学</w:t>
      </w:r>
    </w:p>
    <w:p>
      <w:pPr>
        <w:spacing w:line="640" w:lineRule="exact"/>
        <w:ind w:firstLine="640" w:firstLineChars="200"/>
        <w:rPr>
          <w:rFonts w:ascii="方正仿宋_GBK" w:hAnsi="楷体" w:eastAsia="方正仿宋_GBK"/>
          <w:color w:val="000000"/>
          <w:sz w:val="32"/>
          <w:szCs w:val="32"/>
        </w:rPr>
      </w:pPr>
      <w:r>
        <w:rPr>
          <w:rFonts w:hint="eastAsia" w:ascii="方正仿宋_GBK" w:hAnsi="楷体" w:eastAsia="方正仿宋_GBK"/>
          <w:color w:val="000000"/>
          <w:sz w:val="32"/>
          <w:szCs w:val="32"/>
        </w:rPr>
        <w:t>合同乙方：</w:t>
      </w:r>
    </w:p>
    <w:p>
      <w:pPr>
        <w:spacing w:line="640" w:lineRule="exact"/>
        <w:ind w:firstLine="640" w:firstLineChars="200"/>
        <w:rPr>
          <w:rFonts w:ascii="方正仿宋_GBK" w:hAnsi="楷体" w:eastAsia="方正仿宋_GBK"/>
          <w:color w:val="000000"/>
          <w:sz w:val="32"/>
          <w:szCs w:val="32"/>
        </w:rPr>
      </w:pPr>
      <w:r>
        <w:rPr>
          <w:rFonts w:hint="eastAsia" w:ascii="方正仿宋_GBK" w:hAnsi="楷体" w:eastAsia="方正仿宋_GBK"/>
          <w:color w:val="000000"/>
          <w:sz w:val="32"/>
          <w:szCs w:val="32"/>
        </w:rPr>
        <w:t>合同金额：人民币     元</w:t>
      </w:r>
    </w:p>
    <w:p>
      <w:pPr>
        <w:spacing w:line="640" w:lineRule="exact"/>
        <w:ind w:firstLine="640" w:firstLineChars="200"/>
        <w:rPr>
          <w:rFonts w:ascii="方正仿宋_GBK" w:hAnsi="楷体" w:eastAsia="方正仿宋_GBK"/>
          <w:color w:val="000000"/>
          <w:sz w:val="32"/>
          <w:szCs w:val="32"/>
        </w:rPr>
      </w:pPr>
      <w:r>
        <w:rPr>
          <w:rFonts w:hint="eastAsia" w:ascii="方正仿宋_GBK" w:hAnsi="楷体" w:eastAsia="方正仿宋_GBK"/>
          <w:color w:val="000000"/>
          <w:sz w:val="32"/>
          <w:szCs w:val="32"/>
        </w:rPr>
        <w:t>经费项目：</w:t>
      </w:r>
    </w:p>
    <w:p>
      <w:pPr>
        <w:spacing w:line="640" w:lineRule="exact"/>
        <w:rPr>
          <w:rFonts w:ascii="方正仿宋_GBK" w:hAnsi="楷体" w:eastAsia="方正仿宋_GBK"/>
          <w:color w:val="000000"/>
          <w:sz w:val="32"/>
          <w:szCs w:val="32"/>
        </w:rPr>
      </w:pPr>
    </w:p>
    <w:p>
      <w:pPr>
        <w:spacing w:line="640" w:lineRule="exact"/>
        <w:jc w:val="center"/>
        <w:rPr>
          <w:rFonts w:ascii="方正仿宋_GBK" w:hAnsi="楷体" w:eastAsia="方正仿宋_GBK"/>
          <w:color w:val="000000"/>
          <w:sz w:val="32"/>
          <w:szCs w:val="32"/>
        </w:rPr>
      </w:pPr>
      <w:r>
        <w:rPr>
          <w:rFonts w:hint="eastAsia" w:ascii="方正仿宋_GBK" w:hAnsi="楷体" w:eastAsia="方正仿宋_GBK"/>
          <w:color w:val="000000"/>
          <w:sz w:val="32"/>
          <w:szCs w:val="32"/>
        </w:rPr>
        <w:t>签订时间：     年   月   日</w:t>
      </w:r>
    </w:p>
    <w:p>
      <w:pPr>
        <w:rPr>
          <w:rFonts w:ascii="楷体" w:hAnsi="楷体" w:eastAsia="楷体"/>
          <w:color w:val="000000"/>
          <w:sz w:val="36"/>
          <w:szCs w:val="36"/>
        </w:rPr>
      </w:pPr>
    </w:p>
    <w:p>
      <w:pPr>
        <w:spacing w:line="640" w:lineRule="exact"/>
        <w:jc w:val="center"/>
        <w:rPr>
          <w:rFonts w:ascii="方正仿宋_GBK" w:hAnsi="楷体" w:eastAsia="方正仿宋_GBK"/>
          <w:color w:val="000000"/>
          <w:sz w:val="32"/>
          <w:szCs w:val="32"/>
        </w:rPr>
      </w:pPr>
      <w:r>
        <w:rPr>
          <w:rFonts w:hint="eastAsia" w:ascii="方正仿宋_GBK" w:hAnsi="楷体" w:eastAsia="方正仿宋_GBK"/>
          <w:color w:val="000000"/>
          <w:sz w:val="32"/>
          <w:szCs w:val="32"/>
        </w:rPr>
        <w:t>重庆医科大学财务处 监制</w:t>
      </w:r>
    </w:p>
    <w:p>
      <w:pPr>
        <w:snapToGrid w:val="0"/>
        <w:spacing w:line="500" w:lineRule="exact"/>
        <w:jc w:val="center"/>
        <w:outlineLvl w:val="0"/>
        <w:rPr>
          <w:rFonts w:ascii="仿宋" w:hAnsi="仿宋" w:eastAsia="仿宋"/>
          <w:color w:val="000000"/>
          <w:sz w:val="44"/>
        </w:rPr>
        <w:sectPr>
          <w:footerReference r:id="rId3" w:type="default"/>
          <w:pgSz w:w="11907" w:h="16840"/>
          <w:pgMar w:top="1134" w:right="1191" w:bottom="1134" w:left="1191" w:header="964" w:footer="992" w:gutter="0"/>
          <w:pgNumType w:fmt="numberInDash"/>
          <w:cols w:space="720" w:num="1"/>
          <w:docGrid w:linePitch="312" w:charSpace="0"/>
        </w:sectPr>
      </w:pPr>
    </w:p>
    <w:p>
      <w:pPr>
        <w:spacing w:line="480" w:lineRule="exact"/>
        <w:jc w:val="center"/>
        <w:rPr>
          <w:rFonts w:ascii="仿宋" w:hAnsi="仿宋" w:eastAsia="仿宋"/>
          <w:b/>
          <w:color w:val="000000"/>
          <w:sz w:val="44"/>
        </w:rPr>
      </w:pPr>
      <w:r>
        <w:rPr>
          <w:rFonts w:hint="eastAsia" w:ascii="仿宋" w:hAnsi="仿宋" w:eastAsia="仿宋"/>
          <w:b/>
          <w:color w:val="000000"/>
          <w:sz w:val="44"/>
        </w:rPr>
        <w:t>经济合同</w:t>
      </w:r>
    </w:p>
    <w:p>
      <w:pPr>
        <w:spacing w:line="480" w:lineRule="exact"/>
        <w:jc w:val="center"/>
        <w:rPr>
          <w:rFonts w:ascii="仿宋" w:hAnsi="仿宋" w:eastAsia="仿宋"/>
          <w:color w:val="000000"/>
        </w:rPr>
      </w:pPr>
      <w:r>
        <w:rPr>
          <w:rFonts w:hint="eastAsia" w:ascii="仿宋" w:hAnsi="仿宋" w:eastAsia="仿宋"/>
          <w:color w:val="000000"/>
        </w:rPr>
        <w:t>（项目号：     ）</w:t>
      </w:r>
    </w:p>
    <w:p>
      <w:pPr>
        <w:spacing w:line="480" w:lineRule="exact"/>
        <w:rPr>
          <w:rFonts w:ascii="仿宋" w:hAnsi="仿宋" w:eastAsia="仿宋"/>
          <w:color w:val="000000"/>
          <w:sz w:val="24"/>
        </w:rPr>
      </w:pPr>
      <w:r>
        <w:rPr>
          <w:rFonts w:hint="eastAsia" w:ascii="仿宋" w:hAnsi="仿宋" w:eastAsia="仿宋"/>
          <w:color w:val="000000"/>
          <w:sz w:val="24"/>
        </w:rPr>
        <w:t>甲方（需方、</w:t>
      </w:r>
      <w:r>
        <w:rPr>
          <w:rFonts w:hint="eastAsia" w:ascii="仿宋" w:hAnsi="仿宋" w:eastAsia="仿宋"/>
          <w:bCs/>
          <w:color w:val="000000"/>
          <w:sz w:val="24"/>
        </w:rPr>
        <w:t>采购人</w:t>
      </w:r>
      <w:r>
        <w:rPr>
          <w:rFonts w:hint="eastAsia" w:ascii="仿宋" w:hAnsi="仿宋" w:eastAsia="仿宋"/>
          <w:color w:val="000000"/>
          <w:sz w:val="24"/>
        </w:rPr>
        <w:t>）：</w:t>
      </w:r>
      <w:r>
        <w:rPr>
          <w:rFonts w:hint="eastAsia" w:ascii="仿宋" w:hAnsi="仿宋" w:eastAsia="仿宋"/>
          <w:color w:val="000000"/>
          <w:sz w:val="24"/>
          <w:u w:val="single"/>
        </w:rPr>
        <w:t>_ _重庆医科大学_ _</w:t>
      </w:r>
      <w:r>
        <w:rPr>
          <w:rFonts w:hint="eastAsia" w:ascii="仿宋" w:hAnsi="仿宋" w:eastAsia="仿宋"/>
          <w:color w:val="000000"/>
          <w:sz w:val="24"/>
        </w:rPr>
        <w:t xml:space="preserve">       计价单位：</w:t>
      </w:r>
      <w:r>
        <w:rPr>
          <w:rFonts w:hint="eastAsia" w:ascii="仿宋" w:hAnsi="仿宋" w:eastAsia="仿宋"/>
          <w:color w:val="000000"/>
          <w:sz w:val="24"/>
          <w:u w:val="single"/>
        </w:rPr>
        <w:t>_人民币：元__</w:t>
      </w:r>
    </w:p>
    <w:p>
      <w:pPr>
        <w:spacing w:line="480" w:lineRule="exact"/>
        <w:rPr>
          <w:rFonts w:ascii="仿宋" w:hAnsi="仿宋" w:eastAsia="仿宋"/>
          <w:color w:val="000000"/>
          <w:sz w:val="24"/>
        </w:rPr>
      </w:pPr>
      <w:r>
        <w:rPr>
          <w:rFonts w:hint="eastAsia" w:ascii="仿宋" w:hAnsi="仿宋" w:eastAsia="仿宋"/>
          <w:color w:val="000000"/>
          <w:sz w:val="24"/>
        </w:rPr>
        <w:t>乙方（供方、</w:t>
      </w:r>
      <w:r>
        <w:rPr>
          <w:rFonts w:hint="eastAsia" w:ascii="仿宋" w:hAnsi="仿宋" w:eastAsia="仿宋"/>
          <w:bCs/>
          <w:color w:val="000000"/>
          <w:sz w:val="24"/>
        </w:rPr>
        <w:t>中标人</w:t>
      </w:r>
      <w:r>
        <w:rPr>
          <w:rFonts w:hint="eastAsia" w:ascii="仿宋" w:hAnsi="仿宋" w:eastAsia="仿宋"/>
          <w:color w:val="000000"/>
          <w:sz w:val="24"/>
        </w:rPr>
        <w:t>）：___________________      计量单位：_____________</w:t>
      </w:r>
    </w:p>
    <w:p>
      <w:pPr>
        <w:spacing w:line="480" w:lineRule="exact"/>
        <w:ind w:firstLine="420" w:firstLineChars="200"/>
        <w:rPr>
          <w:rFonts w:ascii="仿宋" w:hAnsi="仿宋" w:eastAsia="仿宋"/>
          <w:color w:val="000000"/>
          <w:sz w:val="21"/>
          <w:szCs w:val="21"/>
        </w:rPr>
      </w:pPr>
      <w:r>
        <w:rPr>
          <w:rFonts w:hint="eastAsia" w:ascii="仿宋" w:hAnsi="仿宋" w:eastAsia="仿宋"/>
          <w:color w:val="000000"/>
          <w:sz w:val="21"/>
          <w:szCs w:val="21"/>
        </w:rPr>
        <w:t>根据《中华人民共和国民法典》《中华人民共和国政府采购法》等法律规定，经双方协商一致，达成以下经济合同：</w:t>
      </w:r>
    </w:p>
    <w:tbl>
      <w:tblPr>
        <w:tblStyle w:val="18"/>
        <w:tblW w:w="107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8"/>
        <w:gridCol w:w="1741"/>
        <w:gridCol w:w="984"/>
        <w:gridCol w:w="1582"/>
        <w:gridCol w:w="850"/>
        <w:gridCol w:w="1559"/>
        <w:gridCol w:w="1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2088" w:type="dxa"/>
            <w:noWrap w:val="0"/>
            <w:vAlign w:val="center"/>
          </w:tcPr>
          <w:p>
            <w:pPr>
              <w:spacing w:line="240" w:lineRule="atLeast"/>
              <w:jc w:val="center"/>
              <w:rPr>
                <w:rFonts w:ascii="仿宋" w:hAnsi="仿宋" w:eastAsia="仿宋"/>
                <w:color w:val="000000"/>
                <w:sz w:val="21"/>
                <w:szCs w:val="21"/>
              </w:rPr>
            </w:pPr>
            <w:r>
              <w:rPr>
                <w:rFonts w:hint="eastAsia" w:ascii="仿宋" w:hAnsi="仿宋" w:eastAsia="仿宋"/>
                <w:color w:val="000000"/>
                <w:sz w:val="21"/>
                <w:szCs w:val="21"/>
              </w:rPr>
              <w:t>货物名称</w:t>
            </w:r>
          </w:p>
        </w:tc>
        <w:tc>
          <w:tcPr>
            <w:tcW w:w="1741" w:type="dxa"/>
            <w:noWrap w:val="0"/>
            <w:vAlign w:val="center"/>
          </w:tcPr>
          <w:p>
            <w:pPr>
              <w:spacing w:line="240" w:lineRule="atLeast"/>
              <w:jc w:val="center"/>
              <w:rPr>
                <w:rFonts w:ascii="仿宋" w:hAnsi="仿宋" w:eastAsia="仿宋"/>
                <w:color w:val="000000"/>
                <w:sz w:val="21"/>
                <w:szCs w:val="21"/>
              </w:rPr>
            </w:pPr>
            <w:r>
              <w:rPr>
                <w:rFonts w:hint="eastAsia" w:ascii="仿宋" w:hAnsi="仿宋" w:eastAsia="仿宋"/>
                <w:color w:val="000000"/>
                <w:sz w:val="21"/>
                <w:szCs w:val="21"/>
              </w:rPr>
              <w:t>规格型号</w:t>
            </w:r>
          </w:p>
        </w:tc>
        <w:tc>
          <w:tcPr>
            <w:tcW w:w="984" w:type="dxa"/>
            <w:noWrap w:val="0"/>
            <w:vAlign w:val="center"/>
          </w:tcPr>
          <w:p>
            <w:pPr>
              <w:spacing w:line="240" w:lineRule="atLeast"/>
              <w:jc w:val="center"/>
              <w:rPr>
                <w:rFonts w:ascii="仿宋" w:hAnsi="仿宋" w:eastAsia="仿宋"/>
                <w:color w:val="000000"/>
                <w:w w:val="80"/>
                <w:sz w:val="21"/>
                <w:szCs w:val="21"/>
              </w:rPr>
            </w:pPr>
            <w:r>
              <w:rPr>
                <w:rFonts w:hint="eastAsia" w:ascii="仿宋" w:hAnsi="仿宋" w:eastAsia="仿宋"/>
                <w:color w:val="000000"/>
                <w:w w:val="80"/>
                <w:sz w:val="21"/>
                <w:szCs w:val="21"/>
              </w:rPr>
              <w:t>数量/单位</w:t>
            </w:r>
          </w:p>
        </w:tc>
        <w:tc>
          <w:tcPr>
            <w:tcW w:w="1582" w:type="dxa"/>
            <w:noWrap w:val="0"/>
            <w:vAlign w:val="center"/>
          </w:tcPr>
          <w:p>
            <w:pPr>
              <w:spacing w:line="240" w:lineRule="atLeast"/>
              <w:jc w:val="center"/>
              <w:rPr>
                <w:rFonts w:ascii="仿宋" w:hAnsi="仿宋" w:eastAsia="仿宋"/>
                <w:color w:val="000000"/>
                <w:sz w:val="21"/>
                <w:szCs w:val="21"/>
              </w:rPr>
            </w:pPr>
            <w:r>
              <w:rPr>
                <w:rFonts w:hint="eastAsia" w:ascii="仿宋" w:hAnsi="仿宋" w:eastAsia="仿宋"/>
                <w:color w:val="000000"/>
                <w:sz w:val="21"/>
                <w:szCs w:val="21"/>
              </w:rPr>
              <w:t>单价（不变价）</w:t>
            </w:r>
          </w:p>
        </w:tc>
        <w:tc>
          <w:tcPr>
            <w:tcW w:w="850" w:type="dxa"/>
            <w:noWrap w:val="0"/>
            <w:vAlign w:val="center"/>
          </w:tcPr>
          <w:p>
            <w:pPr>
              <w:spacing w:line="240" w:lineRule="atLeast"/>
              <w:jc w:val="center"/>
              <w:rPr>
                <w:rFonts w:ascii="仿宋" w:hAnsi="仿宋" w:eastAsia="仿宋"/>
                <w:color w:val="000000"/>
                <w:sz w:val="21"/>
                <w:szCs w:val="21"/>
              </w:rPr>
            </w:pPr>
            <w:r>
              <w:rPr>
                <w:rFonts w:hint="eastAsia" w:ascii="仿宋" w:hAnsi="仿宋" w:eastAsia="仿宋"/>
                <w:color w:val="000000"/>
                <w:sz w:val="21"/>
                <w:szCs w:val="21"/>
              </w:rPr>
              <w:t>总价</w:t>
            </w:r>
          </w:p>
        </w:tc>
        <w:tc>
          <w:tcPr>
            <w:tcW w:w="1559" w:type="dxa"/>
            <w:noWrap w:val="0"/>
            <w:vAlign w:val="center"/>
          </w:tcPr>
          <w:p>
            <w:pPr>
              <w:spacing w:line="240" w:lineRule="atLeast"/>
              <w:jc w:val="center"/>
              <w:rPr>
                <w:rFonts w:ascii="仿宋" w:hAnsi="仿宋" w:eastAsia="仿宋"/>
                <w:color w:val="000000"/>
                <w:sz w:val="21"/>
                <w:szCs w:val="21"/>
              </w:rPr>
            </w:pPr>
            <w:r>
              <w:rPr>
                <w:rFonts w:hint="eastAsia" w:ascii="仿宋" w:hAnsi="仿宋" w:eastAsia="仿宋"/>
                <w:color w:val="000000"/>
                <w:sz w:val="21"/>
                <w:szCs w:val="21"/>
              </w:rPr>
              <w:t>交货时间</w:t>
            </w:r>
          </w:p>
          <w:p>
            <w:pPr>
              <w:spacing w:line="240" w:lineRule="atLeast"/>
              <w:jc w:val="center"/>
              <w:rPr>
                <w:rFonts w:ascii="仿宋" w:hAnsi="仿宋" w:eastAsia="仿宋"/>
                <w:color w:val="000000"/>
                <w:sz w:val="21"/>
                <w:szCs w:val="21"/>
              </w:rPr>
            </w:pPr>
            <w:r>
              <w:rPr>
                <w:rFonts w:hint="eastAsia" w:ascii="仿宋" w:hAnsi="仿宋" w:eastAsia="仿宋"/>
                <w:color w:val="000000"/>
                <w:sz w:val="21"/>
                <w:szCs w:val="21"/>
              </w:rPr>
              <w:t>（履行时间）</w:t>
            </w:r>
          </w:p>
        </w:tc>
        <w:tc>
          <w:tcPr>
            <w:tcW w:w="1992" w:type="dxa"/>
            <w:noWrap w:val="0"/>
            <w:vAlign w:val="center"/>
          </w:tcPr>
          <w:p>
            <w:pPr>
              <w:spacing w:line="240" w:lineRule="atLeast"/>
              <w:jc w:val="center"/>
              <w:rPr>
                <w:rFonts w:ascii="仿宋" w:hAnsi="仿宋" w:eastAsia="仿宋"/>
                <w:color w:val="000000"/>
                <w:sz w:val="21"/>
                <w:szCs w:val="21"/>
              </w:rPr>
            </w:pPr>
            <w:r>
              <w:rPr>
                <w:rFonts w:hint="eastAsia" w:ascii="仿宋" w:hAnsi="仿宋" w:eastAsia="仿宋"/>
                <w:color w:val="000000"/>
                <w:sz w:val="21"/>
                <w:szCs w:val="21"/>
              </w:rPr>
              <w:t>交货地点</w:t>
            </w:r>
          </w:p>
          <w:p>
            <w:pPr>
              <w:spacing w:line="240" w:lineRule="atLeast"/>
              <w:jc w:val="center"/>
              <w:rPr>
                <w:rFonts w:ascii="仿宋" w:hAnsi="仿宋" w:eastAsia="仿宋"/>
                <w:color w:val="000000"/>
                <w:sz w:val="21"/>
                <w:szCs w:val="21"/>
              </w:rPr>
            </w:pPr>
            <w:r>
              <w:rPr>
                <w:rFonts w:hint="eastAsia" w:ascii="仿宋" w:hAnsi="仿宋" w:eastAsia="仿宋"/>
                <w:color w:val="000000"/>
                <w:sz w:val="21"/>
                <w:szCs w:val="21"/>
              </w:rPr>
              <w:t>（履行地点）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88" w:type="dxa"/>
            <w:noWrap w:val="0"/>
            <w:vAlign w:val="center"/>
          </w:tcPr>
          <w:p>
            <w:pPr>
              <w:spacing w:line="240" w:lineRule="atLeast"/>
              <w:jc w:val="center"/>
              <w:rPr>
                <w:rFonts w:ascii="仿宋" w:hAnsi="仿宋" w:eastAsia="仿宋"/>
                <w:color w:val="000000"/>
                <w:sz w:val="21"/>
                <w:szCs w:val="21"/>
              </w:rPr>
            </w:pPr>
          </w:p>
        </w:tc>
        <w:tc>
          <w:tcPr>
            <w:tcW w:w="1741" w:type="dxa"/>
            <w:noWrap w:val="0"/>
            <w:vAlign w:val="center"/>
          </w:tcPr>
          <w:p>
            <w:pPr>
              <w:spacing w:line="240" w:lineRule="atLeast"/>
              <w:jc w:val="center"/>
              <w:rPr>
                <w:rFonts w:ascii="仿宋" w:hAnsi="仿宋" w:eastAsia="仿宋"/>
                <w:color w:val="000000"/>
                <w:sz w:val="21"/>
                <w:szCs w:val="21"/>
              </w:rPr>
            </w:pPr>
          </w:p>
        </w:tc>
        <w:tc>
          <w:tcPr>
            <w:tcW w:w="984" w:type="dxa"/>
            <w:noWrap w:val="0"/>
            <w:vAlign w:val="center"/>
          </w:tcPr>
          <w:p>
            <w:pPr>
              <w:spacing w:line="240" w:lineRule="atLeast"/>
              <w:jc w:val="center"/>
              <w:rPr>
                <w:rFonts w:ascii="仿宋" w:hAnsi="仿宋" w:eastAsia="仿宋"/>
                <w:color w:val="000000"/>
                <w:sz w:val="21"/>
                <w:szCs w:val="21"/>
              </w:rPr>
            </w:pPr>
          </w:p>
        </w:tc>
        <w:tc>
          <w:tcPr>
            <w:tcW w:w="1582" w:type="dxa"/>
            <w:noWrap w:val="0"/>
            <w:vAlign w:val="center"/>
          </w:tcPr>
          <w:p>
            <w:pPr>
              <w:spacing w:line="240" w:lineRule="atLeast"/>
              <w:jc w:val="center"/>
              <w:rPr>
                <w:rFonts w:ascii="仿宋" w:hAnsi="仿宋" w:eastAsia="仿宋"/>
                <w:color w:val="000000"/>
                <w:sz w:val="21"/>
                <w:szCs w:val="21"/>
              </w:rPr>
            </w:pPr>
          </w:p>
        </w:tc>
        <w:tc>
          <w:tcPr>
            <w:tcW w:w="850" w:type="dxa"/>
            <w:noWrap w:val="0"/>
            <w:vAlign w:val="center"/>
          </w:tcPr>
          <w:p>
            <w:pPr>
              <w:spacing w:line="240" w:lineRule="atLeast"/>
              <w:jc w:val="center"/>
              <w:rPr>
                <w:rFonts w:ascii="仿宋" w:hAnsi="仿宋" w:eastAsia="仿宋"/>
                <w:color w:val="000000"/>
                <w:sz w:val="21"/>
                <w:szCs w:val="21"/>
              </w:rPr>
            </w:pPr>
          </w:p>
        </w:tc>
        <w:tc>
          <w:tcPr>
            <w:tcW w:w="1559" w:type="dxa"/>
            <w:noWrap w:val="0"/>
            <w:vAlign w:val="center"/>
          </w:tcPr>
          <w:p>
            <w:pPr>
              <w:spacing w:line="240" w:lineRule="atLeast"/>
              <w:jc w:val="center"/>
              <w:rPr>
                <w:rFonts w:ascii="仿宋" w:hAnsi="仿宋" w:eastAsia="仿宋"/>
                <w:color w:val="000000"/>
                <w:sz w:val="21"/>
                <w:szCs w:val="21"/>
              </w:rPr>
            </w:pPr>
          </w:p>
        </w:tc>
        <w:tc>
          <w:tcPr>
            <w:tcW w:w="1992" w:type="dxa"/>
            <w:noWrap w:val="0"/>
            <w:vAlign w:val="center"/>
          </w:tcPr>
          <w:p>
            <w:pPr>
              <w:spacing w:line="240" w:lineRule="atLeast"/>
              <w:jc w:val="center"/>
              <w:rPr>
                <w:rFonts w:ascii="仿宋" w:hAnsi="仿宋" w:eastAsia="仿宋"/>
                <w:color w:val="000000"/>
                <w:sz w:val="21"/>
                <w:szCs w:val="21"/>
              </w:rPr>
            </w:pPr>
            <w:r>
              <w:rPr>
                <w:rFonts w:hint="eastAsia" w:ascii="仿宋" w:hAnsi="仿宋" w:eastAsia="仿宋"/>
                <w:color w:val="000000"/>
                <w:sz w:val="21"/>
                <w:szCs w:val="21"/>
              </w:rPr>
              <w:t>重庆医科大学用户单位指定地点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68" w:hRule="atLeast"/>
          <w:jc w:val="center"/>
        </w:trPr>
        <w:tc>
          <w:tcPr>
            <w:tcW w:w="10796" w:type="dxa"/>
            <w:gridSpan w:val="7"/>
            <w:noWrap w:val="0"/>
            <w:vAlign w:val="center"/>
          </w:tcPr>
          <w:p>
            <w:pPr>
              <w:spacing w:line="240" w:lineRule="atLeast"/>
              <w:rPr>
                <w:rFonts w:ascii="仿宋" w:hAnsi="仿宋" w:eastAsia="仿宋"/>
                <w:color w:val="000000"/>
                <w:sz w:val="21"/>
                <w:szCs w:val="21"/>
              </w:rPr>
            </w:pPr>
            <w:r>
              <w:rPr>
                <w:rFonts w:hint="eastAsia" w:ascii="仿宋" w:hAnsi="仿宋" w:eastAsia="仿宋"/>
                <w:color w:val="000000"/>
                <w:sz w:val="21"/>
                <w:szCs w:val="21"/>
              </w:rPr>
              <w:t>合同总价（含税）：人民币       元（大写：       圆整）</w:t>
            </w:r>
          </w:p>
          <w:p>
            <w:pPr>
              <w:spacing w:line="240" w:lineRule="atLeast"/>
              <w:jc w:val="left"/>
              <w:rPr>
                <w:rFonts w:ascii="仿宋" w:hAnsi="仿宋" w:eastAsia="仿宋"/>
                <w:color w:val="000000"/>
                <w:sz w:val="21"/>
                <w:szCs w:val="21"/>
              </w:rPr>
            </w:pPr>
            <w:r>
              <w:rPr>
                <w:rFonts w:hint="eastAsia" w:ascii="仿宋" w:hAnsi="仿宋" w:eastAsia="仿宋"/>
                <w:color w:val="000000"/>
                <w:sz w:val="21"/>
                <w:szCs w:val="21"/>
              </w:rPr>
              <w:t>备注：</w:t>
            </w:r>
          </w:p>
          <w:p>
            <w:pPr>
              <w:spacing w:line="240" w:lineRule="atLeast"/>
              <w:jc w:val="left"/>
              <w:rPr>
                <w:rFonts w:ascii="仿宋" w:hAnsi="仿宋" w:eastAsia="仿宋"/>
                <w:color w:val="000000"/>
                <w:sz w:val="21"/>
                <w:szCs w:val="21"/>
              </w:rPr>
            </w:pPr>
            <w:r>
              <w:rPr>
                <w:rFonts w:hint="eastAsia" w:ascii="仿宋" w:hAnsi="仿宋" w:eastAsia="仿宋"/>
                <w:color w:val="000000"/>
                <w:sz w:val="21"/>
                <w:szCs w:val="21"/>
              </w:rPr>
              <w:t>1.本项目为“交钥匙工程”，上述合同总价为“包干价”，包括但不限于：乙方为履行合同所需的货款、技术资料费、安装调试费、培训费、运输费、保险费、包装费、装卸费及所有税费。乙方投标时已充分考虑到所有费用，甲方后续不额外支付任何费用。</w:t>
            </w:r>
          </w:p>
          <w:p>
            <w:pPr>
              <w:spacing w:line="240" w:lineRule="atLeast"/>
              <w:rPr>
                <w:rFonts w:ascii="仿宋" w:hAnsi="仿宋" w:eastAsia="仿宋"/>
                <w:color w:val="000000"/>
                <w:sz w:val="21"/>
                <w:szCs w:val="21"/>
              </w:rPr>
            </w:pPr>
            <w:r>
              <w:rPr>
                <w:rFonts w:hint="eastAsia" w:ascii="仿宋" w:hAnsi="仿宋" w:eastAsia="仿宋"/>
                <w:color w:val="000000"/>
                <w:sz w:val="21"/>
                <w:szCs w:val="21"/>
              </w:rPr>
              <w:t>2. 本合同商务参数详见附件1，技术参数详见附件2。甲方用户单位已逐页确认，符合其采购需求。</w:t>
            </w:r>
          </w:p>
          <w:p>
            <w:pPr>
              <w:spacing w:line="240" w:lineRule="atLeast"/>
              <w:rPr>
                <w:rFonts w:ascii="仿宋" w:hAnsi="仿宋" w:eastAsia="仿宋"/>
                <w:color w:val="000000"/>
                <w:sz w:val="21"/>
                <w:szCs w:val="21"/>
              </w:rPr>
            </w:pPr>
            <w:r>
              <w:rPr>
                <w:rFonts w:hint="eastAsia" w:ascii="仿宋" w:hAnsi="仿宋" w:eastAsia="仿宋"/>
                <w:color w:val="000000"/>
                <w:sz w:val="21"/>
                <w:szCs w:val="21"/>
              </w:rPr>
              <w:t>3. 税率：乙方承诺，严格依照国家税务管理部门的要求向甲方开具等额有效的发票并依法纳税。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1" w:hRule="atLeast"/>
          <w:jc w:val="center"/>
        </w:trPr>
        <w:tc>
          <w:tcPr>
            <w:tcW w:w="10796" w:type="dxa"/>
            <w:gridSpan w:val="7"/>
            <w:noWrap w:val="0"/>
            <w:vAlign w:val="center"/>
          </w:tcPr>
          <w:p>
            <w:pPr>
              <w:spacing w:line="240" w:lineRule="atLeast"/>
              <w:ind w:firstLine="420" w:firstLineChars="200"/>
              <w:rPr>
                <w:rFonts w:ascii="仿宋" w:hAnsi="仿宋" w:eastAsia="仿宋"/>
                <w:color w:val="000000"/>
                <w:sz w:val="21"/>
                <w:szCs w:val="21"/>
              </w:rPr>
            </w:pPr>
            <w:r>
              <w:rPr>
                <w:rFonts w:hint="eastAsia" w:ascii="仿宋" w:hAnsi="仿宋" w:eastAsia="仿宋"/>
                <w:color w:val="000000"/>
                <w:sz w:val="21"/>
                <w:szCs w:val="21"/>
              </w:rPr>
              <w:t>一、质量要求和技术标准。乙方提供的商品必须是全新的（按招标文件规定的货物性能、技术要求、质量标准），完全符合国家有关技术标准。乙方的质量保证及售后服务承诺如下：</w:t>
            </w:r>
          </w:p>
          <w:p>
            <w:pPr>
              <w:spacing w:line="240" w:lineRule="atLeast"/>
              <w:ind w:firstLine="420" w:firstLineChars="200"/>
              <w:rPr>
                <w:rFonts w:ascii="仿宋" w:hAnsi="仿宋" w:eastAsia="仿宋"/>
                <w:color w:val="000000"/>
                <w:sz w:val="21"/>
                <w:szCs w:val="21"/>
              </w:rPr>
            </w:pPr>
            <w:r>
              <w:rPr>
                <w:rFonts w:hint="eastAsia" w:ascii="仿宋" w:hAnsi="仿宋" w:eastAsia="仿宋"/>
                <w:color w:val="000000"/>
                <w:sz w:val="21"/>
                <w:szCs w:val="21"/>
              </w:rPr>
              <w:t>（一）质保期限：年。自验收合格且通过安装调试之日起计算。采购货物属于国家规定“三包”范围的，其产品质量保证期不得低于“三包”规定；乙方质量保证期承诺优于国家“三包”规定的，按乙方实际承诺执行。</w:t>
            </w:r>
          </w:p>
          <w:p>
            <w:pPr>
              <w:spacing w:line="240" w:lineRule="atLeast"/>
              <w:ind w:firstLine="420" w:firstLineChars="200"/>
              <w:rPr>
                <w:rFonts w:ascii="仿宋" w:hAnsi="仿宋" w:eastAsia="仿宋"/>
                <w:color w:val="000000"/>
                <w:sz w:val="21"/>
                <w:szCs w:val="21"/>
              </w:rPr>
            </w:pPr>
            <w:r>
              <w:rPr>
                <w:rFonts w:hint="eastAsia" w:ascii="仿宋" w:hAnsi="仿宋" w:eastAsia="仿宋"/>
                <w:color w:val="000000"/>
                <w:sz w:val="21"/>
                <w:szCs w:val="21"/>
              </w:rPr>
              <w:t>（二）保修范围：上述列表所示的所有货物均属保修范围。质保期限内，乙方应当对甲方正常使用中、非人为原因、基于不可抗力出现质量及安全问题的货物，负责处理解决并承担一切费用。</w:t>
            </w:r>
          </w:p>
          <w:p>
            <w:pPr>
              <w:spacing w:line="240" w:lineRule="atLeast"/>
              <w:ind w:firstLine="420" w:firstLineChars="200"/>
              <w:rPr>
                <w:rFonts w:ascii="仿宋" w:hAnsi="仿宋" w:eastAsia="仿宋"/>
                <w:color w:val="000000"/>
                <w:sz w:val="21"/>
                <w:szCs w:val="21"/>
              </w:rPr>
            </w:pPr>
            <w:r>
              <w:rPr>
                <w:rFonts w:hint="eastAsia" w:ascii="仿宋" w:hAnsi="仿宋" w:eastAsia="仿宋"/>
                <w:color w:val="000000"/>
                <w:sz w:val="21"/>
                <w:szCs w:val="21"/>
              </w:rPr>
              <w:t>（三）服务措施：</w:t>
            </w:r>
          </w:p>
          <w:p>
            <w:pPr>
              <w:spacing w:line="240" w:lineRule="atLeast"/>
              <w:ind w:firstLine="420" w:firstLineChars="200"/>
              <w:rPr>
                <w:rFonts w:ascii="仿宋" w:hAnsi="仿宋" w:eastAsia="仿宋"/>
                <w:color w:val="000000"/>
                <w:sz w:val="21"/>
                <w:szCs w:val="21"/>
              </w:rPr>
            </w:pPr>
            <w:r>
              <w:rPr>
                <w:rFonts w:hint="eastAsia" w:ascii="仿宋" w:hAnsi="仿宋" w:eastAsia="仿宋"/>
                <w:color w:val="000000"/>
                <w:sz w:val="21"/>
                <w:szCs w:val="21"/>
              </w:rPr>
              <w:t>1. 质保期限内，乙方提供的货物因货物本身的质量问题发生故障，乙方应负责免费更换。对达不到技术要求者，甲方可根据实际情况，选择按以下第</w:t>
            </w:r>
            <w:r>
              <w:rPr>
                <w:rFonts w:hint="eastAsia" w:ascii="仿宋" w:hAnsi="仿宋" w:eastAsia="仿宋"/>
                <w:color w:val="000000"/>
                <w:sz w:val="21"/>
                <w:szCs w:val="21"/>
                <w:u w:val="single"/>
              </w:rPr>
              <w:t xml:space="preserve"> （1） </w:t>
            </w:r>
            <w:r>
              <w:rPr>
                <w:rFonts w:hint="eastAsia" w:ascii="仿宋" w:hAnsi="仿宋" w:eastAsia="仿宋"/>
                <w:color w:val="000000"/>
                <w:sz w:val="21"/>
                <w:szCs w:val="21"/>
              </w:rPr>
              <w:t>类办法处理：</w:t>
            </w:r>
          </w:p>
          <w:p>
            <w:pPr>
              <w:spacing w:line="240" w:lineRule="atLeast"/>
              <w:ind w:firstLine="420" w:firstLineChars="200"/>
              <w:rPr>
                <w:rFonts w:ascii="仿宋" w:hAnsi="仿宋" w:eastAsia="仿宋"/>
                <w:color w:val="000000"/>
                <w:sz w:val="21"/>
                <w:szCs w:val="21"/>
              </w:rPr>
            </w:pPr>
            <w:r>
              <w:rPr>
                <w:rFonts w:hint="eastAsia" w:ascii="仿宋" w:hAnsi="仿宋" w:eastAsia="仿宋"/>
                <w:color w:val="000000"/>
                <w:sz w:val="21"/>
                <w:szCs w:val="21"/>
              </w:rPr>
              <w:t>（1）更换：由乙方承担所发生的全部费用。</w:t>
            </w:r>
          </w:p>
          <w:p>
            <w:pPr>
              <w:spacing w:line="240" w:lineRule="atLeast"/>
              <w:ind w:firstLine="420" w:firstLineChars="200"/>
              <w:rPr>
                <w:rFonts w:ascii="仿宋" w:hAnsi="仿宋" w:eastAsia="仿宋"/>
                <w:color w:val="000000"/>
                <w:sz w:val="21"/>
                <w:szCs w:val="21"/>
              </w:rPr>
            </w:pPr>
            <w:r>
              <w:rPr>
                <w:rFonts w:hint="eastAsia" w:ascii="仿宋" w:hAnsi="仿宋" w:eastAsia="仿宋"/>
                <w:color w:val="000000"/>
                <w:sz w:val="21"/>
                <w:szCs w:val="21"/>
              </w:rPr>
              <w:t>（2）退货处理：乙方应退还甲方支付的全部合同款，同时应承担该货物的直接费用（运输、保险、检验、货款利息及银行手续费等）。</w:t>
            </w:r>
          </w:p>
          <w:p>
            <w:pPr>
              <w:spacing w:line="240" w:lineRule="atLeast"/>
              <w:ind w:firstLine="420" w:firstLineChars="200"/>
              <w:rPr>
                <w:rFonts w:ascii="仿宋" w:hAnsi="仿宋" w:eastAsia="仿宋"/>
                <w:color w:val="000000"/>
                <w:sz w:val="21"/>
                <w:szCs w:val="21"/>
              </w:rPr>
            </w:pPr>
            <w:r>
              <w:rPr>
                <w:rFonts w:hint="eastAsia" w:ascii="仿宋" w:hAnsi="仿宋" w:eastAsia="仿宋"/>
                <w:color w:val="000000"/>
                <w:sz w:val="21"/>
                <w:szCs w:val="21"/>
              </w:rPr>
              <w:t>2. 质保期限内，乙方应当及时采取以下措施，并承担所有费用：</w:t>
            </w:r>
          </w:p>
          <w:p>
            <w:pPr>
              <w:spacing w:line="240" w:lineRule="atLeast"/>
              <w:ind w:firstLine="420" w:firstLineChars="200"/>
              <w:rPr>
                <w:rFonts w:ascii="仿宋" w:hAnsi="仿宋" w:eastAsia="仿宋"/>
                <w:color w:val="000000"/>
                <w:sz w:val="21"/>
                <w:szCs w:val="21"/>
              </w:rPr>
            </w:pPr>
            <w:r>
              <w:rPr>
                <w:rFonts w:hint="eastAsia" w:ascii="仿宋" w:hAnsi="仿宋" w:eastAsia="仿宋"/>
                <w:color w:val="000000"/>
                <w:sz w:val="21"/>
                <w:szCs w:val="21"/>
              </w:rPr>
              <w:t>（1）电话或网络在线咨询：甲方用户单位求助时，乙方应当立即响应，提供相关的技术支持，帮助用户单位迅速解决问题。</w:t>
            </w:r>
          </w:p>
          <w:p>
            <w:pPr>
              <w:spacing w:line="240" w:lineRule="atLeast"/>
              <w:ind w:firstLine="420" w:firstLineChars="200"/>
              <w:rPr>
                <w:rFonts w:ascii="仿宋" w:hAnsi="仿宋" w:eastAsia="仿宋"/>
                <w:color w:val="000000"/>
                <w:sz w:val="21"/>
                <w:szCs w:val="21"/>
              </w:rPr>
            </w:pPr>
            <w:r>
              <w:rPr>
                <w:rFonts w:hint="eastAsia" w:ascii="仿宋" w:hAnsi="仿宋" w:eastAsia="仿宋"/>
                <w:color w:val="000000"/>
                <w:sz w:val="21"/>
                <w:szCs w:val="21"/>
              </w:rPr>
              <w:t>（2）上门服务：当不能解决产品问题时，乙方应当在24小时内到达甲方现场处置，确保产品正常工作；到达后，无法在8小时内解决的，应当在24小时内提供符合质量标准且确保正常工作的备用品，协助甲方用户单位正常开展科研教学工作。</w:t>
            </w:r>
          </w:p>
          <w:p>
            <w:pPr>
              <w:spacing w:line="240" w:lineRule="atLeast"/>
              <w:ind w:firstLine="420" w:firstLineChars="200"/>
              <w:rPr>
                <w:rFonts w:ascii="仿宋" w:hAnsi="仿宋" w:eastAsia="仿宋"/>
                <w:color w:val="000000"/>
                <w:sz w:val="21"/>
                <w:szCs w:val="21"/>
              </w:rPr>
            </w:pPr>
            <w:r>
              <w:rPr>
                <w:rFonts w:hint="eastAsia" w:ascii="仿宋" w:hAnsi="仿宋" w:eastAsia="仿宋"/>
                <w:color w:val="000000"/>
                <w:sz w:val="21"/>
                <w:szCs w:val="21"/>
              </w:rPr>
              <w:t>（3）技术升级：在质保期内，如果乙方和制造商的产品技术升级，乙方应及时通知甲方，如甲方有相应要求，乙方和制造商应对甲方进行升级服务。</w:t>
            </w:r>
          </w:p>
          <w:p>
            <w:pPr>
              <w:spacing w:line="240" w:lineRule="atLeast"/>
              <w:ind w:firstLine="420" w:firstLineChars="200"/>
              <w:rPr>
                <w:rFonts w:ascii="仿宋" w:hAnsi="仿宋" w:eastAsia="仿宋"/>
                <w:color w:val="000000"/>
                <w:sz w:val="21"/>
                <w:szCs w:val="21"/>
              </w:rPr>
            </w:pPr>
            <w:r>
              <w:rPr>
                <w:rFonts w:hint="eastAsia" w:ascii="仿宋" w:hAnsi="仿宋" w:eastAsia="仿宋"/>
                <w:color w:val="000000"/>
                <w:sz w:val="21"/>
                <w:szCs w:val="21"/>
              </w:rPr>
              <w:t xml:space="preserve">（四）质保期后服务： </w:t>
            </w:r>
          </w:p>
          <w:p>
            <w:pPr>
              <w:spacing w:line="240" w:lineRule="atLeast"/>
              <w:ind w:firstLine="420" w:firstLineChars="200"/>
              <w:rPr>
                <w:rFonts w:ascii="仿宋" w:hAnsi="仿宋" w:eastAsia="仿宋"/>
                <w:color w:val="000000"/>
                <w:sz w:val="21"/>
                <w:szCs w:val="21"/>
              </w:rPr>
            </w:pPr>
            <w:r>
              <w:rPr>
                <w:rFonts w:hint="eastAsia" w:ascii="仿宋" w:hAnsi="仿宋" w:eastAsia="仿宋"/>
                <w:color w:val="000000"/>
                <w:sz w:val="21"/>
                <w:szCs w:val="21"/>
              </w:rPr>
              <w:t>1. 继续提供或网络在线咨询；乙方接到甲方的求助后应当立即响应，提供技术咨询服务。</w:t>
            </w:r>
          </w:p>
          <w:p>
            <w:pPr>
              <w:spacing w:line="240" w:lineRule="atLeast"/>
              <w:ind w:firstLine="420" w:firstLineChars="200"/>
              <w:rPr>
                <w:rFonts w:ascii="仿宋" w:hAnsi="仿宋" w:eastAsia="仿宋"/>
                <w:color w:val="000000"/>
                <w:sz w:val="21"/>
                <w:szCs w:val="21"/>
              </w:rPr>
            </w:pPr>
            <w:r>
              <w:rPr>
                <w:rFonts w:hint="eastAsia" w:ascii="仿宋" w:hAnsi="仿宋" w:eastAsia="仿宋"/>
                <w:color w:val="000000"/>
                <w:sz w:val="21"/>
                <w:szCs w:val="21"/>
              </w:rPr>
              <w:t>2. 继续提供上门服务：在无法解决时，乙方应当于24小时内到达甲方现场处置。若为甲方维修维护过程中产生零配件及服务费用，乙方应当按成本价及最惠价据实收取原厂零配件费、服务费；若甲方需要添购，乙方应当依法与甲方另行达成补充协议。</w:t>
            </w:r>
          </w:p>
          <w:p>
            <w:pPr>
              <w:spacing w:line="240" w:lineRule="atLeast"/>
              <w:ind w:firstLine="420" w:firstLineChars="200"/>
              <w:rPr>
                <w:rFonts w:ascii="仿宋" w:hAnsi="仿宋" w:eastAsia="仿宋"/>
                <w:color w:val="000000"/>
                <w:sz w:val="21"/>
                <w:szCs w:val="21"/>
              </w:rPr>
            </w:pPr>
            <w:r>
              <w:rPr>
                <w:rFonts w:hint="eastAsia" w:ascii="仿宋" w:hAnsi="仿宋" w:eastAsia="仿宋"/>
                <w:color w:val="000000"/>
                <w:sz w:val="21"/>
                <w:szCs w:val="21"/>
              </w:rPr>
              <w:t>3. 继续提供技术升级：乙方向甲方交付货物所附随的所有软件，乙方终身提供免费维护、升级服务。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3" w:hRule="atLeast"/>
          <w:jc w:val="center"/>
        </w:trPr>
        <w:tc>
          <w:tcPr>
            <w:tcW w:w="10796" w:type="dxa"/>
            <w:gridSpan w:val="7"/>
            <w:noWrap w:val="0"/>
            <w:vAlign w:val="top"/>
          </w:tcPr>
          <w:p>
            <w:pPr>
              <w:spacing w:line="240" w:lineRule="atLeast"/>
              <w:ind w:firstLine="420" w:firstLineChars="200"/>
              <w:rPr>
                <w:rFonts w:ascii="仿宋" w:hAnsi="仿宋" w:eastAsia="仿宋"/>
                <w:color w:val="000000"/>
                <w:sz w:val="21"/>
                <w:szCs w:val="21"/>
              </w:rPr>
            </w:pPr>
            <w:r>
              <w:rPr>
                <w:rFonts w:hint="eastAsia" w:ascii="仿宋" w:hAnsi="仿宋" w:eastAsia="仿宋"/>
                <w:color w:val="000000"/>
                <w:sz w:val="21"/>
                <w:szCs w:val="21"/>
              </w:rPr>
              <w:t>二、随机备品、附件、工具数量及供应方法：</w:t>
            </w:r>
          </w:p>
          <w:p>
            <w:pPr>
              <w:spacing w:line="240" w:lineRule="atLeast"/>
              <w:ind w:firstLine="420" w:firstLineChars="200"/>
              <w:rPr>
                <w:rFonts w:ascii="仿宋" w:hAnsi="仿宋" w:eastAsia="仿宋"/>
                <w:color w:val="000000"/>
                <w:sz w:val="21"/>
                <w:szCs w:val="21"/>
              </w:rPr>
            </w:pPr>
            <w:r>
              <w:rPr>
                <w:rFonts w:hint="eastAsia" w:ascii="仿宋" w:hAnsi="仿宋" w:eastAsia="仿宋"/>
                <w:color w:val="000000"/>
                <w:sz w:val="21"/>
                <w:szCs w:val="21"/>
              </w:rPr>
              <w:t>货物所附的备件、产品使用说明书、技术资料及配套工具应当随货物主体一次性交付至甲方，由甲方用户单位统一保管。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1" w:hRule="atLeast"/>
          <w:jc w:val="center"/>
        </w:trPr>
        <w:tc>
          <w:tcPr>
            <w:tcW w:w="10796" w:type="dxa"/>
            <w:gridSpan w:val="7"/>
            <w:noWrap w:val="0"/>
            <w:vAlign w:val="top"/>
          </w:tcPr>
          <w:p>
            <w:pPr>
              <w:spacing w:line="240" w:lineRule="atLeast"/>
              <w:ind w:firstLine="420" w:firstLineChars="200"/>
              <w:rPr>
                <w:rFonts w:ascii="仿宋" w:hAnsi="仿宋" w:eastAsia="仿宋"/>
                <w:color w:val="000000"/>
                <w:sz w:val="21"/>
                <w:szCs w:val="21"/>
              </w:rPr>
            </w:pPr>
            <w:r>
              <w:rPr>
                <w:rFonts w:hint="eastAsia" w:ascii="仿宋" w:hAnsi="仿宋" w:eastAsia="仿宋"/>
                <w:color w:val="000000"/>
                <w:sz w:val="21"/>
                <w:szCs w:val="21"/>
              </w:rPr>
              <w:t>三、交提货方式：</w:t>
            </w:r>
          </w:p>
          <w:p>
            <w:pPr>
              <w:spacing w:line="240" w:lineRule="atLeast"/>
              <w:ind w:firstLine="420" w:firstLineChars="200"/>
              <w:rPr>
                <w:rFonts w:ascii="仿宋" w:hAnsi="仿宋" w:eastAsia="仿宋"/>
                <w:color w:val="000000"/>
                <w:sz w:val="21"/>
                <w:szCs w:val="21"/>
              </w:rPr>
            </w:pPr>
            <w:r>
              <w:rPr>
                <w:rFonts w:hint="eastAsia" w:ascii="仿宋" w:hAnsi="仿宋" w:eastAsia="仿宋"/>
                <w:color w:val="000000"/>
                <w:sz w:val="21"/>
                <w:szCs w:val="21"/>
              </w:rPr>
              <w:t>（一）本合同范围的货物，应由乙方直接供应，不得转让他人供应；非经甲方书面同意，乙方不得将本合同范围的货物全部或部分分包给他人供应；如有转让和未经甲方书面同意的分包行为，甲方有权解除合同，没收履约保证金并追究乙方的违约责任。</w:t>
            </w:r>
          </w:p>
          <w:p>
            <w:pPr>
              <w:spacing w:line="240" w:lineRule="atLeast"/>
              <w:ind w:firstLine="420" w:firstLineChars="200"/>
              <w:rPr>
                <w:rFonts w:ascii="仿宋" w:hAnsi="仿宋" w:eastAsia="仿宋"/>
                <w:color w:val="000000"/>
                <w:sz w:val="21"/>
                <w:szCs w:val="21"/>
              </w:rPr>
            </w:pPr>
            <w:r>
              <w:rPr>
                <w:rFonts w:hint="eastAsia" w:ascii="仿宋" w:hAnsi="仿宋" w:eastAsia="仿宋"/>
                <w:color w:val="000000"/>
                <w:sz w:val="21"/>
                <w:szCs w:val="21"/>
              </w:rPr>
              <w:t>（二）乙方应当在内（履行时间），将货物交付至甲方用户单位指定地点并完成安装调试。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2" w:hRule="atLeast"/>
          <w:jc w:val="center"/>
        </w:trPr>
        <w:tc>
          <w:tcPr>
            <w:tcW w:w="10796" w:type="dxa"/>
            <w:gridSpan w:val="7"/>
            <w:noWrap w:val="0"/>
            <w:vAlign w:val="top"/>
          </w:tcPr>
          <w:p>
            <w:pPr>
              <w:spacing w:line="240" w:lineRule="atLeast"/>
              <w:ind w:firstLine="420" w:firstLineChars="200"/>
              <w:rPr>
                <w:rFonts w:ascii="仿宋" w:hAnsi="仿宋" w:eastAsia="仿宋"/>
                <w:color w:val="000000"/>
                <w:sz w:val="21"/>
                <w:szCs w:val="21"/>
              </w:rPr>
            </w:pPr>
            <w:r>
              <w:rPr>
                <w:rFonts w:hint="eastAsia" w:ascii="仿宋" w:hAnsi="仿宋" w:eastAsia="仿宋"/>
                <w:color w:val="000000"/>
                <w:sz w:val="21"/>
                <w:szCs w:val="21"/>
              </w:rPr>
              <w:t>四、验收标准、方法：</w:t>
            </w:r>
          </w:p>
          <w:p>
            <w:pPr>
              <w:spacing w:line="240" w:lineRule="atLeast"/>
              <w:ind w:firstLine="420" w:firstLineChars="200"/>
              <w:rPr>
                <w:rFonts w:ascii="仿宋" w:hAnsi="仿宋" w:eastAsia="仿宋"/>
                <w:color w:val="000000"/>
                <w:sz w:val="21"/>
                <w:szCs w:val="21"/>
              </w:rPr>
            </w:pPr>
            <w:r>
              <w:rPr>
                <w:rFonts w:hint="eastAsia" w:ascii="仿宋" w:hAnsi="仿宋" w:eastAsia="仿宋"/>
                <w:color w:val="000000"/>
                <w:sz w:val="21"/>
                <w:szCs w:val="21"/>
              </w:rPr>
              <w:t>（一）交付货物时，乙方应与甲方用户单位人员当面开箱，共同清点、检查外观，作出开箱记录，双方签字确认。乙方应当保证货物到达用户所在地完好无损，如有缺漏、损坏，由乙方负责调换、补齐或赔偿。</w:t>
            </w:r>
          </w:p>
          <w:p>
            <w:pPr>
              <w:spacing w:line="240" w:lineRule="atLeast"/>
              <w:ind w:firstLine="420" w:firstLineChars="200"/>
              <w:rPr>
                <w:rFonts w:ascii="仿宋" w:hAnsi="仿宋" w:eastAsia="仿宋"/>
                <w:color w:val="000000"/>
                <w:sz w:val="21"/>
                <w:szCs w:val="21"/>
              </w:rPr>
            </w:pPr>
            <w:r>
              <w:rPr>
                <w:rFonts w:hint="eastAsia" w:ascii="仿宋" w:hAnsi="仿宋" w:eastAsia="仿宋"/>
                <w:color w:val="000000"/>
                <w:sz w:val="21"/>
                <w:szCs w:val="21"/>
              </w:rPr>
              <w:t>（二）乙方应随货物提供合格证、质量证明文件、检验报告等资料。乙方应提供完备的技术资料、装箱单和合格证等，并派遣专业技术人员进行现场安装调试。验收合格条件如下：</w:t>
            </w:r>
          </w:p>
          <w:p>
            <w:pPr>
              <w:spacing w:line="240" w:lineRule="atLeast"/>
              <w:ind w:firstLine="420" w:firstLineChars="200"/>
              <w:rPr>
                <w:rFonts w:ascii="仿宋" w:hAnsi="仿宋" w:eastAsia="仿宋"/>
                <w:color w:val="000000"/>
                <w:sz w:val="21"/>
                <w:szCs w:val="21"/>
              </w:rPr>
            </w:pPr>
            <w:r>
              <w:rPr>
                <w:rFonts w:hint="eastAsia" w:ascii="仿宋" w:hAnsi="仿宋" w:eastAsia="仿宋"/>
                <w:color w:val="000000"/>
                <w:sz w:val="21"/>
                <w:szCs w:val="21"/>
              </w:rPr>
              <w:t>1设备品种、规格、数量、技术参数以及商品品牌、制造商等与采购合同一致，性能指标达到规定的标准。</w:t>
            </w:r>
          </w:p>
          <w:p>
            <w:pPr>
              <w:spacing w:line="240" w:lineRule="atLeast"/>
              <w:ind w:firstLine="420" w:firstLineChars="200"/>
              <w:rPr>
                <w:rFonts w:ascii="仿宋" w:hAnsi="仿宋" w:eastAsia="仿宋"/>
                <w:color w:val="000000"/>
                <w:sz w:val="21"/>
                <w:szCs w:val="21"/>
              </w:rPr>
            </w:pPr>
            <w:r>
              <w:rPr>
                <w:rFonts w:hint="eastAsia" w:ascii="仿宋" w:hAnsi="仿宋" w:eastAsia="仿宋"/>
                <w:color w:val="000000"/>
                <w:sz w:val="21"/>
                <w:szCs w:val="21"/>
              </w:rPr>
              <w:t>2.货物技术资料、装箱单、合格证等资料齐全。</w:t>
            </w:r>
          </w:p>
          <w:p>
            <w:pPr>
              <w:spacing w:line="240" w:lineRule="atLeast"/>
              <w:ind w:firstLine="420" w:firstLineChars="200"/>
              <w:rPr>
                <w:rFonts w:ascii="仿宋" w:hAnsi="仿宋" w:eastAsia="仿宋"/>
                <w:color w:val="000000"/>
                <w:sz w:val="21"/>
                <w:szCs w:val="21"/>
              </w:rPr>
            </w:pPr>
            <w:r>
              <w:rPr>
                <w:rFonts w:hint="eastAsia" w:ascii="仿宋" w:hAnsi="仿宋" w:eastAsia="仿宋"/>
                <w:color w:val="000000"/>
                <w:sz w:val="21"/>
                <w:szCs w:val="21"/>
              </w:rPr>
              <w:t>3.在规定时间内完成交货并验收，并经甲方确认。</w:t>
            </w:r>
          </w:p>
          <w:p>
            <w:pPr>
              <w:spacing w:line="240" w:lineRule="atLeast"/>
              <w:ind w:firstLine="420" w:firstLineChars="200"/>
              <w:rPr>
                <w:rFonts w:ascii="仿宋" w:hAnsi="仿宋" w:eastAsia="仿宋"/>
                <w:color w:val="000000"/>
                <w:sz w:val="21"/>
                <w:szCs w:val="21"/>
              </w:rPr>
            </w:pPr>
            <w:r>
              <w:rPr>
                <w:rFonts w:hint="eastAsia" w:ascii="仿宋" w:hAnsi="仿宋" w:eastAsia="仿宋"/>
                <w:color w:val="000000"/>
                <w:sz w:val="21"/>
                <w:szCs w:val="21"/>
              </w:rPr>
              <w:t>（三）乙方所交货物的质量指标不得低于甲方招标文件要求、乙方提供样品的质量指标、乙方承诺的质量指标或有关国家标准（标准不一致的，以高标准计）；售后服务质量要求，按招标文件和投标文件的内容执行。乙方交货时，甲方可根据需要随机抽取一部分货物送有关权威检测部门检测；如检测不合格，乙方应承担甲方所支出的检测费用并向甲方赔偿一切损失。乙方所交货物若未达到采购文件要求，且对甲方造成损失的，由乙方承担一切责任，并赔偿所造成的损失。</w:t>
            </w:r>
          </w:p>
          <w:p>
            <w:pPr>
              <w:spacing w:line="240" w:lineRule="atLeast"/>
              <w:ind w:firstLine="420" w:firstLineChars="200"/>
              <w:rPr>
                <w:rFonts w:ascii="仿宋" w:hAnsi="仿宋" w:eastAsia="仿宋"/>
                <w:color w:val="000000"/>
                <w:sz w:val="21"/>
                <w:szCs w:val="21"/>
              </w:rPr>
            </w:pPr>
            <w:r>
              <w:rPr>
                <w:rFonts w:hint="eastAsia" w:ascii="仿宋" w:hAnsi="仿宋" w:eastAsia="仿宋"/>
                <w:color w:val="000000"/>
                <w:sz w:val="21"/>
                <w:szCs w:val="21"/>
              </w:rPr>
              <w:t>（四）大型或者复杂的政府采购产品项目，甲方可邀请国家认可的质量检测机构参加验收工作。</w:t>
            </w:r>
          </w:p>
          <w:p>
            <w:pPr>
              <w:spacing w:line="240" w:lineRule="atLeast"/>
              <w:ind w:firstLine="420" w:firstLineChars="200"/>
              <w:rPr>
                <w:rFonts w:ascii="仿宋" w:hAnsi="仿宋" w:eastAsia="仿宋"/>
                <w:color w:val="000000"/>
                <w:sz w:val="21"/>
                <w:szCs w:val="21"/>
              </w:rPr>
            </w:pPr>
            <w:r>
              <w:rPr>
                <w:rFonts w:hint="eastAsia" w:ascii="仿宋" w:hAnsi="仿宋" w:eastAsia="仿宋"/>
                <w:color w:val="000000"/>
                <w:sz w:val="21"/>
                <w:szCs w:val="21"/>
              </w:rPr>
              <w:t>（五）甲方需要制造商对乙方交付的产品（包括质量、技术参数等）进行确认的，制造商应予以配合，并出具书面意见。</w:t>
            </w:r>
          </w:p>
          <w:p>
            <w:pPr>
              <w:spacing w:line="240" w:lineRule="atLeast"/>
              <w:ind w:firstLine="420" w:firstLineChars="200"/>
              <w:rPr>
                <w:rFonts w:ascii="仿宋" w:hAnsi="仿宋" w:eastAsia="仿宋"/>
                <w:color w:val="000000"/>
                <w:sz w:val="21"/>
                <w:szCs w:val="21"/>
              </w:rPr>
            </w:pPr>
            <w:r>
              <w:rPr>
                <w:rFonts w:hint="eastAsia" w:ascii="仿宋" w:hAnsi="仿宋" w:eastAsia="仿宋"/>
                <w:color w:val="000000"/>
                <w:sz w:val="21"/>
                <w:szCs w:val="21"/>
              </w:rPr>
              <w:t>（六）如验收不合格，甲方有权解除本合同，并没收履约保证金；乙方应当赔偿甲方一切损失，并返还甲方已支付的全部合同款，并接受被全市通报、被取消两年政府采购供应商资格的处理结果。</w:t>
            </w:r>
          </w:p>
          <w:p>
            <w:pPr>
              <w:spacing w:line="240" w:lineRule="atLeast"/>
              <w:ind w:firstLine="420" w:firstLineChars="200"/>
              <w:rPr>
                <w:rFonts w:ascii="仿宋" w:hAnsi="仿宋" w:eastAsia="仿宋"/>
                <w:color w:val="000000"/>
                <w:sz w:val="21"/>
                <w:szCs w:val="21"/>
              </w:rPr>
            </w:pPr>
            <w:r>
              <w:rPr>
                <w:rFonts w:hint="eastAsia" w:ascii="仿宋" w:hAnsi="仿宋" w:eastAsia="仿宋"/>
                <w:color w:val="000000"/>
                <w:sz w:val="21"/>
                <w:szCs w:val="21"/>
              </w:rPr>
              <w:t>（七）甲方对乙方交付货物的验收仅为表面验收，验收合格不视为乙方对质量问题免责；甲方验收时未提出异议不视为对乙方货物质量合格之认定。若乙方货物存在任何质量问题，甲方有权要求乙方承担相应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jc w:val="center"/>
        </w:trPr>
        <w:tc>
          <w:tcPr>
            <w:tcW w:w="10796" w:type="dxa"/>
            <w:gridSpan w:val="7"/>
            <w:noWrap w:val="0"/>
            <w:vAlign w:val="top"/>
          </w:tcPr>
          <w:p>
            <w:pPr>
              <w:spacing w:line="240" w:lineRule="atLeast"/>
              <w:ind w:firstLine="420" w:firstLineChars="200"/>
              <w:rPr>
                <w:rFonts w:ascii="仿宋" w:hAnsi="仿宋" w:eastAsia="仿宋"/>
                <w:color w:val="000000"/>
                <w:sz w:val="21"/>
                <w:szCs w:val="21"/>
              </w:rPr>
            </w:pPr>
            <w:r>
              <w:rPr>
                <w:rFonts w:hint="eastAsia" w:ascii="仿宋" w:hAnsi="仿宋" w:eastAsia="仿宋"/>
                <w:color w:val="000000"/>
                <w:sz w:val="21"/>
                <w:szCs w:val="21"/>
              </w:rPr>
              <w:t>五、付款方式：</w:t>
            </w:r>
          </w:p>
          <w:p>
            <w:pPr>
              <w:pStyle w:val="11"/>
              <w:spacing w:line="240" w:lineRule="atLeast"/>
              <w:ind w:firstLine="420" w:firstLineChars="200"/>
              <w:rPr>
                <w:rFonts w:ascii="仿宋" w:hAnsi="仿宋" w:eastAsia="仿宋"/>
                <w:color w:val="000000"/>
                <w:sz w:val="21"/>
                <w:szCs w:val="21"/>
                <w:lang w:val="en-US" w:eastAsia="zh-CN"/>
              </w:rPr>
            </w:pPr>
            <w:r>
              <w:rPr>
                <w:rFonts w:hint="eastAsia" w:ascii="仿宋" w:hAnsi="仿宋" w:eastAsia="仿宋"/>
                <w:color w:val="000000"/>
                <w:sz w:val="21"/>
                <w:szCs w:val="21"/>
                <w:lang w:val="en-US" w:eastAsia="zh-CN"/>
              </w:rPr>
              <w:t>（一）甲方按以下第</w:t>
            </w:r>
            <w:r>
              <w:rPr>
                <w:rFonts w:hint="eastAsia" w:ascii="仿宋" w:hAnsi="仿宋" w:eastAsia="仿宋"/>
                <w:color w:val="000000"/>
                <w:sz w:val="21"/>
                <w:szCs w:val="21"/>
                <w:u w:val="single"/>
                <w:lang w:val="en-US" w:eastAsia="zh-CN"/>
              </w:rPr>
              <w:t xml:space="preserve">  1  </w:t>
            </w:r>
            <w:r>
              <w:rPr>
                <w:rFonts w:hint="eastAsia" w:ascii="仿宋" w:hAnsi="仿宋" w:eastAsia="仿宋"/>
                <w:color w:val="000000"/>
                <w:sz w:val="21"/>
                <w:szCs w:val="21"/>
                <w:lang w:val="en-US" w:eastAsia="zh-CN"/>
              </w:rPr>
              <w:t>种方式，向乙方付款。</w:t>
            </w:r>
          </w:p>
          <w:p>
            <w:pPr>
              <w:pStyle w:val="11"/>
              <w:spacing w:line="240" w:lineRule="atLeast"/>
              <w:ind w:firstLine="420" w:firstLineChars="200"/>
              <w:rPr>
                <w:rFonts w:ascii="仿宋" w:hAnsi="仿宋" w:eastAsia="仿宋"/>
                <w:color w:val="000000"/>
                <w:sz w:val="21"/>
                <w:szCs w:val="21"/>
                <w:lang w:val="en-US" w:eastAsia="zh-CN"/>
              </w:rPr>
            </w:pPr>
            <w:r>
              <w:rPr>
                <w:rFonts w:hint="eastAsia" w:ascii="仿宋" w:hAnsi="仿宋" w:eastAsia="仿宋"/>
                <w:color w:val="000000"/>
                <w:sz w:val="21"/>
                <w:szCs w:val="21"/>
                <w:lang w:val="en-US" w:eastAsia="zh-CN"/>
              </w:rPr>
              <w:t xml:space="preserve">1. 银行转账。2. 现金支票。 </w:t>
            </w:r>
          </w:p>
          <w:p>
            <w:pPr>
              <w:ind w:firstLine="420" w:firstLineChars="200"/>
              <w:rPr>
                <w:rFonts w:ascii="仿宋" w:hAnsi="仿宋" w:eastAsia="仿宋"/>
                <w:color w:val="000000"/>
                <w:sz w:val="21"/>
                <w:szCs w:val="21"/>
              </w:rPr>
            </w:pPr>
            <w:r>
              <w:rPr>
                <w:rFonts w:hint="eastAsia" w:ascii="仿宋" w:hAnsi="仿宋" w:eastAsia="仿宋"/>
                <w:color w:val="000000"/>
                <w:sz w:val="21"/>
                <w:szCs w:val="21"/>
              </w:rPr>
              <w:t>（二）付款方法：全部到货、安装完成并经甲方验收合格，乙方向甲方开具等额有效的增值税发票后，甲方按本合同总价向乙方支付款项。</w:t>
            </w:r>
          </w:p>
          <w:p>
            <w:pPr>
              <w:ind w:firstLine="420" w:firstLineChars="200"/>
              <w:rPr>
                <w:color w:val="000000"/>
              </w:rPr>
            </w:pPr>
            <w:r>
              <w:rPr>
                <w:rFonts w:hint="eastAsia" w:ascii="仿宋" w:hAnsi="仿宋" w:eastAsia="仿宋"/>
                <w:color w:val="000000"/>
                <w:sz w:val="21"/>
                <w:szCs w:val="21"/>
              </w:rPr>
              <w:t>（三）履约担保：中标成交通知书发出后5个工作日内、本合同签订前，乙方应当按本合同总价的5%向甲方交纳履约保证金；乙方未支付履约保证金的，甲方有权拒绝支付本合同总价款项，且不承担任何延迟履行责任。合同履行期内，履约保证金减少的，乙方应当补足，逾期未补足的视为违约。涉及提供担保的，按《中华人民共和国民法典》规定执行。质保期届满后，乙方提供的服务无质量问题且没有其他违约行为，经甲方用户单位同意，甲方向乙方全额无息退还该履约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jc w:val="center"/>
        </w:trPr>
        <w:tc>
          <w:tcPr>
            <w:tcW w:w="10796" w:type="dxa"/>
            <w:gridSpan w:val="7"/>
            <w:noWrap w:val="0"/>
            <w:vAlign w:val="top"/>
          </w:tcPr>
          <w:p>
            <w:pPr>
              <w:spacing w:line="240" w:lineRule="atLeast"/>
              <w:ind w:firstLine="420" w:firstLineChars="200"/>
              <w:rPr>
                <w:rFonts w:ascii="仿宋" w:hAnsi="仿宋" w:eastAsia="仿宋"/>
                <w:color w:val="000000"/>
                <w:sz w:val="21"/>
                <w:szCs w:val="21"/>
              </w:rPr>
            </w:pPr>
            <w:r>
              <w:rPr>
                <w:rFonts w:hint="eastAsia" w:ascii="仿宋" w:hAnsi="仿宋" w:eastAsia="仿宋"/>
                <w:color w:val="000000"/>
                <w:sz w:val="21"/>
                <w:szCs w:val="21"/>
              </w:rPr>
              <w:t>六、合同争议及违约责任：</w:t>
            </w:r>
          </w:p>
          <w:p>
            <w:pPr>
              <w:spacing w:line="240" w:lineRule="atLeast"/>
              <w:ind w:firstLine="420" w:firstLineChars="200"/>
              <w:rPr>
                <w:rFonts w:ascii="仿宋" w:hAnsi="仿宋" w:eastAsia="仿宋"/>
                <w:color w:val="000000"/>
                <w:sz w:val="21"/>
                <w:szCs w:val="21"/>
              </w:rPr>
            </w:pPr>
            <w:r>
              <w:rPr>
                <w:rFonts w:hint="eastAsia" w:ascii="仿宋" w:hAnsi="仿宋" w:eastAsia="仿宋"/>
                <w:color w:val="000000"/>
                <w:sz w:val="21"/>
                <w:szCs w:val="21"/>
              </w:rPr>
              <w:t>（一）乙方在投标时未明确提出异议，视为完全响应甲方在本合同内的各项要求。</w:t>
            </w:r>
          </w:p>
          <w:p>
            <w:pPr>
              <w:spacing w:line="240" w:lineRule="atLeast"/>
              <w:ind w:firstLine="420" w:firstLineChars="200"/>
              <w:rPr>
                <w:rFonts w:ascii="仿宋" w:hAnsi="仿宋" w:eastAsia="仿宋"/>
                <w:color w:val="000000"/>
                <w:sz w:val="21"/>
                <w:szCs w:val="21"/>
              </w:rPr>
            </w:pPr>
            <w:r>
              <w:rPr>
                <w:rFonts w:hint="eastAsia" w:ascii="仿宋" w:hAnsi="仿宋" w:eastAsia="仿宋"/>
                <w:color w:val="000000"/>
                <w:sz w:val="21"/>
                <w:szCs w:val="21"/>
              </w:rPr>
              <w:t>（二）乙方应按本合同第一条“质量要求和技术标准”提供货物。若乙方超过7个自然日未履行上述服务承诺的，或者在紧急情况下未在甲方指定时间内履行服务承诺的，甲方有权自行联系其他单位提供维保服务，涉及的费用从乙方缴纳的质保金或履约保证金内扣除。若质保金或履约保证金不足以抵扣维保费用的，甲方有权向乙方主张进行补足。</w:t>
            </w:r>
          </w:p>
          <w:p>
            <w:pPr>
              <w:spacing w:line="240" w:lineRule="atLeast"/>
              <w:ind w:firstLine="420" w:firstLineChars="200"/>
              <w:rPr>
                <w:rFonts w:ascii="仿宋" w:hAnsi="仿宋" w:eastAsia="仿宋"/>
                <w:color w:val="000000"/>
                <w:sz w:val="21"/>
                <w:szCs w:val="21"/>
              </w:rPr>
            </w:pPr>
            <w:r>
              <w:rPr>
                <w:rFonts w:hint="eastAsia" w:ascii="仿宋" w:hAnsi="仿宋" w:eastAsia="仿宋"/>
                <w:color w:val="000000"/>
                <w:sz w:val="21"/>
                <w:szCs w:val="21"/>
              </w:rPr>
              <w:t>乙方应当按第三条“交提货方式”按时交付合格货物。若乙方逾期，每延期1个自然日应当按合同总价的1‰向甲方支付违约金（最高不超过合同总价的10%），甲方可在乙方缴纳的质保金或履约保证金内扣除；若乙方逾期超过</w:t>
            </w:r>
            <w:r>
              <w:rPr>
                <w:rFonts w:hint="eastAsia" w:ascii="仿宋" w:hAnsi="仿宋" w:eastAsia="仿宋"/>
                <w:color w:val="000000"/>
                <w:sz w:val="21"/>
                <w:szCs w:val="21"/>
                <w:u w:val="single"/>
              </w:rPr>
              <w:t>60</w:t>
            </w:r>
            <w:r>
              <w:rPr>
                <w:rFonts w:hint="eastAsia" w:ascii="仿宋" w:hAnsi="仿宋" w:eastAsia="仿宋"/>
                <w:color w:val="000000"/>
                <w:sz w:val="21"/>
                <w:szCs w:val="21"/>
              </w:rPr>
              <w:t>个自然日的，甲方有权解除本合同，没收全部履约保证金，赔偿甲方全部损失。</w:t>
            </w:r>
          </w:p>
          <w:p>
            <w:pPr>
              <w:spacing w:line="240" w:lineRule="atLeast"/>
              <w:ind w:firstLine="420" w:firstLineChars="200"/>
              <w:rPr>
                <w:rFonts w:ascii="仿宋" w:hAnsi="仿宋" w:eastAsia="仿宋"/>
                <w:color w:val="000000"/>
                <w:sz w:val="21"/>
                <w:szCs w:val="21"/>
              </w:rPr>
            </w:pPr>
            <w:r>
              <w:rPr>
                <w:rFonts w:hint="eastAsia" w:ascii="仿宋" w:hAnsi="仿宋" w:eastAsia="仿宋"/>
                <w:color w:val="000000"/>
                <w:sz w:val="21"/>
                <w:szCs w:val="21"/>
              </w:rPr>
              <w:t>（三）乙方应当按照本合同列明的货物名称、规格、数量全面履行义务。若乙方向甲方交付的货物与本合同不符，甲方有权拒绝接收并不延长交付时间，乙方应承担由此造成甲方的损失以及逾期交付的违约责任。若甲方同意让步接收的，除要求乙方赔偿损失外，甲方有权根据货物的疵劣和受损程度要求乙方降低货物价格并承担违约责任。</w:t>
            </w:r>
          </w:p>
          <w:p>
            <w:pPr>
              <w:spacing w:line="240" w:lineRule="atLeast"/>
              <w:ind w:firstLine="420" w:firstLineChars="200"/>
              <w:rPr>
                <w:rFonts w:ascii="仿宋" w:hAnsi="仿宋" w:eastAsia="仿宋"/>
                <w:color w:val="000000"/>
                <w:sz w:val="21"/>
                <w:szCs w:val="21"/>
              </w:rPr>
            </w:pPr>
            <w:r>
              <w:rPr>
                <w:rFonts w:hint="eastAsia" w:ascii="仿宋" w:hAnsi="仿宋" w:eastAsia="仿宋"/>
                <w:color w:val="000000"/>
                <w:sz w:val="21"/>
                <w:szCs w:val="21"/>
              </w:rPr>
              <w:t>（四）甲方、乙方中的任何一方违约，不履行合同义务或者履行合同义务不符合约定的，应当向守约方承担继续履行、采取补救措施、赔偿损失等违约责任。乙方因过错给甲方造成损失的，或乙方超越权限行使代理权给甲方造成损失的，乙方承担赔偿损失的责任。双方都违反合同的，应当各自承担相应的责任。</w:t>
            </w:r>
          </w:p>
          <w:p>
            <w:pPr>
              <w:spacing w:line="240" w:lineRule="atLeast"/>
              <w:ind w:firstLine="420" w:firstLineChars="200"/>
              <w:rPr>
                <w:rFonts w:ascii="仿宋" w:hAnsi="仿宋" w:eastAsia="仿宋"/>
                <w:color w:val="000000"/>
                <w:sz w:val="21"/>
                <w:szCs w:val="21"/>
              </w:rPr>
            </w:pPr>
            <w:r>
              <w:rPr>
                <w:rFonts w:hint="eastAsia" w:ascii="仿宋" w:hAnsi="仿宋" w:eastAsia="仿宋"/>
                <w:color w:val="000000"/>
                <w:sz w:val="21"/>
                <w:szCs w:val="21"/>
              </w:rPr>
              <w:t>（五）履约保证金减少的，乙方未按照甲方要求补足履约保证金的，每逾期1个自然日，甲方有权要求乙方支付履约保证金总额</w:t>
            </w:r>
            <w:r>
              <w:rPr>
                <w:rFonts w:hint="eastAsia" w:ascii="仿宋" w:hAnsi="仿宋" w:eastAsia="仿宋"/>
                <w:color w:val="000000"/>
                <w:sz w:val="21"/>
                <w:szCs w:val="21"/>
                <w:u w:val="single"/>
              </w:rPr>
              <w:t xml:space="preserve"> 0.1 </w:t>
            </w:r>
            <w:r>
              <w:rPr>
                <w:rFonts w:hint="eastAsia" w:ascii="仿宋" w:hAnsi="仿宋" w:eastAsia="仿宋"/>
                <w:color w:val="000000"/>
                <w:sz w:val="21"/>
                <w:szCs w:val="21"/>
              </w:rPr>
              <w:t>%的违约金；逾期超过</w:t>
            </w:r>
            <w:r>
              <w:rPr>
                <w:rFonts w:hint="eastAsia" w:ascii="仿宋" w:hAnsi="仿宋" w:eastAsia="仿宋"/>
                <w:color w:val="000000"/>
                <w:sz w:val="21"/>
                <w:szCs w:val="21"/>
                <w:u w:val="single"/>
              </w:rPr>
              <w:t xml:space="preserve">60 </w:t>
            </w:r>
            <w:r>
              <w:rPr>
                <w:rFonts w:hint="eastAsia" w:ascii="仿宋" w:hAnsi="仿宋" w:eastAsia="仿宋"/>
                <w:color w:val="000000"/>
                <w:sz w:val="21"/>
                <w:szCs w:val="21"/>
              </w:rPr>
              <w:t>个自然日，甲方有权解除合同，要求乙方支付前述违约金并没收剩余的履约保证金。</w:t>
            </w:r>
          </w:p>
          <w:p>
            <w:pPr>
              <w:spacing w:line="240" w:lineRule="atLeast"/>
              <w:ind w:firstLine="420" w:firstLineChars="200"/>
              <w:rPr>
                <w:rFonts w:ascii="仿宋" w:hAnsi="仿宋" w:eastAsia="仿宋"/>
                <w:color w:val="000000"/>
                <w:sz w:val="21"/>
                <w:szCs w:val="21"/>
              </w:rPr>
            </w:pPr>
            <w:r>
              <w:rPr>
                <w:rFonts w:hint="eastAsia" w:ascii="仿宋" w:hAnsi="仿宋" w:eastAsia="仿宋"/>
                <w:color w:val="000000"/>
                <w:sz w:val="21"/>
                <w:szCs w:val="21"/>
              </w:rPr>
              <w:t>（六）因台风、地震、水灾、政府政策变化、传染性疾病以及其它非一方责任造成的，不能预见、不能避免、并不能克服的客观情况为不可抗力。因不可抗力致使本经济合同不能履行或不能完全履行时，遭受不可抗力一方应在发生不可抗力之日起3个工作日内向对方通报相关情况并向对方提供相应证明，在双方共同商议（或有关主管机关裁决）后，可以根据决议延期履行、部分履行或不履行，并可根据情况部分或全部免于承担违约责任。</w:t>
            </w:r>
          </w:p>
          <w:p>
            <w:pPr>
              <w:spacing w:line="240" w:lineRule="atLeast"/>
              <w:ind w:firstLine="420" w:firstLineChars="200"/>
              <w:rPr>
                <w:rFonts w:ascii="仿宋" w:hAnsi="仿宋" w:eastAsia="仿宋"/>
                <w:color w:val="000000"/>
                <w:sz w:val="21"/>
                <w:szCs w:val="21"/>
              </w:rPr>
            </w:pPr>
            <w:r>
              <w:rPr>
                <w:rFonts w:hint="eastAsia" w:ascii="仿宋" w:hAnsi="仿宋" w:eastAsia="仿宋"/>
                <w:color w:val="000000"/>
                <w:sz w:val="21"/>
                <w:szCs w:val="21"/>
              </w:rPr>
              <w:t>（七）乙方承诺本合同履行期间持续具有履行本经济合同所需合法、有效资质，否则视为重大违约，甲方有权立即解除本合同，已交付的费用乙方须无条件全额退还，甲方没收全部履约保证金并追究乙方违约责任。</w:t>
            </w:r>
          </w:p>
          <w:p>
            <w:pPr>
              <w:spacing w:line="240" w:lineRule="atLeast"/>
              <w:ind w:firstLine="420" w:firstLineChars="200"/>
              <w:rPr>
                <w:rFonts w:ascii="仿宋" w:hAnsi="仿宋" w:eastAsia="仿宋"/>
                <w:color w:val="000000"/>
                <w:sz w:val="21"/>
                <w:szCs w:val="21"/>
              </w:rPr>
            </w:pPr>
            <w:r>
              <w:rPr>
                <w:rFonts w:hint="eastAsia" w:ascii="仿宋" w:hAnsi="仿宋" w:eastAsia="仿宋"/>
                <w:color w:val="000000"/>
                <w:sz w:val="21"/>
                <w:szCs w:val="21"/>
              </w:rPr>
              <w:t>（八）甲乙双方若不能按互谅互惠原则协商解决争议，任何一方均可向重庆仲裁委员会提请仲裁。</w:t>
            </w:r>
          </w:p>
          <w:p>
            <w:pPr>
              <w:spacing w:line="240" w:lineRule="atLeast"/>
              <w:ind w:firstLine="420" w:firstLineChars="200"/>
              <w:rPr>
                <w:rFonts w:ascii="仿宋" w:hAnsi="仿宋" w:eastAsia="仿宋"/>
                <w:color w:val="000000"/>
                <w:sz w:val="21"/>
                <w:szCs w:val="21"/>
              </w:rPr>
            </w:pPr>
            <w:r>
              <w:rPr>
                <w:rFonts w:hint="eastAsia" w:ascii="仿宋" w:hAnsi="仿宋" w:eastAsia="仿宋"/>
                <w:color w:val="000000"/>
                <w:sz w:val="21"/>
                <w:szCs w:val="21"/>
              </w:rPr>
              <w:t>（九）甲方或乙方一方违约时，守约方据此向违约方主张权利的，违约方应向守约方支付违约金及由此产生的一切损失（包括但不限于直接损失、间接损失、诉讼费、仲裁费、律师费、保全费、保全担保费、鉴定费、差旅费等）。</w:t>
            </w:r>
          </w:p>
          <w:p>
            <w:pPr>
              <w:spacing w:line="240" w:lineRule="atLeast"/>
              <w:ind w:firstLine="420" w:firstLineChars="200"/>
              <w:rPr>
                <w:rFonts w:ascii="仿宋" w:hAnsi="仿宋" w:eastAsia="仿宋"/>
                <w:color w:val="000000"/>
                <w:sz w:val="21"/>
                <w:szCs w:val="21"/>
              </w:rPr>
            </w:pPr>
            <w:r>
              <w:rPr>
                <w:rFonts w:hint="eastAsia" w:ascii="仿宋" w:hAnsi="仿宋" w:eastAsia="仿宋"/>
                <w:color w:val="000000"/>
                <w:sz w:val="21"/>
                <w:szCs w:val="21"/>
              </w:rPr>
              <w:t>（十）本合同项下各违约责任相互独立，可同时、一并适用。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10796" w:type="dxa"/>
            <w:gridSpan w:val="7"/>
            <w:noWrap w:val="0"/>
            <w:vAlign w:val="top"/>
          </w:tcPr>
          <w:p>
            <w:pPr>
              <w:spacing w:line="240" w:lineRule="atLeast"/>
              <w:ind w:firstLine="420" w:firstLineChars="200"/>
              <w:rPr>
                <w:rFonts w:ascii="仿宋" w:hAnsi="仿宋" w:eastAsia="仿宋"/>
                <w:color w:val="000000"/>
                <w:sz w:val="21"/>
                <w:szCs w:val="21"/>
              </w:rPr>
            </w:pPr>
            <w:r>
              <w:rPr>
                <w:rFonts w:hint="eastAsia" w:ascii="仿宋" w:hAnsi="仿宋" w:eastAsia="仿宋"/>
                <w:color w:val="000000"/>
                <w:sz w:val="21"/>
                <w:szCs w:val="21"/>
              </w:rPr>
              <w:t>七、其他约定事项：</w:t>
            </w:r>
          </w:p>
          <w:p>
            <w:pPr>
              <w:spacing w:line="240" w:lineRule="atLeast"/>
              <w:ind w:firstLine="420" w:firstLineChars="200"/>
              <w:rPr>
                <w:rFonts w:ascii="仿宋" w:hAnsi="仿宋" w:eastAsia="仿宋"/>
                <w:color w:val="000000"/>
                <w:sz w:val="21"/>
                <w:szCs w:val="21"/>
              </w:rPr>
            </w:pPr>
            <w:r>
              <w:rPr>
                <w:rFonts w:hint="eastAsia" w:ascii="仿宋" w:hAnsi="仿宋" w:eastAsia="仿宋"/>
                <w:color w:val="000000"/>
                <w:sz w:val="21"/>
                <w:szCs w:val="21"/>
              </w:rPr>
              <w:t>（一）甲方招标文件及其补遗文件、乙方投标文件和承诺不可分割，具有同等法律效力。若本经济合同存在歧义或不一致，则根据如下优先次序来判断：合同签订后达成的有关会议纪要或补充文件、本经济合同、中标通知书、招标文件及其补遗文件、投标文件及其承诺，上述各项合同文件包括合同当事人就该项合同文件所作出的补充和修改，属于同一类内容的文件，应以最新签署的为准。未尽事宜，执行《中华人民共和国民法典》《中华人民共和国政府采购法》规定，由甲乙双方共商解决。</w:t>
            </w:r>
          </w:p>
          <w:p>
            <w:pPr>
              <w:spacing w:line="240" w:lineRule="atLeast"/>
              <w:ind w:firstLine="420" w:firstLineChars="200"/>
              <w:rPr>
                <w:rFonts w:ascii="仿宋" w:hAnsi="仿宋" w:eastAsia="仿宋"/>
                <w:color w:val="000000"/>
                <w:sz w:val="21"/>
                <w:szCs w:val="21"/>
              </w:rPr>
            </w:pPr>
            <w:r>
              <w:rPr>
                <w:rFonts w:hint="eastAsia" w:ascii="仿宋" w:hAnsi="仿宋" w:eastAsia="仿宋"/>
                <w:color w:val="000000"/>
                <w:sz w:val="21"/>
                <w:szCs w:val="21"/>
              </w:rPr>
              <w:t>（二）甲方在中华人民共和国境内使用乙方提供的货物及服务时免受第三方提出的侵犯其专利权或其它知识产权的起诉。如果第三方提出侵权指控，乙方应承担由此而引起的一切法律责任和费用，甲方有权解除本合同，要求乙方退还甲方已支付的费用，并没收全部履约保证金。</w:t>
            </w:r>
          </w:p>
          <w:p>
            <w:pPr>
              <w:spacing w:line="240" w:lineRule="atLeast"/>
              <w:ind w:firstLine="420" w:firstLineChars="200"/>
              <w:rPr>
                <w:rFonts w:ascii="仿宋" w:hAnsi="仿宋" w:eastAsia="仿宋"/>
                <w:color w:val="000000"/>
                <w:sz w:val="21"/>
                <w:szCs w:val="21"/>
              </w:rPr>
            </w:pPr>
            <w:r>
              <w:rPr>
                <w:rFonts w:hint="eastAsia" w:ascii="仿宋" w:hAnsi="仿宋" w:eastAsia="仿宋"/>
                <w:color w:val="000000"/>
                <w:sz w:val="21"/>
                <w:szCs w:val="21"/>
              </w:rPr>
              <w:t>注：若涉及软件开发等服务类项目知识产权的，知识产权归甲方所有。</w:t>
            </w:r>
          </w:p>
          <w:p>
            <w:pPr>
              <w:spacing w:line="240" w:lineRule="atLeast"/>
              <w:ind w:firstLine="420" w:firstLineChars="200"/>
              <w:rPr>
                <w:rFonts w:ascii="仿宋" w:hAnsi="仿宋" w:eastAsia="仿宋"/>
                <w:color w:val="000000"/>
                <w:sz w:val="21"/>
                <w:szCs w:val="21"/>
              </w:rPr>
            </w:pPr>
            <w:r>
              <w:rPr>
                <w:rFonts w:hint="eastAsia" w:ascii="仿宋" w:hAnsi="仿宋" w:eastAsia="仿宋"/>
                <w:color w:val="000000"/>
                <w:sz w:val="21"/>
                <w:szCs w:val="21"/>
              </w:rPr>
              <w:t>（三）产品包装材料归甲方所有。乙方负责及时将货物包装材料清运离开甲方所在地，由此产生的费用由乙方自行承担。</w:t>
            </w:r>
          </w:p>
          <w:p>
            <w:pPr>
              <w:spacing w:line="240" w:lineRule="atLeast"/>
              <w:ind w:firstLine="420" w:firstLineChars="200"/>
              <w:rPr>
                <w:rFonts w:ascii="仿宋" w:hAnsi="仿宋" w:eastAsia="仿宋"/>
                <w:color w:val="000000"/>
                <w:sz w:val="21"/>
                <w:szCs w:val="21"/>
              </w:rPr>
            </w:pPr>
            <w:r>
              <w:rPr>
                <w:rFonts w:hint="eastAsia" w:ascii="仿宋" w:hAnsi="仿宋" w:eastAsia="仿宋"/>
                <w:color w:val="000000"/>
                <w:sz w:val="21"/>
                <w:szCs w:val="21"/>
              </w:rPr>
              <w:t>（四）乙方向甲方申请付款时，应当按甲方财务管理要求开具增值税发票。若乙方未提供有效增值税发票的，甲方有权拒绝支付合同价款且不承担任何延迟履行的责任。</w:t>
            </w:r>
          </w:p>
          <w:p>
            <w:pPr>
              <w:spacing w:line="240" w:lineRule="atLeast"/>
              <w:ind w:firstLine="420" w:firstLineChars="200"/>
              <w:rPr>
                <w:rFonts w:ascii="仿宋" w:hAnsi="仿宋" w:eastAsia="仿宋"/>
                <w:color w:val="000000"/>
                <w:sz w:val="21"/>
                <w:szCs w:val="21"/>
              </w:rPr>
            </w:pPr>
            <w:r>
              <w:rPr>
                <w:rFonts w:hint="eastAsia" w:ascii="仿宋" w:hAnsi="仿宋" w:eastAsia="仿宋"/>
                <w:color w:val="000000"/>
                <w:sz w:val="21"/>
                <w:szCs w:val="21"/>
              </w:rPr>
              <w:t>（五）本经济合同尾部载明的联系方式为一方通知对方、以及涉及诉讼或者仲裁时接收法律文书的送达地址。地址应当真实有效。任何一方送达地址变更的，应当自变更之日起5个工作日内书面通知对方。如地址有误、地址变更、未及时书面通知对方而导致法律文书送达不能的，应当自行承担后果。</w:t>
            </w:r>
          </w:p>
          <w:p>
            <w:pPr>
              <w:spacing w:line="240" w:lineRule="atLeast"/>
              <w:ind w:firstLine="420" w:firstLineChars="200"/>
              <w:rPr>
                <w:rFonts w:ascii="仿宋" w:hAnsi="仿宋" w:eastAsia="仿宋"/>
                <w:color w:val="000000"/>
                <w:sz w:val="21"/>
                <w:szCs w:val="21"/>
              </w:rPr>
            </w:pPr>
            <w:r>
              <w:rPr>
                <w:rFonts w:hint="eastAsia" w:ascii="仿宋" w:hAnsi="仿宋" w:eastAsia="仿宋"/>
                <w:color w:val="000000"/>
                <w:sz w:val="21"/>
                <w:szCs w:val="21"/>
              </w:rPr>
              <w:t>（六）本经济合同的任何修订、变更或调整，须经甲方、乙方共同书面确认。补充协议与本经济合同具有同等法律效力，不一致之处，以补充协议为准。</w:t>
            </w:r>
          </w:p>
          <w:p>
            <w:pPr>
              <w:spacing w:line="240" w:lineRule="atLeast"/>
              <w:ind w:firstLine="420" w:firstLineChars="200"/>
              <w:rPr>
                <w:rFonts w:ascii="仿宋" w:hAnsi="仿宋" w:eastAsia="仿宋"/>
                <w:color w:val="000000"/>
                <w:sz w:val="21"/>
                <w:szCs w:val="21"/>
              </w:rPr>
            </w:pPr>
            <w:r>
              <w:rPr>
                <w:rFonts w:hint="eastAsia" w:ascii="仿宋" w:hAnsi="仿宋" w:eastAsia="仿宋"/>
                <w:color w:val="000000"/>
                <w:sz w:val="21"/>
                <w:szCs w:val="21"/>
              </w:rPr>
              <w:t>（七）本合同壹式陆份，甲方执正本壹份、副本肆份，乙方执正本壹份，均具备同等法律效力。</w:t>
            </w:r>
          </w:p>
          <w:p>
            <w:pPr>
              <w:spacing w:line="240" w:lineRule="atLeast"/>
              <w:ind w:firstLine="420" w:firstLineChars="200"/>
              <w:rPr>
                <w:rFonts w:ascii="仿宋" w:hAnsi="仿宋" w:eastAsia="仿宋"/>
                <w:color w:val="000000"/>
                <w:sz w:val="21"/>
                <w:szCs w:val="21"/>
              </w:rPr>
            </w:pPr>
            <w:r>
              <w:rPr>
                <w:rFonts w:hint="eastAsia" w:ascii="仿宋" w:hAnsi="仿宋" w:eastAsia="仿宋"/>
                <w:color w:val="000000"/>
                <w:sz w:val="21"/>
                <w:szCs w:val="21"/>
              </w:rPr>
              <w:t>（八）本经济合同自当事人法定代表人或委托代理人签字并加盖双方合同专用章或公章后生效。</w:t>
            </w:r>
          </w:p>
          <w:p>
            <w:pPr>
              <w:spacing w:line="240" w:lineRule="atLeast"/>
              <w:ind w:firstLine="420" w:firstLineChars="200"/>
              <w:rPr>
                <w:rFonts w:ascii="仿宋" w:hAnsi="仿宋" w:eastAsia="仿宋"/>
                <w:color w:val="000000"/>
                <w:sz w:val="21"/>
                <w:szCs w:val="21"/>
              </w:rPr>
            </w:pPr>
            <w:r>
              <w:rPr>
                <w:rFonts w:hint="eastAsia" w:ascii="仿宋" w:hAnsi="仿宋" w:eastAsia="仿宋"/>
                <w:color w:val="000000"/>
                <w:sz w:val="21"/>
                <w:szCs w:val="21"/>
              </w:rPr>
              <w:t>（以下无正文）</w:t>
            </w:r>
          </w:p>
        </w:tc>
      </w:tr>
    </w:tbl>
    <w:p>
      <w:pPr>
        <w:spacing w:line="500" w:lineRule="exact"/>
        <w:ind w:firstLine="420" w:firstLineChars="200"/>
        <w:rPr>
          <w:rFonts w:ascii="仿宋" w:hAnsi="仿宋" w:eastAsia="仿宋"/>
          <w:color w:val="000000"/>
          <w:sz w:val="21"/>
          <w:szCs w:val="21"/>
        </w:rPr>
      </w:pPr>
    </w:p>
    <w:p>
      <w:pPr>
        <w:spacing w:line="500" w:lineRule="exact"/>
        <w:ind w:firstLine="420" w:firstLineChars="200"/>
        <w:rPr>
          <w:rFonts w:ascii="仿宋" w:hAnsi="仿宋" w:eastAsia="仿宋"/>
          <w:color w:val="000000"/>
          <w:sz w:val="21"/>
          <w:szCs w:val="21"/>
        </w:rPr>
      </w:pPr>
    </w:p>
    <w:p>
      <w:pPr>
        <w:spacing w:line="500" w:lineRule="exact"/>
        <w:ind w:firstLine="420" w:firstLineChars="200"/>
        <w:rPr>
          <w:rFonts w:ascii="仿宋" w:hAnsi="仿宋" w:eastAsia="仿宋"/>
          <w:color w:val="000000"/>
          <w:sz w:val="21"/>
          <w:szCs w:val="21"/>
        </w:rPr>
      </w:pPr>
    </w:p>
    <w:tbl>
      <w:tblPr>
        <w:tblStyle w:val="18"/>
        <w:tblW w:w="106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50"/>
        <w:gridCol w:w="56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0" w:hRule="atLeast"/>
          <w:jc w:val="center"/>
        </w:trPr>
        <w:tc>
          <w:tcPr>
            <w:tcW w:w="5050" w:type="dxa"/>
            <w:noWrap w:val="0"/>
            <w:vAlign w:val="top"/>
          </w:tcPr>
          <w:p>
            <w:pPr>
              <w:spacing w:line="240" w:lineRule="atLeast"/>
              <w:rPr>
                <w:rFonts w:ascii="仿宋" w:hAnsi="仿宋" w:eastAsia="仿宋"/>
                <w:color w:val="000000"/>
                <w:sz w:val="21"/>
                <w:szCs w:val="21"/>
              </w:rPr>
            </w:pPr>
            <w:r>
              <w:rPr>
                <w:rFonts w:hint="eastAsia" w:ascii="仿宋" w:hAnsi="仿宋" w:eastAsia="仿宋"/>
                <w:color w:val="000000"/>
                <w:sz w:val="21"/>
                <w:szCs w:val="21"/>
              </w:rPr>
              <w:t>甲方（需方）：重庆医科大学</w:t>
            </w:r>
          </w:p>
          <w:p>
            <w:pPr>
              <w:spacing w:line="240" w:lineRule="atLeast"/>
              <w:rPr>
                <w:rFonts w:ascii="仿宋" w:hAnsi="仿宋" w:eastAsia="仿宋"/>
                <w:color w:val="000000"/>
                <w:sz w:val="21"/>
                <w:szCs w:val="21"/>
              </w:rPr>
            </w:pPr>
            <w:r>
              <w:rPr>
                <w:rFonts w:hint="eastAsia" w:ascii="仿宋" w:hAnsi="仿宋" w:eastAsia="仿宋"/>
                <w:color w:val="000000"/>
                <w:sz w:val="21"/>
                <w:szCs w:val="21"/>
              </w:rPr>
              <w:t>地址：重庆市渝中区医学院路1号</w:t>
            </w:r>
          </w:p>
          <w:p>
            <w:pPr>
              <w:spacing w:line="240" w:lineRule="atLeast"/>
              <w:rPr>
                <w:rFonts w:ascii="仿宋" w:hAnsi="仿宋" w:eastAsia="仿宋"/>
                <w:color w:val="000000"/>
                <w:sz w:val="21"/>
                <w:szCs w:val="21"/>
              </w:rPr>
            </w:pPr>
            <w:r>
              <w:rPr>
                <w:rFonts w:hint="eastAsia" w:ascii="仿宋" w:hAnsi="仿宋" w:eastAsia="仿宋"/>
                <w:color w:val="000000"/>
                <w:sz w:val="21"/>
                <w:szCs w:val="21"/>
              </w:rPr>
              <w:t>统一社会信用代码：</w:t>
            </w:r>
            <w:r>
              <w:rPr>
                <w:rFonts w:ascii="仿宋" w:hAnsi="仿宋" w:eastAsia="仿宋"/>
                <w:color w:val="000000"/>
                <w:sz w:val="21"/>
                <w:szCs w:val="21"/>
              </w:rPr>
              <w:t>12500000450401805G</w:t>
            </w:r>
          </w:p>
          <w:p>
            <w:pPr>
              <w:spacing w:line="240" w:lineRule="atLeast"/>
              <w:rPr>
                <w:rFonts w:ascii="仿宋" w:hAnsi="仿宋" w:eastAsia="仿宋"/>
                <w:color w:val="000000"/>
                <w:w w:val="90"/>
                <w:sz w:val="21"/>
                <w:szCs w:val="21"/>
              </w:rPr>
            </w:pPr>
            <w:r>
              <w:rPr>
                <w:rFonts w:hint="eastAsia" w:ascii="仿宋" w:hAnsi="仿宋" w:eastAsia="仿宋"/>
                <w:color w:val="000000"/>
                <w:w w:val="90"/>
                <w:sz w:val="21"/>
                <w:szCs w:val="21"/>
              </w:rPr>
              <w:t>开户行：中国建设银行股份有限公司重庆高新区分行</w:t>
            </w:r>
          </w:p>
          <w:p>
            <w:pPr>
              <w:spacing w:line="240" w:lineRule="atLeast"/>
              <w:rPr>
                <w:rFonts w:ascii="仿宋" w:hAnsi="仿宋" w:eastAsia="仿宋"/>
                <w:color w:val="000000"/>
                <w:sz w:val="21"/>
                <w:szCs w:val="21"/>
              </w:rPr>
            </w:pPr>
            <w:r>
              <w:rPr>
                <w:rFonts w:hint="eastAsia" w:ascii="仿宋" w:hAnsi="仿宋" w:eastAsia="仿宋"/>
                <w:color w:val="000000"/>
                <w:sz w:val="21"/>
                <w:szCs w:val="21"/>
              </w:rPr>
              <w:t>账号：</w:t>
            </w:r>
            <w:r>
              <w:rPr>
                <w:rFonts w:ascii="仿宋" w:hAnsi="仿宋" w:eastAsia="仿宋"/>
                <w:color w:val="000000"/>
                <w:sz w:val="21"/>
                <w:szCs w:val="21"/>
              </w:rPr>
              <w:t>50001033600050008726</w:t>
            </w:r>
          </w:p>
          <w:p>
            <w:pPr>
              <w:spacing w:line="240" w:lineRule="atLeast"/>
              <w:rPr>
                <w:rFonts w:ascii="仿宋" w:hAnsi="仿宋" w:eastAsia="仿宋"/>
                <w:color w:val="000000"/>
                <w:sz w:val="21"/>
                <w:szCs w:val="21"/>
              </w:rPr>
            </w:pPr>
          </w:p>
          <w:p>
            <w:pPr>
              <w:spacing w:line="240" w:lineRule="atLeast"/>
              <w:rPr>
                <w:rFonts w:ascii="仿宋" w:hAnsi="仿宋" w:eastAsia="仿宋"/>
                <w:color w:val="000000"/>
                <w:sz w:val="21"/>
                <w:szCs w:val="21"/>
              </w:rPr>
            </w:pPr>
            <w:r>
              <w:rPr>
                <w:rFonts w:hint="eastAsia" w:ascii="仿宋" w:hAnsi="仿宋" w:eastAsia="仿宋"/>
                <w:color w:val="000000"/>
                <w:sz w:val="21"/>
                <w:szCs w:val="21"/>
              </w:rPr>
              <w:t>法定代表人：黄爱龙（签章）</w:t>
            </w:r>
          </w:p>
          <w:p>
            <w:pPr>
              <w:spacing w:line="240" w:lineRule="atLeast"/>
              <w:rPr>
                <w:rFonts w:ascii="仿宋" w:hAnsi="仿宋" w:eastAsia="仿宋"/>
                <w:color w:val="000000"/>
                <w:sz w:val="21"/>
                <w:szCs w:val="21"/>
              </w:rPr>
            </w:pPr>
          </w:p>
          <w:p>
            <w:pPr>
              <w:spacing w:line="240" w:lineRule="atLeast"/>
              <w:rPr>
                <w:rFonts w:ascii="仿宋" w:hAnsi="仿宋" w:eastAsia="仿宋"/>
                <w:color w:val="000000"/>
                <w:sz w:val="21"/>
                <w:szCs w:val="21"/>
              </w:rPr>
            </w:pPr>
          </w:p>
          <w:p>
            <w:pPr>
              <w:spacing w:line="240" w:lineRule="atLeast"/>
              <w:rPr>
                <w:rFonts w:ascii="仿宋" w:hAnsi="仿宋" w:eastAsia="仿宋"/>
                <w:color w:val="000000"/>
                <w:sz w:val="21"/>
                <w:szCs w:val="21"/>
              </w:rPr>
            </w:pPr>
            <w:r>
              <w:rPr>
                <w:rFonts w:hint="eastAsia" w:ascii="仿宋" w:hAnsi="仿宋" w:eastAsia="仿宋"/>
                <w:color w:val="000000"/>
                <w:sz w:val="21"/>
                <w:szCs w:val="21"/>
              </w:rPr>
              <w:t>授权代理人：</w:t>
            </w:r>
          </w:p>
          <w:p>
            <w:pPr>
              <w:spacing w:line="240" w:lineRule="atLeast"/>
              <w:rPr>
                <w:rFonts w:ascii="仿宋" w:hAnsi="仿宋" w:eastAsia="仿宋"/>
                <w:color w:val="000000"/>
                <w:sz w:val="21"/>
                <w:szCs w:val="21"/>
              </w:rPr>
            </w:pPr>
          </w:p>
          <w:p>
            <w:pPr>
              <w:spacing w:line="240" w:lineRule="atLeast"/>
              <w:rPr>
                <w:rFonts w:ascii="仿宋" w:hAnsi="仿宋" w:eastAsia="仿宋"/>
                <w:color w:val="000000"/>
                <w:sz w:val="21"/>
                <w:szCs w:val="21"/>
              </w:rPr>
            </w:pPr>
          </w:p>
          <w:p>
            <w:pPr>
              <w:spacing w:line="240" w:lineRule="atLeast"/>
              <w:rPr>
                <w:rFonts w:ascii="仿宋" w:hAnsi="仿宋" w:eastAsia="仿宋"/>
                <w:color w:val="000000"/>
                <w:sz w:val="21"/>
                <w:szCs w:val="21"/>
              </w:rPr>
            </w:pPr>
            <w:r>
              <w:rPr>
                <w:rFonts w:hint="eastAsia" w:ascii="仿宋" w:hAnsi="仿宋" w:eastAsia="仿宋"/>
                <w:color w:val="000000"/>
                <w:sz w:val="21"/>
                <w:szCs w:val="21"/>
              </w:rPr>
              <w:t>联系电话：（请备注用户单位联系人电话）</w:t>
            </w:r>
          </w:p>
          <w:p>
            <w:pPr>
              <w:spacing w:line="240" w:lineRule="atLeast"/>
              <w:rPr>
                <w:rFonts w:ascii="仿宋" w:hAnsi="仿宋" w:eastAsia="仿宋"/>
                <w:color w:val="000000"/>
                <w:sz w:val="21"/>
                <w:szCs w:val="21"/>
              </w:rPr>
            </w:pPr>
          </w:p>
        </w:tc>
        <w:tc>
          <w:tcPr>
            <w:tcW w:w="5641" w:type="dxa"/>
            <w:noWrap w:val="0"/>
            <w:vAlign w:val="top"/>
          </w:tcPr>
          <w:p>
            <w:pPr>
              <w:spacing w:line="240" w:lineRule="atLeast"/>
              <w:rPr>
                <w:rFonts w:ascii="仿宋" w:hAnsi="仿宋" w:eastAsia="仿宋"/>
                <w:color w:val="000000"/>
                <w:sz w:val="21"/>
                <w:szCs w:val="21"/>
              </w:rPr>
            </w:pPr>
            <w:r>
              <w:rPr>
                <w:rFonts w:hint="eastAsia" w:ascii="仿宋" w:hAnsi="仿宋" w:eastAsia="仿宋"/>
                <w:color w:val="000000"/>
                <w:sz w:val="21"/>
                <w:szCs w:val="21"/>
              </w:rPr>
              <w:t>乙方（供方）：</w:t>
            </w:r>
          </w:p>
          <w:p>
            <w:pPr>
              <w:spacing w:line="240" w:lineRule="atLeast"/>
              <w:rPr>
                <w:rFonts w:ascii="仿宋" w:hAnsi="仿宋" w:eastAsia="仿宋"/>
                <w:color w:val="000000"/>
                <w:sz w:val="21"/>
                <w:szCs w:val="21"/>
              </w:rPr>
            </w:pPr>
            <w:r>
              <w:rPr>
                <w:rFonts w:hint="eastAsia" w:ascii="仿宋" w:hAnsi="仿宋" w:eastAsia="仿宋"/>
                <w:color w:val="000000"/>
                <w:sz w:val="21"/>
                <w:szCs w:val="21"/>
              </w:rPr>
              <w:t>地址：</w:t>
            </w:r>
          </w:p>
          <w:p>
            <w:pPr>
              <w:spacing w:line="240" w:lineRule="atLeast"/>
              <w:rPr>
                <w:rFonts w:ascii="仿宋" w:hAnsi="仿宋" w:eastAsia="仿宋"/>
                <w:color w:val="000000"/>
                <w:sz w:val="21"/>
                <w:szCs w:val="21"/>
              </w:rPr>
            </w:pPr>
            <w:r>
              <w:rPr>
                <w:rFonts w:hint="eastAsia" w:ascii="仿宋" w:hAnsi="仿宋" w:eastAsia="仿宋"/>
                <w:color w:val="000000"/>
                <w:sz w:val="21"/>
                <w:szCs w:val="21"/>
              </w:rPr>
              <w:t>统一社会信用代码：</w:t>
            </w:r>
          </w:p>
          <w:p>
            <w:pPr>
              <w:spacing w:line="240" w:lineRule="atLeast"/>
              <w:rPr>
                <w:rFonts w:ascii="仿宋" w:hAnsi="仿宋" w:eastAsia="仿宋"/>
                <w:color w:val="000000"/>
                <w:sz w:val="21"/>
                <w:szCs w:val="21"/>
              </w:rPr>
            </w:pPr>
            <w:r>
              <w:rPr>
                <w:rFonts w:hint="eastAsia" w:ascii="仿宋" w:hAnsi="仿宋" w:eastAsia="仿宋"/>
                <w:color w:val="000000"/>
                <w:sz w:val="21"/>
                <w:szCs w:val="21"/>
              </w:rPr>
              <w:t>开户行：</w:t>
            </w:r>
          </w:p>
          <w:p>
            <w:pPr>
              <w:spacing w:line="240" w:lineRule="atLeast"/>
              <w:rPr>
                <w:rFonts w:ascii="仿宋" w:hAnsi="仿宋" w:eastAsia="仿宋"/>
                <w:color w:val="000000"/>
                <w:sz w:val="21"/>
                <w:szCs w:val="21"/>
              </w:rPr>
            </w:pPr>
            <w:r>
              <w:rPr>
                <w:rFonts w:hint="eastAsia" w:ascii="仿宋" w:hAnsi="仿宋" w:eastAsia="仿宋"/>
                <w:color w:val="000000"/>
                <w:sz w:val="21"/>
                <w:szCs w:val="21"/>
              </w:rPr>
              <w:t>账号：</w:t>
            </w:r>
          </w:p>
          <w:p>
            <w:pPr>
              <w:spacing w:line="240" w:lineRule="atLeast"/>
              <w:rPr>
                <w:rFonts w:ascii="仿宋" w:hAnsi="仿宋" w:eastAsia="仿宋"/>
                <w:color w:val="000000"/>
                <w:sz w:val="21"/>
                <w:szCs w:val="21"/>
              </w:rPr>
            </w:pPr>
          </w:p>
          <w:p>
            <w:pPr>
              <w:spacing w:line="240" w:lineRule="atLeast"/>
              <w:rPr>
                <w:rFonts w:ascii="仿宋" w:hAnsi="仿宋" w:eastAsia="仿宋"/>
                <w:color w:val="000000"/>
                <w:sz w:val="21"/>
                <w:szCs w:val="21"/>
              </w:rPr>
            </w:pPr>
            <w:r>
              <w:rPr>
                <w:rFonts w:hint="eastAsia" w:ascii="仿宋" w:hAnsi="仿宋" w:eastAsia="仿宋"/>
                <w:color w:val="000000"/>
                <w:sz w:val="21"/>
                <w:szCs w:val="21"/>
              </w:rPr>
              <w:t>法定代表人：（签章）</w:t>
            </w:r>
          </w:p>
          <w:p>
            <w:pPr>
              <w:spacing w:line="240" w:lineRule="atLeast"/>
              <w:rPr>
                <w:rFonts w:ascii="仿宋" w:hAnsi="仿宋" w:eastAsia="仿宋"/>
                <w:color w:val="000000"/>
                <w:sz w:val="21"/>
                <w:szCs w:val="21"/>
              </w:rPr>
            </w:pPr>
          </w:p>
          <w:p>
            <w:pPr>
              <w:spacing w:line="240" w:lineRule="atLeast"/>
              <w:rPr>
                <w:rFonts w:ascii="仿宋" w:hAnsi="仿宋" w:eastAsia="仿宋"/>
                <w:color w:val="000000"/>
                <w:sz w:val="21"/>
                <w:szCs w:val="21"/>
              </w:rPr>
            </w:pPr>
          </w:p>
          <w:p>
            <w:pPr>
              <w:spacing w:line="240" w:lineRule="atLeast"/>
              <w:rPr>
                <w:rFonts w:ascii="仿宋" w:hAnsi="仿宋" w:eastAsia="仿宋"/>
                <w:color w:val="000000"/>
                <w:sz w:val="21"/>
                <w:szCs w:val="21"/>
              </w:rPr>
            </w:pPr>
            <w:r>
              <w:rPr>
                <w:rFonts w:hint="eastAsia" w:ascii="仿宋" w:hAnsi="仿宋" w:eastAsia="仿宋"/>
                <w:color w:val="000000"/>
                <w:sz w:val="21"/>
                <w:szCs w:val="21"/>
              </w:rPr>
              <w:t>授权代理人：</w:t>
            </w:r>
          </w:p>
          <w:p>
            <w:pPr>
              <w:spacing w:line="240" w:lineRule="atLeast"/>
              <w:rPr>
                <w:rFonts w:ascii="仿宋" w:hAnsi="仿宋" w:eastAsia="仿宋"/>
                <w:color w:val="000000"/>
                <w:sz w:val="21"/>
                <w:szCs w:val="21"/>
              </w:rPr>
            </w:pPr>
          </w:p>
          <w:p>
            <w:pPr>
              <w:spacing w:line="240" w:lineRule="atLeast"/>
              <w:rPr>
                <w:rFonts w:ascii="仿宋" w:hAnsi="仿宋" w:eastAsia="仿宋"/>
                <w:color w:val="000000"/>
                <w:sz w:val="21"/>
                <w:szCs w:val="21"/>
              </w:rPr>
            </w:pPr>
          </w:p>
          <w:p>
            <w:pPr>
              <w:spacing w:line="240" w:lineRule="atLeast"/>
              <w:rPr>
                <w:rFonts w:ascii="仿宋" w:hAnsi="仿宋" w:eastAsia="仿宋"/>
                <w:color w:val="000000"/>
                <w:sz w:val="21"/>
                <w:szCs w:val="21"/>
              </w:rPr>
            </w:pPr>
            <w:r>
              <w:rPr>
                <w:rFonts w:hint="eastAsia" w:ascii="仿宋" w:hAnsi="仿宋" w:eastAsia="仿宋"/>
                <w:color w:val="000000"/>
                <w:sz w:val="21"/>
                <w:szCs w:val="21"/>
              </w:rPr>
              <w:t>联系电话：</w:t>
            </w:r>
          </w:p>
          <w:p>
            <w:pPr>
              <w:spacing w:line="240" w:lineRule="atLeast"/>
              <w:rPr>
                <w:rFonts w:ascii="仿宋" w:hAnsi="仿宋" w:eastAsia="仿宋"/>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10691" w:type="dxa"/>
            <w:gridSpan w:val="2"/>
            <w:noWrap w:val="0"/>
            <w:vAlign w:val="top"/>
          </w:tcPr>
          <w:p>
            <w:pPr>
              <w:spacing w:line="240" w:lineRule="atLeast"/>
              <w:rPr>
                <w:rFonts w:ascii="仿宋" w:hAnsi="仿宋" w:eastAsia="仿宋"/>
                <w:color w:val="000000"/>
                <w:sz w:val="21"/>
                <w:szCs w:val="21"/>
              </w:rPr>
            </w:pPr>
            <w:r>
              <w:rPr>
                <w:rFonts w:hint="eastAsia" w:ascii="仿宋" w:hAnsi="仿宋" w:eastAsia="仿宋"/>
                <w:color w:val="000000"/>
                <w:sz w:val="21"/>
                <w:szCs w:val="21"/>
              </w:rPr>
              <w:t>备注：</w:t>
            </w:r>
          </w:p>
        </w:tc>
      </w:tr>
    </w:tbl>
    <w:p>
      <w:pPr>
        <w:spacing w:line="500" w:lineRule="exact"/>
        <w:rPr>
          <w:rFonts w:ascii="仿宋" w:hAnsi="仿宋" w:eastAsia="仿宋"/>
          <w:color w:val="000000"/>
          <w:sz w:val="21"/>
          <w:szCs w:val="21"/>
        </w:rPr>
      </w:pPr>
    </w:p>
    <w:p>
      <w:pPr>
        <w:spacing w:line="500" w:lineRule="exact"/>
        <w:ind w:firstLine="420" w:firstLineChars="200"/>
        <w:rPr>
          <w:rFonts w:ascii="仿宋" w:hAnsi="仿宋" w:eastAsia="仿宋"/>
          <w:color w:val="000000"/>
          <w:sz w:val="21"/>
          <w:szCs w:val="21"/>
        </w:rPr>
      </w:pPr>
      <w:r>
        <w:rPr>
          <w:rFonts w:hint="eastAsia" w:ascii="仿宋" w:hAnsi="仿宋" w:eastAsia="仿宋"/>
          <w:color w:val="000000"/>
          <w:sz w:val="21"/>
          <w:szCs w:val="21"/>
        </w:rPr>
        <w:t>生效时间：       年   月   日（财务处）    签约地点：重庆医科大学袁家岗校区</w:t>
      </w:r>
    </w:p>
    <w:p>
      <w:pPr>
        <w:spacing w:line="500" w:lineRule="exact"/>
        <w:rPr>
          <w:rFonts w:ascii="仿宋" w:hAnsi="仿宋" w:eastAsia="仿宋"/>
          <w:color w:val="000000"/>
          <w:sz w:val="21"/>
          <w:szCs w:val="21"/>
        </w:rPr>
      </w:pPr>
    </w:p>
    <w:p>
      <w:pPr>
        <w:spacing w:line="500" w:lineRule="exact"/>
        <w:rPr>
          <w:rFonts w:ascii="仿宋" w:hAnsi="仿宋" w:eastAsia="仿宋"/>
          <w:color w:val="000000"/>
          <w:sz w:val="21"/>
          <w:szCs w:val="21"/>
        </w:rPr>
      </w:pPr>
      <w:r>
        <w:rPr>
          <w:rFonts w:hint="eastAsia" w:ascii="仿宋" w:hAnsi="仿宋" w:eastAsia="仿宋"/>
          <w:color w:val="000000"/>
          <w:sz w:val="21"/>
          <w:szCs w:val="21"/>
        </w:rPr>
        <w:t>（以下无正文）</w:t>
      </w:r>
    </w:p>
    <w:p>
      <w:pPr>
        <w:spacing w:line="500" w:lineRule="exact"/>
        <w:rPr>
          <w:rFonts w:hint="eastAsia" w:ascii="仿宋" w:hAnsi="仿宋" w:eastAsia="仿宋"/>
          <w:color w:val="000000"/>
          <w:sz w:val="21"/>
          <w:szCs w:val="21"/>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jc w:val="both"/>
        <w:rPr>
          <w:rFonts w:hint="eastAsia"/>
        </w:rPr>
      </w:pPr>
    </w:p>
    <w:p>
      <w:pPr>
        <w:rPr>
          <w:rFonts w:hint="eastAsia"/>
        </w:rPr>
      </w:pPr>
    </w:p>
    <w:p>
      <w:pPr>
        <w:pStyle w:val="12"/>
        <w:keepNext w:val="0"/>
        <w:keepLines w:val="0"/>
        <w:pageBreakBefore w:val="0"/>
        <w:widowControl w:val="0"/>
        <w:kinsoku/>
        <w:wordWrap/>
        <w:overflowPunct/>
        <w:topLinePunct w:val="0"/>
        <w:autoSpaceDE/>
        <w:autoSpaceDN/>
        <w:bidi w:val="0"/>
        <w:adjustRightInd/>
        <w:spacing w:line="440" w:lineRule="exact"/>
        <w:ind w:left="479" w:leftChars="228" w:firstLine="0" w:firstLineChars="0"/>
        <w:jc w:val="left"/>
        <w:textAlignment w:val="auto"/>
        <w:rPr>
          <w:rFonts w:hint="eastAsia" w:hAnsi="宋体"/>
          <w:b/>
          <w:bCs/>
          <w:color w:val="000000"/>
          <w:sz w:val="24"/>
          <w:szCs w:val="24"/>
          <w:lang w:eastAsia="zh-CN"/>
        </w:rPr>
      </w:pPr>
      <w:r>
        <w:rPr>
          <w:rFonts w:hint="eastAsia" w:hAnsi="宋体"/>
          <w:b/>
          <w:bCs/>
          <w:color w:val="000000"/>
          <w:sz w:val="24"/>
          <w:szCs w:val="24"/>
          <w:lang w:eastAsia="zh-CN"/>
        </w:rPr>
        <w:t>附件1</w:t>
      </w:r>
    </w:p>
    <w:p>
      <w:pPr>
        <w:spacing w:line="560" w:lineRule="exact"/>
        <w:jc w:val="center"/>
        <w:rPr>
          <w:rFonts w:ascii="方正小标宋_GBK" w:hAnsi="方正小标宋_GBK" w:eastAsia="方正小标宋_GBK"/>
          <w:color w:val="000000"/>
          <w:sz w:val="44"/>
          <w:szCs w:val="44"/>
        </w:rPr>
      </w:pPr>
    </w:p>
    <w:p>
      <w:pPr>
        <w:pStyle w:val="12"/>
        <w:keepNext w:val="0"/>
        <w:keepLines w:val="0"/>
        <w:pageBreakBefore w:val="0"/>
        <w:widowControl w:val="0"/>
        <w:kinsoku/>
        <w:wordWrap/>
        <w:overflowPunct/>
        <w:topLinePunct w:val="0"/>
        <w:autoSpaceDE/>
        <w:autoSpaceDN/>
        <w:bidi w:val="0"/>
        <w:adjustRightInd/>
        <w:spacing w:line="440" w:lineRule="exact"/>
        <w:ind w:left="479" w:leftChars="228" w:firstLine="0" w:firstLineChars="0"/>
        <w:jc w:val="center"/>
        <w:textAlignment w:val="auto"/>
        <w:rPr>
          <w:rFonts w:hint="eastAsia" w:hAnsi="宋体"/>
          <w:b/>
          <w:bCs/>
          <w:color w:val="000000"/>
          <w:sz w:val="32"/>
          <w:szCs w:val="32"/>
          <w:lang w:eastAsia="zh-CN"/>
        </w:rPr>
      </w:pPr>
      <w:r>
        <w:rPr>
          <w:rFonts w:hint="eastAsia" w:hAnsi="宋体"/>
          <w:b/>
          <w:bCs/>
          <w:color w:val="000000"/>
          <w:sz w:val="32"/>
          <w:szCs w:val="32"/>
          <w:lang w:eastAsia="zh-CN"/>
        </w:rPr>
        <w:t>商务参数明细</w:t>
      </w:r>
    </w:p>
    <w:p>
      <w:pPr>
        <w:spacing w:line="560" w:lineRule="exact"/>
        <w:rPr>
          <w:rFonts w:ascii="方正小标宋_GBK" w:hAnsi="方正小标宋_GBK" w:eastAsia="方正小标宋_GBK"/>
          <w:color w:val="000000"/>
          <w:sz w:val="44"/>
          <w:szCs w:val="44"/>
        </w:rPr>
      </w:pPr>
    </w:p>
    <w:tbl>
      <w:tblPr>
        <w:tblStyle w:val="18"/>
        <w:tblW w:w="96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4"/>
        <w:gridCol w:w="1926"/>
        <w:gridCol w:w="978"/>
        <w:gridCol w:w="1460"/>
        <w:gridCol w:w="2348"/>
        <w:gridCol w:w="12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1654" w:type="dxa"/>
            <w:noWrap w:val="0"/>
            <w:vAlign w:val="center"/>
          </w:tcPr>
          <w:p>
            <w:pPr>
              <w:spacing w:line="240" w:lineRule="atLeast"/>
              <w:jc w:val="center"/>
              <w:rPr>
                <w:rFonts w:ascii="仿宋" w:hAnsi="仿宋" w:eastAsia="仿宋"/>
                <w:color w:val="000000"/>
                <w:sz w:val="21"/>
                <w:szCs w:val="21"/>
              </w:rPr>
            </w:pPr>
            <w:r>
              <w:rPr>
                <w:rFonts w:hint="eastAsia" w:ascii="仿宋" w:hAnsi="仿宋" w:eastAsia="仿宋"/>
                <w:color w:val="000000"/>
                <w:sz w:val="21"/>
                <w:szCs w:val="21"/>
              </w:rPr>
              <w:t>货物名称</w:t>
            </w:r>
          </w:p>
        </w:tc>
        <w:tc>
          <w:tcPr>
            <w:tcW w:w="1926" w:type="dxa"/>
            <w:noWrap w:val="0"/>
            <w:vAlign w:val="center"/>
          </w:tcPr>
          <w:p>
            <w:pPr>
              <w:spacing w:line="240" w:lineRule="atLeast"/>
              <w:jc w:val="center"/>
              <w:rPr>
                <w:rFonts w:ascii="仿宋" w:hAnsi="仿宋" w:eastAsia="仿宋"/>
                <w:color w:val="000000"/>
                <w:sz w:val="21"/>
                <w:szCs w:val="21"/>
              </w:rPr>
            </w:pPr>
            <w:r>
              <w:rPr>
                <w:rFonts w:hint="eastAsia" w:ascii="仿宋" w:hAnsi="仿宋" w:eastAsia="仿宋"/>
                <w:color w:val="000000"/>
                <w:sz w:val="21"/>
                <w:szCs w:val="21"/>
              </w:rPr>
              <w:t>规格型号</w:t>
            </w:r>
          </w:p>
        </w:tc>
        <w:tc>
          <w:tcPr>
            <w:tcW w:w="978" w:type="dxa"/>
            <w:noWrap w:val="0"/>
            <w:vAlign w:val="center"/>
          </w:tcPr>
          <w:p>
            <w:pPr>
              <w:spacing w:line="240" w:lineRule="atLeast"/>
              <w:jc w:val="center"/>
              <w:rPr>
                <w:rFonts w:ascii="仿宋" w:hAnsi="仿宋" w:eastAsia="仿宋"/>
                <w:color w:val="000000"/>
                <w:sz w:val="21"/>
                <w:szCs w:val="21"/>
              </w:rPr>
            </w:pPr>
            <w:r>
              <w:rPr>
                <w:rFonts w:hint="eastAsia" w:ascii="仿宋" w:hAnsi="仿宋" w:eastAsia="仿宋"/>
                <w:color w:val="000000"/>
                <w:sz w:val="21"/>
                <w:szCs w:val="21"/>
              </w:rPr>
              <w:t>产地</w:t>
            </w:r>
          </w:p>
        </w:tc>
        <w:tc>
          <w:tcPr>
            <w:tcW w:w="1460" w:type="dxa"/>
            <w:noWrap w:val="0"/>
            <w:vAlign w:val="center"/>
          </w:tcPr>
          <w:p>
            <w:pPr>
              <w:spacing w:line="240" w:lineRule="atLeast"/>
              <w:jc w:val="center"/>
              <w:rPr>
                <w:rFonts w:ascii="仿宋" w:hAnsi="仿宋" w:eastAsia="仿宋"/>
                <w:color w:val="000000"/>
                <w:sz w:val="21"/>
                <w:szCs w:val="21"/>
              </w:rPr>
            </w:pPr>
            <w:r>
              <w:rPr>
                <w:rFonts w:hint="eastAsia" w:ascii="仿宋" w:hAnsi="仿宋" w:eastAsia="仿宋"/>
                <w:color w:val="000000"/>
                <w:sz w:val="21"/>
                <w:szCs w:val="21"/>
              </w:rPr>
              <w:t>数量/单位</w:t>
            </w:r>
          </w:p>
        </w:tc>
        <w:tc>
          <w:tcPr>
            <w:tcW w:w="2348" w:type="dxa"/>
            <w:noWrap w:val="0"/>
            <w:vAlign w:val="center"/>
          </w:tcPr>
          <w:p>
            <w:pPr>
              <w:spacing w:line="240" w:lineRule="atLeast"/>
              <w:jc w:val="center"/>
              <w:rPr>
                <w:rFonts w:ascii="仿宋" w:hAnsi="仿宋" w:eastAsia="仿宋"/>
                <w:color w:val="000000"/>
                <w:sz w:val="21"/>
                <w:szCs w:val="21"/>
              </w:rPr>
            </w:pPr>
            <w:r>
              <w:rPr>
                <w:rFonts w:hint="eastAsia" w:ascii="仿宋" w:hAnsi="仿宋" w:eastAsia="仿宋"/>
                <w:color w:val="000000"/>
                <w:sz w:val="21"/>
                <w:szCs w:val="21"/>
              </w:rPr>
              <w:t>单价（不变价）（元）</w:t>
            </w:r>
          </w:p>
        </w:tc>
        <w:tc>
          <w:tcPr>
            <w:tcW w:w="1262" w:type="dxa"/>
            <w:noWrap w:val="0"/>
            <w:vAlign w:val="center"/>
          </w:tcPr>
          <w:p>
            <w:pPr>
              <w:spacing w:line="240" w:lineRule="atLeast"/>
              <w:jc w:val="center"/>
              <w:rPr>
                <w:rFonts w:ascii="仿宋" w:hAnsi="仿宋" w:eastAsia="仿宋"/>
                <w:color w:val="000000"/>
                <w:sz w:val="21"/>
                <w:szCs w:val="21"/>
              </w:rPr>
            </w:pPr>
            <w:r>
              <w:rPr>
                <w:rFonts w:hint="eastAsia" w:ascii="仿宋" w:hAnsi="仿宋" w:eastAsia="仿宋"/>
                <w:color w:val="000000"/>
                <w:sz w:val="21"/>
                <w:szCs w:val="21"/>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4" w:type="dxa"/>
            <w:noWrap w:val="0"/>
            <w:vAlign w:val="center"/>
          </w:tcPr>
          <w:p>
            <w:pPr>
              <w:spacing w:line="240" w:lineRule="atLeast"/>
              <w:jc w:val="center"/>
              <w:rPr>
                <w:rFonts w:ascii="仿宋" w:hAnsi="仿宋" w:eastAsia="仿宋"/>
                <w:color w:val="000000"/>
                <w:sz w:val="21"/>
                <w:szCs w:val="21"/>
              </w:rPr>
            </w:pPr>
          </w:p>
        </w:tc>
        <w:tc>
          <w:tcPr>
            <w:tcW w:w="1926" w:type="dxa"/>
            <w:noWrap w:val="0"/>
            <w:vAlign w:val="center"/>
          </w:tcPr>
          <w:p>
            <w:pPr>
              <w:spacing w:line="240" w:lineRule="atLeast"/>
              <w:jc w:val="center"/>
              <w:rPr>
                <w:rFonts w:ascii="仿宋" w:hAnsi="仿宋" w:eastAsia="仿宋"/>
                <w:color w:val="000000"/>
                <w:sz w:val="21"/>
                <w:szCs w:val="21"/>
              </w:rPr>
            </w:pPr>
          </w:p>
        </w:tc>
        <w:tc>
          <w:tcPr>
            <w:tcW w:w="978" w:type="dxa"/>
            <w:noWrap w:val="0"/>
            <w:vAlign w:val="center"/>
          </w:tcPr>
          <w:p>
            <w:pPr>
              <w:spacing w:line="240" w:lineRule="atLeast"/>
              <w:jc w:val="center"/>
              <w:rPr>
                <w:rFonts w:ascii="仿宋" w:hAnsi="仿宋" w:eastAsia="仿宋"/>
                <w:color w:val="000000"/>
                <w:sz w:val="21"/>
                <w:szCs w:val="21"/>
              </w:rPr>
            </w:pPr>
          </w:p>
        </w:tc>
        <w:tc>
          <w:tcPr>
            <w:tcW w:w="1460" w:type="dxa"/>
            <w:noWrap w:val="0"/>
            <w:vAlign w:val="center"/>
          </w:tcPr>
          <w:p>
            <w:pPr>
              <w:spacing w:line="240" w:lineRule="atLeast"/>
              <w:jc w:val="center"/>
              <w:rPr>
                <w:rFonts w:ascii="仿宋" w:hAnsi="仿宋" w:eastAsia="仿宋"/>
                <w:color w:val="000000"/>
                <w:sz w:val="21"/>
                <w:szCs w:val="21"/>
              </w:rPr>
            </w:pPr>
          </w:p>
        </w:tc>
        <w:tc>
          <w:tcPr>
            <w:tcW w:w="2348" w:type="dxa"/>
            <w:noWrap w:val="0"/>
            <w:vAlign w:val="center"/>
          </w:tcPr>
          <w:p>
            <w:pPr>
              <w:spacing w:line="240" w:lineRule="atLeast"/>
              <w:jc w:val="center"/>
              <w:rPr>
                <w:rFonts w:ascii="仿宋" w:hAnsi="仿宋" w:eastAsia="仿宋"/>
                <w:color w:val="000000"/>
                <w:sz w:val="21"/>
                <w:szCs w:val="21"/>
              </w:rPr>
            </w:pPr>
          </w:p>
        </w:tc>
        <w:tc>
          <w:tcPr>
            <w:tcW w:w="1262" w:type="dxa"/>
            <w:noWrap w:val="0"/>
            <w:vAlign w:val="center"/>
          </w:tcPr>
          <w:p>
            <w:pPr>
              <w:spacing w:line="240" w:lineRule="atLeast"/>
              <w:jc w:val="center"/>
              <w:rPr>
                <w:rFonts w:ascii="仿宋" w:hAnsi="仿宋" w:eastAsia="仿宋"/>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4" w:type="dxa"/>
            <w:noWrap w:val="0"/>
            <w:vAlign w:val="center"/>
          </w:tcPr>
          <w:p>
            <w:pPr>
              <w:spacing w:line="240" w:lineRule="atLeast"/>
              <w:jc w:val="center"/>
              <w:rPr>
                <w:rFonts w:ascii="仿宋" w:hAnsi="仿宋" w:eastAsia="仿宋"/>
                <w:color w:val="000000"/>
                <w:sz w:val="21"/>
                <w:szCs w:val="21"/>
              </w:rPr>
            </w:pPr>
          </w:p>
        </w:tc>
        <w:tc>
          <w:tcPr>
            <w:tcW w:w="1926" w:type="dxa"/>
            <w:noWrap w:val="0"/>
            <w:vAlign w:val="center"/>
          </w:tcPr>
          <w:p>
            <w:pPr>
              <w:spacing w:line="240" w:lineRule="atLeast"/>
              <w:jc w:val="center"/>
              <w:rPr>
                <w:rFonts w:ascii="仿宋" w:hAnsi="仿宋" w:eastAsia="仿宋"/>
                <w:color w:val="000000"/>
                <w:sz w:val="21"/>
                <w:szCs w:val="21"/>
              </w:rPr>
            </w:pPr>
          </w:p>
        </w:tc>
        <w:tc>
          <w:tcPr>
            <w:tcW w:w="978" w:type="dxa"/>
            <w:noWrap w:val="0"/>
            <w:vAlign w:val="center"/>
          </w:tcPr>
          <w:p>
            <w:pPr>
              <w:spacing w:line="240" w:lineRule="atLeast"/>
              <w:jc w:val="center"/>
              <w:rPr>
                <w:rFonts w:ascii="仿宋" w:hAnsi="仿宋" w:eastAsia="仿宋"/>
                <w:color w:val="000000"/>
                <w:sz w:val="21"/>
                <w:szCs w:val="21"/>
              </w:rPr>
            </w:pPr>
          </w:p>
        </w:tc>
        <w:tc>
          <w:tcPr>
            <w:tcW w:w="1460" w:type="dxa"/>
            <w:noWrap w:val="0"/>
            <w:vAlign w:val="center"/>
          </w:tcPr>
          <w:p>
            <w:pPr>
              <w:spacing w:line="240" w:lineRule="atLeast"/>
              <w:jc w:val="center"/>
              <w:rPr>
                <w:rFonts w:ascii="仿宋" w:hAnsi="仿宋" w:eastAsia="仿宋"/>
                <w:color w:val="000000"/>
                <w:sz w:val="21"/>
                <w:szCs w:val="21"/>
              </w:rPr>
            </w:pPr>
          </w:p>
        </w:tc>
        <w:tc>
          <w:tcPr>
            <w:tcW w:w="2348" w:type="dxa"/>
            <w:noWrap w:val="0"/>
            <w:vAlign w:val="center"/>
          </w:tcPr>
          <w:p>
            <w:pPr>
              <w:spacing w:line="240" w:lineRule="atLeast"/>
              <w:jc w:val="center"/>
              <w:rPr>
                <w:rFonts w:ascii="仿宋" w:hAnsi="仿宋" w:eastAsia="仿宋"/>
                <w:color w:val="000000"/>
                <w:sz w:val="21"/>
                <w:szCs w:val="21"/>
              </w:rPr>
            </w:pPr>
          </w:p>
        </w:tc>
        <w:tc>
          <w:tcPr>
            <w:tcW w:w="1262" w:type="dxa"/>
            <w:noWrap w:val="0"/>
            <w:vAlign w:val="center"/>
          </w:tcPr>
          <w:p>
            <w:pPr>
              <w:spacing w:line="240" w:lineRule="atLeast"/>
              <w:jc w:val="center"/>
              <w:rPr>
                <w:rFonts w:ascii="仿宋" w:hAnsi="仿宋" w:eastAsia="仿宋"/>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4" w:type="dxa"/>
            <w:noWrap w:val="0"/>
            <w:vAlign w:val="center"/>
          </w:tcPr>
          <w:p>
            <w:pPr>
              <w:spacing w:line="240" w:lineRule="atLeast"/>
              <w:jc w:val="center"/>
              <w:rPr>
                <w:rFonts w:ascii="仿宋" w:hAnsi="仿宋" w:eastAsia="仿宋"/>
                <w:color w:val="000000"/>
                <w:sz w:val="21"/>
                <w:szCs w:val="21"/>
              </w:rPr>
            </w:pPr>
          </w:p>
        </w:tc>
        <w:tc>
          <w:tcPr>
            <w:tcW w:w="1926" w:type="dxa"/>
            <w:noWrap w:val="0"/>
            <w:vAlign w:val="center"/>
          </w:tcPr>
          <w:p>
            <w:pPr>
              <w:spacing w:line="240" w:lineRule="atLeast"/>
              <w:jc w:val="center"/>
              <w:rPr>
                <w:rFonts w:ascii="仿宋" w:hAnsi="仿宋" w:eastAsia="仿宋"/>
                <w:color w:val="000000"/>
                <w:sz w:val="21"/>
                <w:szCs w:val="21"/>
              </w:rPr>
            </w:pPr>
          </w:p>
        </w:tc>
        <w:tc>
          <w:tcPr>
            <w:tcW w:w="978" w:type="dxa"/>
            <w:noWrap w:val="0"/>
            <w:vAlign w:val="center"/>
          </w:tcPr>
          <w:p>
            <w:pPr>
              <w:spacing w:line="240" w:lineRule="atLeast"/>
              <w:jc w:val="center"/>
              <w:rPr>
                <w:rFonts w:ascii="仿宋" w:hAnsi="仿宋" w:eastAsia="仿宋"/>
                <w:color w:val="000000"/>
                <w:sz w:val="21"/>
                <w:szCs w:val="21"/>
              </w:rPr>
            </w:pPr>
          </w:p>
        </w:tc>
        <w:tc>
          <w:tcPr>
            <w:tcW w:w="1460" w:type="dxa"/>
            <w:noWrap w:val="0"/>
            <w:vAlign w:val="center"/>
          </w:tcPr>
          <w:p>
            <w:pPr>
              <w:spacing w:line="240" w:lineRule="atLeast"/>
              <w:jc w:val="center"/>
              <w:rPr>
                <w:rFonts w:ascii="仿宋" w:hAnsi="仿宋" w:eastAsia="仿宋"/>
                <w:color w:val="000000"/>
                <w:sz w:val="21"/>
                <w:szCs w:val="21"/>
              </w:rPr>
            </w:pPr>
          </w:p>
        </w:tc>
        <w:tc>
          <w:tcPr>
            <w:tcW w:w="2348" w:type="dxa"/>
            <w:noWrap w:val="0"/>
            <w:vAlign w:val="center"/>
          </w:tcPr>
          <w:p>
            <w:pPr>
              <w:spacing w:line="240" w:lineRule="atLeast"/>
              <w:jc w:val="center"/>
              <w:rPr>
                <w:rFonts w:ascii="仿宋" w:hAnsi="仿宋" w:eastAsia="仿宋"/>
                <w:color w:val="000000"/>
                <w:sz w:val="21"/>
                <w:szCs w:val="21"/>
              </w:rPr>
            </w:pPr>
          </w:p>
        </w:tc>
        <w:tc>
          <w:tcPr>
            <w:tcW w:w="1262" w:type="dxa"/>
            <w:noWrap w:val="0"/>
            <w:vAlign w:val="center"/>
          </w:tcPr>
          <w:p>
            <w:pPr>
              <w:spacing w:line="240" w:lineRule="atLeast"/>
              <w:jc w:val="center"/>
              <w:rPr>
                <w:rFonts w:ascii="仿宋" w:hAnsi="仿宋" w:eastAsia="仿宋"/>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4" w:type="dxa"/>
            <w:noWrap w:val="0"/>
            <w:vAlign w:val="center"/>
          </w:tcPr>
          <w:p>
            <w:pPr>
              <w:spacing w:line="240" w:lineRule="atLeast"/>
              <w:jc w:val="center"/>
              <w:rPr>
                <w:rFonts w:ascii="仿宋" w:hAnsi="仿宋" w:eastAsia="仿宋"/>
                <w:color w:val="000000"/>
                <w:sz w:val="21"/>
                <w:szCs w:val="21"/>
              </w:rPr>
            </w:pPr>
          </w:p>
        </w:tc>
        <w:tc>
          <w:tcPr>
            <w:tcW w:w="1926" w:type="dxa"/>
            <w:noWrap w:val="0"/>
            <w:vAlign w:val="center"/>
          </w:tcPr>
          <w:p>
            <w:pPr>
              <w:spacing w:line="240" w:lineRule="atLeast"/>
              <w:jc w:val="center"/>
              <w:rPr>
                <w:rFonts w:ascii="仿宋" w:hAnsi="仿宋" w:eastAsia="仿宋"/>
                <w:color w:val="000000"/>
                <w:sz w:val="21"/>
                <w:szCs w:val="21"/>
              </w:rPr>
            </w:pPr>
          </w:p>
        </w:tc>
        <w:tc>
          <w:tcPr>
            <w:tcW w:w="978" w:type="dxa"/>
            <w:noWrap w:val="0"/>
            <w:vAlign w:val="center"/>
          </w:tcPr>
          <w:p>
            <w:pPr>
              <w:spacing w:line="240" w:lineRule="atLeast"/>
              <w:jc w:val="center"/>
              <w:rPr>
                <w:rFonts w:ascii="仿宋" w:hAnsi="仿宋" w:eastAsia="仿宋"/>
                <w:color w:val="000000"/>
                <w:sz w:val="21"/>
                <w:szCs w:val="21"/>
              </w:rPr>
            </w:pPr>
          </w:p>
        </w:tc>
        <w:tc>
          <w:tcPr>
            <w:tcW w:w="1460" w:type="dxa"/>
            <w:noWrap w:val="0"/>
            <w:vAlign w:val="center"/>
          </w:tcPr>
          <w:p>
            <w:pPr>
              <w:spacing w:line="240" w:lineRule="atLeast"/>
              <w:jc w:val="center"/>
              <w:rPr>
                <w:rFonts w:ascii="仿宋" w:hAnsi="仿宋" w:eastAsia="仿宋"/>
                <w:color w:val="000000"/>
                <w:sz w:val="21"/>
                <w:szCs w:val="21"/>
              </w:rPr>
            </w:pPr>
          </w:p>
        </w:tc>
        <w:tc>
          <w:tcPr>
            <w:tcW w:w="2348" w:type="dxa"/>
            <w:noWrap w:val="0"/>
            <w:vAlign w:val="center"/>
          </w:tcPr>
          <w:p>
            <w:pPr>
              <w:spacing w:line="240" w:lineRule="atLeast"/>
              <w:jc w:val="center"/>
              <w:rPr>
                <w:rFonts w:ascii="仿宋" w:hAnsi="仿宋" w:eastAsia="仿宋"/>
                <w:color w:val="000000"/>
                <w:sz w:val="21"/>
                <w:szCs w:val="21"/>
              </w:rPr>
            </w:pPr>
          </w:p>
        </w:tc>
        <w:tc>
          <w:tcPr>
            <w:tcW w:w="1262" w:type="dxa"/>
            <w:noWrap w:val="0"/>
            <w:vAlign w:val="center"/>
          </w:tcPr>
          <w:p>
            <w:pPr>
              <w:spacing w:line="240" w:lineRule="atLeast"/>
              <w:jc w:val="center"/>
              <w:rPr>
                <w:rFonts w:ascii="仿宋" w:hAnsi="仿宋" w:eastAsia="仿宋"/>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4" w:type="dxa"/>
            <w:noWrap w:val="0"/>
            <w:vAlign w:val="center"/>
          </w:tcPr>
          <w:p>
            <w:pPr>
              <w:spacing w:line="240" w:lineRule="atLeast"/>
              <w:jc w:val="center"/>
              <w:rPr>
                <w:rFonts w:ascii="仿宋" w:hAnsi="仿宋" w:eastAsia="仿宋"/>
                <w:color w:val="000000"/>
                <w:sz w:val="21"/>
                <w:szCs w:val="21"/>
              </w:rPr>
            </w:pPr>
            <w:r>
              <w:rPr>
                <w:rFonts w:hint="eastAsia" w:ascii="仿宋" w:hAnsi="仿宋" w:eastAsia="仿宋"/>
                <w:color w:val="000000"/>
                <w:sz w:val="21"/>
                <w:szCs w:val="21"/>
              </w:rPr>
              <w:t>合计</w:t>
            </w:r>
          </w:p>
        </w:tc>
        <w:tc>
          <w:tcPr>
            <w:tcW w:w="1926" w:type="dxa"/>
            <w:noWrap w:val="0"/>
            <w:vAlign w:val="center"/>
          </w:tcPr>
          <w:p>
            <w:pPr>
              <w:spacing w:line="240" w:lineRule="atLeast"/>
              <w:jc w:val="center"/>
              <w:rPr>
                <w:rFonts w:ascii="仿宋" w:hAnsi="仿宋" w:eastAsia="仿宋"/>
                <w:color w:val="000000"/>
                <w:sz w:val="21"/>
                <w:szCs w:val="21"/>
              </w:rPr>
            </w:pPr>
          </w:p>
        </w:tc>
        <w:tc>
          <w:tcPr>
            <w:tcW w:w="978" w:type="dxa"/>
            <w:noWrap w:val="0"/>
            <w:vAlign w:val="center"/>
          </w:tcPr>
          <w:p>
            <w:pPr>
              <w:spacing w:line="240" w:lineRule="atLeast"/>
              <w:jc w:val="center"/>
              <w:rPr>
                <w:rFonts w:ascii="仿宋" w:hAnsi="仿宋" w:eastAsia="仿宋"/>
                <w:color w:val="000000"/>
                <w:sz w:val="21"/>
                <w:szCs w:val="21"/>
              </w:rPr>
            </w:pPr>
          </w:p>
        </w:tc>
        <w:tc>
          <w:tcPr>
            <w:tcW w:w="1460" w:type="dxa"/>
            <w:noWrap w:val="0"/>
            <w:vAlign w:val="center"/>
          </w:tcPr>
          <w:p>
            <w:pPr>
              <w:spacing w:line="240" w:lineRule="atLeast"/>
              <w:jc w:val="center"/>
              <w:rPr>
                <w:rFonts w:ascii="仿宋" w:hAnsi="仿宋" w:eastAsia="仿宋"/>
                <w:color w:val="000000"/>
                <w:sz w:val="21"/>
                <w:szCs w:val="21"/>
              </w:rPr>
            </w:pPr>
          </w:p>
        </w:tc>
        <w:tc>
          <w:tcPr>
            <w:tcW w:w="2348" w:type="dxa"/>
            <w:noWrap w:val="0"/>
            <w:vAlign w:val="center"/>
          </w:tcPr>
          <w:p>
            <w:pPr>
              <w:spacing w:line="240" w:lineRule="atLeast"/>
              <w:jc w:val="center"/>
              <w:rPr>
                <w:rFonts w:ascii="仿宋" w:hAnsi="仿宋" w:eastAsia="仿宋"/>
                <w:color w:val="000000"/>
                <w:sz w:val="21"/>
                <w:szCs w:val="21"/>
              </w:rPr>
            </w:pPr>
          </w:p>
        </w:tc>
        <w:tc>
          <w:tcPr>
            <w:tcW w:w="1262" w:type="dxa"/>
            <w:noWrap w:val="0"/>
            <w:vAlign w:val="center"/>
          </w:tcPr>
          <w:p>
            <w:pPr>
              <w:spacing w:line="240" w:lineRule="atLeast"/>
              <w:jc w:val="center"/>
              <w:rPr>
                <w:rFonts w:ascii="仿宋" w:hAnsi="仿宋" w:eastAsia="仿宋"/>
                <w:color w:val="000000"/>
                <w:sz w:val="21"/>
                <w:szCs w:val="21"/>
              </w:rPr>
            </w:pPr>
          </w:p>
        </w:tc>
      </w:tr>
    </w:tbl>
    <w:p>
      <w:pPr>
        <w:spacing w:line="560" w:lineRule="exact"/>
        <w:rPr>
          <w:rFonts w:ascii="方正小标宋_GBK" w:hAnsi="方正小标宋_GBK" w:eastAsia="方正小标宋_GBK"/>
          <w:color w:val="000000"/>
          <w:sz w:val="44"/>
          <w:szCs w:val="44"/>
        </w:rPr>
      </w:pPr>
    </w:p>
    <w:p>
      <w:pPr>
        <w:spacing w:line="560" w:lineRule="exact"/>
        <w:jc w:val="center"/>
        <w:rPr>
          <w:rFonts w:ascii="方正小标宋_GBK" w:hAnsi="方正小标宋_GBK" w:eastAsia="方正小标宋_GBK"/>
          <w:color w:val="000000"/>
          <w:sz w:val="44"/>
          <w:szCs w:val="44"/>
        </w:rPr>
      </w:pPr>
    </w:p>
    <w:p>
      <w:pPr>
        <w:spacing w:line="560" w:lineRule="exact"/>
        <w:jc w:val="center"/>
        <w:rPr>
          <w:rFonts w:ascii="方正小标宋_GBK" w:hAnsi="方正小标宋_GBK" w:eastAsia="方正小标宋_GBK"/>
          <w:color w:val="000000"/>
          <w:sz w:val="44"/>
          <w:szCs w:val="44"/>
        </w:rPr>
      </w:pPr>
    </w:p>
    <w:p>
      <w:pPr>
        <w:spacing w:line="560" w:lineRule="exact"/>
        <w:jc w:val="center"/>
        <w:rPr>
          <w:rFonts w:ascii="方正小标宋_GBK" w:hAnsi="方正小标宋_GBK" w:eastAsia="方正小标宋_GBK"/>
          <w:color w:val="000000"/>
          <w:sz w:val="44"/>
          <w:szCs w:val="44"/>
        </w:rPr>
      </w:pPr>
    </w:p>
    <w:p>
      <w:pPr>
        <w:spacing w:line="560" w:lineRule="exact"/>
        <w:jc w:val="center"/>
        <w:rPr>
          <w:rFonts w:ascii="方正小标宋_GBK" w:hAnsi="方正小标宋_GBK" w:eastAsia="方正小标宋_GBK"/>
          <w:color w:val="000000"/>
          <w:sz w:val="44"/>
          <w:szCs w:val="44"/>
        </w:rPr>
      </w:pPr>
    </w:p>
    <w:p>
      <w:pPr>
        <w:spacing w:line="560" w:lineRule="exact"/>
        <w:rPr>
          <w:rFonts w:ascii="方正小标宋_GBK" w:hAnsi="方正小标宋_GBK" w:eastAsia="方正小标宋_GBK"/>
          <w:color w:val="000000"/>
          <w:sz w:val="44"/>
          <w:szCs w:val="44"/>
        </w:rPr>
      </w:pPr>
    </w:p>
    <w:p>
      <w:pPr>
        <w:pStyle w:val="2"/>
        <w:rPr>
          <w:rFonts w:ascii="方正小标宋_GBK" w:hAnsi="方正小标宋_GBK" w:eastAsia="方正小标宋_GBK"/>
          <w:color w:val="000000"/>
          <w:sz w:val="44"/>
          <w:szCs w:val="44"/>
        </w:rPr>
      </w:pPr>
    </w:p>
    <w:p>
      <w:pPr>
        <w:rPr>
          <w:rFonts w:ascii="方正小标宋_GBK" w:hAnsi="方正小标宋_GBK" w:eastAsia="方正小标宋_GBK"/>
          <w:color w:val="000000"/>
          <w:sz w:val="44"/>
          <w:szCs w:val="44"/>
        </w:rPr>
      </w:pPr>
    </w:p>
    <w:p>
      <w:pPr>
        <w:pStyle w:val="2"/>
        <w:rPr>
          <w:rFonts w:ascii="方正小标宋_GBK" w:hAnsi="方正小标宋_GBK" w:eastAsia="方正小标宋_GBK"/>
          <w:color w:val="000000"/>
          <w:sz w:val="44"/>
          <w:szCs w:val="44"/>
        </w:rPr>
      </w:pPr>
    </w:p>
    <w:p>
      <w:pPr>
        <w:rPr>
          <w:rFonts w:ascii="方正小标宋_GBK" w:hAnsi="方正小标宋_GBK" w:eastAsia="方正小标宋_GBK"/>
          <w:color w:val="000000"/>
          <w:sz w:val="44"/>
          <w:szCs w:val="44"/>
        </w:rPr>
      </w:pPr>
    </w:p>
    <w:p>
      <w:pPr>
        <w:pStyle w:val="2"/>
        <w:rPr>
          <w:rFonts w:ascii="方正小标宋_GBK" w:hAnsi="方正小标宋_GBK" w:eastAsia="方正小标宋_GBK"/>
          <w:color w:val="000000"/>
          <w:sz w:val="44"/>
          <w:szCs w:val="44"/>
        </w:rPr>
      </w:pPr>
    </w:p>
    <w:p>
      <w:pPr>
        <w:rPr>
          <w:rFonts w:hint="eastAsia" w:ascii="方正小标宋_GBK" w:hAnsi="方正小标宋_GBK" w:eastAsia="方正小标宋_GBK"/>
          <w:color w:val="000000"/>
          <w:sz w:val="44"/>
          <w:szCs w:val="44"/>
          <w:lang w:eastAsia="zh-CN"/>
        </w:rPr>
      </w:pPr>
    </w:p>
    <w:p>
      <w:pPr>
        <w:pStyle w:val="2"/>
        <w:rPr>
          <w:rFonts w:hint="eastAsia"/>
          <w:lang w:eastAsia="zh-CN"/>
        </w:rPr>
      </w:pPr>
    </w:p>
    <w:p>
      <w:pPr>
        <w:rPr>
          <w:rFonts w:hint="eastAsia"/>
          <w:lang w:eastAsia="zh-CN"/>
        </w:rPr>
      </w:pPr>
    </w:p>
    <w:p>
      <w:pPr>
        <w:pStyle w:val="2"/>
      </w:pPr>
    </w:p>
    <w:p>
      <w:pPr>
        <w:pStyle w:val="12"/>
        <w:keepNext w:val="0"/>
        <w:keepLines w:val="0"/>
        <w:pageBreakBefore w:val="0"/>
        <w:widowControl w:val="0"/>
        <w:kinsoku/>
        <w:wordWrap/>
        <w:overflowPunct/>
        <w:topLinePunct w:val="0"/>
        <w:autoSpaceDE/>
        <w:autoSpaceDN/>
        <w:bidi w:val="0"/>
        <w:adjustRightInd/>
        <w:spacing w:line="440" w:lineRule="exact"/>
        <w:ind w:left="0" w:leftChars="0" w:firstLine="0" w:firstLineChars="0"/>
        <w:jc w:val="left"/>
        <w:textAlignment w:val="auto"/>
        <w:rPr>
          <w:rFonts w:hint="eastAsia" w:hAnsi="宋体"/>
          <w:b/>
          <w:bCs/>
          <w:color w:val="000000"/>
          <w:sz w:val="24"/>
          <w:szCs w:val="24"/>
          <w:lang w:eastAsia="zh-CN"/>
        </w:rPr>
      </w:pPr>
      <w:r>
        <w:rPr>
          <w:rFonts w:hint="eastAsia" w:hAnsi="宋体"/>
          <w:b/>
          <w:bCs/>
          <w:color w:val="000000"/>
          <w:sz w:val="24"/>
          <w:szCs w:val="24"/>
          <w:lang w:eastAsia="zh-CN"/>
        </w:rPr>
        <w:t>附件2</w:t>
      </w:r>
    </w:p>
    <w:p>
      <w:pPr>
        <w:spacing w:line="560" w:lineRule="exact"/>
        <w:rPr>
          <w:rFonts w:ascii="方正小标宋_GBK" w:hAnsi="方正小标宋_GBK" w:eastAsia="方正小标宋_GBK"/>
          <w:color w:val="000000"/>
          <w:sz w:val="44"/>
          <w:szCs w:val="44"/>
        </w:rPr>
      </w:pPr>
    </w:p>
    <w:p>
      <w:pPr>
        <w:pStyle w:val="12"/>
        <w:keepNext w:val="0"/>
        <w:keepLines w:val="0"/>
        <w:pageBreakBefore w:val="0"/>
        <w:widowControl w:val="0"/>
        <w:kinsoku/>
        <w:wordWrap/>
        <w:overflowPunct/>
        <w:topLinePunct w:val="0"/>
        <w:autoSpaceDE/>
        <w:autoSpaceDN/>
        <w:bidi w:val="0"/>
        <w:adjustRightInd/>
        <w:spacing w:line="440" w:lineRule="exact"/>
        <w:ind w:left="479" w:leftChars="228" w:firstLine="0" w:firstLineChars="0"/>
        <w:jc w:val="center"/>
        <w:textAlignment w:val="auto"/>
        <w:rPr>
          <w:rFonts w:hint="eastAsia" w:hAnsi="宋体"/>
          <w:b/>
          <w:bCs/>
          <w:color w:val="000000"/>
          <w:sz w:val="32"/>
          <w:szCs w:val="32"/>
          <w:lang w:eastAsia="zh-CN"/>
        </w:rPr>
      </w:pPr>
      <w:r>
        <w:rPr>
          <w:rFonts w:hint="eastAsia" w:hAnsi="宋体"/>
          <w:b/>
          <w:bCs/>
          <w:color w:val="000000"/>
          <w:sz w:val="32"/>
          <w:szCs w:val="32"/>
          <w:lang w:eastAsia="zh-CN"/>
        </w:rPr>
        <w:t>技术参数明细</w:t>
      </w:r>
    </w:p>
    <w:p>
      <w:pPr>
        <w:spacing w:line="560" w:lineRule="exact"/>
        <w:rPr>
          <w:rFonts w:ascii="方正仿宋_GBK" w:eastAsia="方正仿宋_GBK"/>
          <w:color w:val="000000"/>
          <w:sz w:val="44"/>
          <w:szCs w:val="44"/>
        </w:rPr>
      </w:pPr>
    </w:p>
    <w:tbl>
      <w:tblPr>
        <w:tblStyle w:val="18"/>
        <w:tblW w:w="95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6"/>
        <w:gridCol w:w="1297"/>
        <w:gridCol w:w="75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6" w:type="dxa"/>
            <w:noWrap w:val="0"/>
            <w:vAlign w:val="top"/>
          </w:tcPr>
          <w:p>
            <w:pPr>
              <w:adjustRightInd w:val="0"/>
              <w:snapToGrid w:val="0"/>
              <w:jc w:val="center"/>
              <w:rPr>
                <w:rFonts w:ascii="仿宋" w:hAnsi="仿宋" w:eastAsia="仿宋" w:cs="仿宋"/>
                <w:color w:val="000000"/>
                <w:sz w:val="24"/>
                <w:szCs w:val="28"/>
              </w:rPr>
            </w:pPr>
            <w:r>
              <w:rPr>
                <w:rFonts w:hint="eastAsia" w:ascii="仿宋" w:hAnsi="仿宋" w:eastAsia="仿宋" w:cs="仿宋"/>
                <w:color w:val="000000"/>
                <w:sz w:val="24"/>
                <w:szCs w:val="28"/>
              </w:rPr>
              <w:t>序号</w:t>
            </w:r>
          </w:p>
        </w:tc>
        <w:tc>
          <w:tcPr>
            <w:tcW w:w="1297" w:type="dxa"/>
            <w:noWrap w:val="0"/>
            <w:vAlign w:val="top"/>
          </w:tcPr>
          <w:p>
            <w:pPr>
              <w:adjustRightInd w:val="0"/>
              <w:snapToGrid w:val="0"/>
              <w:jc w:val="center"/>
              <w:rPr>
                <w:rFonts w:ascii="仿宋" w:hAnsi="仿宋" w:eastAsia="仿宋" w:cs="仿宋"/>
                <w:color w:val="000000"/>
                <w:sz w:val="24"/>
                <w:szCs w:val="28"/>
              </w:rPr>
            </w:pPr>
            <w:r>
              <w:rPr>
                <w:rFonts w:hint="eastAsia" w:ascii="仿宋" w:hAnsi="仿宋" w:eastAsia="仿宋" w:cs="仿宋"/>
                <w:color w:val="000000"/>
                <w:sz w:val="24"/>
                <w:szCs w:val="28"/>
              </w:rPr>
              <w:t>商品名称</w:t>
            </w:r>
          </w:p>
        </w:tc>
        <w:tc>
          <w:tcPr>
            <w:tcW w:w="7514" w:type="dxa"/>
            <w:noWrap/>
            <w:vAlign w:val="top"/>
          </w:tcPr>
          <w:p>
            <w:pPr>
              <w:adjustRightInd w:val="0"/>
              <w:snapToGrid w:val="0"/>
              <w:jc w:val="center"/>
              <w:rPr>
                <w:rFonts w:ascii="仿宋" w:hAnsi="仿宋" w:eastAsia="仿宋" w:cs="仿宋"/>
                <w:color w:val="000000"/>
                <w:sz w:val="24"/>
                <w:szCs w:val="28"/>
              </w:rPr>
            </w:pPr>
            <w:r>
              <w:rPr>
                <w:rFonts w:hint="eastAsia" w:ascii="仿宋" w:hAnsi="仿宋" w:eastAsia="仿宋" w:cs="仿宋"/>
                <w:color w:val="000000"/>
                <w:sz w:val="24"/>
                <w:szCs w:val="28"/>
              </w:rPr>
              <w:t>投标应答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6" w:type="dxa"/>
            <w:vMerge w:val="restart"/>
            <w:noWrap w:val="0"/>
            <w:vAlign w:val="top"/>
          </w:tcPr>
          <w:p>
            <w:pPr>
              <w:adjustRightInd w:val="0"/>
              <w:snapToGrid w:val="0"/>
              <w:jc w:val="center"/>
              <w:rPr>
                <w:rFonts w:ascii="仿宋" w:hAnsi="仿宋" w:eastAsia="仿宋" w:cs="仿宋"/>
                <w:color w:val="000000"/>
                <w:sz w:val="24"/>
                <w:szCs w:val="28"/>
              </w:rPr>
            </w:pPr>
            <w:r>
              <w:rPr>
                <w:rFonts w:hint="eastAsia" w:ascii="仿宋" w:hAnsi="仿宋" w:eastAsia="仿宋" w:cs="仿宋"/>
                <w:color w:val="000000"/>
                <w:sz w:val="24"/>
                <w:szCs w:val="28"/>
              </w:rPr>
              <w:t>1</w:t>
            </w:r>
          </w:p>
        </w:tc>
        <w:tc>
          <w:tcPr>
            <w:tcW w:w="1297" w:type="dxa"/>
            <w:vMerge w:val="restart"/>
            <w:noWrap w:val="0"/>
            <w:vAlign w:val="top"/>
          </w:tcPr>
          <w:p>
            <w:pPr>
              <w:adjustRightInd w:val="0"/>
              <w:snapToGrid w:val="0"/>
              <w:jc w:val="center"/>
              <w:rPr>
                <w:rFonts w:ascii="仿宋" w:hAnsi="仿宋" w:eastAsia="仿宋" w:cs="仿宋"/>
                <w:color w:val="000000"/>
                <w:sz w:val="24"/>
                <w:szCs w:val="28"/>
              </w:rPr>
            </w:pPr>
          </w:p>
        </w:tc>
        <w:tc>
          <w:tcPr>
            <w:tcW w:w="7514" w:type="dxa"/>
            <w:noWrap w:val="0"/>
            <w:vAlign w:val="top"/>
          </w:tcPr>
          <w:p>
            <w:pPr>
              <w:adjustRightInd w:val="0"/>
              <w:snapToGrid w:val="0"/>
              <w:jc w:val="center"/>
              <w:rPr>
                <w:rFonts w:ascii="仿宋" w:hAnsi="仿宋" w:eastAsia="仿宋" w:cs="仿宋"/>
                <w:color w:val="000000"/>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6" w:type="dxa"/>
            <w:vMerge w:val="continue"/>
            <w:noWrap w:val="0"/>
            <w:vAlign w:val="top"/>
          </w:tcPr>
          <w:p>
            <w:pPr>
              <w:adjustRightInd w:val="0"/>
              <w:snapToGrid w:val="0"/>
              <w:jc w:val="center"/>
              <w:rPr>
                <w:rFonts w:ascii="仿宋" w:hAnsi="仿宋" w:eastAsia="仿宋" w:cs="仿宋"/>
                <w:color w:val="000000"/>
                <w:sz w:val="24"/>
                <w:szCs w:val="28"/>
              </w:rPr>
            </w:pPr>
          </w:p>
        </w:tc>
        <w:tc>
          <w:tcPr>
            <w:tcW w:w="1297" w:type="dxa"/>
            <w:vMerge w:val="continue"/>
            <w:noWrap w:val="0"/>
            <w:vAlign w:val="top"/>
          </w:tcPr>
          <w:p>
            <w:pPr>
              <w:adjustRightInd w:val="0"/>
              <w:snapToGrid w:val="0"/>
              <w:jc w:val="center"/>
              <w:rPr>
                <w:rFonts w:ascii="仿宋" w:hAnsi="仿宋" w:eastAsia="仿宋" w:cs="仿宋"/>
                <w:color w:val="000000"/>
                <w:sz w:val="24"/>
                <w:szCs w:val="28"/>
              </w:rPr>
            </w:pPr>
          </w:p>
        </w:tc>
        <w:tc>
          <w:tcPr>
            <w:tcW w:w="7514" w:type="dxa"/>
            <w:noWrap w:val="0"/>
            <w:vAlign w:val="top"/>
          </w:tcPr>
          <w:p>
            <w:pPr>
              <w:adjustRightInd w:val="0"/>
              <w:snapToGrid w:val="0"/>
              <w:jc w:val="center"/>
              <w:rPr>
                <w:rFonts w:ascii="仿宋" w:hAnsi="仿宋" w:eastAsia="仿宋" w:cs="仿宋"/>
                <w:color w:val="000000"/>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6" w:type="dxa"/>
            <w:vMerge w:val="continue"/>
            <w:noWrap w:val="0"/>
            <w:vAlign w:val="top"/>
          </w:tcPr>
          <w:p>
            <w:pPr>
              <w:adjustRightInd w:val="0"/>
              <w:snapToGrid w:val="0"/>
              <w:jc w:val="center"/>
              <w:rPr>
                <w:rFonts w:ascii="仿宋" w:hAnsi="仿宋" w:eastAsia="仿宋" w:cs="仿宋"/>
                <w:color w:val="000000"/>
                <w:sz w:val="24"/>
                <w:szCs w:val="28"/>
              </w:rPr>
            </w:pPr>
          </w:p>
        </w:tc>
        <w:tc>
          <w:tcPr>
            <w:tcW w:w="1297" w:type="dxa"/>
            <w:vMerge w:val="continue"/>
            <w:noWrap w:val="0"/>
            <w:vAlign w:val="top"/>
          </w:tcPr>
          <w:p>
            <w:pPr>
              <w:adjustRightInd w:val="0"/>
              <w:snapToGrid w:val="0"/>
              <w:jc w:val="center"/>
              <w:rPr>
                <w:rFonts w:ascii="仿宋" w:hAnsi="仿宋" w:eastAsia="仿宋" w:cs="仿宋"/>
                <w:color w:val="000000"/>
                <w:sz w:val="24"/>
                <w:szCs w:val="28"/>
              </w:rPr>
            </w:pPr>
          </w:p>
        </w:tc>
        <w:tc>
          <w:tcPr>
            <w:tcW w:w="7514" w:type="dxa"/>
            <w:noWrap w:val="0"/>
            <w:vAlign w:val="top"/>
          </w:tcPr>
          <w:p>
            <w:pPr>
              <w:adjustRightInd w:val="0"/>
              <w:snapToGrid w:val="0"/>
              <w:jc w:val="center"/>
              <w:rPr>
                <w:rFonts w:ascii="仿宋" w:hAnsi="仿宋" w:eastAsia="仿宋" w:cs="仿宋"/>
                <w:color w:val="000000"/>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6" w:type="dxa"/>
            <w:vMerge w:val="restart"/>
            <w:noWrap w:val="0"/>
            <w:vAlign w:val="top"/>
          </w:tcPr>
          <w:p>
            <w:pPr>
              <w:adjustRightInd w:val="0"/>
              <w:snapToGrid w:val="0"/>
              <w:jc w:val="center"/>
              <w:rPr>
                <w:rFonts w:ascii="仿宋" w:hAnsi="仿宋" w:eastAsia="仿宋" w:cs="仿宋"/>
                <w:color w:val="000000"/>
                <w:sz w:val="24"/>
                <w:szCs w:val="28"/>
              </w:rPr>
            </w:pPr>
            <w:r>
              <w:rPr>
                <w:rFonts w:hint="eastAsia" w:ascii="仿宋" w:hAnsi="仿宋" w:eastAsia="仿宋" w:cs="仿宋"/>
                <w:color w:val="000000"/>
                <w:sz w:val="24"/>
                <w:szCs w:val="28"/>
              </w:rPr>
              <w:t>2</w:t>
            </w:r>
          </w:p>
        </w:tc>
        <w:tc>
          <w:tcPr>
            <w:tcW w:w="1297" w:type="dxa"/>
            <w:vMerge w:val="restart"/>
            <w:noWrap w:val="0"/>
            <w:vAlign w:val="top"/>
          </w:tcPr>
          <w:p>
            <w:pPr>
              <w:adjustRightInd w:val="0"/>
              <w:snapToGrid w:val="0"/>
              <w:jc w:val="center"/>
              <w:rPr>
                <w:rFonts w:ascii="仿宋" w:hAnsi="仿宋" w:eastAsia="仿宋" w:cs="仿宋"/>
                <w:color w:val="000000"/>
                <w:sz w:val="24"/>
                <w:szCs w:val="28"/>
              </w:rPr>
            </w:pPr>
          </w:p>
        </w:tc>
        <w:tc>
          <w:tcPr>
            <w:tcW w:w="7514" w:type="dxa"/>
            <w:noWrap w:val="0"/>
            <w:vAlign w:val="top"/>
          </w:tcPr>
          <w:p>
            <w:pPr>
              <w:adjustRightInd w:val="0"/>
              <w:snapToGrid w:val="0"/>
              <w:jc w:val="center"/>
              <w:rPr>
                <w:rFonts w:ascii="仿宋" w:hAnsi="仿宋" w:eastAsia="仿宋" w:cs="仿宋"/>
                <w:color w:val="000000"/>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6" w:type="dxa"/>
            <w:vMerge w:val="continue"/>
            <w:noWrap w:val="0"/>
            <w:vAlign w:val="top"/>
          </w:tcPr>
          <w:p>
            <w:pPr>
              <w:adjustRightInd w:val="0"/>
              <w:snapToGrid w:val="0"/>
              <w:jc w:val="center"/>
              <w:rPr>
                <w:rFonts w:ascii="仿宋" w:hAnsi="仿宋" w:eastAsia="仿宋" w:cs="仿宋"/>
                <w:color w:val="000000"/>
                <w:sz w:val="24"/>
                <w:szCs w:val="28"/>
              </w:rPr>
            </w:pPr>
          </w:p>
        </w:tc>
        <w:tc>
          <w:tcPr>
            <w:tcW w:w="1297" w:type="dxa"/>
            <w:vMerge w:val="continue"/>
            <w:noWrap w:val="0"/>
            <w:vAlign w:val="top"/>
          </w:tcPr>
          <w:p>
            <w:pPr>
              <w:adjustRightInd w:val="0"/>
              <w:snapToGrid w:val="0"/>
              <w:jc w:val="center"/>
              <w:rPr>
                <w:rFonts w:ascii="仿宋" w:hAnsi="仿宋" w:eastAsia="仿宋" w:cs="仿宋"/>
                <w:color w:val="000000"/>
                <w:sz w:val="24"/>
                <w:szCs w:val="28"/>
              </w:rPr>
            </w:pPr>
          </w:p>
        </w:tc>
        <w:tc>
          <w:tcPr>
            <w:tcW w:w="7514" w:type="dxa"/>
            <w:noWrap w:val="0"/>
            <w:vAlign w:val="top"/>
          </w:tcPr>
          <w:p>
            <w:pPr>
              <w:adjustRightInd w:val="0"/>
              <w:snapToGrid w:val="0"/>
              <w:jc w:val="center"/>
              <w:rPr>
                <w:rFonts w:ascii="仿宋" w:hAnsi="仿宋" w:eastAsia="仿宋" w:cs="仿宋"/>
                <w:color w:val="000000"/>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6" w:type="dxa"/>
            <w:vMerge w:val="continue"/>
            <w:noWrap w:val="0"/>
            <w:vAlign w:val="top"/>
          </w:tcPr>
          <w:p>
            <w:pPr>
              <w:adjustRightInd w:val="0"/>
              <w:snapToGrid w:val="0"/>
              <w:jc w:val="center"/>
              <w:rPr>
                <w:rFonts w:ascii="仿宋" w:hAnsi="仿宋" w:eastAsia="仿宋" w:cs="仿宋"/>
                <w:color w:val="000000"/>
                <w:sz w:val="24"/>
                <w:szCs w:val="28"/>
              </w:rPr>
            </w:pPr>
          </w:p>
        </w:tc>
        <w:tc>
          <w:tcPr>
            <w:tcW w:w="1297" w:type="dxa"/>
            <w:vMerge w:val="continue"/>
            <w:noWrap w:val="0"/>
            <w:vAlign w:val="top"/>
          </w:tcPr>
          <w:p>
            <w:pPr>
              <w:adjustRightInd w:val="0"/>
              <w:snapToGrid w:val="0"/>
              <w:jc w:val="center"/>
              <w:rPr>
                <w:rFonts w:ascii="仿宋" w:hAnsi="仿宋" w:eastAsia="仿宋" w:cs="仿宋"/>
                <w:color w:val="000000"/>
                <w:sz w:val="24"/>
                <w:szCs w:val="28"/>
              </w:rPr>
            </w:pPr>
          </w:p>
        </w:tc>
        <w:tc>
          <w:tcPr>
            <w:tcW w:w="7514" w:type="dxa"/>
            <w:noWrap w:val="0"/>
            <w:vAlign w:val="top"/>
          </w:tcPr>
          <w:p>
            <w:pPr>
              <w:adjustRightInd w:val="0"/>
              <w:snapToGrid w:val="0"/>
              <w:jc w:val="center"/>
              <w:rPr>
                <w:rFonts w:ascii="仿宋" w:hAnsi="仿宋" w:eastAsia="仿宋" w:cs="仿宋"/>
                <w:color w:val="000000"/>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6" w:type="dxa"/>
            <w:vMerge w:val="restart"/>
            <w:noWrap w:val="0"/>
            <w:vAlign w:val="top"/>
          </w:tcPr>
          <w:p>
            <w:pPr>
              <w:adjustRightInd w:val="0"/>
              <w:snapToGrid w:val="0"/>
              <w:jc w:val="center"/>
              <w:rPr>
                <w:rFonts w:ascii="仿宋" w:hAnsi="仿宋" w:eastAsia="仿宋" w:cs="仿宋"/>
                <w:color w:val="000000"/>
                <w:sz w:val="24"/>
                <w:szCs w:val="28"/>
              </w:rPr>
            </w:pPr>
            <w:r>
              <w:rPr>
                <w:rFonts w:hint="eastAsia" w:ascii="仿宋" w:hAnsi="仿宋" w:eastAsia="仿宋" w:cs="仿宋"/>
                <w:color w:val="000000"/>
                <w:sz w:val="24"/>
                <w:szCs w:val="28"/>
              </w:rPr>
              <w:t>3</w:t>
            </w:r>
          </w:p>
        </w:tc>
        <w:tc>
          <w:tcPr>
            <w:tcW w:w="1297" w:type="dxa"/>
            <w:vMerge w:val="restart"/>
            <w:noWrap w:val="0"/>
            <w:vAlign w:val="top"/>
          </w:tcPr>
          <w:p>
            <w:pPr>
              <w:adjustRightInd w:val="0"/>
              <w:snapToGrid w:val="0"/>
              <w:jc w:val="center"/>
              <w:rPr>
                <w:rFonts w:ascii="仿宋" w:hAnsi="仿宋" w:eastAsia="仿宋" w:cs="仿宋"/>
                <w:color w:val="000000"/>
                <w:sz w:val="24"/>
                <w:szCs w:val="28"/>
              </w:rPr>
            </w:pPr>
          </w:p>
        </w:tc>
        <w:tc>
          <w:tcPr>
            <w:tcW w:w="7514" w:type="dxa"/>
            <w:noWrap w:val="0"/>
            <w:vAlign w:val="top"/>
          </w:tcPr>
          <w:p>
            <w:pPr>
              <w:adjustRightInd w:val="0"/>
              <w:snapToGrid w:val="0"/>
              <w:jc w:val="center"/>
              <w:rPr>
                <w:rFonts w:ascii="仿宋" w:hAnsi="仿宋" w:eastAsia="仿宋" w:cs="仿宋"/>
                <w:color w:val="000000"/>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6" w:type="dxa"/>
            <w:vMerge w:val="continue"/>
            <w:noWrap w:val="0"/>
            <w:vAlign w:val="top"/>
          </w:tcPr>
          <w:p>
            <w:pPr>
              <w:adjustRightInd w:val="0"/>
              <w:snapToGrid w:val="0"/>
              <w:jc w:val="center"/>
              <w:rPr>
                <w:rFonts w:ascii="仿宋" w:hAnsi="仿宋" w:eastAsia="仿宋" w:cs="仿宋"/>
                <w:color w:val="000000"/>
                <w:sz w:val="24"/>
                <w:szCs w:val="28"/>
              </w:rPr>
            </w:pPr>
          </w:p>
        </w:tc>
        <w:tc>
          <w:tcPr>
            <w:tcW w:w="1297" w:type="dxa"/>
            <w:vMerge w:val="continue"/>
            <w:noWrap w:val="0"/>
            <w:vAlign w:val="top"/>
          </w:tcPr>
          <w:p>
            <w:pPr>
              <w:adjustRightInd w:val="0"/>
              <w:snapToGrid w:val="0"/>
              <w:jc w:val="center"/>
              <w:rPr>
                <w:rFonts w:ascii="仿宋" w:hAnsi="仿宋" w:eastAsia="仿宋" w:cs="仿宋"/>
                <w:color w:val="000000"/>
                <w:sz w:val="24"/>
                <w:szCs w:val="28"/>
              </w:rPr>
            </w:pPr>
          </w:p>
        </w:tc>
        <w:tc>
          <w:tcPr>
            <w:tcW w:w="7514" w:type="dxa"/>
            <w:noWrap w:val="0"/>
            <w:vAlign w:val="top"/>
          </w:tcPr>
          <w:p>
            <w:pPr>
              <w:adjustRightInd w:val="0"/>
              <w:snapToGrid w:val="0"/>
              <w:jc w:val="center"/>
              <w:rPr>
                <w:rFonts w:ascii="仿宋" w:hAnsi="仿宋" w:eastAsia="仿宋" w:cs="仿宋"/>
                <w:color w:val="000000"/>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6" w:type="dxa"/>
            <w:vMerge w:val="continue"/>
            <w:noWrap w:val="0"/>
            <w:vAlign w:val="top"/>
          </w:tcPr>
          <w:p>
            <w:pPr>
              <w:adjustRightInd w:val="0"/>
              <w:snapToGrid w:val="0"/>
              <w:jc w:val="center"/>
              <w:rPr>
                <w:rFonts w:ascii="仿宋" w:hAnsi="仿宋" w:eastAsia="仿宋" w:cs="仿宋"/>
                <w:color w:val="000000"/>
                <w:sz w:val="24"/>
                <w:szCs w:val="28"/>
              </w:rPr>
            </w:pPr>
          </w:p>
        </w:tc>
        <w:tc>
          <w:tcPr>
            <w:tcW w:w="1297" w:type="dxa"/>
            <w:vMerge w:val="continue"/>
            <w:noWrap w:val="0"/>
            <w:vAlign w:val="top"/>
          </w:tcPr>
          <w:p>
            <w:pPr>
              <w:adjustRightInd w:val="0"/>
              <w:snapToGrid w:val="0"/>
              <w:jc w:val="center"/>
              <w:rPr>
                <w:rFonts w:ascii="仿宋" w:hAnsi="仿宋" w:eastAsia="仿宋" w:cs="仿宋"/>
                <w:color w:val="000000"/>
                <w:sz w:val="24"/>
                <w:szCs w:val="28"/>
              </w:rPr>
            </w:pPr>
          </w:p>
        </w:tc>
        <w:tc>
          <w:tcPr>
            <w:tcW w:w="7514" w:type="dxa"/>
            <w:noWrap w:val="0"/>
            <w:vAlign w:val="top"/>
          </w:tcPr>
          <w:p>
            <w:pPr>
              <w:adjustRightInd w:val="0"/>
              <w:snapToGrid w:val="0"/>
              <w:jc w:val="center"/>
              <w:rPr>
                <w:rFonts w:ascii="仿宋" w:hAnsi="仿宋" w:eastAsia="仿宋" w:cs="仿宋"/>
                <w:color w:val="000000"/>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6" w:type="dxa"/>
            <w:noWrap w:val="0"/>
            <w:vAlign w:val="top"/>
          </w:tcPr>
          <w:p>
            <w:pPr>
              <w:adjustRightInd w:val="0"/>
              <w:snapToGrid w:val="0"/>
              <w:jc w:val="center"/>
              <w:rPr>
                <w:rFonts w:ascii="仿宋" w:hAnsi="仿宋" w:eastAsia="仿宋" w:cs="仿宋"/>
                <w:color w:val="000000"/>
                <w:sz w:val="24"/>
                <w:szCs w:val="28"/>
              </w:rPr>
            </w:pPr>
          </w:p>
          <w:p>
            <w:pPr>
              <w:adjustRightInd w:val="0"/>
              <w:snapToGrid w:val="0"/>
              <w:jc w:val="center"/>
              <w:rPr>
                <w:rFonts w:ascii="仿宋" w:hAnsi="仿宋" w:eastAsia="仿宋" w:cs="仿宋"/>
                <w:color w:val="000000"/>
                <w:sz w:val="24"/>
                <w:szCs w:val="28"/>
              </w:rPr>
            </w:pPr>
            <w:r>
              <w:rPr>
                <w:rFonts w:hint="eastAsia" w:ascii="仿宋" w:hAnsi="仿宋" w:eastAsia="仿宋" w:cs="仿宋"/>
                <w:color w:val="000000"/>
                <w:sz w:val="24"/>
                <w:szCs w:val="28"/>
              </w:rPr>
              <w:t>……</w:t>
            </w:r>
          </w:p>
          <w:p>
            <w:pPr>
              <w:adjustRightInd w:val="0"/>
              <w:snapToGrid w:val="0"/>
              <w:jc w:val="center"/>
              <w:rPr>
                <w:rFonts w:ascii="仿宋" w:hAnsi="仿宋" w:eastAsia="仿宋" w:cs="仿宋"/>
                <w:color w:val="000000"/>
                <w:sz w:val="24"/>
                <w:szCs w:val="28"/>
              </w:rPr>
            </w:pPr>
          </w:p>
        </w:tc>
        <w:tc>
          <w:tcPr>
            <w:tcW w:w="1297" w:type="dxa"/>
            <w:noWrap w:val="0"/>
            <w:vAlign w:val="top"/>
          </w:tcPr>
          <w:p>
            <w:pPr>
              <w:adjustRightInd w:val="0"/>
              <w:snapToGrid w:val="0"/>
              <w:jc w:val="center"/>
              <w:rPr>
                <w:rFonts w:ascii="仿宋" w:hAnsi="仿宋" w:eastAsia="仿宋" w:cs="仿宋"/>
                <w:color w:val="000000"/>
                <w:sz w:val="24"/>
                <w:szCs w:val="28"/>
              </w:rPr>
            </w:pPr>
          </w:p>
        </w:tc>
        <w:tc>
          <w:tcPr>
            <w:tcW w:w="7514" w:type="dxa"/>
            <w:noWrap w:val="0"/>
            <w:vAlign w:val="top"/>
          </w:tcPr>
          <w:p>
            <w:pPr>
              <w:adjustRightInd w:val="0"/>
              <w:snapToGrid w:val="0"/>
              <w:jc w:val="center"/>
              <w:rPr>
                <w:rFonts w:ascii="仿宋" w:hAnsi="仿宋" w:eastAsia="仿宋" w:cs="仿宋"/>
                <w:color w:val="000000"/>
                <w:sz w:val="24"/>
                <w:szCs w:val="28"/>
              </w:rPr>
            </w:pPr>
          </w:p>
        </w:tc>
      </w:tr>
    </w:tbl>
    <w:p>
      <w:pPr>
        <w:rPr>
          <w:rFonts w:hint="eastAsia"/>
        </w:rPr>
      </w:pPr>
    </w:p>
    <w:p>
      <w:pPr>
        <w:pStyle w:val="17"/>
        <w:ind w:left="0" w:leftChars="0" w:firstLine="0" w:firstLineChars="0"/>
        <w:rPr>
          <w:rFonts w:hint="default"/>
          <w:lang w:val="en-US" w:eastAsia="zh-CN"/>
        </w:rPr>
      </w:pPr>
    </w:p>
    <w:p>
      <w:pPr>
        <w:pStyle w:val="17"/>
        <w:rPr>
          <w:rFonts w:hint="eastAsia"/>
          <w:lang w:eastAsia="zh-CN"/>
        </w:rPr>
      </w:pPr>
    </w:p>
    <w:p>
      <w:pPr>
        <w:keepNext w:val="0"/>
        <w:keepLines w:val="0"/>
        <w:pageBreakBefore w:val="0"/>
        <w:widowControl w:val="0"/>
        <w:kinsoku/>
        <w:wordWrap/>
        <w:overflowPunct/>
        <w:topLinePunct w:val="0"/>
        <w:autoSpaceDE/>
        <w:autoSpaceDN/>
        <w:bidi w:val="0"/>
        <w:adjustRightInd/>
        <w:snapToGrid/>
        <w:textAlignment w:val="auto"/>
        <w:rPr>
          <w:rFonts w:hint="default" w:ascii="宋体" w:hAnsi="宋体" w:eastAsiaTheme="minorEastAsia"/>
          <w:color w:val="auto"/>
          <w:sz w:val="24"/>
          <w:szCs w:val="24"/>
          <w:lang w:val="en-US" w:eastAsia="zh-CN"/>
        </w:rPr>
      </w:pPr>
    </w:p>
    <w:sectPr>
      <w:pgSz w:w="11906" w:h="16838"/>
      <w:pgMar w:top="1134" w:right="1247" w:bottom="1134" w:left="124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63A2C02-0823-428E-93FC-0B9FA9E1EC7D}"/>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6ACAAC03-5B0C-499B-A87D-2AAF37EF4697}"/>
  </w:font>
  <w:font w:name="Cambria">
    <w:panose1 w:val="02040503050406030204"/>
    <w:charset w:val="00"/>
    <w:family w:val="roman"/>
    <w:pitch w:val="default"/>
    <w:sig w:usb0="E00002FF" w:usb1="400004FF" w:usb2="00000000" w:usb3="00000000" w:csb0="2000019F" w:csb1="00000000"/>
  </w:font>
  <w:font w:name="方正小标宋_GBK">
    <w:panose1 w:val="02000000000000000000"/>
    <w:charset w:val="86"/>
    <w:family w:val="script"/>
    <w:pitch w:val="default"/>
    <w:sig w:usb0="A00002BF" w:usb1="38CF7CFA" w:usb2="00082016" w:usb3="00000000" w:csb0="00040001" w:csb1="00000000"/>
    <w:embedRegular r:id="rId3" w:fontKey="{7E9DA95B-0EA4-499C-87E8-53F48008B6C1}"/>
  </w:font>
  <w:font w:name="仿宋">
    <w:panose1 w:val="02010609060101010101"/>
    <w:charset w:val="86"/>
    <w:family w:val="auto"/>
    <w:pitch w:val="default"/>
    <w:sig w:usb0="800002BF" w:usb1="38CF7CFA" w:usb2="00000016" w:usb3="00000000" w:csb0="00040001" w:csb1="00000000"/>
    <w:embedRegular r:id="rId4" w:fontKey="{1165AAB0-8186-4BDF-8864-C191267A80F5}"/>
  </w:font>
  <w:font w:name="方正仿宋_GBK">
    <w:panose1 w:val="02000000000000000000"/>
    <w:charset w:val="86"/>
    <w:family w:val="script"/>
    <w:pitch w:val="default"/>
    <w:sig w:usb0="A00002BF" w:usb1="38CF7CFA" w:usb2="00082016" w:usb3="00000000" w:csb0="00040001" w:csb1="00000000"/>
    <w:embedRegular r:id="rId5" w:fontKey="{F99D89C7-E935-43B7-B3CD-CA10D67420BA}"/>
  </w:font>
  <w:font w:name="楷体">
    <w:panose1 w:val="02010609060101010101"/>
    <w:charset w:val="86"/>
    <w:family w:val="modern"/>
    <w:pitch w:val="default"/>
    <w:sig w:usb0="800002BF" w:usb1="38CF7CFA" w:usb2="00000016" w:usb3="00000000" w:csb0="00040001" w:csb1="00000000"/>
    <w:embedRegular r:id="rId6" w:fontKey="{BFB8F897-F9C3-4929-A71A-54B3C639E78E}"/>
  </w:font>
  <w:font w:name="Wingdings 2">
    <w:panose1 w:val="05020102010507070707"/>
    <w:charset w:val="02"/>
    <w:family w:val="roman"/>
    <w:pitch w:val="default"/>
    <w:sig w:usb0="00000000" w:usb1="00000000" w:usb2="00000000" w:usb3="00000000" w:csb0="80000000" w:csb1="00000000"/>
    <w:embedRegular r:id="rId7" w:fontKey="{F09FD8BB-8DA4-4AD1-8CCA-7B5135151DC3}"/>
  </w:font>
  <w:font w:name="方正小标宋简体">
    <w:panose1 w:val="02000000000000000000"/>
    <w:charset w:val="86"/>
    <w:family w:val="auto"/>
    <w:pitch w:val="default"/>
    <w:sig w:usb0="00000001" w:usb1="08000000" w:usb2="00000000" w:usb3="00000000" w:csb0="00040000" w:csb1="00000000"/>
    <w:embedRegular r:id="rId8" w:fontKey="{42ED9311-A00A-4C6B-A02B-8E754F3BFEF2}"/>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fldChar w:fldCharType="begin"/>
    </w:r>
    <w:r>
      <w:instrText xml:space="preserve"> PAGE   \* MERGEFORMAT </w:instrText>
    </w:r>
    <w:r>
      <w:fldChar w:fldCharType="separate"/>
    </w:r>
    <w:r>
      <w:rPr>
        <w:lang w:val="zh-CN"/>
      </w:rPr>
      <w:t>-</w:t>
    </w:r>
    <w:r>
      <w:t xml:space="preserve"> 27 -</w:t>
    </w:r>
    <w: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B6F516"/>
    <w:multiLevelType w:val="singleLevel"/>
    <w:tmpl w:val="8CB6F516"/>
    <w:lvl w:ilvl="0" w:tentative="0">
      <w:start w:val="1"/>
      <w:numFmt w:val="decimal"/>
      <w:lvlText w:val="%1)"/>
      <w:lvlJc w:val="left"/>
      <w:pPr>
        <w:ind w:left="425" w:hanging="425"/>
      </w:pPr>
      <w:rPr>
        <w:rFonts w:hint="default"/>
      </w:rPr>
    </w:lvl>
  </w:abstractNum>
  <w:abstractNum w:abstractNumId="1">
    <w:nsid w:val="92DA8695"/>
    <w:multiLevelType w:val="singleLevel"/>
    <w:tmpl w:val="92DA8695"/>
    <w:lvl w:ilvl="0" w:tentative="0">
      <w:start w:val="3"/>
      <w:numFmt w:val="chineseCounting"/>
      <w:suff w:val="nothing"/>
      <w:lvlText w:val="（%1）"/>
      <w:lvlJc w:val="left"/>
      <w:rPr>
        <w:rFonts w:hint="eastAsia"/>
      </w:rPr>
    </w:lvl>
  </w:abstractNum>
  <w:abstractNum w:abstractNumId="2">
    <w:nsid w:val="A922583F"/>
    <w:multiLevelType w:val="singleLevel"/>
    <w:tmpl w:val="A922583F"/>
    <w:lvl w:ilvl="0" w:tentative="0">
      <w:start w:val="1"/>
      <w:numFmt w:val="decimal"/>
      <w:lvlText w:val="%1)"/>
      <w:lvlJc w:val="left"/>
      <w:pPr>
        <w:ind w:left="425" w:hanging="425"/>
      </w:pPr>
      <w:rPr>
        <w:rFonts w:hint="default"/>
      </w:rPr>
    </w:lvl>
  </w:abstractNum>
  <w:abstractNum w:abstractNumId="3">
    <w:nsid w:val="DD202D09"/>
    <w:multiLevelType w:val="singleLevel"/>
    <w:tmpl w:val="DD202D09"/>
    <w:lvl w:ilvl="0" w:tentative="0">
      <w:start w:val="1"/>
      <w:numFmt w:val="decimal"/>
      <w:lvlText w:val="%1)"/>
      <w:lvlJc w:val="left"/>
      <w:pPr>
        <w:ind w:left="425" w:hanging="425"/>
      </w:pPr>
      <w:rPr>
        <w:rFonts w:hint="default"/>
      </w:rPr>
    </w:lvl>
  </w:abstractNum>
  <w:abstractNum w:abstractNumId="4">
    <w:nsid w:val="FC4DEEDA"/>
    <w:multiLevelType w:val="singleLevel"/>
    <w:tmpl w:val="FC4DEEDA"/>
    <w:lvl w:ilvl="0" w:tentative="0">
      <w:start w:val="2"/>
      <w:numFmt w:val="chineseCounting"/>
      <w:suff w:val="nothing"/>
      <w:lvlText w:val="%1、"/>
      <w:lvlJc w:val="left"/>
      <w:rPr>
        <w:rFonts w:hint="eastAsia"/>
      </w:rPr>
    </w:lvl>
  </w:abstractNum>
  <w:abstractNum w:abstractNumId="5">
    <w:nsid w:val="08FE5B5B"/>
    <w:multiLevelType w:val="singleLevel"/>
    <w:tmpl w:val="08FE5B5B"/>
    <w:lvl w:ilvl="0" w:tentative="0">
      <w:start w:val="1"/>
      <w:numFmt w:val="decimal"/>
      <w:lvlText w:val="%1)"/>
      <w:lvlJc w:val="left"/>
      <w:pPr>
        <w:ind w:left="425" w:hanging="425"/>
      </w:pPr>
      <w:rPr>
        <w:rFonts w:hint="default"/>
      </w:rPr>
    </w:lvl>
  </w:abstractNum>
  <w:abstractNum w:abstractNumId="6">
    <w:nsid w:val="1ED09FE8"/>
    <w:multiLevelType w:val="singleLevel"/>
    <w:tmpl w:val="1ED09FE8"/>
    <w:lvl w:ilvl="0" w:tentative="0">
      <w:start w:val="2"/>
      <w:numFmt w:val="chineseCounting"/>
      <w:suff w:val="nothing"/>
      <w:lvlText w:val="（%1）"/>
      <w:lvlJc w:val="left"/>
      <w:rPr>
        <w:rFonts w:hint="eastAsia"/>
      </w:rPr>
    </w:lvl>
  </w:abstractNum>
  <w:abstractNum w:abstractNumId="7">
    <w:nsid w:val="2A3F660A"/>
    <w:multiLevelType w:val="singleLevel"/>
    <w:tmpl w:val="2A3F660A"/>
    <w:lvl w:ilvl="0" w:tentative="0">
      <w:start w:val="1"/>
      <w:numFmt w:val="decimal"/>
      <w:lvlText w:val="%1)"/>
      <w:lvlJc w:val="left"/>
      <w:pPr>
        <w:ind w:left="425" w:hanging="425"/>
      </w:pPr>
      <w:rPr>
        <w:rFonts w:hint="default"/>
      </w:rPr>
    </w:lvl>
  </w:abstractNum>
  <w:abstractNum w:abstractNumId="8">
    <w:nsid w:val="68E1339D"/>
    <w:multiLevelType w:val="singleLevel"/>
    <w:tmpl w:val="68E1339D"/>
    <w:lvl w:ilvl="0" w:tentative="0">
      <w:start w:val="12"/>
      <w:numFmt w:val="chineseCounting"/>
      <w:suff w:val="nothing"/>
      <w:lvlText w:val="%1、"/>
      <w:lvlJc w:val="left"/>
      <w:rPr>
        <w:rFonts w:hint="eastAsia"/>
      </w:rPr>
    </w:lvl>
  </w:abstractNum>
  <w:num w:numId="1">
    <w:abstractNumId w:val="4"/>
  </w:num>
  <w:num w:numId="2">
    <w:abstractNumId w:val="3"/>
  </w:num>
  <w:num w:numId="3">
    <w:abstractNumId w:val="0"/>
  </w:num>
  <w:num w:numId="4">
    <w:abstractNumId w:val="5"/>
  </w:num>
  <w:num w:numId="5">
    <w:abstractNumId w:val="7"/>
  </w:num>
  <w:num w:numId="6">
    <w:abstractNumId w:val="2"/>
  </w:num>
  <w:num w:numId="7">
    <w:abstractNumId w:val="1"/>
  </w:num>
  <w:num w:numId="8">
    <w:abstractNumId w:val="6"/>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NiM2M0MjQ1NzkyZDQ0N2ZhZjBiMmMxMGE3M2RhYWIifQ=="/>
  </w:docVars>
  <w:rsids>
    <w:rsidRoot w:val="0026077D"/>
    <w:rsid w:val="0000049A"/>
    <w:rsid w:val="000048BC"/>
    <w:rsid w:val="00006F49"/>
    <w:rsid w:val="00010910"/>
    <w:rsid w:val="00024745"/>
    <w:rsid w:val="0003592F"/>
    <w:rsid w:val="000361BD"/>
    <w:rsid w:val="000464DD"/>
    <w:rsid w:val="000527A6"/>
    <w:rsid w:val="00057BDC"/>
    <w:rsid w:val="00063DB9"/>
    <w:rsid w:val="00086359"/>
    <w:rsid w:val="0009166B"/>
    <w:rsid w:val="000B29BD"/>
    <w:rsid w:val="000B2F0E"/>
    <w:rsid w:val="000B3FDE"/>
    <w:rsid w:val="00100318"/>
    <w:rsid w:val="0010270A"/>
    <w:rsid w:val="001057E6"/>
    <w:rsid w:val="00111529"/>
    <w:rsid w:val="00112ED4"/>
    <w:rsid w:val="00114045"/>
    <w:rsid w:val="001149BC"/>
    <w:rsid w:val="0011683D"/>
    <w:rsid w:val="00117615"/>
    <w:rsid w:val="00122C28"/>
    <w:rsid w:val="00141263"/>
    <w:rsid w:val="00147207"/>
    <w:rsid w:val="00152859"/>
    <w:rsid w:val="001549F4"/>
    <w:rsid w:val="00171480"/>
    <w:rsid w:val="00177C67"/>
    <w:rsid w:val="001977BB"/>
    <w:rsid w:val="001A23F7"/>
    <w:rsid w:val="001B066D"/>
    <w:rsid w:val="001B4C20"/>
    <w:rsid w:val="001C19D7"/>
    <w:rsid w:val="001C1D25"/>
    <w:rsid w:val="001C6F40"/>
    <w:rsid w:val="001E79E6"/>
    <w:rsid w:val="001F0BC0"/>
    <w:rsid w:val="002025F5"/>
    <w:rsid w:val="0020548F"/>
    <w:rsid w:val="00215B5F"/>
    <w:rsid w:val="0021706D"/>
    <w:rsid w:val="00226988"/>
    <w:rsid w:val="00230B59"/>
    <w:rsid w:val="00235C8D"/>
    <w:rsid w:val="002431A2"/>
    <w:rsid w:val="00244364"/>
    <w:rsid w:val="00247369"/>
    <w:rsid w:val="0026077D"/>
    <w:rsid w:val="00270427"/>
    <w:rsid w:val="00287014"/>
    <w:rsid w:val="00287C73"/>
    <w:rsid w:val="00290DB6"/>
    <w:rsid w:val="002B6C40"/>
    <w:rsid w:val="002B7290"/>
    <w:rsid w:val="002B7527"/>
    <w:rsid w:val="002C19A3"/>
    <w:rsid w:val="002D141D"/>
    <w:rsid w:val="002F0D57"/>
    <w:rsid w:val="002F2493"/>
    <w:rsid w:val="002F7EB8"/>
    <w:rsid w:val="0030431A"/>
    <w:rsid w:val="00315331"/>
    <w:rsid w:val="00317E2F"/>
    <w:rsid w:val="0032580A"/>
    <w:rsid w:val="0032735C"/>
    <w:rsid w:val="00333324"/>
    <w:rsid w:val="00351550"/>
    <w:rsid w:val="00351BC7"/>
    <w:rsid w:val="00363F35"/>
    <w:rsid w:val="00373770"/>
    <w:rsid w:val="00374384"/>
    <w:rsid w:val="003807D3"/>
    <w:rsid w:val="0038218E"/>
    <w:rsid w:val="0039346A"/>
    <w:rsid w:val="003A770F"/>
    <w:rsid w:val="003B263E"/>
    <w:rsid w:val="003D7C5B"/>
    <w:rsid w:val="003E1046"/>
    <w:rsid w:val="003E60EC"/>
    <w:rsid w:val="003F1C0B"/>
    <w:rsid w:val="003F42C3"/>
    <w:rsid w:val="0040655C"/>
    <w:rsid w:val="00433A3F"/>
    <w:rsid w:val="00440347"/>
    <w:rsid w:val="00441A46"/>
    <w:rsid w:val="004421D9"/>
    <w:rsid w:val="00446973"/>
    <w:rsid w:val="00455DE7"/>
    <w:rsid w:val="004567D8"/>
    <w:rsid w:val="0045769A"/>
    <w:rsid w:val="00463B7A"/>
    <w:rsid w:val="00467A7B"/>
    <w:rsid w:val="00477716"/>
    <w:rsid w:val="00483694"/>
    <w:rsid w:val="00497FAA"/>
    <w:rsid w:val="004A2CAB"/>
    <w:rsid w:val="004B0E7B"/>
    <w:rsid w:val="004D4E2B"/>
    <w:rsid w:val="004D6FAB"/>
    <w:rsid w:val="004E3381"/>
    <w:rsid w:val="00503467"/>
    <w:rsid w:val="0050433B"/>
    <w:rsid w:val="00505E5D"/>
    <w:rsid w:val="00520A7F"/>
    <w:rsid w:val="0052194C"/>
    <w:rsid w:val="0052243F"/>
    <w:rsid w:val="00523C46"/>
    <w:rsid w:val="005350D2"/>
    <w:rsid w:val="00545196"/>
    <w:rsid w:val="005467C1"/>
    <w:rsid w:val="00552325"/>
    <w:rsid w:val="00570D6E"/>
    <w:rsid w:val="005733A2"/>
    <w:rsid w:val="00574414"/>
    <w:rsid w:val="00583537"/>
    <w:rsid w:val="00584226"/>
    <w:rsid w:val="00585E27"/>
    <w:rsid w:val="00592FAA"/>
    <w:rsid w:val="00592FB2"/>
    <w:rsid w:val="0059543E"/>
    <w:rsid w:val="00596AA7"/>
    <w:rsid w:val="00597AFD"/>
    <w:rsid w:val="005A1910"/>
    <w:rsid w:val="005A468F"/>
    <w:rsid w:val="005B6E65"/>
    <w:rsid w:val="005C1F1C"/>
    <w:rsid w:val="005C3EFE"/>
    <w:rsid w:val="005C6C8C"/>
    <w:rsid w:val="005D4D84"/>
    <w:rsid w:val="005D4FA8"/>
    <w:rsid w:val="005F0D3C"/>
    <w:rsid w:val="005F169A"/>
    <w:rsid w:val="005F56F9"/>
    <w:rsid w:val="005F74D2"/>
    <w:rsid w:val="00601BD0"/>
    <w:rsid w:val="00616BA5"/>
    <w:rsid w:val="00645991"/>
    <w:rsid w:val="00646031"/>
    <w:rsid w:val="00660DAE"/>
    <w:rsid w:val="00665B3A"/>
    <w:rsid w:val="0066742D"/>
    <w:rsid w:val="00677FE7"/>
    <w:rsid w:val="0068057B"/>
    <w:rsid w:val="0068089F"/>
    <w:rsid w:val="006A657E"/>
    <w:rsid w:val="006A6EF7"/>
    <w:rsid w:val="006B3FEE"/>
    <w:rsid w:val="006D04FE"/>
    <w:rsid w:val="006D1294"/>
    <w:rsid w:val="006D49E2"/>
    <w:rsid w:val="006D6899"/>
    <w:rsid w:val="006E247E"/>
    <w:rsid w:val="00702336"/>
    <w:rsid w:val="0070695F"/>
    <w:rsid w:val="00716960"/>
    <w:rsid w:val="00724552"/>
    <w:rsid w:val="00730552"/>
    <w:rsid w:val="00731D7D"/>
    <w:rsid w:val="00732F57"/>
    <w:rsid w:val="00737048"/>
    <w:rsid w:val="00755DF0"/>
    <w:rsid w:val="00760309"/>
    <w:rsid w:val="00766C8F"/>
    <w:rsid w:val="0079259B"/>
    <w:rsid w:val="00793E14"/>
    <w:rsid w:val="007A0C1B"/>
    <w:rsid w:val="007B06AB"/>
    <w:rsid w:val="007B5ACD"/>
    <w:rsid w:val="007C6314"/>
    <w:rsid w:val="007E15A2"/>
    <w:rsid w:val="007F107D"/>
    <w:rsid w:val="007F76F0"/>
    <w:rsid w:val="008005C2"/>
    <w:rsid w:val="00802122"/>
    <w:rsid w:val="008030EB"/>
    <w:rsid w:val="00804F58"/>
    <w:rsid w:val="00811B89"/>
    <w:rsid w:val="00817E19"/>
    <w:rsid w:val="00831E4E"/>
    <w:rsid w:val="0085643A"/>
    <w:rsid w:val="008954D1"/>
    <w:rsid w:val="008A4FC1"/>
    <w:rsid w:val="008B1872"/>
    <w:rsid w:val="008B68A2"/>
    <w:rsid w:val="008B69FA"/>
    <w:rsid w:val="008C1D64"/>
    <w:rsid w:val="008D1C9C"/>
    <w:rsid w:val="008F777A"/>
    <w:rsid w:val="00900BE2"/>
    <w:rsid w:val="009400EE"/>
    <w:rsid w:val="00940630"/>
    <w:rsid w:val="00944056"/>
    <w:rsid w:val="00945A0F"/>
    <w:rsid w:val="0094693F"/>
    <w:rsid w:val="00953975"/>
    <w:rsid w:val="009641FA"/>
    <w:rsid w:val="009706F5"/>
    <w:rsid w:val="009814DA"/>
    <w:rsid w:val="00986581"/>
    <w:rsid w:val="0099646B"/>
    <w:rsid w:val="009B7849"/>
    <w:rsid w:val="009C7571"/>
    <w:rsid w:val="009D39CA"/>
    <w:rsid w:val="009F63C7"/>
    <w:rsid w:val="00A00D24"/>
    <w:rsid w:val="00A12B7A"/>
    <w:rsid w:val="00A12DD1"/>
    <w:rsid w:val="00A16A99"/>
    <w:rsid w:val="00A25C76"/>
    <w:rsid w:val="00A34A55"/>
    <w:rsid w:val="00A37321"/>
    <w:rsid w:val="00A40D20"/>
    <w:rsid w:val="00A44F1F"/>
    <w:rsid w:val="00A46D28"/>
    <w:rsid w:val="00A52A67"/>
    <w:rsid w:val="00A568CF"/>
    <w:rsid w:val="00A65CF9"/>
    <w:rsid w:val="00A665FD"/>
    <w:rsid w:val="00A72177"/>
    <w:rsid w:val="00A7282A"/>
    <w:rsid w:val="00A80ECA"/>
    <w:rsid w:val="00A946D9"/>
    <w:rsid w:val="00A96927"/>
    <w:rsid w:val="00A97EC5"/>
    <w:rsid w:val="00AC42F6"/>
    <w:rsid w:val="00AC5C9B"/>
    <w:rsid w:val="00AD7323"/>
    <w:rsid w:val="00AD7AFB"/>
    <w:rsid w:val="00AE4E5E"/>
    <w:rsid w:val="00B05370"/>
    <w:rsid w:val="00B10EB2"/>
    <w:rsid w:val="00B12563"/>
    <w:rsid w:val="00B130DA"/>
    <w:rsid w:val="00B160B9"/>
    <w:rsid w:val="00B211A9"/>
    <w:rsid w:val="00B27766"/>
    <w:rsid w:val="00B515DA"/>
    <w:rsid w:val="00B539CC"/>
    <w:rsid w:val="00B6093B"/>
    <w:rsid w:val="00B84F5E"/>
    <w:rsid w:val="00BA0CD6"/>
    <w:rsid w:val="00BA2508"/>
    <w:rsid w:val="00BB0E7B"/>
    <w:rsid w:val="00BB79AC"/>
    <w:rsid w:val="00BC0774"/>
    <w:rsid w:val="00BD000A"/>
    <w:rsid w:val="00BD1D9D"/>
    <w:rsid w:val="00BD4021"/>
    <w:rsid w:val="00BD636C"/>
    <w:rsid w:val="00BE2D28"/>
    <w:rsid w:val="00C0534E"/>
    <w:rsid w:val="00C10096"/>
    <w:rsid w:val="00C12424"/>
    <w:rsid w:val="00C16E99"/>
    <w:rsid w:val="00C2665A"/>
    <w:rsid w:val="00C372C4"/>
    <w:rsid w:val="00C42757"/>
    <w:rsid w:val="00C442B0"/>
    <w:rsid w:val="00C62A3C"/>
    <w:rsid w:val="00C6664C"/>
    <w:rsid w:val="00C71A59"/>
    <w:rsid w:val="00C809CF"/>
    <w:rsid w:val="00C80BD3"/>
    <w:rsid w:val="00C95BAD"/>
    <w:rsid w:val="00C96280"/>
    <w:rsid w:val="00C9744E"/>
    <w:rsid w:val="00CA0D27"/>
    <w:rsid w:val="00CB20E4"/>
    <w:rsid w:val="00CB70A8"/>
    <w:rsid w:val="00CC53D2"/>
    <w:rsid w:val="00CD5385"/>
    <w:rsid w:val="00CD696D"/>
    <w:rsid w:val="00CE7DB3"/>
    <w:rsid w:val="00CF6F35"/>
    <w:rsid w:val="00CF7A0E"/>
    <w:rsid w:val="00D161C6"/>
    <w:rsid w:val="00D215A3"/>
    <w:rsid w:val="00D219F7"/>
    <w:rsid w:val="00D314D2"/>
    <w:rsid w:val="00D331C0"/>
    <w:rsid w:val="00D5714B"/>
    <w:rsid w:val="00D575F3"/>
    <w:rsid w:val="00D6751E"/>
    <w:rsid w:val="00D729B3"/>
    <w:rsid w:val="00D8048B"/>
    <w:rsid w:val="00D85103"/>
    <w:rsid w:val="00D9343D"/>
    <w:rsid w:val="00DA0104"/>
    <w:rsid w:val="00DC74AE"/>
    <w:rsid w:val="00DD08A7"/>
    <w:rsid w:val="00DD1614"/>
    <w:rsid w:val="00DD33AD"/>
    <w:rsid w:val="00DF3CFA"/>
    <w:rsid w:val="00DF722A"/>
    <w:rsid w:val="00E02452"/>
    <w:rsid w:val="00E02E17"/>
    <w:rsid w:val="00E02F0C"/>
    <w:rsid w:val="00E13BA0"/>
    <w:rsid w:val="00E143B7"/>
    <w:rsid w:val="00E17F22"/>
    <w:rsid w:val="00E324DC"/>
    <w:rsid w:val="00E3496C"/>
    <w:rsid w:val="00E42BE9"/>
    <w:rsid w:val="00E46267"/>
    <w:rsid w:val="00E50A5E"/>
    <w:rsid w:val="00E54D24"/>
    <w:rsid w:val="00E736EE"/>
    <w:rsid w:val="00E763A6"/>
    <w:rsid w:val="00E80A01"/>
    <w:rsid w:val="00E8441C"/>
    <w:rsid w:val="00E84814"/>
    <w:rsid w:val="00E93D02"/>
    <w:rsid w:val="00E944AF"/>
    <w:rsid w:val="00E95658"/>
    <w:rsid w:val="00EA1038"/>
    <w:rsid w:val="00EA242E"/>
    <w:rsid w:val="00EA65CB"/>
    <w:rsid w:val="00EB6B36"/>
    <w:rsid w:val="00EC0C93"/>
    <w:rsid w:val="00EC3D1A"/>
    <w:rsid w:val="00EC4E71"/>
    <w:rsid w:val="00ED3505"/>
    <w:rsid w:val="00EE178E"/>
    <w:rsid w:val="00EE6869"/>
    <w:rsid w:val="00EF057B"/>
    <w:rsid w:val="00EF58A9"/>
    <w:rsid w:val="00F03D83"/>
    <w:rsid w:val="00F07E52"/>
    <w:rsid w:val="00F12710"/>
    <w:rsid w:val="00F16017"/>
    <w:rsid w:val="00F359DC"/>
    <w:rsid w:val="00F404A5"/>
    <w:rsid w:val="00F44641"/>
    <w:rsid w:val="00F52A8D"/>
    <w:rsid w:val="00F63E32"/>
    <w:rsid w:val="00F7009D"/>
    <w:rsid w:val="00F75AEF"/>
    <w:rsid w:val="00F76218"/>
    <w:rsid w:val="00F848DE"/>
    <w:rsid w:val="00F85543"/>
    <w:rsid w:val="00F858EE"/>
    <w:rsid w:val="00F90BA5"/>
    <w:rsid w:val="00F97E9F"/>
    <w:rsid w:val="00FB08FF"/>
    <w:rsid w:val="00FC3D86"/>
    <w:rsid w:val="00FD1870"/>
    <w:rsid w:val="00FD44D5"/>
    <w:rsid w:val="00FE1093"/>
    <w:rsid w:val="00FF77C4"/>
    <w:rsid w:val="010D7DD7"/>
    <w:rsid w:val="0116312F"/>
    <w:rsid w:val="013637D1"/>
    <w:rsid w:val="014F4893"/>
    <w:rsid w:val="01787946"/>
    <w:rsid w:val="0183453D"/>
    <w:rsid w:val="019D115B"/>
    <w:rsid w:val="01A26771"/>
    <w:rsid w:val="01DB1C83"/>
    <w:rsid w:val="01E21263"/>
    <w:rsid w:val="021B4775"/>
    <w:rsid w:val="024E4B4B"/>
    <w:rsid w:val="02511F45"/>
    <w:rsid w:val="02714395"/>
    <w:rsid w:val="0288005D"/>
    <w:rsid w:val="02881E0B"/>
    <w:rsid w:val="029167E5"/>
    <w:rsid w:val="02BC1AB4"/>
    <w:rsid w:val="02D36DFE"/>
    <w:rsid w:val="02D50DC8"/>
    <w:rsid w:val="02E5725D"/>
    <w:rsid w:val="02F54FC6"/>
    <w:rsid w:val="030A0A72"/>
    <w:rsid w:val="032F672A"/>
    <w:rsid w:val="03411FB9"/>
    <w:rsid w:val="035E4919"/>
    <w:rsid w:val="03887BE8"/>
    <w:rsid w:val="039842CF"/>
    <w:rsid w:val="03A10CAA"/>
    <w:rsid w:val="03A964DC"/>
    <w:rsid w:val="03DD6186"/>
    <w:rsid w:val="040E6340"/>
    <w:rsid w:val="04117BDE"/>
    <w:rsid w:val="041476CE"/>
    <w:rsid w:val="041D6583"/>
    <w:rsid w:val="04212517"/>
    <w:rsid w:val="04277401"/>
    <w:rsid w:val="04446205"/>
    <w:rsid w:val="04812FB5"/>
    <w:rsid w:val="049C7DEF"/>
    <w:rsid w:val="04AE18D1"/>
    <w:rsid w:val="04B33D0A"/>
    <w:rsid w:val="04B54A0D"/>
    <w:rsid w:val="04D8694E"/>
    <w:rsid w:val="04EE6171"/>
    <w:rsid w:val="04F75026"/>
    <w:rsid w:val="04F76DD4"/>
    <w:rsid w:val="050F6813"/>
    <w:rsid w:val="0532605E"/>
    <w:rsid w:val="056D52E8"/>
    <w:rsid w:val="05810D93"/>
    <w:rsid w:val="05926AFC"/>
    <w:rsid w:val="05AA653C"/>
    <w:rsid w:val="05B669F1"/>
    <w:rsid w:val="05BC1DCB"/>
    <w:rsid w:val="05BE78F1"/>
    <w:rsid w:val="05E337FC"/>
    <w:rsid w:val="05F23A3F"/>
    <w:rsid w:val="05FB28F4"/>
    <w:rsid w:val="0616772D"/>
    <w:rsid w:val="062A31D9"/>
    <w:rsid w:val="06380871"/>
    <w:rsid w:val="064C314F"/>
    <w:rsid w:val="066A47CE"/>
    <w:rsid w:val="06744454"/>
    <w:rsid w:val="0690220F"/>
    <w:rsid w:val="06BD229F"/>
    <w:rsid w:val="06C947A0"/>
    <w:rsid w:val="06DF5D71"/>
    <w:rsid w:val="06E17D3B"/>
    <w:rsid w:val="06F23CF7"/>
    <w:rsid w:val="06F3181D"/>
    <w:rsid w:val="06F51A39"/>
    <w:rsid w:val="07131EBF"/>
    <w:rsid w:val="07300CC3"/>
    <w:rsid w:val="0788053B"/>
    <w:rsid w:val="079A613C"/>
    <w:rsid w:val="07CF228A"/>
    <w:rsid w:val="07D01B5E"/>
    <w:rsid w:val="07D17DB0"/>
    <w:rsid w:val="07E25643"/>
    <w:rsid w:val="08395955"/>
    <w:rsid w:val="08420CAE"/>
    <w:rsid w:val="084542FA"/>
    <w:rsid w:val="084A5DB4"/>
    <w:rsid w:val="084D31AF"/>
    <w:rsid w:val="08732C15"/>
    <w:rsid w:val="088210AA"/>
    <w:rsid w:val="08B51480"/>
    <w:rsid w:val="08CE42EF"/>
    <w:rsid w:val="08D37B58"/>
    <w:rsid w:val="09187C60"/>
    <w:rsid w:val="091D7025"/>
    <w:rsid w:val="09297778"/>
    <w:rsid w:val="09381719"/>
    <w:rsid w:val="096E7880"/>
    <w:rsid w:val="098552F6"/>
    <w:rsid w:val="099866AB"/>
    <w:rsid w:val="09D41DD9"/>
    <w:rsid w:val="09D73678"/>
    <w:rsid w:val="09EA63BF"/>
    <w:rsid w:val="0A067AB9"/>
    <w:rsid w:val="0A0C3321"/>
    <w:rsid w:val="0A23066B"/>
    <w:rsid w:val="0A334D52"/>
    <w:rsid w:val="0A522CFE"/>
    <w:rsid w:val="0A93759F"/>
    <w:rsid w:val="0A9926DB"/>
    <w:rsid w:val="0AA96DC2"/>
    <w:rsid w:val="0AB45767"/>
    <w:rsid w:val="0AD33E3F"/>
    <w:rsid w:val="0ADB7197"/>
    <w:rsid w:val="0B00275A"/>
    <w:rsid w:val="0B204BAA"/>
    <w:rsid w:val="0B4D1E43"/>
    <w:rsid w:val="0B57681E"/>
    <w:rsid w:val="0B5A4560"/>
    <w:rsid w:val="0B704808"/>
    <w:rsid w:val="0B735BC5"/>
    <w:rsid w:val="0B7C6285"/>
    <w:rsid w:val="0BC1013B"/>
    <w:rsid w:val="0BD95485"/>
    <w:rsid w:val="0C0B13B7"/>
    <w:rsid w:val="0C0F534B"/>
    <w:rsid w:val="0C3E79DE"/>
    <w:rsid w:val="0C550884"/>
    <w:rsid w:val="0C8353F1"/>
    <w:rsid w:val="0C970E9C"/>
    <w:rsid w:val="0CC2416B"/>
    <w:rsid w:val="0CE02843"/>
    <w:rsid w:val="0CE642FD"/>
    <w:rsid w:val="0D0C188A"/>
    <w:rsid w:val="0D224C0A"/>
    <w:rsid w:val="0D2546FA"/>
    <w:rsid w:val="0D29243C"/>
    <w:rsid w:val="0D556E6F"/>
    <w:rsid w:val="0D690A8B"/>
    <w:rsid w:val="0D714A09"/>
    <w:rsid w:val="0D7A2C98"/>
    <w:rsid w:val="0D817541"/>
    <w:rsid w:val="0D913B3D"/>
    <w:rsid w:val="0D9C2C0E"/>
    <w:rsid w:val="0DA6583B"/>
    <w:rsid w:val="0DBD4932"/>
    <w:rsid w:val="0DC108C7"/>
    <w:rsid w:val="0DC21418"/>
    <w:rsid w:val="0DD8176C"/>
    <w:rsid w:val="0DEB76F2"/>
    <w:rsid w:val="0E010CC3"/>
    <w:rsid w:val="0E056A05"/>
    <w:rsid w:val="0E121122"/>
    <w:rsid w:val="0E1E3623"/>
    <w:rsid w:val="0E2D7D0A"/>
    <w:rsid w:val="0E4F1A2E"/>
    <w:rsid w:val="0E6179B4"/>
    <w:rsid w:val="0E8652B6"/>
    <w:rsid w:val="0E8C2C83"/>
    <w:rsid w:val="0E9733D5"/>
    <w:rsid w:val="0E981219"/>
    <w:rsid w:val="0EA33B28"/>
    <w:rsid w:val="0ECD1D23"/>
    <w:rsid w:val="0ED2440E"/>
    <w:rsid w:val="0EFE5203"/>
    <w:rsid w:val="0F2E7896"/>
    <w:rsid w:val="0F346E76"/>
    <w:rsid w:val="0F607C6B"/>
    <w:rsid w:val="0F704352"/>
    <w:rsid w:val="0F7554C5"/>
    <w:rsid w:val="0F7D081D"/>
    <w:rsid w:val="0F8C0A60"/>
    <w:rsid w:val="0FC1070A"/>
    <w:rsid w:val="0FC85F3C"/>
    <w:rsid w:val="0FD77F2D"/>
    <w:rsid w:val="0FE4264A"/>
    <w:rsid w:val="0FF30ADF"/>
    <w:rsid w:val="0FF705D0"/>
    <w:rsid w:val="104A6951"/>
    <w:rsid w:val="105E41AB"/>
    <w:rsid w:val="105E4BB0"/>
    <w:rsid w:val="10611EED"/>
    <w:rsid w:val="109C4CD3"/>
    <w:rsid w:val="10C009C2"/>
    <w:rsid w:val="11034D52"/>
    <w:rsid w:val="11074842"/>
    <w:rsid w:val="11421D1E"/>
    <w:rsid w:val="1143241B"/>
    <w:rsid w:val="11457119"/>
    <w:rsid w:val="114C66F9"/>
    <w:rsid w:val="117417AC"/>
    <w:rsid w:val="11AC53EA"/>
    <w:rsid w:val="11DB182B"/>
    <w:rsid w:val="11DD1A47"/>
    <w:rsid w:val="11E84674"/>
    <w:rsid w:val="11F1104F"/>
    <w:rsid w:val="12015736"/>
    <w:rsid w:val="121216F1"/>
    <w:rsid w:val="12160AF7"/>
    <w:rsid w:val="1235718D"/>
    <w:rsid w:val="12445622"/>
    <w:rsid w:val="127952CC"/>
    <w:rsid w:val="12D66271"/>
    <w:rsid w:val="12EF1A32"/>
    <w:rsid w:val="12F622EF"/>
    <w:rsid w:val="13076D7C"/>
    <w:rsid w:val="13286CF2"/>
    <w:rsid w:val="13347445"/>
    <w:rsid w:val="13477178"/>
    <w:rsid w:val="134C29E0"/>
    <w:rsid w:val="13511DA5"/>
    <w:rsid w:val="137B5074"/>
    <w:rsid w:val="138C102F"/>
    <w:rsid w:val="13A24CF6"/>
    <w:rsid w:val="13B30CB1"/>
    <w:rsid w:val="13B81E24"/>
    <w:rsid w:val="13C609E5"/>
    <w:rsid w:val="13CC1D73"/>
    <w:rsid w:val="13D80718"/>
    <w:rsid w:val="13FF3EF7"/>
    <w:rsid w:val="14116E0E"/>
    <w:rsid w:val="144626DF"/>
    <w:rsid w:val="14465682"/>
    <w:rsid w:val="14733F9D"/>
    <w:rsid w:val="14B24AC5"/>
    <w:rsid w:val="14CD56AD"/>
    <w:rsid w:val="14FB26F4"/>
    <w:rsid w:val="15107A3E"/>
    <w:rsid w:val="15155054"/>
    <w:rsid w:val="153B0F5F"/>
    <w:rsid w:val="154F4A0A"/>
    <w:rsid w:val="15532C0C"/>
    <w:rsid w:val="158E5D35"/>
    <w:rsid w:val="1591403D"/>
    <w:rsid w:val="15F5735F"/>
    <w:rsid w:val="16096967"/>
    <w:rsid w:val="16105F47"/>
    <w:rsid w:val="163559AE"/>
    <w:rsid w:val="164125A5"/>
    <w:rsid w:val="16465E0D"/>
    <w:rsid w:val="16826719"/>
    <w:rsid w:val="16842491"/>
    <w:rsid w:val="16B5089D"/>
    <w:rsid w:val="16EC4FEF"/>
    <w:rsid w:val="17143815"/>
    <w:rsid w:val="17215F32"/>
    <w:rsid w:val="17591B70"/>
    <w:rsid w:val="176F4EEF"/>
    <w:rsid w:val="17773DA4"/>
    <w:rsid w:val="17836BED"/>
    <w:rsid w:val="17920BDE"/>
    <w:rsid w:val="17F65611"/>
    <w:rsid w:val="183D0B4A"/>
    <w:rsid w:val="18567E5D"/>
    <w:rsid w:val="1885795F"/>
    <w:rsid w:val="188E3A9B"/>
    <w:rsid w:val="189D7628"/>
    <w:rsid w:val="18C07096"/>
    <w:rsid w:val="18C13529"/>
    <w:rsid w:val="18E13BCB"/>
    <w:rsid w:val="18FA4C8D"/>
    <w:rsid w:val="18FC6C57"/>
    <w:rsid w:val="191A0E8B"/>
    <w:rsid w:val="19566367"/>
    <w:rsid w:val="19897895"/>
    <w:rsid w:val="19C21C4E"/>
    <w:rsid w:val="1A11228E"/>
    <w:rsid w:val="1A385A6D"/>
    <w:rsid w:val="1A5F2FF9"/>
    <w:rsid w:val="1A604FC3"/>
    <w:rsid w:val="1A626F8D"/>
    <w:rsid w:val="1A69031C"/>
    <w:rsid w:val="1AA475A6"/>
    <w:rsid w:val="1AD31C39"/>
    <w:rsid w:val="1AD339E7"/>
    <w:rsid w:val="1B065B6B"/>
    <w:rsid w:val="1B140288"/>
    <w:rsid w:val="1B1738D4"/>
    <w:rsid w:val="1B682381"/>
    <w:rsid w:val="1B697EA8"/>
    <w:rsid w:val="1B6A434C"/>
    <w:rsid w:val="1B803B6F"/>
    <w:rsid w:val="1B8F5B60"/>
    <w:rsid w:val="1B917B2A"/>
    <w:rsid w:val="1B970EB9"/>
    <w:rsid w:val="1BAF5177"/>
    <w:rsid w:val="1BB43819"/>
    <w:rsid w:val="1BB76A4D"/>
    <w:rsid w:val="1BC3580A"/>
    <w:rsid w:val="1BCA6B98"/>
    <w:rsid w:val="1BD417C5"/>
    <w:rsid w:val="1BD42F73"/>
    <w:rsid w:val="1BD45C69"/>
    <w:rsid w:val="1BF65BDF"/>
    <w:rsid w:val="1C024584"/>
    <w:rsid w:val="1C0E117B"/>
    <w:rsid w:val="1C1C0C1F"/>
    <w:rsid w:val="1C542906"/>
    <w:rsid w:val="1C6B037B"/>
    <w:rsid w:val="1CA613B3"/>
    <w:rsid w:val="1CAE0268"/>
    <w:rsid w:val="1CBA4E5F"/>
    <w:rsid w:val="1D0165EA"/>
    <w:rsid w:val="1D743260"/>
    <w:rsid w:val="1DA90A2F"/>
    <w:rsid w:val="1DD67A76"/>
    <w:rsid w:val="1DED4DC0"/>
    <w:rsid w:val="1DF12B02"/>
    <w:rsid w:val="1DFB323B"/>
    <w:rsid w:val="1E276524"/>
    <w:rsid w:val="1E6058EF"/>
    <w:rsid w:val="1ED65DE0"/>
    <w:rsid w:val="1EE12B77"/>
    <w:rsid w:val="1EF53F2C"/>
    <w:rsid w:val="1F1D16D5"/>
    <w:rsid w:val="1F242A63"/>
    <w:rsid w:val="1F264A2D"/>
    <w:rsid w:val="1F2C1838"/>
    <w:rsid w:val="1F38469E"/>
    <w:rsid w:val="1F550FA1"/>
    <w:rsid w:val="1F86727A"/>
    <w:rsid w:val="1F8D685B"/>
    <w:rsid w:val="1F9951FF"/>
    <w:rsid w:val="1FB209A5"/>
    <w:rsid w:val="1FB43DE7"/>
    <w:rsid w:val="1FB45B95"/>
    <w:rsid w:val="1FBC7140"/>
    <w:rsid w:val="1FC63B1B"/>
    <w:rsid w:val="1FD2426D"/>
    <w:rsid w:val="1FD53D5E"/>
    <w:rsid w:val="1FE50445"/>
    <w:rsid w:val="200563F1"/>
    <w:rsid w:val="203B62B7"/>
    <w:rsid w:val="203C5B8B"/>
    <w:rsid w:val="204D7D98"/>
    <w:rsid w:val="205E1FA5"/>
    <w:rsid w:val="20653333"/>
    <w:rsid w:val="2080016D"/>
    <w:rsid w:val="20801F1B"/>
    <w:rsid w:val="20847C5E"/>
    <w:rsid w:val="20B63B8F"/>
    <w:rsid w:val="20BE2A44"/>
    <w:rsid w:val="20C0056A"/>
    <w:rsid w:val="20D12777"/>
    <w:rsid w:val="20E24984"/>
    <w:rsid w:val="20E64474"/>
    <w:rsid w:val="20E97542"/>
    <w:rsid w:val="20EA3839"/>
    <w:rsid w:val="20FD2F21"/>
    <w:rsid w:val="210A7A37"/>
    <w:rsid w:val="211A2370"/>
    <w:rsid w:val="213A656E"/>
    <w:rsid w:val="21771570"/>
    <w:rsid w:val="217A2AC7"/>
    <w:rsid w:val="21BE0F4D"/>
    <w:rsid w:val="21DE514B"/>
    <w:rsid w:val="22010E3A"/>
    <w:rsid w:val="22032E04"/>
    <w:rsid w:val="22794E74"/>
    <w:rsid w:val="22925F36"/>
    <w:rsid w:val="22D327D6"/>
    <w:rsid w:val="22DF561F"/>
    <w:rsid w:val="22FD7853"/>
    <w:rsid w:val="2318468D"/>
    <w:rsid w:val="23384D2F"/>
    <w:rsid w:val="235C2297"/>
    <w:rsid w:val="23706277"/>
    <w:rsid w:val="23737B15"/>
    <w:rsid w:val="2398757C"/>
    <w:rsid w:val="239C706C"/>
    <w:rsid w:val="23A91789"/>
    <w:rsid w:val="23B4085A"/>
    <w:rsid w:val="23D26F32"/>
    <w:rsid w:val="23EB3B50"/>
    <w:rsid w:val="23EE53EE"/>
    <w:rsid w:val="248A3369"/>
    <w:rsid w:val="24AA3A0B"/>
    <w:rsid w:val="24B91EA0"/>
    <w:rsid w:val="24BC54EC"/>
    <w:rsid w:val="24CC1BD3"/>
    <w:rsid w:val="24E567F1"/>
    <w:rsid w:val="24F20F0E"/>
    <w:rsid w:val="250A44A9"/>
    <w:rsid w:val="25910727"/>
    <w:rsid w:val="25951FC5"/>
    <w:rsid w:val="259F1096"/>
    <w:rsid w:val="25A14E0E"/>
    <w:rsid w:val="25B74631"/>
    <w:rsid w:val="25C44658"/>
    <w:rsid w:val="25CD79B1"/>
    <w:rsid w:val="25E22D30"/>
    <w:rsid w:val="25E44CFA"/>
    <w:rsid w:val="25FA2770"/>
    <w:rsid w:val="25FA6A8B"/>
    <w:rsid w:val="260A7EA9"/>
    <w:rsid w:val="26105AEF"/>
    <w:rsid w:val="26307F40"/>
    <w:rsid w:val="26630315"/>
    <w:rsid w:val="2674607E"/>
    <w:rsid w:val="268362C1"/>
    <w:rsid w:val="268F110A"/>
    <w:rsid w:val="26A5448A"/>
    <w:rsid w:val="26DE174A"/>
    <w:rsid w:val="2705317A"/>
    <w:rsid w:val="271635D9"/>
    <w:rsid w:val="27561C28"/>
    <w:rsid w:val="275F0ADD"/>
    <w:rsid w:val="278A0B6A"/>
    <w:rsid w:val="279536CE"/>
    <w:rsid w:val="27962024"/>
    <w:rsid w:val="27A24E6D"/>
    <w:rsid w:val="27A8393F"/>
    <w:rsid w:val="27EC7E96"/>
    <w:rsid w:val="28100029"/>
    <w:rsid w:val="28213FE4"/>
    <w:rsid w:val="28335AC5"/>
    <w:rsid w:val="28481571"/>
    <w:rsid w:val="2859377E"/>
    <w:rsid w:val="285C501C"/>
    <w:rsid w:val="28700AC7"/>
    <w:rsid w:val="28B66CB6"/>
    <w:rsid w:val="28BC3D0D"/>
    <w:rsid w:val="28E079FB"/>
    <w:rsid w:val="28F434A6"/>
    <w:rsid w:val="28F827CB"/>
    <w:rsid w:val="29317CC1"/>
    <w:rsid w:val="294E0E09"/>
    <w:rsid w:val="296A3769"/>
    <w:rsid w:val="29BD5F8E"/>
    <w:rsid w:val="29E21551"/>
    <w:rsid w:val="2A0E0598"/>
    <w:rsid w:val="2A2B114A"/>
    <w:rsid w:val="2A495A74"/>
    <w:rsid w:val="2A7523C5"/>
    <w:rsid w:val="2ABA24CE"/>
    <w:rsid w:val="2AD76BDC"/>
    <w:rsid w:val="2B381D70"/>
    <w:rsid w:val="2B3B53BD"/>
    <w:rsid w:val="2B4324C3"/>
    <w:rsid w:val="2B4D3342"/>
    <w:rsid w:val="2B5D17D7"/>
    <w:rsid w:val="2B715282"/>
    <w:rsid w:val="2BAA0794"/>
    <w:rsid w:val="2BAF7B59"/>
    <w:rsid w:val="2C471B3F"/>
    <w:rsid w:val="2C5D75B5"/>
    <w:rsid w:val="2C697D08"/>
    <w:rsid w:val="2C701096"/>
    <w:rsid w:val="2C7A1F15"/>
    <w:rsid w:val="2C862667"/>
    <w:rsid w:val="2CFF241A"/>
    <w:rsid w:val="2D0B7011"/>
    <w:rsid w:val="2D0F69C4"/>
    <w:rsid w:val="2D145EC5"/>
    <w:rsid w:val="2D5C5ABE"/>
    <w:rsid w:val="2D8079FF"/>
    <w:rsid w:val="2DA37249"/>
    <w:rsid w:val="2DCA0C7A"/>
    <w:rsid w:val="2DEC0BF0"/>
    <w:rsid w:val="2E271C28"/>
    <w:rsid w:val="2E5F7614"/>
    <w:rsid w:val="2EA15E7F"/>
    <w:rsid w:val="2EA4771D"/>
    <w:rsid w:val="2EB3170E"/>
    <w:rsid w:val="2EC67693"/>
    <w:rsid w:val="2F212B1B"/>
    <w:rsid w:val="2F340AA1"/>
    <w:rsid w:val="2F3740ED"/>
    <w:rsid w:val="2F61116A"/>
    <w:rsid w:val="2F6F3887"/>
    <w:rsid w:val="2F837332"/>
    <w:rsid w:val="2FB8344B"/>
    <w:rsid w:val="2FDC6A42"/>
    <w:rsid w:val="2FE57FED"/>
    <w:rsid w:val="2FE73D65"/>
    <w:rsid w:val="2FFB3907"/>
    <w:rsid w:val="2FFD0E93"/>
    <w:rsid w:val="2FFE4C0B"/>
    <w:rsid w:val="30071D11"/>
    <w:rsid w:val="30116ABE"/>
    <w:rsid w:val="30403475"/>
    <w:rsid w:val="30466CDD"/>
    <w:rsid w:val="304B42F4"/>
    <w:rsid w:val="30647164"/>
    <w:rsid w:val="306F78B6"/>
    <w:rsid w:val="30A752A2"/>
    <w:rsid w:val="30B11C7D"/>
    <w:rsid w:val="30CB71E3"/>
    <w:rsid w:val="30E81B43"/>
    <w:rsid w:val="30F85AFE"/>
    <w:rsid w:val="30FD4EC2"/>
    <w:rsid w:val="30FE1366"/>
    <w:rsid w:val="311A1F18"/>
    <w:rsid w:val="31230DCD"/>
    <w:rsid w:val="31295CB7"/>
    <w:rsid w:val="313E1763"/>
    <w:rsid w:val="3150690A"/>
    <w:rsid w:val="315A2315"/>
    <w:rsid w:val="3183186B"/>
    <w:rsid w:val="318F6462"/>
    <w:rsid w:val="31AA504A"/>
    <w:rsid w:val="31B25CAD"/>
    <w:rsid w:val="31D16A7B"/>
    <w:rsid w:val="31EE13DB"/>
    <w:rsid w:val="3208534D"/>
    <w:rsid w:val="32317519"/>
    <w:rsid w:val="32506EDF"/>
    <w:rsid w:val="325E162A"/>
    <w:rsid w:val="3268280F"/>
    <w:rsid w:val="327A0EC0"/>
    <w:rsid w:val="32931F82"/>
    <w:rsid w:val="329B2BE5"/>
    <w:rsid w:val="32A970B0"/>
    <w:rsid w:val="32C564E6"/>
    <w:rsid w:val="32D3237F"/>
    <w:rsid w:val="32D54349"/>
    <w:rsid w:val="32E620B2"/>
    <w:rsid w:val="32EC3440"/>
    <w:rsid w:val="33260700"/>
    <w:rsid w:val="33296443"/>
    <w:rsid w:val="333E1EEE"/>
    <w:rsid w:val="33603168"/>
    <w:rsid w:val="3394593A"/>
    <w:rsid w:val="33AD2A13"/>
    <w:rsid w:val="34012F1B"/>
    <w:rsid w:val="340F5638"/>
    <w:rsid w:val="344D7F0F"/>
    <w:rsid w:val="348760A1"/>
    <w:rsid w:val="348C6C89"/>
    <w:rsid w:val="34931DC5"/>
    <w:rsid w:val="349E076A"/>
    <w:rsid w:val="34AC732B"/>
    <w:rsid w:val="34FC3E0F"/>
    <w:rsid w:val="3555351F"/>
    <w:rsid w:val="35661288"/>
    <w:rsid w:val="357240D1"/>
    <w:rsid w:val="358D0F0B"/>
    <w:rsid w:val="358D4A67"/>
    <w:rsid w:val="35B50461"/>
    <w:rsid w:val="35B6270E"/>
    <w:rsid w:val="35B75F88"/>
    <w:rsid w:val="35DC779C"/>
    <w:rsid w:val="35F5085E"/>
    <w:rsid w:val="361231BE"/>
    <w:rsid w:val="36213401"/>
    <w:rsid w:val="36235659"/>
    <w:rsid w:val="36363350"/>
    <w:rsid w:val="364F4412"/>
    <w:rsid w:val="36631C6B"/>
    <w:rsid w:val="36633A19"/>
    <w:rsid w:val="36A06A1C"/>
    <w:rsid w:val="36B9188B"/>
    <w:rsid w:val="36D51A42"/>
    <w:rsid w:val="36EE0F91"/>
    <w:rsid w:val="372B09DB"/>
    <w:rsid w:val="373F4487"/>
    <w:rsid w:val="375A4E1C"/>
    <w:rsid w:val="377063EE"/>
    <w:rsid w:val="37A40178"/>
    <w:rsid w:val="37BF7375"/>
    <w:rsid w:val="37C87FD8"/>
    <w:rsid w:val="380B25BB"/>
    <w:rsid w:val="381E409C"/>
    <w:rsid w:val="381F2104"/>
    <w:rsid w:val="38295D87"/>
    <w:rsid w:val="382A2A41"/>
    <w:rsid w:val="384A4E91"/>
    <w:rsid w:val="385F2AC6"/>
    <w:rsid w:val="38A50319"/>
    <w:rsid w:val="38B22A36"/>
    <w:rsid w:val="38BA59A4"/>
    <w:rsid w:val="38C369F1"/>
    <w:rsid w:val="38CF1D54"/>
    <w:rsid w:val="39074B30"/>
    <w:rsid w:val="39691347"/>
    <w:rsid w:val="399A59A4"/>
    <w:rsid w:val="39A93E39"/>
    <w:rsid w:val="39BD1693"/>
    <w:rsid w:val="39CB0253"/>
    <w:rsid w:val="39EC3D26"/>
    <w:rsid w:val="39F257E0"/>
    <w:rsid w:val="39FC21BB"/>
    <w:rsid w:val="39FF1CAB"/>
    <w:rsid w:val="3A105C66"/>
    <w:rsid w:val="3A1D09C5"/>
    <w:rsid w:val="3A347BA7"/>
    <w:rsid w:val="3A35391F"/>
    <w:rsid w:val="3A9248CD"/>
    <w:rsid w:val="3ACD3B57"/>
    <w:rsid w:val="3AD35612"/>
    <w:rsid w:val="3AD4138A"/>
    <w:rsid w:val="3B3D6F2F"/>
    <w:rsid w:val="3B491430"/>
    <w:rsid w:val="3B4D0218"/>
    <w:rsid w:val="3B514788"/>
    <w:rsid w:val="3B620744"/>
    <w:rsid w:val="3B824942"/>
    <w:rsid w:val="3B950B19"/>
    <w:rsid w:val="3B9F3746"/>
    <w:rsid w:val="3BB40B6E"/>
    <w:rsid w:val="3BB84807"/>
    <w:rsid w:val="3BB865B6"/>
    <w:rsid w:val="3C0D4B53"/>
    <w:rsid w:val="3C101F4E"/>
    <w:rsid w:val="3C125CC6"/>
    <w:rsid w:val="3C552056"/>
    <w:rsid w:val="3C5E53AF"/>
    <w:rsid w:val="3C7C5835"/>
    <w:rsid w:val="3C8F7316"/>
    <w:rsid w:val="3C90308E"/>
    <w:rsid w:val="3C9963E7"/>
    <w:rsid w:val="3CF90C34"/>
    <w:rsid w:val="3D2F0AF9"/>
    <w:rsid w:val="3D346110"/>
    <w:rsid w:val="3D4445A5"/>
    <w:rsid w:val="3D956BAE"/>
    <w:rsid w:val="3DB64D77"/>
    <w:rsid w:val="3DE6740A"/>
    <w:rsid w:val="3DEB4A20"/>
    <w:rsid w:val="3DFA1107"/>
    <w:rsid w:val="3E3B7F54"/>
    <w:rsid w:val="3E66679D"/>
    <w:rsid w:val="3E693B97"/>
    <w:rsid w:val="3E703177"/>
    <w:rsid w:val="3E78202C"/>
    <w:rsid w:val="3E8D1F7B"/>
    <w:rsid w:val="3E9E5F37"/>
    <w:rsid w:val="3EC12500"/>
    <w:rsid w:val="3ED23E32"/>
    <w:rsid w:val="3EDE27D7"/>
    <w:rsid w:val="3F147FA7"/>
    <w:rsid w:val="3F1B30E3"/>
    <w:rsid w:val="3F4468ED"/>
    <w:rsid w:val="3F650802"/>
    <w:rsid w:val="3FBA0B4E"/>
    <w:rsid w:val="3FC27A03"/>
    <w:rsid w:val="3FE21E53"/>
    <w:rsid w:val="403326AF"/>
    <w:rsid w:val="403D352D"/>
    <w:rsid w:val="406665E0"/>
    <w:rsid w:val="40694322"/>
    <w:rsid w:val="408A49C4"/>
    <w:rsid w:val="40BB2DD0"/>
    <w:rsid w:val="40CD665F"/>
    <w:rsid w:val="40D95004"/>
    <w:rsid w:val="40EB11DB"/>
    <w:rsid w:val="410D4CAE"/>
    <w:rsid w:val="412B15D8"/>
    <w:rsid w:val="413B5CBF"/>
    <w:rsid w:val="41720FB5"/>
    <w:rsid w:val="4182569C"/>
    <w:rsid w:val="41A05B22"/>
    <w:rsid w:val="41D35EF7"/>
    <w:rsid w:val="41F93484"/>
    <w:rsid w:val="42383FAC"/>
    <w:rsid w:val="4242307D"/>
    <w:rsid w:val="42442951"/>
    <w:rsid w:val="4258464E"/>
    <w:rsid w:val="42733236"/>
    <w:rsid w:val="42905B96"/>
    <w:rsid w:val="42975177"/>
    <w:rsid w:val="42D53EF1"/>
    <w:rsid w:val="42E63A08"/>
    <w:rsid w:val="43166FBD"/>
    <w:rsid w:val="431C567C"/>
    <w:rsid w:val="4334230C"/>
    <w:rsid w:val="433E55F2"/>
    <w:rsid w:val="4346094B"/>
    <w:rsid w:val="43747266"/>
    <w:rsid w:val="43776D56"/>
    <w:rsid w:val="437B23A2"/>
    <w:rsid w:val="43AA712C"/>
    <w:rsid w:val="43B27D8E"/>
    <w:rsid w:val="43F81C45"/>
    <w:rsid w:val="43FD36FF"/>
    <w:rsid w:val="44054362"/>
    <w:rsid w:val="440F6F8F"/>
    <w:rsid w:val="442E38B9"/>
    <w:rsid w:val="44352E99"/>
    <w:rsid w:val="44727C49"/>
    <w:rsid w:val="44782D86"/>
    <w:rsid w:val="447B63D2"/>
    <w:rsid w:val="448B4867"/>
    <w:rsid w:val="44AB4F09"/>
    <w:rsid w:val="44AD6ED3"/>
    <w:rsid w:val="44C85ABB"/>
    <w:rsid w:val="44CB1108"/>
    <w:rsid w:val="44D02BC2"/>
    <w:rsid w:val="44D04970"/>
    <w:rsid w:val="44D2693A"/>
    <w:rsid w:val="45164485"/>
    <w:rsid w:val="451900C5"/>
    <w:rsid w:val="4521341D"/>
    <w:rsid w:val="45264590"/>
    <w:rsid w:val="45372C41"/>
    <w:rsid w:val="4565330A"/>
    <w:rsid w:val="458614D2"/>
    <w:rsid w:val="45887383"/>
    <w:rsid w:val="459B6D2C"/>
    <w:rsid w:val="45AA51C1"/>
    <w:rsid w:val="45AA6F6F"/>
    <w:rsid w:val="45C269AF"/>
    <w:rsid w:val="45D27016"/>
    <w:rsid w:val="45E32481"/>
    <w:rsid w:val="45F428E0"/>
    <w:rsid w:val="4639558A"/>
    <w:rsid w:val="46472A10"/>
    <w:rsid w:val="464A0752"/>
    <w:rsid w:val="466F1F67"/>
    <w:rsid w:val="46731A57"/>
    <w:rsid w:val="468E4AE3"/>
    <w:rsid w:val="46BD0F24"/>
    <w:rsid w:val="46D87B0C"/>
    <w:rsid w:val="46EB3CE3"/>
    <w:rsid w:val="4712301E"/>
    <w:rsid w:val="477E6905"/>
    <w:rsid w:val="479364DE"/>
    <w:rsid w:val="47B75973"/>
    <w:rsid w:val="47E26E94"/>
    <w:rsid w:val="480706A9"/>
    <w:rsid w:val="481D611E"/>
    <w:rsid w:val="48360F8E"/>
    <w:rsid w:val="484F3DFE"/>
    <w:rsid w:val="48515DC8"/>
    <w:rsid w:val="486503B6"/>
    <w:rsid w:val="486F26F2"/>
    <w:rsid w:val="487675DC"/>
    <w:rsid w:val="487F2935"/>
    <w:rsid w:val="488F069E"/>
    <w:rsid w:val="48A56114"/>
    <w:rsid w:val="48BF71D5"/>
    <w:rsid w:val="48C90054"/>
    <w:rsid w:val="48D013E2"/>
    <w:rsid w:val="48F13107"/>
    <w:rsid w:val="49105C83"/>
    <w:rsid w:val="493C4382"/>
    <w:rsid w:val="49494CF1"/>
    <w:rsid w:val="49496A9F"/>
    <w:rsid w:val="495F4514"/>
    <w:rsid w:val="49752B92"/>
    <w:rsid w:val="4981448B"/>
    <w:rsid w:val="49D40A5E"/>
    <w:rsid w:val="49D97E23"/>
    <w:rsid w:val="49E669E4"/>
    <w:rsid w:val="49E80984"/>
    <w:rsid w:val="49FC1D63"/>
    <w:rsid w:val="4A6C0C97"/>
    <w:rsid w:val="4A9B4D6F"/>
    <w:rsid w:val="4AA06B93"/>
    <w:rsid w:val="4AAC3789"/>
    <w:rsid w:val="4AB03279"/>
    <w:rsid w:val="4AB34B18"/>
    <w:rsid w:val="4AC9433B"/>
    <w:rsid w:val="4ADB5E1D"/>
    <w:rsid w:val="4B005883"/>
    <w:rsid w:val="4B187071"/>
    <w:rsid w:val="4B29302C"/>
    <w:rsid w:val="4B3B5A5A"/>
    <w:rsid w:val="4B58746D"/>
    <w:rsid w:val="4B887D52"/>
    <w:rsid w:val="4B8B339F"/>
    <w:rsid w:val="4B920BD1"/>
    <w:rsid w:val="4B9366F7"/>
    <w:rsid w:val="4B9A1834"/>
    <w:rsid w:val="4BF21670"/>
    <w:rsid w:val="4BF54CBC"/>
    <w:rsid w:val="4BFE1DC3"/>
    <w:rsid w:val="4C494674"/>
    <w:rsid w:val="4C6D6F48"/>
    <w:rsid w:val="4C7327B1"/>
    <w:rsid w:val="4C87000A"/>
    <w:rsid w:val="4CAC5CC3"/>
    <w:rsid w:val="4CB15087"/>
    <w:rsid w:val="4CB93F3C"/>
    <w:rsid w:val="4CD118BB"/>
    <w:rsid w:val="4CEE0089"/>
    <w:rsid w:val="4CF03E01"/>
    <w:rsid w:val="4CF80F08"/>
    <w:rsid w:val="4D0553D3"/>
    <w:rsid w:val="4D07739D"/>
    <w:rsid w:val="4D31441A"/>
    <w:rsid w:val="4D3F6B37"/>
    <w:rsid w:val="4D5819A6"/>
    <w:rsid w:val="4D73233C"/>
    <w:rsid w:val="4D752558"/>
    <w:rsid w:val="4D9A5B1B"/>
    <w:rsid w:val="4DC112FA"/>
    <w:rsid w:val="4DC40DEA"/>
    <w:rsid w:val="4DC62DB4"/>
    <w:rsid w:val="4DE35714"/>
    <w:rsid w:val="4DED0341"/>
    <w:rsid w:val="4DF416CF"/>
    <w:rsid w:val="4E0631B0"/>
    <w:rsid w:val="4E086F29"/>
    <w:rsid w:val="4E0D2791"/>
    <w:rsid w:val="4E1753BE"/>
    <w:rsid w:val="4E372D3F"/>
    <w:rsid w:val="4E41243B"/>
    <w:rsid w:val="4E676345"/>
    <w:rsid w:val="4EA529C9"/>
    <w:rsid w:val="4EBB043F"/>
    <w:rsid w:val="4EC866B8"/>
    <w:rsid w:val="4EDD2163"/>
    <w:rsid w:val="4EFB4CDF"/>
    <w:rsid w:val="4F043B94"/>
    <w:rsid w:val="4F11005F"/>
    <w:rsid w:val="4F363F69"/>
    <w:rsid w:val="4F477F24"/>
    <w:rsid w:val="4F4977F9"/>
    <w:rsid w:val="4F4A531F"/>
    <w:rsid w:val="4F4E12B3"/>
    <w:rsid w:val="4F553AA5"/>
    <w:rsid w:val="4F6E725F"/>
    <w:rsid w:val="4F714FA1"/>
    <w:rsid w:val="4F7725B8"/>
    <w:rsid w:val="4F8600C1"/>
    <w:rsid w:val="4FBA4253"/>
    <w:rsid w:val="4FD74E04"/>
    <w:rsid w:val="4FDA66A3"/>
    <w:rsid w:val="4FE70DC0"/>
    <w:rsid w:val="501871CB"/>
    <w:rsid w:val="50377F99"/>
    <w:rsid w:val="503C55AF"/>
    <w:rsid w:val="505226DD"/>
    <w:rsid w:val="50720FD1"/>
    <w:rsid w:val="507B7E86"/>
    <w:rsid w:val="507E1724"/>
    <w:rsid w:val="50966A6E"/>
    <w:rsid w:val="50A76ECD"/>
    <w:rsid w:val="50CA2BBB"/>
    <w:rsid w:val="50E7376D"/>
    <w:rsid w:val="50EE68AA"/>
    <w:rsid w:val="50F10148"/>
    <w:rsid w:val="51031C29"/>
    <w:rsid w:val="510D2AA8"/>
    <w:rsid w:val="5119769F"/>
    <w:rsid w:val="512247A5"/>
    <w:rsid w:val="51340035"/>
    <w:rsid w:val="51A74CAA"/>
    <w:rsid w:val="51AC406F"/>
    <w:rsid w:val="51AE428B"/>
    <w:rsid w:val="51BC0756"/>
    <w:rsid w:val="51C067F9"/>
    <w:rsid w:val="51FD2B1C"/>
    <w:rsid w:val="52065E75"/>
    <w:rsid w:val="52232583"/>
    <w:rsid w:val="522D51B0"/>
    <w:rsid w:val="523275C1"/>
    <w:rsid w:val="52397FF8"/>
    <w:rsid w:val="52412A09"/>
    <w:rsid w:val="52A511EA"/>
    <w:rsid w:val="52AA4A52"/>
    <w:rsid w:val="52BA27BB"/>
    <w:rsid w:val="52BF7DD2"/>
    <w:rsid w:val="52E8557B"/>
    <w:rsid w:val="52FB4CF2"/>
    <w:rsid w:val="53071EA5"/>
    <w:rsid w:val="530F1502"/>
    <w:rsid w:val="53204D14"/>
    <w:rsid w:val="533267F6"/>
    <w:rsid w:val="5367649F"/>
    <w:rsid w:val="536A2433"/>
    <w:rsid w:val="53784B50"/>
    <w:rsid w:val="537C5E0D"/>
    <w:rsid w:val="5391176E"/>
    <w:rsid w:val="53BF62DB"/>
    <w:rsid w:val="53CC09F8"/>
    <w:rsid w:val="53CE29C2"/>
    <w:rsid w:val="5415414D"/>
    <w:rsid w:val="544B4013"/>
    <w:rsid w:val="544D7D8B"/>
    <w:rsid w:val="54556C40"/>
    <w:rsid w:val="547F5A6B"/>
    <w:rsid w:val="54901A26"/>
    <w:rsid w:val="54A454D1"/>
    <w:rsid w:val="54C811C0"/>
    <w:rsid w:val="54CF07A0"/>
    <w:rsid w:val="54D67D81"/>
    <w:rsid w:val="54DE4E87"/>
    <w:rsid w:val="54E57FC4"/>
    <w:rsid w:val="54ED6E78"/>
    <w:rsid w:val="552C79A0"/>
    <w:rsid w:val="553B5E36"/>
    <w:rsid w:val="55517407"/>
    <w:rsid w:val="556C5FEF"/>
    <w:rsid w:val="55782BE6"/>
    <w:rsid w:val="557B26D6"/>
    <w:rsid w:val="55AA6B17"/>
    <w:rsid w:val="55EC35D4"/>
    <w:rsid w:val="55F83D27"/>
    <w:rsid w:val="55FF3307"/>
    <w:rsid w:val="5632548A"/>
    <w:rsid w:val="563E3C3E"/>
    <w:rsid w:val="5660442A"/>
    <w:rsid w:val="56A417B8"/>
    <w:rsid w:val="56D95906"/>
    <w:rsid w:val="56F1208A"/>
    <w:rsid w:val="570404A9"/>
    <w:rsid w:val="5712706A"/>
    <w:rsid w:val="575431DF"/>
    <w:rsid w:val="576B22D6"/>
    <w:rsid w:val="57743881"/>
    <w:rsid w:val="577A1A4C"/>
    <w:rsid w:val="57911D3D"/>
    <w:rsid w:val="57A37CC2"/>
    <w:rsid w:val="57A8352A"/>
    <w:rsid w:val="57D63BF4"/>
    <w:rsid w:val="57E63E1F"/>
    <w:rsid w:val="584E7C2E"/>
    <w:rsid w:val="5878114F"/>
    <w:rsid w:val="587A4EC7"/>
    <w:rsid w:val="58C47EF0"/>
    <w:rsid w:val="58CB127E"/>
    <w:rsid w:val="58E862D4"/>
    <w:rsid w:val="58F00CE5"/>
    <w:rsid w:val="592B7F6F"/>
    <w:rsid w:val="59300141"/>
    <w:rsid w:val="5932754F"/>
    <w:rsid w:val="5934151A"/>
    <w:rsid w:val="59484FC5"/>
    <w:rsid w:val="59637709"/>
    <w:rsid w:val="596F4300"/>
    <w:rsid w:val="598B6C60"/>
    <w:rsid w:val="5996188C"/>
    <w:rsid w:val="59A55F73"/>
    <w:rsid w:val="59AD4E28"/>
    <w:rsid w:val="59D16D68"/>
    <w:rsid w:val="59DB7BE7"/>
    <w:rsid w:val="59E074F3"/>
    <w:rsid w:val="59EC3BA2"/>
    <w:rsid w:val="59F9006D"/>
    <w:rsid w:val="5A1530F9"/>
    <w:rsid w:val="5A3B40AF"/>
    <w:rsid w:val="5A4C63EF"/>
    <w:rsid w:val="5A5D05FC"/>
    <w:rsid w:val="5A663955"/>
    <w:rsid w:val="5A7D2A4C"/>
    <w:rsid w:val="5A89319F"/>
    <w:rsid w:val="5AE825BC"/>
    <w:rsid w:val="5B3F69F0"/>
    <w:rsid w:val="5B413A7A"/>
    <w:rsid w:val="5B6B6D49"/>
    <w:rsid w:val="5B6F2CD4"/>
    <w:rsid w:val="5B7C0F56"/>
    <w:rsid w:val="5B7C2D04"/>
    <w:rsid w:val="5B8A5421"/>
    <w:rsid w:val="5B8E4C91"/>
    <w:rsid w:val="5BB16E51"/>
    <w:rsid w:val="5C02145B"/>
    <w:rsid w:val="5C1E200D"/>
    <w:rsid w:val="5C237623"/>
    <w:rsid w:val="5C403D31"/>
    <w:rsid w:val="5C553C81"/>
    <w:rsid w:val="5C5A1297"/>
    <w:rsid w:val="5C657C3C"/>
    <w:rsid w:val="5C71213D"/>
    <w:rsid w:val="5C8B76A2"/>
    <w:rsid w:val="5CA644DC"/>
    <w:rsid w:val="5CCD7CBB"/>
    <w:rsid w:val="5CEE378D"/>
    <w:rsid w:val="5CFA4828"/>
    <w:rsid w:val="5D1F7DEB"/>
    <w:rsid w:val="5D423AD9"/>
    <w:rsid w:val="5D577585"/>
    <w:rsid w:val="5D6B1282"/>
    <w:rsid w:val="5D6C036B"/>
    <w:rsid w:val="5D731EE5"/>
    <w:rsid w:val="5D79399F"/>
    <w:rsid w:val="5D8D2FA6"/>
    <w:rsid w:val="5D8D744A"/>
    <w:rsid w:val="5DA87DE0"/>
    <w:rsid w:val="5DB22A0D"/>
    <w:rsid w:val="5DC310BE"/>
    <w:rsid w:val="5DC82230"/>
    <w:rsid w:val="5DFD637E"/>
    <w:rsid w:val="5E0A0A9B"/>
    <w:rsid w:val="5E251431"/>
    <w:rsid w:val="5E36363E"/>
    <w:rsid w:val="5E631F59"/>
    <w:rsid w:val="5E705DA2"/>
    <w:rsid w:val="5E7D301B"/>
    <w:rsid w:val="5EA42C9D"/>
    <w:rsid w:val="5EA467FA"/>
    <w:rsid w:val="5EC724E8"/>
    <w:rsid w:val="5EE530B0"/>
    <w:rsid w:val="5EE74938"/>
    <w:rsid w:val="5EF47C34"/>
    <w:rsid w:val="5EF552A7"/>
    <w:rsid w:val="5EF84D97"/>
    <w:rsid w:val="5EF86B45"/>
    <w:rsid w:val="5F0E193F"/>
    <w:rsid w:val="5F113654"/>
    <w:rsid w:val="5F217E4A"/>
    <w:rsid w:val="5F225970"/>
    <w:rsid w:val="5F385194"/>
    <w:rsid w:val="5F4678B1"/>
    <w:rsid w:val="5F830B05"/>
    <w:rsid w:val="5F922AF6"/>
    <w:rsid w:val="5FE253FA"/>
    <w:rsid w:val="5FE80968"/>
    <w:rsid w:val="600B28A8"/>
    <w:rsid w:val="601B6F8F"/>
    <w:rsid w:val="602A0F80"/>
    <w:rsid w:val="603B4F3C"/>
    <w:rsid w:val="60732927"/>
    <w:rsid w:val="609A4358"/>
    <w:rsid w:val="60C05441"/>
    <w:rsid w:val="60DD4245"/>
    <w:rsid w:val="60E455D3"/>
    <w:rsid w:val="60F31CBA"/>
    <w:rsid w:val="60F90953"/>
    <w:rsid w:val="60FD0443"/>
    <w:rsid w:val="610A2B60"/>
    <w:rsid w:val="611A0FF5"/>
    <w:rsid w:val="61477910"/>
    <w:rsid w:val="616B1851"/>
    <w:rsid w:val="617A1A94"/>
    <w:rsid w:val="617E77D6"/>
    <w:rsid w:val="61953AA3"/>
    <w:rsid w:val="61A44D62"/>
    <w:rsid w:val="61AE6B0D"/>
    <w:rsid w:val="61B72CE8"/>
    <w:rsid w:val="61CC544A"/>
    <w:rsid w:val="61D27B22"/>
    <w:rsid w:val="61D75138"/>
    <w:rsid w:val="61F01D56"/>
    <w:rsid w:val="61FE4473"/>
    <w:rsid w:val="621C6FEF"/>
    <w:rsid w:val="62227F38"/>
    <w:rsid w:val="622A5268"/>
    <w:rsid w:val="62377985"/>
    <w:rsid w:val="624A76B8"/>
    <w:rsid w:val="625978FB"/>
    <w:rsid w:val="626802E1"/>
    <w:rsid w:val="62764951"/>
    <w:rsid w:val="62B64D4D"/>
    <w:rsid w:val="62C751AC"/>
    <w:rsid w:val="62C76F5B"/>
    <w:rsid w:val="62CC631F"/>
    <w:rsid w:val="62DE42A4"/>
    <w:rsid w:val="62EA49F7"/>
    <w:rsid w:val="62EC076F"/>
    <w:rsid w:val="630C2BBF"/>
    <w:rsid w:val="631B1054"/>
    <w:rsid w:val="631D301E"/>
    <w:rsid w:val="631D4DCC"/>
    <w:rsid w:val="633D0FCB"/>
    <w:rsid w:val="6361115D"/>
    <w:rsid w:val="638906B4"/>
    <w:rsid w:val="63FE69AC"/>
    <w:rsid w:val="640B2E77"/>
    <w:rsid w:val="642F125B"/>
    <w:rsid w:val="64406FC4"/>
    <w:rsid w:val="64446389"/>
    <w:rsid w:val="644D16E1"/>
    <w:rsid w:val="645962D8"/>
    <w:rsid w:val="647924D6"/>
    <w:rsid w:val="649015CE"/>
    <w:rsid w:val="64BB664B"/>
    <w:rsid w:val="64C01EB3"/>
    <w:rsid w:val="64D71FE6"/>
    <w:rsid w:val="64F102BF"/>
    <w:rsid w:val="652C7549"/>
    <w:rsid w:val="652E506F"/>
    <w:rsid w:val="659550EE"/>
    <w:rsid w:val="659A2704"/>
    <w:rsid w:val="65A6554D"/>
    <w:rsid w:val="65B17A4E"/>
    <w:rsid w:val="65B84A57"/>
    <w:rsid w:val="65C37EAD"/>
    <w:rsid w:val="66081D64"/>
    <w:rsid w:val="661324B7"/>
    <w:rsid w:val="6623094C"/>
    <w:rsid w:val="662A7F2C"/>
    <w:rsid w:val="662D3578"/>
    <w:rsid w:val="6659611C"/>
    <w:rsid w:val="66660838"/>
    <w:rsid w:val="666A657B"/>
    <w:rsid w:val="666F1DE3"/>
    <w:rsid w:val="667473F9"/>
    <w:rsid w:val="66941658"/>
    <w:rsid w:val="66944EDD"/>
    <w:rsid w:val="66976C44"/>
    <w:rsid w:val="66C537B1"/>
    <w:rsid w:val="66C57C55"/>
    <w:rsid w:val="66F2031E"/>
    <w:rsid w:val="66F61BBC"/>
    <w:rsid w:val="66F75934"/>
    <w:rsid w:val="67150528"/>
    <w:rsid w:val="6727446C"/>
    <w:rsid w:val="675039C2"/>
    <w:rsid w:val="6759214B"/>
    <w:rsid w:val="675B5EC3"/>
    <w:rsid w:val="67650AF0"/>
    <w:rsid w:val="67A41618"/>
    <w:rsid w:val="67C1041C"/>
    <w:rsid w:val="67C717AB"/>
    <w:rsid w:val="67D31EFE"/>
    <w:rsid w:val="67F72090"/>
    <w:rsid w:val="680227E3"/>
    <w:rsid w:val="68112A26"/>
    <w:rsid w:val="68246BFD"/>
    <w:rsid w:val="68394457"/>
    <w:rsid w:val="6852376A"/>
    <w:rsid w:val="68664B20"/>
    <w:rsid w:val="68684D3C"/>
    <w:rsid w:val="688D02FE"/>
    <w:rsid w:val="68A5389A"/>
    <w:rsid w:val="68AA5354"/>
    <w:rsid w:val="68B43ADD"/>
    <w:rsid w:val="68E36170"/>
    <w:rsid w:val="68F24605"/>
    <w:rsid w:val="690F6F65"/>
    <w:rsid w:val="692F4ED3"/>
    <w:rsid w:val="696A4AE4"/>
    <w:rsid w:val="696F20FA"/>
    <w:rsid w:val="697B45FB"/>
    <w:rsid w:val="69831701"/>
    <w:rsid w:val="698C2CAC"/>
    <w:rsid w:val="69A022B3"/>
    <w:rsid w:val="69A43B52"/>
    <w:rsid w:val="69C441F4"/>
    <w:rsid w:val="69CA10DE"/>
    <w:rsid w:val="69CC4E56"/>
    <w:rsid w:val="69D56401"/>
    <w:rsid w:val="69FA19C4"/>
    <w:rsid w:val="6A083F67"/>
    <w:rsid w:val="6A114F5F"/>
    <w:rsid w:val="6A2E5B11"/>
    <w:rsid w:val="6A301889"/>
    <w:rsid w:val="6A31115D"/>
    <w:rsid w:val="6A4610AD"/>
    <w:rsid w:val="6A5F5CCB"/>
    <w:rsid w:val="6A6E5F0E"/>
    <w:rsid w:val="6AA24659"/>
    <w:rsid w:val="6AB204F0"/>
    <w:rsid w:val="6ABA73A5"/>
    <w:rsid w:val="6ABC311D"/>
    <w:rsid w:val="6AD42215"/>
    <w:rsid w:val="6AE0505D"/>
    <w:rsid w:val="6AE10DD5"/>
    <w:rsid w:val="6AE82164"/>
    <w:rsid w:val="6AEF52A0"/>
    <w:rsid w:val="6AF1726A"/>
    <w:rsid w:val="6AFB1E97"/>
    <w:rsid w:val="6B0E38E3"/>
    <w:rsid w:val="6B23319C"/>
    <w:rsid w:val="6B3709F5"/>
    <w:rsid w:val="6B376C47"/>
    <w:rsid w:val="6B4078AA"/>
    <w:rsid w:val="6B482C03"/>
    <w:rsid w:val="6B6A4927"/>
    <w:rsid w:val="6B7C465A"/>
    <w:rsid w:val="6BAE41D4"/>
    <w:rsid w:val="6BAF4A30"/>
    <w:rsid w:val="6BC77FCB"/>
    <w:rsid w:val="6BC95AF1"/>
    <w:rsid w:val="6BF40694"/>
    <w:rsid w:val="6BF608B1"/>
    <w:rsid w:val="6BFB1A23"/>
    <w:rsid w:val="6C2216A6"/>
    <w:rsid w:val="6C9E6F7E"/>
    <w:rsid w:val="6CAD2805"/>
    <w:rsid w:val="6CB0535E"/>
    <w:rsid w:val="6CC8224D"/>
    <w:rsid w:val="6CCD33BF"/>
    <w:rsid w:val="6CDF2AE4"/>
    <w:rsid w:val="6CE8644B"/>
    <w:rsid w:val="6CF546C4"/>
    <w:rsid w:val="6D401DE3"/>
    <w:rsid w:val="6D4D2752"/>
    <w:rsid w:val="6D6D06FE"/>
    <w:rsid w:val="6D6F4477"/>
    <w:rsid w:val="6D723F67"/>
    <w:rsid w:val="6D747CDF"/>
    <w:rsid w:val="6D95035A"/>
    <w:rsid w:val="6DAE53F9"/>
    <w:rsid w:val="6DC24EEE"/>
    <w:rsid w:val="6DC76061"/>
    <w:rsid w:val="6DD8026E"/>
    <w:rsid w:val="6DDD5884"/>
    <w:rsid w:val="6DF40E20"/>
    <w:rsid w:val="6DF8446C"/>
    <w:rsid w:val="6E0A419F"/>
    <w:rsid w:val="6E380D0C"/>
    <w:rsid w:val="6E510020"/>
    <w:rsid w:val="6EB365E5"/>
    <w:rsid w:val="6EBF7EC8"/>
    <w:rsid w:val="6ED529FF"/>
    <w:rsid w:val="6EDF562C"/>
    <w:rsid w:val="6F1277AF"/>
    <w:rsid w:val="6F1317DD"/>
    <w:rsid w:val="6F23376B"/>
    <w:rsid w:val="6F2D45E9"/>
    <w:rsid w:val="6F4B0F13"/>
    <w:rsid w:val="6F525DFE"/>
    <w:rsid w:val="6F571666"/>
    <w:rsid w:val="6F60676D"/>
    <w:rsid w:val="6F653D83"/>
    <w:rsid w:val="6F7C731F"/>
    <w:rsid w:val="6F834209"/>
    <w:rsid w:val="6F854425"/>
    <w:rsid w:val="6F8A5598"/>
    <w:rsid w:val="6FB2689C"/>
    <w:rsid w:val="6FB645DF"/>
    <w:rsid w:val="6FEF2100"/>
    <w:rsid w:val="70052E70"/>
    <w:rsid w:val="700A0487"/>
    <w:rsid w:val="700F0193"/>
    <w:rsid w:val="702A0B29"/>
    <w:rsid w:val="70433998"/>
    <w:rsid w:val="70494955"/>
    <w:rsid w:val="706B361B"/>
    <w:rsid w:val="70781894"/>
    <w:rsid w:val="709366CE"/>
    <w:rsid w:val="70B07280"/>
    <w:rsid w:val="70BB79D3"/>
    <w:rsid w:val="70BC011C"/>
    <w:rsid w:val="70C1323B"/>
    <w:rsid w:val="70E231B1"/>
    <w:rsid w:val="70E94540"/>
    <w:rsid w:val="70F27AA8"/>
    <w:rsid w:val="71237A52"/>
    <w:rsid w:val="71290DE0"/>
    <w:rsid w:val="713A2FED"/>
    <w:rsid w:val="714E0847"/>
    <w:rsid w:val="7161057A"/>
    <w:rsid w:val="716F0EE9"/>
    <w:rsid w:val="71C32F10"/>
    <w:rsid w:val="71EF5B86"/>
    <w:rsid w:val="71F47640"/>
    <w:rsid w:val="71FD4747"/>
    <w:rsid w:val="725974A3"/>
    <w:rsid w:val="72783DCD"/>
    <w:rsid w:val="729371DB"/>
    <w:rsid w:val="72A44BC2"/>
    <w:rsid w:val="730D09BA"/>
    <w:rsid w:val="732B0E40"/>
    <w:rsid w:val="73353A6C"/>
    <w:rsid w:val="7366631C"/>
    <w:rsid w:val="736B56E0"/>
    <w:rsid w:val="7379604F"/>
    <w:rsid w:val="739E4D80"/>
    <w:rsid w:val="7416564C"/>
    <w:rsid w:val="741979E1"/>
    <w:rsid w:val="743326A2"/>
    <w:rsid w:val="7447614D"/>
    <w:rsid w:val="7460720F"/>
    <w:rsid w:val="74730CF0"/>
    <w:rsid w:val="74784559"/>
    <w:rsid w:val="74820F33"/>
    <w:rsid w:val="748A7DE8"/>
    <w:rsid w:val="749F7D37"/>
    <w:rsid w:val="74B65081"/>
    <w:rsid w:val="74BB61F3"/>
    <w:rsid w:val="74C27582"/>
    <w:rsid w:val="74D01424"/>
    <w:rsid w:val="74F3598D"/>
    <w:rsid w:val="74FD05BA"/>
    <w:rsid w:val="750D2EF3"/>
    <w:rsid w:val="759C6025"/>
    <w:rsid w:val="75DE03EB"/>
    <w:rsid w:val="75F419BD"/>
    <w:rsid w:val="760D0CD1"/>
    <w:rsid w:val="760D2A7F"/>
    <w:rsid w:val="76116A13"/>
    <w:rsid w:val="76432944"/>
    <w:rsid w:val="765406AD"/>
    <w:rsid w:val="767B20DE"/>
    <w:rsid w:val="76AE24B4"/>
    <w:rsid w:val="76C021E7"/>
    <w:rsid w:val="76EE28B0"/>
    <w:rsid w:val="77091498"/>
    <w:rsid w:val="77512E3F"/>
    <w:rsid w:val="775A6197"/>
    <w:rsid w:val="7762504C"/>
    <w:rsid w:val="77752FD1"/>
    <w:rsid w:val="777728A5"/>
    <w:rsid w:val="777C1C35"/>
    <w:rsid w:val="779571D0"/>
    <w:rsid w:val="77974CF6"/>
    <w:rsid w:val="77AE3DED"/>
    <w:rsid w:val="77D01FB6"/>
    <w:rsid w:val="78120820"/>
    <w:rsid w:val="787768D5"/>
    <w:rsid w:val="78A05845"/>
    <w:rsid w:val="78C73B88"/>
    <w:rsid w:val="79020895"/>
    <w:rsid w:val="7945303A"/>
    <w:rsid w:val="79725A1A"/>
    <w:rsid w:val="799E680F"/>
    <w:rsid w:val="79B871A5"/>
    <w:rsid w:val="7A0917AF"/>
    <w:rsid w:val="7A132086"/>
    <w:rsid w:val="7A326F58"/>
    <w:rsid w:val="7A3A5E0C"/>
    <w:rsid w:val="7A7C4677"/>
    <w:rsid w:val="7A903C7E"/>
    <w:rsid w:val="7AB247A6"/>
    <w:rsid w:val="7AB43E11"/>
    <w:rsid w:val="7AC53928"/>
    <w:rsid w:val="7AE069B4"/>
    <w:rsid w:val="7AE2272C"/>
    <w:rsid w:val="7AE5221C"/>
    <w:rsid w:val="7AEC7106"/>
    <w:rsid w:val="7AF406B1"/>
    <w:rsid w:val="7B116B6D"/>
    <w:rsid w:val="7B1228E5"/>
    <w:rsid w:val="7B3528A0"/>
    <w:rsid w:val="7B354F51"/>
    <w:rsid w:val="7B51340D"/>
    <w:rsid w:val="7B5B24DE"/>
    <w:rsid w:val="7B7A6E08"/>
    <w:rsid w:val="7B7D2454"/>
    <w:rsid w:val="7B892BA7"/>
    <w:rsid w:val="7BF24BF0"/>
    <w:rsid w:val="7C02295A"/>
    <w:rsid w:val="7C330D65"/>
    <w:rsid w:val="7C413482"/>
    <w:rsid w:val="7C4F0A00"/>
    <w:rsid w:val="7C66113B"/>
    <w:rsid w:val="7C66738C"/>
    <w:rsid w:val="7C686C61"/>
    <w:rsid w:val="7CB4634A"/>
    <w:rsid w:val="7CC540B3"/>
    <w:rsid w:val="7CE54755"/>
    <w:rsid w:val="7CF44BE9"/>
    <w:rsid w:val="7CFC55FB"/>
    <w:rsid w:val="7D0D15B6"/>
    <w:rsid w:val="7D0D7808"/>
    <w:rsid w:val="7D146DE8"/>
    <w:rsid w:val="7D1E37C3"/>
    <w:rsid w:val="7D43024E"/>
    <w:rsid w:val="7D4476CE"/>
    <w:rsid w:val="7D5316BF"/>
    <w:rsid w:val="7D5A6393"/>
    <w:rsid w:val="7D6A4C5A"/>
    <w:rsid w:val="7D6B282B"/>
    <w:rsid w:val="7D807FDA"/>
    <w:rsid w:val="7D8C697F"/>
    <w:rsid w:val="7D9121E7"/>
    <w:rsid w:val="7DC10D1E"/>
    <w:rsid w:val="7DDF11A4"/>
    <w:rsid w:val="7DFB58B2"/>
    <w:rsid w:val="7E2412AD"/>
    <w:rsid w:val="7E2E7A36"/>
    <w:rsid w:val="7E9F10B2"/>
    <w:rsid w:val="7EB0669D"/>
    <w:rsid w:val="7EB663A9"/>
    <w:rsid w:val="7ED44A81"/>
    <w:rsid w:val="7F062761"/>
    <w:rsid w:val="7F2D5F40"/>
    <w:rsid w:val="7F576D5A"/>
    <w:rsid w:val="7F8738A2"/>
    <w:rsid w:val="7FA77AA0"/>
    <w:rsid w:val="7FAE7080"/>
    <w:rsid w:val="7FBD72C3"/>
    <w:rsid w:val="7FF56A5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2"/>
    <w:basedOn w:val="1"/>
    <w:next w:val="1"/>
    <w:link w:val="33"/>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26"/>
    <w:qFormat/>
    <w:uiPriority w:val="0"/>
    <w:pPr>
      <w:keepNext/>
      <w:keepLines/>
      <w:spacing w:before="260" w:after="260" w:line="413" w:lineRule="auto"/>
      <w:outlineLvl w:val="2"/>
    </w:pPr>
    <w:rPr>
      <w:rFonts w:ascii="Times New Roman" w:hAnsi="Times New Roman" w:eastAsia="宋体" w:cs="Times New Roman"/>
      <w:b/>
      <w:sz w:val="32"/>
      <w:szCs w:val="20"/>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2">
    <w:name w:val="toc 1"/>
    <w:basedOn w:val="1"/>
    <w:next w:val="1"/>
    <w:qFormat/>
    <w:uiPriority w:val="39"/>
    <w:pPr>
      <w:spacing w:line="180" w:lineRule="auto"/>
      <w:jc w:val="center"/>
    </w:pPr>
    <w:rPr>
      <w:sz w:val="30"/>
    </w:rPr>
  </w:style>
  <w:style w:type="paragraph" w:styleId="5">
    <w:name w:val="Normal Indent"/>
    <w:basedOn w:val="1"/>
    <w:qFormat/>
    <w:uiPriority w:val="0"/>
    <w:pPr>
      <w:adjustRightInd w:val="0"/>
      <w:snapToGrid w:val="0"/>
      <w:spacing w:line="360" w:lineRule="auto"/>
      <w:ind w:firstLine="420"/>
    </w:pPr>
    <w:rPr>
      <w:rFonts w:ascii="Times New Roman" w:hAnsi="Times New Roman" w:eastAsia="宋体" w:cs="Times New Roman"/>
      <w:sz w:val="24"/>
      <w:szCs w:val="24"/>
    </w:rPr>
  </w:style>
  <w:style w:type="paragraph" w:styleId="6">
    <w:name w:val="annotation text"/>
    <w:basedOn w:val="1"/>
    <w:link w:val="39"/>
    <w:semiHidden/>
    <w:unhideWhenUsed/>
    <w:qFormat/>
    <w:uiPriority w:val="99"/>
    <w:pPr>
      <w:jc w:val="left"/>
    </w:pPr>
  </w:style>
  <w:style w:type="paragraph" w:styleId="7">
    <w:name w:val="Body Text"/>
    <w:basedOn w:val="1"/>
    <w:link w:val="38"/>
    <w:unhideWhenUsed/>
    <w:qFormat/>
    <w:uiPriority w:val="99"/>
    <w:pPr>
      <w:spacing w:after="120"/>
    </w:pPr>
  </w:style>
  <w:style w:type="paragraph" w:styleId="8">
    <w:name w:val="Body Text Indent"/>
    <w:basedOn w:val="1"/>
    <w:next w:val="9"/>
    <w:qFormat/>
    <w:uiPriority w:val="99"/>
    <w:pPr>
      <w:spacing w:line="360" w:lineRule="auto"/>
      <w:ind w:firstLine="570"/>
    </w:pPr>
    <w:rPr>
      <w:sz w:val="24"/>
    </w:rPr>
  </w:style>
  <w:style w:type="paragraph" w:styleId="9">
    <w:name w:val="envelope return"/>
    <w:basedOn w:val="1"/>
    <w:qFormat/>
    <w:uiPriority w:val="0"/>
    <w:rPr>
      <w:rFonts w:ascii="Arial" w:hAnsi="Arial" w:eastAsia="Arial"/>
      <w:spacing w:val="-10"/>
      <w:sz w:val="21"/>
      <w:szCs w:val="21"/>
    </w:rPr>
  </w:style>
  <w:style w:type="paragraph" w:styleId="10">
    <w:name w:val="Plain Text"/>
    <w:basedOn w:val="1"/>
    <w:link w:val="22"/>
    <w:qFormat/>
    <w:uiPriority w:val="0"/>
    <w:rPr>
      <w:rFonts w:ascii="宋体" w:hAnsi="Courier New"/>
    </w:rPr>
  </w:style>
  <w:style w:type="paragraph" w:styleId="11">
    <w:name w:val="Date"/>
    <w:basedOn w:val="1"/>
    <w:next w:val="1"/>
    <w:qFormat/>
    <w:uiPriority w:val="0"/>
  </w:style>
  <w:style w:type="paragraph" w:styleId="12">
    <w:name w:val="Body Text Indent 2"/>
    <w:basedOn w:val="1"/>
    <w:link w:val="27"/>
    <w:qFormat/>
    <w:uiPriority w:val="0"/>
    <w:pPr>
      <w:snapToGrid w:val="0"/>
      <w:spacing w:line="560" w:lineRule="atLeast"/>
      <w:ind w:firstLine="540"/>
    </w:pPr>
    <w:rPr>
      <w:sz w:val="28"/>
    </w:rPr>
  </w:style>
  <w:style w:type="paragraph" w:styleId="13">
    <w:name w:val="Balloon Text"/>
    <w:basedOn w:val="1"/>
    <w:link w:val="35"/>
    <w:semiHidden/>
    <w:unhideWhenUsed/>
    <w:qFormat/>
    <w:uiPriority w:val="99"/>
    <w:rPr>
      <w:sz w:val="18"/>
      <w:szCs w:val="18"/>
    </w:rPr>
  </w:style>
  <w:style w:type="paragraph" w:styleId="14">
    <w:name w:val="footer"/>
    <w:basedOn w:val="1"/>
    <w:link w:val="30"/>
    <w:unhideWhenUsed/>
    <w:qFormat/>
    <w:uiPriority w:val="99"/>
    <w:pPr>
      <w:tabs>
        <w:tab w:val="center" w:pos="4153"/>
        <w:tab w:val="right" w:pos="8306"/>
      </w:tabs>
      <w:snapToGrid w:val="0"/>
      <w:jc w:val="left"/>
    </w:pPr>
    <w:rPr>
      <w:sz w:val="18"/>
      <w:szCs w:val="18"/>
    </w:rPr>
  </w:style>
  <w:style w:type="paragraph" w:styleId="15">
    <w:name w:val="header"/>
    <w:basedOn w:val="1"/>
    <w:link w:val="29"/>
    <w:unhideWhenUsed/>
    <w:qFormat/>
    <w:uiPriority w:val="99"/>
    <w:pPr>
      <w:pBdr>
        <w:bottom w:val="single" w:color="auto" w:sz="6" w:space="1"/>
      </w:pBdr>
      <w:tabs>
        <w:tab w:val="center" w:pos="4153"/>
        <w:tab w:val="right" w:pos="8306"/>
      </w:tabs>
      <w:snapToGrid w:val="0"/>
      <w:jc w:val="center"/>
    </w:pPr>
    <w:rPr>
      <w:sz w:val="18"/>
      <w:szCs w:val="18"/>
    </w:rPr>
  </w:style>
  <w:style w:type="paragraph" w:styleId="16">
    <w:name w:val="annotation subject"/>
    <w:basedOn w:val="6"/>
    <w:next w:val="6"/>
    <w:link w:val="40"/>
    <w:semiHidden/>
    <w:unhideWhenUsed/>
    <w:qFormat/>
    <w:uiPriority w:val="99"/>
    <w:rPr>
      <w:b/>
      <w:bCs/>
    </w:rPr>
  </w:style>
  <w:style w:type="paragraph" w:styleId="17">
    <w:name w:val="Body Text First Indent 2"/>
    <w:basedOn w:val="8"/>
    <w:next w:val="1"/>
    <w:qFormat/>
    <w:uiPriority w:val="0"/>
    <w:pPr>
      <w:spacing w:after="120" w:line="240" w:lineRule="auto"/>
      <w:ind w:left="420" w:leftChars="200" w:firstLine="420" w:firstLineChars="200"/>
    </w:pPr>
    <w:rPr>
      <w:sz w:val="21"/>
      <w:szCs w:val="20"/>
    </w:rPr>
  </w:style>
  <w:style w:type="table" w:styleId="19">
    <w:name w:val="Table Grid"/>
    <w:basedOn w:val="18"/>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21">
    <w:name w:val="annotation reference"/>
    <w:basedOn w:val="20"/>
    <w:semiHidden/>
    <w:unhideWhenUsed/>
    <w:qFormat/>
    <w:uiPriority w:val="99"/>
    <w:rPr>
      <w:sz w:val="21"/>
      <w:szCs w:val="21"/>
    </w:rPr>
  </w:style>
  <w:style w:type="character" w:customStyle="1" w:styleId="22">
    <w:name w:val="纯文本 Char1"/>
    <w:link w:val="10"/>
    <w:qFormat/>
    <w:locked/>
    <w:uiPriority w:val="0"/>
    <w:rPr>
      <w:rFonts w:ascii="宋体" w:hAnsi="Courier New"/>
    </w:rPr>
  </w:style>
  <w:style w:type="character" w:customStyle="1" w:styleId="23">
    <w:name w:val="纯文本 Char"/>
    <w:basedOn w:val="20"/>
    <w:semiHidden/>
    <w:qFormat/>
    <w:uiPriority w:val="99"/>
    <w:rPr>
      <w:rFonts w:ascii="宋体" w:hAnsi="Courier New" w:eastAsia="宋体" w:cs="Courier New"/>
      <w:szCs w:val="21"/>
    </w:rPr>
  </w:style>
  <w:style w:type="character" w:customStyle="1" w:styleId="24">
    <w:name w:val="bluetitle1"/>
    <w:qFormat/>
    <w:uiPriority w:val="0"/>
    <w:rPr>
      <w:b/>
      <w:bCs/>
      <w:color w:val="081B39"/>
      <w:sz w:val="21"/>
      <w:szCs w:val="21"/>
    </w:rPr>
  </w:style>
  <w:style w:type="character" w:customStyle="1" w:styleId="25">
    <w:name w:val="标题 3 Char"/>
    <w:basedOn w:val="20"/>
    <w:semiHidden/>
    <w:qFormat/>
    <w:uiPriority w:val="9"/>
    <w:rPr>
      <w:b/>
      <w:bCs/>
      <w:sz w:val="32"/>
      <w:szCs w:val="32"/>
    </w:rPr>
  </w:style>
  <w:style w:type="character" w:customStyle="1" w:styleId="26">
    <w:name w:val="标题 3 Char1"/>
    <w:link w:val="4"/>
    <w:qFormat/>
    <w:uiPriority w:val="0"/>
    <w:rPr>
      <w:rFonts w:ascii="Times New Roman" w:hAnsi="Times New Roman" w:eastAsia="宋体" w:cs="Times New Roman"/>
      <w:b/>
      <w:sz w:val="32"/>
      <w:szCs w:val="20"/>
    </w:rPr>
  </w:style>
  <w:style w:type="character" w:customStyle="1" w:styleId="27">
    <w:name w:val="正文文本缩进 2 Char1"/>
    <w:link w:val="12"/>
    <w:qFormat/>
    <w:uiPriority w:val="0"/>
    <w:rPr>
      <w:sz w:val="28"/>
    </w:rPr>
  </w:style>
  <w:style w:type="character" w:customStyle="1" w:styleId="28">
    <w:name w:val="正文文本缩进 2 Char"/>
    <w:basedOn w:val="20"/>
    <w:semiHidden/>
    <w:qFormat/>
    <w:uiPriority w:val="99"/>
  </w:style>
  <w:style w:type="character" w:customStyle="1" w:styleId="29">
    <w:name w:val="页眉 Char"/>
    <w:basedOn w:val="20"/>
    <w:link w:val="15"/>
    <w:qFormat/>
    <w:uiPriority w:val="99"/>
    <w:rPr>
      <w:sz w:val="18"/>
      <w:szCs w:val="18"/>
    </w:rPr>
  </w:style>
  <w:style w:type="character" w:customStyle="1" w:styleId="30">
    <w:name w:val="页脚 Char"/>
    <w:basedOn w:val="20"/>
    <w:link w:val="14"/>
    <w:qFormat/>
    <w:uiPriority w:val="99"/>
    <w:rPr>
      <w:sz w:val="18"/>
      <w:szCs w:val="18"/>
    </w:rPr>
  </w:style>
  <w:style w:type="character" w:customStyle="1" w:styleId="31">
    <w:name w:val="纯文本 字符"/>
    <w:qFormat/>
    <w:locked/>
    <w:uiPriority w:val="0"/>
    <w:rPr>
      <w:rFonts w:ascii="宋体" w:hAnsi="Courier New"/>
      <w:kern w:val="2"/>
      <w:sz w:val="21"/>
    </w:rPr>
  </w:style>
  <w:style w:type="character" w:customStyle="1" w:styleId="32">
    <w:name w:val="标题 3 字符"/>
    <w:qFormat/>
    <w:uiPriority w:val="0"/>
    <w:rPr>
      <w:rFonts w:eastAsia="宋体"/>
      <w:b/>
      <w:kern w:val="2"/>
      <w:sz w:val="32"/>
      <w:lang w:val="en-US" w:eastAsia="zh-CN"/>
    </w:rPr>
  </w:style>
  <w:style w:type="character" w:customStyle="1" w:styleId="33">
    <w:name w:val="标题 2 Char"/>
    <w:basedOn w:val="20"/>
    <w:link w:val="3"/>
    <w:semiHidden/>
    <w:qFormat/>
    <w:uiPriority w:val="9"/>
    <w:rPr>
      <w:rFonts w:asciiTheme="majorHAnsi" w:hAnsiTheme="majorHAnsi" w:eastAsiaTheme="majorEastAsia" w:cstheme="majorBidi"/>
      <w:b/>
      <w:bCs/>
      <w:sz w:val="32"/>
      <w:szCs w:val="32"/>
    </w:rPr>
  </w:style>
  <w:style w:type="paragraph" w:customStyle="1" w:styleId="34">
    <w:name w:val="正文_165"/>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5">
    <w:name w:val="批注框文本 Char"/>
    <w:basedOn w:val="20"/>
    <w:link w:val="13"/>
    <w:semiHidden/>
    <w:qFormat/>
    <w:uiPriority w:val="99"/>
    <w:rPr>
      <w:sz w:val="18"/>
      <w:szCs w:val="18"/>
    </w:rPr>
  </w:style>
  <w:style w:type="paragraph" w:styleId="36">
    <w:name w:val="List Paragraph"/>
    <w:basedOn w:val="1"/>
    <w:qFormat/>
    <w:uiPriority w:val="34"/>
    <w:pPr>
      <w:ind w:firstLine="420" w:firstLineChars="200"/>
    </w:pPr>
    <w:rPr>
      <w:rFonts w:ascii="Times New Roman" w:hAnsi="Times New Roman" w:eastAsia="宋体" w:cs="Times New Roman"/>
      <w:szCs w:val="24"/>
    </w:rPr>
  </w:style>
  <w:style w:type="paragraph" w:customStyle="1" w:styleId="37">
    <w:name w:val="Default"/>
    <w:qFormat/>
    <w:uiPriority w:val="0"/>
    <w:pPr>
      <w:widowControl w:val="0"/>
      <w:autoSpaceDE w:val="0"/>
      <w:autoSpaceDN w:val="0"/>
      <w:adjustRightInd w:val="0"/>
    </w:pPr>
    <w:rPr>
      <w:rFonts w:ascii="Times New Roman" w:hAnsi="Times New Roman" w:eastAsia="宋体" w:cs="Times New Roman"/>
      <w:color w:val="000000"/>
      <w:sz w:val="24"/>
      <w:szCs w:val="22"/>
      <w:lang w:val="en-US" w:eastAsia="zh-CN" w:bidi="ar-SA"/>
    </w:rPr>
  </w:style>
  <w:style w:type="character" w:customStyle="1" w:styleId="38">
    <w:name w:val="正文文本 Char"/>
    <w:basedOn w:val="20"/>
    <w:link w:val="7"/>
    <w:qFormat/>
    <w:uiPriority w:val="99"/>
  </w:style>
  <w:style w:type="character" w:customStyle="1" w:styleId="39">
    <w:name w:val="批注文字 Char"/>
    <w:basedOn w:val="20"/>
    <w:link w:val="6"/>
    <w:semiHidden/>
    <w:qFormat/>
    <w:uiPriority w:val="99"/>
  </w:style>
  <w:style w:type="character" w:customStyle="1" w:styleId="40">
    <w:name w:val="批注主题 Char"/>
    <w:basedOn w:val="39"/>
    <w:link w:val="16"/>
    <w:semiHidden/>
    <w:qFormat/>
    <w:uiPriority w:val="99"/>
    <w:rPr>
      <w:b/>
      <w:bCs/>
    </w:rPr>
  </w:style>
  <w:style w:type="character" w:customStyle="1" w:styleId="41">
    <w:name w:val="font21"/>
    <w:basedOn w:val="20"/>
    <w:qFormat/>
    <w:uiPriority w:val="0"/>
    <w:rPr>
      <w:rFonts w:hint="eastAsia" w:ascii="宋体" w:hAnsi="宋体" w:eastAsia="宋体" w:cs="宋体"/>
      <w:color w:val="000000"/>
      <w:sz w:val="18"/>
      <w:szCs w:val="18"/>
      <w:u w:val="none"/>
    </w:rPr>
  </w:style>
  <w:style w:type="character" w:customStyle="1" w:styleId="42">
    <w:name w:val="font51"/>
    <w:basedOn w:val="20"/>
    <w:qFormat/>
    <w:uiPriority w:val="0"/>
    <w:rPr>
      <w:rFonts w:hint="eastAsia" w:ascii="宋体" w:hAnsi="宋体" w:eastAsia="宋体" w:cs="宋体"/>
      <w:b/>
      <w:bCs/>
      <w:color w:val="FF0000"/>
      <w:sz w:val="18"/>
      <w:szCs w:val="18"/>
      <w:u w:val="none"/>
    </w:rPr>
  </w:style>
  <w:style w:type="character" w:customStyle="1" w:styleId="43">
    <w:name w:val="font61"/>
    <w:basedOn w:val="20"/>
    <w:qFormat/>
    <w:uiPriority w:val="0"/>
    <w:rPr>
      <w:rFonts w:ascii="Calibri" w:hAnsi="Calibri" w:cs="Calibri"/>
      <w:color w:val="000000"/>
      <w:sz w:val="18"/>
      <w:szCs w:val="18"/>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56E4B0-B820-469D-9B9C-34CD0DAFE51F}">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19</Pages>
  <Words>12476</Words>
  <Characters>12961</Characters>
  <Lines>21</Lines>
  <Paragraphs>6</Paragraphs>
  <TotalTime>0</TotalTime>
  <ScaleCrop>false</ScaleCrop>
  <LinksUpToDate>false</LinksUpToDate>
  <CharactersWithSpaces>13106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2022-05-31T04:26:00Z</dcterms:created>
  <dc:creator>PC</dc:creator>
  <cp:lastModifiedBy>好好的，就是她</cp:lastModifiedBy>
  <cp:lastPrinted>2020-10-15T07:54:00Z</cp:lastPrinted>
  <dcterms:modified xsi:type="dcterms:W3CDTF">2023-06-25T08:34:02Z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CCFBF63CC8E8453986DA9A3EF97AAE60_13</vt:lpwstr>
  </property>
</Properties>
</file>