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C31BF">
      <w:pPr>
        <w:spacing w:line="360" w:lineRule="auto"/>
        <w:ind w:firstLine="0" w:firstLineChars="0"/>
        <w:outlineLvl w:val="0"/>
        <w:rPr>
          <w:rFonts w:hint="eastAsia" w:ascii="仿宋" w:hAnsi="仿宋" w:eastAsia="仿宋" w:cs="仿宋"/>
          <w:color w:val="auto"/>
          <w:spacing w:val="80"/>
          <w:sz w:val="18"/>
          <w:szCs w:val="18"/>
          <w:highlight w:val="none"/>
        </w:rPr>
      </w:pPr>
    </w:p>
    <w:p w14:paraId="43213174">
      <w:pPr>
        <w:spacing w:line="360" w:lineRule="auto"/>
        <w:ind w:firstLine="0" w:firstLineChars="0"/>
        <w:jc w:val="center"/>
        <w:outlineLvl w:val="0"/>
        <w:rPr>
          <w:rFonts w:hint="eastAsia" w:ascii="仿宋" w:hAnsi="仿宋" w:eastAsia="仿宋" w:cs="仿宋"/>
          <w:color w:val="auto"/>
          <w:spacing w:val="80"/>
          <w:sz w:val="4"/>
          <w:szCs w:val="4"/>
          <w:highlight w:val="none"/>
        </w:rPr>
      </w:pPr>
      <w:r>
        <w:rPr>
          <w:rFonts w:hint="eastAsia" w:ascii="仿宋" w:hAnsi="仿宋" w:eastAsia="仿宋" w:cs="仿宋"/>
          <w:color w:val="auto"/>
          <w:spacing w:val="80"/>
          <w:sz w:val="44"/>
          <w:szCs w:val="44"/>
          <w:highlight w:val="none"/>
        </w:rPr>
        <w:t xml:space="preserve"> </w:t>
      </w:r>
    </w:p>
    <w:p w14:paraId="5A0D7A41">
      <w:pPr>
        <w:spacing w:line="240" w:lineRule="auto"/>
        <w:ind w:firstLine="0" w:firstLineChars="0"/>
        <w:jc w:val="center"/>
        <w:outlineLvl w:val="0"/>
        <w:rPr>
          <w:rFonts w:hint="eastAsia" w:ascii="仿宋" w:hAnsi="仿宋" w:eastAsia="仿宋" w:cs="仿宋"/>
          <w:color w:val="auto"/>
          <w:sz w:val="6"/>
          <w:szCs w:val="6"/>
          <w:highlight w:val="none"/>
        </w:rPr>
      </w:pPr>
    </w:p>
    <w:p w14:paraId="1369277E">
      <w:pPr>
        <w:spacing w:line="360" w:lineRule="auto"/>
        <w:ind w:left="0" w:leftChars="0" w:firstLine="0" w:firstLineChars="0"/>
        <w:jc w:val="center"/>
        <w:outlineLvl w:val="0"/>
        <w:rPr>
          <w:rFonts w:hint="eastAsia" w:ascii="仿宋" w:hAnsi="仿宋" w:eastAsia="仿宋" w:cs="仿宋"/>
          <w:b/>
          <w:bCs/>
          <w:color w:val="auto"/>
          <w:spacing w:val="80"/>
          <w:sz w:val="96"/>
          <w:szCs w:val="96"/>
          <w:highlight w:val="none"/>
          <w:lang w:eastAsia="zh-CN"/>
        </w:rPr>
      </w:pPr>
    </w:p>
    <w:p w14:paraId="1500CCE4">
      <w:pPr>
        <w:spacing w:line="360" w:lineRule="auto"/>
        <w:ind w:left="0" w:leftChars="0" w:firstLine="0" w:firstLineChars="0"/>
        <w:jc w:val="center"/>
        <w:outlineLvl w:val="0"/>
        <w:rPr>
          <w:rFonts w:hint="eastAsia" w:ascii="仿宋" w:hAnsi="仿宋" w:eastAsia="仿宋" w:cs="仿宋"/>
          <w:b/>
          <w:bCs/>
          <w:color w:val="auto"/>
          <w:spacing w:val="80"/>
          <w:sz w:val="96"/>
          <w:szCs w:val="96"/>
          <w:highlight w:val="none"/>
        </w:rPr>
      </w:pPr>
      <w:r>
        <w:rPr>
          <w:rFonts w:hint="eastAsia" w:ascii="仿宋" w:hAnsi="仿宋" w:eastAsia="仿宋" w:cs="仿宋"/>
          <w:b/>
          <w:bCs/>
          <w:color w:val="auto"/>
          <w:spacing w:val="80"/>
          <w:sz w:val="96"/>
          <w:szCs w:val="96"/>
          <w:highlight w:val="none"/>
          <w:lang w:eastAsia="zh-CN"/>
        </w:rPr>
        <w:t>竞争性比选</w:t>
      </w:r>
      <w:r>
        <w:rPr>
          <w:rFonts w:hint="eastAsia" w:ascii="仿宋" w:hAnsi="仿宋" w:eastAsia="仿宋" w:cs="仿宋"/>
          <w:b/>
          <w:bCs/>
          <w:color w:val="auto"/>
          <w:spacing w:val="80"/>
          <w:sz w:val="96"/>
          <w:szCs w:val="96"/>
          <w:highlight w:val="none"/>
        </w:rPr>
        <w:t>文件</w:t>
      </w:r>
    </w:p>
    <w:p w14:paraId="005CFE3F">
      <w:pPr>
        <w:spacing w:line="240" w:lineRule="auto"/>
        <w:ind w:firstLine="0" w:firstLineChars="0"/>
        <w:jc w:val="center"/>
        <w:outlineLvl w:val="0"/>
        <w:rPr>
          <w:rFonts w:hint="eastAsia" w:ascii="仿宋" w:hAnsi="仿宋" w:eastAsia="仿宋" w:cs="仿宋"/>
          <w:color w:val="auto"/>
          <w:highlight w:val="none"/>
          <w:lang w:eastAsia="zh-CN"/>
        </w:rPr>
      </w:pPr>
    </w:p>
    <w:p w14:paraId="093134CD">
      <w:pPr>
        <w:spacing w:line="360" w:lineRule="auto"/>
        <w:ind w:firstLine="0" w:firstLineChars="0"/>
        <w:jc w:val="both"/>
        <w:outlineLvl w:val="0"/>
        <w:rPr>
          <w:rFonts w:hint="eastAsia" w:ascii="仿宋" w:hAnsi="仿宋" w:eastAsia="仿宋" w:cs="仿宋"/>
          <w:color w:val="auto"/>
          <w:spacing w:val="80"/>
          <w:sz w:val="44"/>
          <w:szCs w:val="44"/>
          <w:highlight w:val="none"/>
        </w:rPr>
      </w:pPr>
    </w:p>
    <w:p w14:paraId="7C21C4B2">
      <w:pPr>
        <w:spacing w:line="360" w:lineRule="auto"/>
        <w:ind w:firstLine="3600" w:firstLineChars="1000"/>
        <w:jc w:val="both"/>
        <w:rPr>
          <w:rFonts w:hint="eastAsia" w:ascii="仿宋" w:hAnsi="仿宋" w:eastAsia="仿宋" w:cs="仿宋"/>
          <w:color w:val="auto"/>
          <w:sz w:val="36"/>
          <w:szCs w:val="30"/>
          <w:highlight w:val="none"/>
        </w:rPr>
      </w:pPr>
      <w:r>
        <w:rPr>
          <w:rFonts w:hint="eastAsia" w:ascii="仿宋" w:hAnsi="仿宋" w:eastAsia="仿宋" w:cs="仿宋"/>
          <w:color w:val="auto"/>
          <w:sz w:val="36"/>
          <w:szCs w:val="30"/>
          <w:highlight w:val="none"/>
        </w:rPr>
        <w:t xml:space="preserve">            </w:t>
      </w:r>
    </w:p>
    <w:p w14:paraId="49DF1F01">
      <w:pPr>
        <w:spacing w:line="360" w:lineRule="auto"/>
        <w:ind w:firstLine="720"/>
        <w:rPr>
          <w:rFonts w:hint="eastAsia" w:ascii="仿宋" w:hAnsi="仿宋" w:eastAsia="仿宋" w:cs="仿宋"/>
          <w:color w:val="auto"/>
          <w:sz w:val="36"/>
          <w:szCs w:val="30"/>
          <w:highlight w:val="none"/>
        </w:rPr>
      </w:pPr>
    </w:p>
    <w:p w14:paraId="3D69CF74">
      <w:pPr>
        <w:pStyle w:val="23"/>
        <w:ind w:left="0" w:leftChars="0" w:firstLine="0" w:firstLineChars="0"/>
        <w:rPr>
          <w:rFonts w:hint="eastAsia" w:ascii="仿宋" w:hAnsi="仿宋" w:eastAsia="仿宋" w:cs="仿宋"/>
          <w:b w:val="0"/>
          <w:bCs w:val="0"/>
          <w:color w:val="auto"/>
          <w:highlight w:val="none"/>
          <w:lang w:eastAsia="zh-CN"/>
        </w:rPr>
      </w:pPr>
    </w:p>
    <w:p w14:paraId="18EB48E7">
      <w:pPr>
        <w:ind w:firstLine="723" w:firstLineChars="200"/>
        <w:jc w:val="both"/>
        <w:outlineLvl w:val="0"/>
        <w:rPr>
          <w:rFonts w:hint="eastAsia" w:ascii="仿宋" w:hAnsi="仿宋" w:eastAsia="仿宋" w:cs="仿宋"/>
          <w:b/>
          <w:bCs/>
          <w:color w:val="auto"/>
          <w:sz w:val="36"/>
          <w:szCs w:val="36"/>
        </w:rPr>
      </w:pPr>
    </w:p>
    <w:p w14:paraId="6EEC345D">
      <w:pPr>
        <w:ind w:firstLine="723" w:firstLineChars="200"/>
        <w:jc w:val="both"/>
        <w:outlineLvl w:val="0"/>
        <w:rPr>
          <w:rFonts w:hint="eastAsia" w:ascii="仿宋" w:hAnsi="仿宋" w:eastAsia="仿宋" w:cs="仿宋"/>
          <w:b/>
          <w:bCs/>
          <w:color w:val="auto"/>
          <w:sz w:val="36"/>
          <w:szCs w:val="36"/>
        </w:rPr>
      </w:pPr>
    </w:p>
    <w:p w14:paraId="6C2F1C38">
      <w:pPr>
        <w:keepNext w:val="0"/>
        <w:keepLines w:val="0"/>
        <w:pageBreakBefore w:val="0"/>
        <w:widowControl/>
        <w:kinsoku/>
        <w:wordWrap/>
        <w:overflowPunct/>
        <w:topLinePunct w:val="0"/>
        <w:autoSpaceDE/>
        <w:autoSpaceDN/>
        <w:bidi w:val="0"/>
        <w:adjustRightInd/>
        <w:snapToGrid/>
        <w:spacing w:line="360" w:lineRule="auto"/>
        <w:ind w:left="2558" w:leftChars="399" w:hanging="1600" w:hangingChars="500"/>
        <w:jc w:val="both"/>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项目名称：</w:t>
      </w:r>
      <w:r>
        <w:rPr>
          <w:rFonts w:hint="eastAsia" w:ascii="仿宋" w:hAnsi="仿宋" w:eastAsia="仿宋" w:cs="仿宋"/>
          <w:b w:val="0"/>
          <w:bCs w:val="0"/>
          <w:color w:val="auto"/>
          <w:sz w:val="32"/>
          <w:szCs w:val="32"/>
          <w:lang w:eastAsia="zh-CN"/>
        </w:rPr>
        <w:t>重庆市荣昌区职业教育中心学生宿舍更换阳台门和一楼安装铝合金窗项目</w:t>
      </w:r>
    </w:p>
    <w:p w14:paraId="50A67F1C">
      <w:pPr>
        <w:keepNext w:val="0"/>
        <w:keepLines w:val="0"/>
        <w:pageBreakBefore w:val="0"/>
        <w:widowControl/>
        <w:kinsoku/>
        <w:wordWrap/>
        <w:overflowPunct/>
        <w:topLinePunct w:val="0"/>
        <w:autoSpaceDE/>
        <w:autoSpaceDN/>
        <w:bidi w:val="0"/>
        <w:adjustRightInd/>
        <w:snapToGrid/>
        <w:spacing w:line="360" w:lineRule="auto"/>
        <w:ind w:firstLine="960" w:firstLineChars="3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项目号：CQSH-ZB-2024-012</w:t>
      </w:r>
    </w:p>
    <w:p w14:paraId="583C4901">
      <w:pPr>
        <w:widowControl/>
        <w:ind w:firstLine="960" w:firstLineChars="300"/>
        <w:jc w:val="both"/>
        <w:rPr>
          <w:rFonts w:hint="eastAsia" w:ascii="仿宋" w:hAnsi="仿宋" w:eastAsia="仿宋" w:cs="仿宋"/>
          <w:b w:val="0"/>
          <w:bCs w:val="0"/>
          <w:color w:val="auto"/>
          <w:sz w:val="32"/>
          <w:szCs w:val="32"/>
        </w:rPr>
      </w:pPr>
    </w:p>
    <w:p w14:paraId="2C88CF24">
      <w:pPr>
        <w:pStyle w:val="31"/>
        <w:ind w:left="0" w:leftChars="0" w:firstLine="0" w:firstLineChars="0"/>
        <w:rPr>
          <w:rFonts w:hint="eastAsia" w:ascii="仿宋" w:hAnsi="仿宋" w:eastAsia="仿宋" w:cs="仿宋"/>
          <w:b w:val="0"/>
          <w:bCs w:val="0"/>
          <w:color w:val="auto"/>
          <w:sz w:val="36"/>
          <w:szCs w:val="30"/>
        </w:rPr>
      </w:pPr>
    </w:p>
    <w:p w14:paraId="7BDF625F">
      <w:pPr>
        <w:pStyle w:val="31"/>
        <w:rPr>
          <w:rFonts w:hint="eastAsia" w:ascii="仿宋" w:hAnsi="仿宋" w:eastAsia="仿宋" w:cs="仿宋"/>
          <w:b w:val="0"/>
          <w:bCs w:val="0"/>
          <w:color w:val="auto"/>
          <w:sz w:val="36"/>
          <w:szCs w:val="30"/>
        </w:rPr>
      </w:pPr>
    </w:p>
    <w:p w14:paraId="1F40E16E">
      <w:pPr>
        <w:pStyle w:val="31"/>
        <w:rPr>
          <w:rFonts w:hint="eastAsia" w:ascii="仿宋" w:hAnsi="仿宋" w:eastAsia="仿宋" w:cs="仿宋"/>
          <w:b w:val="0"/>
          <w:bCs w:val="0"/>
          <w:color w:val="auto"/>
          <w:sz w:val="36"/>
          <w:szCs w:val="30"/>
        </w:rPr>
      </w:pPr>
    </w:p>
    <w:p w14:paraId="25E7A739">
      <w:pPr>
        <w:widowControl/>
        <w:ind w:firstLine="1800" w:firstLineChars="500"/>
        <w:jc w:val="both"/>
        <w:rPr>
          <w:rFonts w:hint="eastAsia" w:ascii="仿宋" w:hAnsi="仿宋" w:eastAsia="仿宋" w:cs="仿宋"/>
          <w:b w:val="0"/>
          <w:bCs w:val="0"/>
          <w:color w:val="auto"/>
          <w:sz w:val="36"/>
          <w:szCs w:val="30"/>
        </w:rPr>
      </w:pPr>
    </w:p>
    <w:p w14:paraId="376C3DA4">
      <w:pPr>
        <w:keepNext w:val="0"/>
        <w:keepLines w:val="0"/>
        <w:pageBreakBefore w:val="0"/>
        <w:widowControl/>
        <w:kinsoku/>
        <w:wordWrap/>
        <w:overflowPunct/>
        <w:topLinePunct w:val="0"/>
        <w:autoSpaceDE/>
        <w:autoSpaceDN/>
        <w:bidi w:val="0"/>
        <w:adjustRightInd/>
        <w:snapToGrid/>
        <w:spacing w:line="360" w:lineRule="auto"/>
        <w:ind w:firstLine="960" w:firstLineChars="3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eastAsia="zh-CN"/>
        </w:rPr>
        <w:t>比选人</w:t>
      </w:r>
      <w:r>
        <w:rPr>
          <w:rFonts w:hint="eastAsia" w:ascii="仿宋" w:hAnsi="仿宋" w:eastAsia="仿宋" w:cs="仿宋"/>
          <w:b w:val="0"/>
          <w:bCs w:val="0"/>
          <w:color w:val="auto"/>
          <w:sz w:val="32"/>
          <w:szCs w:val="32"/>
        </w:rPr>
        <w:t>：</w:t>
      </w:r>
      <w:bookmarkStart w:id="0" w:name="采购人"/>
      <w:r>
        <w:rPr>
          <w:rFonts w:hint="eastAsia" w:ascii="仿宋" w:hAnsi="仿宋" w:eastAsia="仿宋" w:cs="仿宋"/>
          <w:b w:val="0"/>
          <w:bCs w:val="0"/>
          <w:color w:val="auto"/>
          <w:sz w:val="32"/>
          <w:szCs w:val="32"/>
        </w:rPr>
        <w:tab/>
      </w:r>
      <w:bookmarkEnd w:id="0"/>
      <w:r>
        <w:rPr>
          <w:rFonts w:hint="eastAsia" w:ascii="仿宋" w:hAnsi="仿宋" w:eastAsia="仿宋" w:cs="仿宋"/>
          <w:b w:val="0"/>
          <w:bCs w:val="0"/>
          <w:color w:val="auto"/>
          <w:sz w:val="32"/>
          <w:szCs w:val="32"/>
          <w:lang w:eastAsia="zh-CN"/>
        </w:rPr>
        <w:t>重庆市荣昌区职业教育中心</w:t>
      </w:r>
    </w:p>
    <w:p w14:paraId="58FCAD82">
      <w:pPr>
        <w:keepNext w:val="0"/>
        <w:keepLines w:val="0"/>
        <w:pageBreakBefore w:val="0"/>
        <w:widowControl/>
        <w:kinsoku/>
        <w:wordWrap/>
        <w:overflowPunct/>
        <w:topLinePunct w:val="0"/>
        <w:autoSpaceDE/>
        <w:autoSpaceDN/>
        <w:bidi w:val="0"/>
        <w:adjustRightInd/>
        <w:snapToGrid/>
        <w:spacing w:line="360" w:lineRule="auto"/>
        <w:ind w:firstLine="960" w:firstLineChars="300"/>
        <w:jc w:val="both"/>
        <w:textAlignment w:val="auto"/>
        <w:outlineLvl w:val="0"/>
        <w:rPr>
          <w:rFonts w:hint="eastAsia" w:ascii="仿宋" w:hAnsi="仿宋" w:eastAsia="仿宋" w:cs="仿宋"/>
          <w:b w:val="0"/>
          <w:bCs w:val="0"/>
          <w:color w:val="auto"/>
          <w:kern w:val="0"/>
          <w:sz w:val="32"/>
          <w:szCs w:val="32"/>
        </w:rPr>
      </w:pPr>
      <w:r>
        <w:rPr>
          <w:rFonts w:hint="eastAsia" w:ascii="仿宋" w:hAnsi="仿宋" w:eastAsia="仿宋" w:cs="仿宋"/>
          <w:b w:val="0"/>
          <w:bCs w:val="0"/>
          <w:color w:val="auto"/>
          <w:sz w:val="32"/>
          <w:szCs w:val="32"/>
          <w:lang w:eastAsia="zh-CN"/>
        </w:rPr>
        <w:t>代理机构：重庆昇晖工程咨询有限公司</w:t>
      </w:r>
    </w:p>
    <w:p w14:paraId="7D261D2B">
      <w:pPr>
        <w:keepNext w:val="0"/>
        <w:keepLines w:val="0"/>
        <w:pageBreakBefore w:val="0"/>
        <w:widowControl/>
        <w:kinsoku/>
        <w:wordWrap/>
        <w:overflowPunct/>
        <w:topLinePunct w:val="0"/>
        <w:autoSpaceDE/>
        <w:autoSpaceDN/>
        <w:bidi w:val="0"/>
        <w:adjustRightInd/>
        <w:snapToGrid/>
        <w:spacing w:line="360" w:lineRule="auto"/>
        <w:ind w:firstLine="960" w:firstLineChars="300"/>
        <w:jc w:val="both"/>
        <w:textAlignment w:val="auto"/>
        <w:outlineLvl w:val="0"/>
        <w:rPr>
          <w:rFonts w:hint="eastAsia" w:ascii="仿宋" w:hAnsi="仿宋" w:eastAsia="仿宋" w:cs="仿宋"/>
          <w:b w:val="0"/>
          <w:bCs w:val="0"/>
          <w:color w:val="auto"/>
          <w:kern w:val="0"/>
          <w:sz w:val="32"/>
          <w:szCs w:val="32"/>
        </w:rPr>
      </w:pPr>
      <w:r>
        <w:rPr>
          <w:rFonts w:hint="eastAsia" w:ascii="仿宋" w:hAnsi="仿宋" w:eastAsia="仿宋" w:cs="仿宋"/>
          <w:b w:val="0"/>
          <w:bCs w:val="0"/>
          <w:color w:val="auto"/>
          <w:kern w:val="0"/>
          <w:sz w:val="32"/>
          <w:szCs w:val="32"/>
          <w:lang w:eastAsia="zh-CN"/>
        </w:rPr>
        <w:t>编制时间：</w:t>
      </w:r>
      <w:r>
        <w:rPr>
          <w:rFonts w:hint="eastAsia" w:ascii="仿宋" w:hAnsi="仿宋" w:eastAsia="仿宋" w:cs="仿宋"/>
          <w:b w:val="0"/>
          <w:bCs w:val="0"/>
          <w:color w:val="auto"/>
          <w:kern w:val="0"/>
          <w:sz w:val="32"/>
          <w:szCs w:val="32"/>
        </w:rPr>
        <w:t>二〇</w:t>
      </w:r>
      <w:r>
        <w:rPr>
          <w:rFonts w:hint="eastAsia" w:ascii="仿宋" w:hAnsi="仿宋" w:eastAsia="仿宋" w:cs="仿宋"/>
          <w:b w:val="0"/>
          <w:bCs w:val="0"/>
          <w:color w:val="auto"/>
          <w:kern w:val="0"/>
          <w:sz w:val="32"/>
          <w:szCs w:val="32"/>
          <w:lang w:eastAsia="zh-CN"/>
        </w:rPr>
        <w:t>二四</w:t>
      </w:r>
      <w:r>
        <w:rPr>
          <w:rFonts w:hint="eastAsia" w:ascii="仿宋" w:hAnsi="仿宋" w:eastAsia="仿宋" w:cs="仿宋"/>
          <w:b w:val="0"/>
          <w:bCs w:val="0"/>
          <w:color w:val="auto"/>
          <w:kern w:val="0"/>
          <w:sz w:val="32"/>
          <w:szCs w:val="32"/>
        </w:rPr>
        <w:t>年</w:t>
      </w:r>
      <w:r>
        <w:rPr>
          <w:rFonts w:hint="eastAsia" w:ascii="仿宋" w:hAnsi="仿宋" w:eastAsia="仿宋" w:cs="仿宋"/>
          <w:b w:val="0"/>
          <w:bCs w:val="0"/>
          <w:color w:val="auto"/>
          <w:kern w:val="0"/>
          <w:sz w:val="32"/>
          <w:szCs w:val="32"/>
          <w:lang w:val="en-US" w:eastAsia="zh-CN"/>
        </w:rPr>
        <w:t>十二</w:t>
      </w:r>
      <w:r>
        <w:rPr>
          <w:rFonts w:hint="eastAsia" w:ascii="仿宋" w:hAnsi="仿宋" w:eastAsia="仿宋" w:cs="仿宋"/>
          <w:b w:val="0"/>
          <w:bCs w:val="0"/>
          <w:color w:val="auto"/>
          <w:kern w:val="0"/>
          <w:sz w:val="32"/>
          <w:szCs w:val="32"/>
        </w:rPr>
        <w:t>月</w:t>
      </w:r>
    </w:p>
    <w:p w14:paraId="01C5D724">
      <w:pPr>
        <w:snapToGrid w:val="0"/>
        <w:spacing w:line="500" w:lineRule="exact"/>
        <w:ind w:firstLine="880"/>
        <w:jc w:val="center"/>
        <w:rPr>
          <w:rFonts w:hint="eastAsia" w:ascii="仿宋" w:hAnsi="仿宋" w:eastAsia="仿宋" w:cs="仿宋"/>
          <w:color w:val="auto"/>
          <w:sz w:val="44"/>
          <w:highlight w:val="none"/>
        </w:rPr>
      </w:pPr>
    </w:p>
    <w:p w14:paraId="68D3E8ED">
      <w:pPr>
        <w:snapToGrid w:val="0"/>
        <w:spacing w:line="500" w:lineRule="exact"/>
        <w:ind w:firstLine="880"/>
        <w:jc w:val="center"/>
        <w:rPr>
          <w:rFonts w:hint="eastAsia" w:ascii="仿宋" w:hAnsi="仿宋" w:eastAsia="仿宋" w:cs="仿宋"/>
          <w:color w:val="auto"/>
          <w:sz w:val="44"/>
          <w:highlight w:val="none"/>
        </w:rPr>
      </w:pPr>
    </w:p>
    <w:p w14:paraId="64442AE1">
      <w:pPr>
        <w:snapToGrid w:val="0"/>
        <w:spacing w:line="500" w:lineRule="exact"/>
        <w:ind w:firstLine="880"/>
        <w:jc w:val="center"/>
        <w:rPr>
          <w:rFonts w:hint="eastAsia" w:ascii="仿宋" w:hAnsi="仿宋" w:eastAsia="仿宋" w:cs="仿宋"/>
          <w:color w:val="auto"/>
          <w:sz w:val="44"/>
          <w:highlight w:val="none"/>
        </w:rPr>
      </w:pPr>
    </w:p>
    <w:p w14:paraId="6633F589">
      <w:pPr>
        <w:pStyle w:val="31"/>
        <w:ind w:left="0" w:leftChars="0" w:firstLine="0" w:firstLineChars="0"/>
        <w:rPr>
          <w:rFonts w:hint="eastAsia" w:ascii="仿宋" w:hAnsi="仿宋" w:eastAsia="仿宋" w:cs="仿宋"/>
          <w:color w:val="auto"/>
          <w:sz w:val="44"/>
          <w:highlight w:val="none"/>
        </w:rPr>
      </w:pPr>
    </w:p>
    <w:p w14:paraId="28DC0E71">
      <w:pPr>
        <w:pStyle w:val="31"/>
        <w:rPr>
          <w:rFonts w:hint="eastAsia" w:ascii="仿宋" w:hAnsi="仿宋" w:eastAsia="仿宋" w:cs="仿宋"/>
          <w:color w:val="auto"/>
          <w:sz w:val="44"/>
          <w:highlight w:val="none"/>
        </w:rPr>
      </w:pPr>
    </w:p>
    <w:p w14:paraId="47889E8A">
      <w:pPr>
        <w:snapToGrid w:val="0"/>
        <w:spacing w:line="500" w:lineRule="exact"/>
        <w:ind w:firstLine="880"/>
        <w:jc w:val="center"/>
        <w:rPr>
          <w:rFonts w:hint="eastAsia" w:ascii="仿宋" w:hAnsi="仿宋" w:eastAsia="仿宋" w:cs="仿宋"/>
          <w:color w:val="auto"/>
          <w:sz w:val="44"/>
          <w:highlight w:val="none"/>
        </w:rPr>
      </w:pPr>
      <w:r>
        <w:rPr>
          <w:rFonts w:hint="eastAsia" w:ascii="仿宋" w:hAnsi="仿宋" w:eastAsia="仿宋" w:cs="仿宋"/>
          <w:color w:val="auto"/>
          <w:sz w:val="44"/>
          <w:highlight w:val="none"/>
        </w:rPr>
        <w:t>目  录</w:t>
      </w:r>
    </w:p>
    <w:p w14:paraId="0A1325E6">
      <w:pPr>
        <w:spacing w:before="0" w:beforeLines="0" w:after="0" w:afterLines="0" w:line="360" w:lineRule="auto"/>
        <w:ind w:left="0" w:leftChars="0" w:right="0" w:rightChars="0" w:firstLine="0" w:firstLineChars="0"/>
        <w:jc w:val="center"/>
        <w:rPr>
          <w:rFonts w:hint="eastAsia" w:ascii="仿宋" w:hAnsi="仿宋" w:eastAsia="仿宋" w:cs="仿宋"/>
          <w:b/>
          <w:bCs/>
          <w:sz w:val="24"/>
          <w:szCs w:val="24"/>
          <w:highlight w:val="none"/>
        </w:rPr>
      </w:pPr>
      <w:bookmarkStart w:id="1" w:name="_Toc75793495"/>
      <w:bookmarkStart w:id="2" w:name="_Toc14366"/>
      <w:bookmarkStart w:id="3" w:name="_Toc1386"/>
      <w:bookmarkStart w:id="4" w:name="_Toc2977"/>
      <w:bookmarkStart w:id="5" w:name="_Toc4502"/>
      <w:bookmarkStart w:id="6" w:name="_Toc5284"/>
      <w:bookmarkStart w:id="7" w:name="_Toc21468"/>
      <w:bookmarkStart w:id="8" w:name="_Toc21631"/>
      <w:bookmarkStart w:id="9" w:name="_Toc6967"/>
      <w:bookmarkStart w:id="10" w:name="_Toc119579763"/>
      <w:bookmarkStart w:id="11" w:name="_Toc119949862"/>
      <w:bookmarkStart w:id="12" w:name="_Toc5896"/>
      <w:bookmarkStart w:id="13" w:name="_Toc19468"/>
      <w:bookmarkStart w:id="14" w:name="_Toc31300"/>
      <w:bookmarkStart w:id="15" w:name="_Toc25832"/>
      <w:bookmarkStart w:id="16" w:name="_Toc21693"/>
      <w:bookmarkStart w:id="17" w:name="_Toc16178"/>
      <w:bookmarkStart w:id="18" w:name="_Toc19185"/>
      <w:bookmarkStart w:id="19" w:name="_Toc20357"/>
      <w:bookmarkStart w:id="20" w:name="_Toc27576"/>
    </w:p>
    <w:p w14:paraId="69044CB0">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 w:val="24"/>
          <w:szCs w:val="24"/>
          <w:highlight w:val="none"/>
        </w:rPr>
        <w:fldChar w:fldCharType="begin"/>
      </w:r>
      <w:r>
        <w:rPr>
          <w:rFonts w:hint="eastAsia" w:ascii="仿宋" w:hAnsi="仿宋" w:eastAsia="仿宋" w:cs="仿宋"/>
          <w:b w:val="0"/>
          <w:bCs/>
          <w:sz w:val="24"/>
          <w:szCs w:val="24"/>
          <w:highlight w:val="none"/>
        </w:rPr>
        <w:instrText xml:space="preserve">TOC \o "1-1" \h \u </w:instrText>
      </w:r>
      <w:r>
        <w:rPr>
          <w:rFonts w:hint="eastAsia" w:ascii="仿宋" w:hAnsi="仿宋" w:eastAsia="仿宋" w:cs="仿宋"/>
          <w:b w:val="0"/>
          <w:bCs/>
          <w:sz w:val="24"/>
          <w:szCs w:val="24"/>
          <w:highlight w:val="none"/>
        </w:rPr>
        <w:fldChar w:fldCharType="separate"/>
      </w: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_Toc19185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 xml:space="preserve">第一篇  </w:t>
      </w:r>
      <w:r>
        <w:rPr>
          <w:rFonts w:hint="eastAsia" w:ascii="仿宋" w:hAnsi="仿宋" w:eastAsia="仿宋" w:cs="仿宋"/>
          <w:b w:val="0"/>
          <w:bCs/>
          <w:szCs w:val="36"/>
          <w:highlight w:val="none"/>
          <w:lang w:eastAsia="zh-CN"/>
        </w:rPr>
        <w:t>比选公告</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1</w:t>
      </w:r>
      <w:r>
        <w:rPr>
          <w:rFonts w:hint="eastAsia" w:ascii="仿宋" w:hAnsi="仿宋" w:eastAsia="仿宋" w:cs="仿宋"/>
          <w:b w:val="0"/>
          <w:bCs/>
          <w:szCs w:val="24"/>
          <w:highlight w:val="none"/>
        </w:rPr>
        <w:fldChar w:fldCharType="end"/>
      </w:r>
    </w:p>
    <w:p w14:paraId="65FEF8B8">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_Toc9042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rPr>
        <w:t>一、</w:t>
      </w:r>
      <w:r>
        <w:rPr>
          <w:rFonts w:hint="eastAsia" w:ascii="仿宋" w:hAnsi="仿宋" w:eastAsia="仿宋" w:cs="仿宋"/>
          <w:b w:val="0"/>
          <w:bCs/>
          <w:szCs w:val="24"/>
          <w:highlight w:val="none"/>
          <w:lang w:val="en-US" w:eastAsia="zh-CN"/>
        </w:rPr>
        <w:t>项目</w:t>
      </w:r>
      <w:r>
        <w:rPr>
          <w:rFonts w:hint="eastAsia" w:ascii="仿宋" w:hAnsi="仿宋" w:eastAsia="仿宋" w:cs="仿宋"/>
          <w:b w:val="0"/>
          <w:bCs/>
          <w:szCs w:val="24"/>
          <w:highlight w:val="none"/>
        </w:rPr>
        <w:t>内容</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1</w:t>
      </w:r>
      <w:r>
        <w:rPr>
          <w:rFonts w:hint="eastAsia" w:ascii="仿宋" w:hAnsi="仿宋" w:eastAsia="仿宋" w:cs="仿宋"/>
          <w:b w:val="0"/>
          <w:bCs/>
          <w:szCs w:val="24"/>
          <w:highlight w:val="none"/>
        </w:rPr>
        <w:fldChar w:fldCharType="end"/>
      </w:r>
    </w:p>
    <w:p w14:paraId="3FB547C8">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_Toc28467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rPr>
        <w:t>二、</w:t>
      </w:r>
      <w:r>
        <w:rPr>
          <w:rFonts w:hint="eastAsia" w:ascii="仿宋" w:hAnsi="仿宋" w:eastAsia="仿宋" w:cs="仿宋"/>
          <w:b w:val="0"/>
          <w:bCs/>
          <w:szCs w:val="24"/>
          <w:highlight w:val="none"/>
          <w:lang w:val="en-US" w:eastAsia="zh-CN"/>
        </w:rPr>
        <w:t>资格条件</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1</w:t>
      </w:r>
      <w:r>
        <w:rPr>
          <w:rFonts w:hint="eastAsia" w:ascii="仿宋" w:hAnsi="仿宋" w:eastAsia="仿宋" w:cs="仿宋"/>
          <w:b w:val="0"/>
          <w:bCs/>
          <w:szCs w:val="24"/>
          <w:highlight w:val="none"/>
        </w:rPr>
        <w:fldChar w:fldCharType="end"/>
      </w:r>
    </w:p>
    <w:p w14:paraId="3907DE77">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_Toc29229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三</w:t>
      </w:r>
      <w:r>
        <w:rPr>
          <w:rFonts w:hint="eastAsia" w:ascii="仿宋" w:hAnsi="仿宋" w:eastAsia="仿宋" w:cs="仿宋"/>
          <w:b w:val="0"/>
          <w:bCs/>
          <w:szCs w:val="24"/>
          <w:highlight w:val="none"/>
        </w:rPr>
        <w:t>、</w:t>
      </w:r>
      <w:r>
        <w:rPr>
          <w:rFonts w:hint="eastAsia" w:ascii="仿宋" w:hAnsi="仿宋" w:eastAsia="仿宋" w:cs="仿宋"/>
          <w:b w:val="0"/>
          <w:bCs/>
          <w:szCs w:val="24"/>
          <w:highlight w:val="none"/>
          <w:lang w:eastAsia="zh-CN"/>
        </w:rPr>
        <w:t>比选</w:t>
      </w:r>
      <w:r>
        <w:rPr>
          <w:rFonts w:hint="eastAsia" w:ascii="仿宋" w:hAnsi="仿宋" w:eastAsia="仿宋" w:cs="仿宋"/>
          <w:b w:val="0"/>
          <w:bCs/>
          <w:szCs w:val="24"/>
          <w:highlight w:val="none"/>
        </w:rPr>
        <w:t>相关说明</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1</w:t>
      </w:r>
      <w:r>
        <w:rPr>
          <w:rFonts w:hint="eastAsia" w:ascii="仿宋" w:hAnsi="仿宋" w:eastAsia="仿宋" w:cs="仿宋"/>
          <w:b w:val="0"/>
          <w:bCs/>
          <w:szCs w:val="24"/>
          <w:highlight w:val="none"/>
        </w:rPr>
        <w:fldChar w:fldCharType="end"/>
      </w:r>
    </w:p>
    <w:p w14:paraId="609D9367">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_Toc26621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四</w:t>
      </w:r>
      <w:r>
        <w:rPr>
          <w:rFonts w:hint="eastAsia" w:ascii="仿宋" w:hAnsi="仿宋" w:eastAsia="仿宋" w:cs="仿宋"/>
          <w:b w:val="0"/>
          <w:bCs/>
          <w:szCs w:val="24"/>
          <w:highlight w:val="none"/>
        </w:rPr>
        <w:t>、保证金</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p>
    <w:p w14:paraId="00FB93AC">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_Toc13139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五</w:t>
      </w:r>
      <w:r>
        <w:rPr>
          <w:rFonts w:hint="eastAsia" w:ascii="仿宋" w:hAnsi="仿宋" w:eastAsia="仿宋" w:cs="仿宋"/>
          <w:b w:val="0"/>
          <w:bCs/>
          <w:szCs w:val="24"/>
          <w:highlight w:val="none"/>
        </w:rPr>
        <w:t>、其它有关规定</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p>
    <w:p w14:paraId="49989760">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_Toc22000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六</w:t>
      </w:r>
      <w:r>
        <w:rPr>
          <w:rFonts w:hint="eastAsia" w:ascii="仿宋" w:hAnsi="仿宋" w:eastAsia="仿宋" w:cs="仿宋"/>
          <w:b w:val="0"/>
          <w:bCs/>
          <w:szCs w:val="24"/>
          <w:highlight w:val="none"/>
        </w:rPr>
        <w:t>、联系方式</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3</w:t>
      </w:r>
      <w:r>
        <w:rPr>
          <w:rFonts w:hint="eastAsia" w:ascii="仿宋" w:hAnsi="仿宋" w:eastAsia="仿宋" w:cs="仿宋"/>
          <w:b w:val="0"/>
          <w:bCs/>
          <w:szCs w:val="24"/>
          <w:highlight w:val="none"/>
        </w:rPr>
        <w:fldChar w:fldCharType="end"/>
      </w:r>
    </w:p>
    <w:p w14:paraId="29285ED4">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_Toc32622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 xml:space="preserve">第二篇  </w:t>
      </w:r>
      <w:r>
        <w:rPr>
          <w:rFonts w:hint="eastAsia" w:ascii="仿宋" w:hAnsi="仿宋" w:eastAsia="仿宋" w:cs="仿宋"/>
          <w:b w:val="0"/>
          <w:bCs/>
          <w:szCs w:val="36"/>
          <w:highlight w:val="none"/>
          <w:lang w:val="en-US" w:eastAsia="zh-CN"/>
        </w:rPr>
        <w:t>竞选人须知</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4</w:t>
      </w:r>
      <w:r>
        <w:rPr>
          <w:rFonts w:hint="eastAsia" w:ascii="仿宋" w:hAnsi="仿宋" w:eastAsia="仿宋" w:cs="仿宋"/>
          <w:b w:val="0"/>
          <w:bCs/>
          <w:szCs w:val="24"/>
          <w:highlight w:val="none"/>
        </w:rPr>
        <w:fldChar w:fldCharType="end"/>
      </w:r>
    </w:p>
    <w:p w14:paraId="76736A07">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_Toc12642 </w:instrText>
      </w:r>
      <w:r>
        <w:rPr>
          <w:rFonts w:hint="eastAsia" w:ascii="仿宋" w:hAnsi="仿宋" w:eastAsia="仿宋" w:cs="仿宋"/>
          <w:b w:val="0"/>
          <w:bCs/>
          <w:szCs w:val="24"/>
          <w:highlight w:val="none"/>
        </w:rPr>
        <w:fldChar w:fldCharType="separate"/>
      </w:r>
      <w:r>
        <w:rPr>
          <w:rFonts w:hint="eastAsia" w:ascii="仿宋" w:hAnsi="仿宋" w:eastAsia="仿宋" w:cs="仿宋"/>
          <w:b w:val="0"/>
          <w:bCs/>
          <w:highlight w:val="none"/>
        </w:rPr>
        <w:t>一、项目一览表</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4</w:t>
      </w:r>
      <w:r>
        <w:rPr>
          <w:rFonts w:hint="eastAsia" w:ascii="仿宋" w:hAnsi="仿宋" w:eastAsia="仿宋" w:cs="仿宋"/>
          <w:b w:val="0"/>
          <w:bCs/>
          <w:szCs w:val="24"/>
          <w:highlight w:val="none"/>
        </w:rPr>
        <w:fldChar w:fldCharType="end"/>
      </w:r>
    </w:p>
    <w:p w14:paraId="0DDDE5C9">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_Toc10474 </w:instrText>
      </w:r>
      <w:r>
        <w:rPr>
          <w:rFonts w:hint="eastAsia" w:ascii="仿宋" w:hAnsi="仿宋" w:eastAsia="仿宋" w:cs="仿宋"/>
          <w:b w:val="0"/>
          <w:bCs/>
          <w:szCs w:val="24"/>
          <w:highlight w:val="none"/>
        </w:rPr>
        <w:fldChar w:fldCharType="separate"/>
      </w:r>
      <w:r>
        <w:rPr>
          <w:rFonts w:hint="eastAsia" w:ascii="仿宋" w:hAnsi="仿宋" w:eastAsia="仿宋" w:cs="仿宋"/>
          <w:b w:val="0"/>
          <w:bCs/>
          <w:highlight w:val="none"/>
          <w:lang w:eastAsia="zh-CN"/>
        </w:rPr>
        <w:t>二</w:t>
      </w:r>
      <w:r>
        <w:rPr>
          <w:rFonts w:hint="eastAsia" w:ascii="仿宋" w:hAnsi="仿宋" w:eastAsia="仿宋" w:cs="仿宋"/>
          <w:b w:val="0"/>
          <w:bCs/>
          <w:highlight w:val="none"/>
        </w:rPr>
        <w:t>、竞选人须知附表</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4</w:t>
      </w:r>
      <w:r>
        <w:rPr>
          <w:rFonts w:hint="eastAsia" w:ascii="仿宋" w:hAnsi="仿宋" w:eastAsia="仿宋" w:cs="仿宋"/>
          <w:b w:val="0"/>
          <w:bCs/>
          <w:szCs w:val="24"/>
          <w:highlight w:val="none"/>
        </w:rPr>
        <w:fldChar w:fldCharType="end"/>
      </w:r>
    </w:p>
    <w:p w14:paraId="2CAB9370">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_Toc32682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第三篇  项目商务需求</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2A77DDB5">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_Toc5019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一、项目工期、地点、验收方式</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36342F4A">
      <w:pPr>
        <w:pStyle w:val="15"/>
        <w:tabs>
          <w:tab w:val="right" w:leader="dot" w:pos="9639"/>
          <w:tab w:val="clear" w:pos="9120"/>
        </w:tabs>
        <w:spacing w:line="360" w:lineRule="auto"/>
        <w:rPr>
          <w:rFonts w:hint="eastAsia" w:ascii="仿宋" w:hAnsi="仿宋" w:eastAsia="仿宋" w:cs="仿宋"/>
          <w:b w:val="0"/>
          <w:bCs/>
          <w:highlight w:val="none"/>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_Toc20007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二、质量保证及售后服务</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4805AACE">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_Toc9004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三、知识产权</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5A524DF5">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_Toc27488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24"/>
          <w:highlight w:val="none"/>
          <w:lang w:val="en-US" w:eastAsia="zh-CN"/>
        </w:rPr>
        <w:t>四、其他</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29AFCC58">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_Toc10747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lang w:val="en-US" w:eastAsia="zh-CN"/>
        </w:rPr>
        <w:t>第四篇  评标办法（经评审的最低投标价法）</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2</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9</w:t>
      </w:r>
    </w:p>
    <w:p w14:paraId="1475EFC1">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_Toc1696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 xml:space="preserve">第五篇  </w:t>
      </w:r>
      <w:r>
        <w:rPr>
          <w:rFonts w:hint="eastAsia" w:ascii="仿宋" w:hAnsi="仿宋" w:eastAsia="仿宋" w:cs="仿宋"/>
          <w:b w:val="0"/>
          <w:bCs/>
          <w:szCs w:val="36"/>
          <w:highlight w:val="none"/>
          <w:lang w:val="en-US" w:eastAsia="zh-CN"/>
        </w:rPr>
        <w:t>工程量清单</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3</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6593851C">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_Toc5752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第六篇  合同草案条款</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3</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8</w:t>
      </w:r>
    </w:p>
    <w:p w14:paraId="147A06E8">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_Toc7668 </w:instrText>
      </w:r>
      <w:r>
        <w:rPr>
          <w:rFonts w:hint="eastAsia" w:ascii="仿宋" w:hAnsi="仿宋" w:eastAsia="仿宋" w:cs="仿宋"/>
          <w:b w:val="0"/>
          <w:bCs/>
          <w:szCs w:val="24"/>
          <w:highlight w:val="none"/>
        </w:rPr>
        <w:fldChar w:fldCharType="separate"/>
      </w:r>
      <w:r>
        <w:rPr>
          <w:rFonts w:hint="eastAsia" w:ascii="仿宋" w:hAnsi="仿宋" w:eastAsia="仿宋" w:cs="仿宋"/>
          <w:b w:val="0"/>
          <w:bCs/>
          <w:szCs w:val="36"/>
          <w:highlight w:val="none"/>
        </w:rPr>
        <w:t xml:space="preserve">第七篇  </w:t>
      </w:r>
      <w:r>
        <w:rPr>
          <w:rFonts w:hint="eastAsia" w:ascii="仿宋" w:hAnsi="仿宋" w:eastAsia="仿宋" w:cs="仿宋"/>
          <w:b w:val="0"/>
          <w:bCs/>
          <w:szCs w:val="36"/>
          <w:highlight w:val="none"/>
          <w:lang w:eastAsia="zh-CN"/>
        </w:rPr>
        <w:t>竞选</w:t>
      </w:r>
      <w:r>
        <w:rPr>
          <w:rFonts w:hint="eastAsia" w:ascii="仿宋" w:hAnsi="仿宋" w:eastAsia="仿宋" w:cs="仿宋"/>
          <w:b w:val="0"/>
          <w:bCs/>
          <w:szCs w:val="36"/>
          <w:highlight w:val="none"/>
        </w:rPr>
        <w:t>文件格式要求</w:t>
      </w:r>
      <w:r>
        <w:rPr>
          <w:rFonts w:hint="eastAsia" w:ascii="仿宋" w:hAnsi="仿宋" w:eastAsia="仿宋" w:cs="仿宋"/>
          <w:b w:val="0"/>
          <w:bCs/>
          <w:highlight w:val="none"/>
        </w:rPr>
        <w:tab/>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39</w:t>
      </w:r>
    </w:p>
    <w:p w14:paraId="24C6FCFD">
      <w:pPr>
        <w:pStyle w:val="15"/>
        <w:tabs>
          <w:tab w:val="right" w:leader="dot" w:pos="9639"/>
          <w:tab w:val="clear" w:pos="9120"/>
        </w:tabs>
        <w:spacing w:line="360" w:lineRule="auto"/>
        <w:rPr>
          <w:rFonts w:hint="eastAsia" w:ascii="仿宋" w:hAnsi="仿宋" w:eastAsia="仿宋" w:cs="仿宋"/>
          <w:b w:val="0"/>
          <w:bCs/>
          <w:highlight w:val="none"/>
          <w:lang w:val="en-US" w:eastAsia="zh-CN"/>
        </w:rPr>
      </w:pPr>
      <w:r>
        <w:rPr>
          <w:rFonts w:hint="eastAsia" w:ascii="仿宋" w:hAnsi="仿宋" w:eastAsia="仿宋" w:cs="仿宋"/>
          <w:b w:val="0"/>
          <w:bCs/>
          <w:szCs w:val="24"/>
          <w:highlight w:val="none"/>
        </w:rPr>
        <w:fldChar w:fldCharType="begin"/>
      </w:r>
      <w:r>
        <w:rPr>
          <w:rFonts w:hint="eastAsia" w:ascii="仿宋" w:hAnsi="仿宋" w:eastAsia="仿宋" w:cs="仿宋"/>
          <w:b w:val="0"/>
          <w:bCs/>
          <w:szCs w:val="24"/>
          <w:highlight w:val="none"/>
        </w:rPr>
        <w:instrText xml:space="preserve"> HYPERLINK \l _Toc3880 </w:instrText>
      </w:r>
      <w:r>
        <w:rPr>
          <w:rFonts w:hint="eastAsia" w:ascii="仿宋" w:hAnsi="仿宋" w:eastAsia="仿宋" w:cs="仿宋"/>
          <w:b w:val="0"/>
          <w:bCs/>
          <w:szCs w:val="24"/>
          <w:highlight w:val="none"/>
        </w:rPr>
        <w:fldChar w:fldCharType="separate"/>
      </w:r>
      <w:r>
        <w:rPr>
          <w:rFonts w:hint="eastAsia" w:ascii="仿宋" w:hAnsi="仿宋" w:eastAsia="仿宋" w:cs="仿宋"/>
          <w:b w:val="0"/>
          <w:bCs/>
          <w:highlight w:val="none"/>
          <w:lang w:val="en-US" w:eastAsia="zh-CN"/>
        </w:rPr>
        <w:t>附件一：项目报名表</w:t>
      </w:r>
      <w:r>
        <w:rPr>
          <w:rFonts w:hint="eastAsia" w:ascii="仿宋" w:hAnsi="仿宋" w:eastAsia="仿宋" w:cs="仿宋"/>
          <w:b w:val="0"/>
          <w:bCs/>
          <w:highlight w:val="none"/>
        </w:rPr>
        <w:tab/>
      </w:r>
      <w:r>
        <w:rPr>
          <w:rFonts w:hint="eastAsia" w:ascii="仿宋" w:hAnsi="仿宋" w:eastAsia="仿宋" w:cs="仿宋"/>
          <w:b w:val="0"/>
          <w:bCs/>
          <w:highlight w:val="none"/>
          <w:lang w:val="en-US" w:eastAsia="zh-CN"/>
        </w:rPr>
        <w:t>5</w:t>
      </w:r>
      <w:r>
        <w:rPr>
          <w:rFonts w:hint="eastAsia" w:ascii="仿宋" w:hAnsi="仿宋" w:eastAsia="仿宋" w:cs="仿宋"/>
          <w:b w:val="0"/>
          <w:bCs/>
          <w:szCs w:val="24"/>
          <w:highlight w:val="none"/>
        </w:rPr>
        <w:fldChar w:fldCharType="end"/>
      </w:r>
      <w:r>
        <w:rPr>
          <w:rFonts w:hint="eastAsia" w:ascii="仿宋" w:hAnsi="仿宋" w:eastAsia="仿宋" w:cs="仿宋"/>
          <w:b w:val="0"/>
          <w:bCs/>
          <w:szCs w:val="24"/>
          <w:highlight w:val="none"/>
          <w:lang w:val="en-US" w:eastAsia="zh-CN"/>
        </w:rPr>
        <w:t>7</w:t>
      </w:r>
    </w:p>
    <w:p w14:paraId="617AE063">
      <w:pPr>
        <w:pStyle w:val="2"/>
        <w:tabs>
          <w:tab w:val="left" w:pos="3360"/>
        </w:tabs>
        <w:spacing w:before="0" w:beforeLines="0" w:after="0" w:afterLines="0" w:line="360" w:lineRule="auto"/>
        <w:rPr>
          <w:rFonts w:hint="eastAsia" w:ascii="仿宋" w:hAnsi="仿宋" w:eastAsia="仿宋" w:cs="仿宋"/>
          <w:szCs w:val="24"/>
          <w:highlight w:val="none"/>
        </w:rPr>
      </w:pPr>
      <w:r>
        <w:rPr>
          <w:rFonts w:hint="eastAsia" w:ascii="仿宋" w:hAnsi="仿宋" w:eastAsia="仿宋" w:cs="仿宋"/>
          <w:b w:val="0"/>
          <w:bCs/>
          <w:szCs w:val="24"/>
          <w:highlight w:val="none"/>
        </w:rPr>
        <w:fldChar w:fldCharType="end"/>
      </w:r>
    </w:p>
    <w:p w14:paraId="481875BB">
      <w:pPr>
        <w:pStyle w:val="2"/>
        <w:tabs>
          <w:tab w:val="left" w:pos="3360"/>
        </w:tabs>
        <w:spacing w:before="0" w:beforeLines="0" w:after="0" w:afterLines="0" w:line="360" w:lineRule="auto"/>
        <w:rPr>
          <w:rFonts w:hint="eastAsia" w:ascii="仿宋" w:hAnsi="仿宋" w:eastAsia="仿宋" w:cs="仿宋"/>
          <w:szCs w:val="24"/>
          <w:highlight w:val="none"/>
        </w:rPr>
      </w:pPr>
    </w:p>
    <w:p w14:paraId="064B10BC">
      <w:pPr>
        <w:pStyle w:val="2"/>
        <w:tabs>
          <w:tab w:val="left" w:pos="3360"/>
        </w:tabs>
        <w:spacing w:before="0" w:beforeLines="0" w:after="0" w:afterLines="0" w:line="360" w:lineRule="auto"/>
        <w:rPr>
          <w:rFonts w:hint="eastAsia" w:ascii="仿宋" w:hAnsi="仿宋" w:eastAsia="仿宋" w:cs="仿宋"/>
          <w:szCs w:val="24"/>
          <w:highlight w:val="none"/>
        </w:rPr>
      </w:pPr>
    </w:p>
    <w:p w14:paraId="2F75A822">
      <w:pPr>
        <w:pStyle w:val="2"/>
        <w:tabs>
          <w:tab w:val="left" w:pos="3360"/>
        </w:tabs>
        <w:spacing w:before="0" w:beforeLines="0" w:after="0" w:afterLines="0" w:line="360" w:lineRule="auto"/>
        <w:rPr>
          <w:rFonts w:hint="eastAsia" w:ascii="仿宋" w:hAnsi="仿宋" w:eastAsia="仿宋" w:cs="仿宋"/>
          <w:szCs w:val="24"/>
          <w:highlight w:val="none"/>
        </w:rPr>
      </w:pPr>
    </w:p>
    <w:p w14:paraId="43EDF63B">
      <w:pPr>
        <w:pStyle w:val="2"/>
        <w:tabs>
          <w:tab w:val="left" w:pos="3360"/>
        </w:tabs>
        <w:spacing w:before="0" w:beforeLines="0" w:after="0" w:afterLines="0" w:line="360" w:lineRule="auto"/>
        <w:ind w:left="0" w:leftChars="0" w:firstLine="0" w:firstLineChars="0"/>
        <w:jc w:val="both"/>
        <w:rPr>
          <w:rFonts w:hint="eastAsia" w:ascii="仿宋" w:hAnsi="仿宋" w:eastAsia="仿宋" w:cs="仿宋"/>
          <w:b/>
          <w:bCs/>
          <w:sz w:val="36"/>
          <w:szCs w:val="36"/>
          <w:highlight w:val="none"/>
        </w:rPr>
        <w:sectPr>
          <w:headerReference r:id="rId5" w:type="default"/>
          <w:footerReference r:id="rId6" w:type="default"/>
          <w:footerReference r:id="rId7" w:type="even"/>
          <w:pgSz w:w="11907" w:h="16840"/>
          <w:pgMar w:top="1134" w:right="1134" w:bottom="1134" w:left="1134" w:header="851" w:footer="992" w:gutter="0"/>
          <w:pgNumType w:fmt="numberInDash" w:start="1"/>
          <w:cols w:space="720" w:num="1"/>
          <w:docGrid w:linePitch="380" w:charSpace="-5735"/>
        </w:sectPr>
      </w:pPr>
    </w:p>
    <w:p w14:paraId="3351A667">
      <w:pPr>
        <w:pStyle w:val="2"/>
        <w:tabs>
          <w:tab w:val="left" w:pos="3360"/>
        </w:tabs>
        <w:spacing w:before="0" w:beforeLines="0" w:after="0" w:afterLines="0" w:line="360" w:lineRule="auto"/>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rPr>
        <w:t xml:space="preserve">第一篇  </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Pr>
          <w:rFonts w:hint="eastAsia" w:ascii="仿宋" w:hAnsi="仿宋" w:eastAsia="仿宋" w:cs="仿宋"/>
          <w:b/>
          <w:bCs/>
          <w:sz w:val="36"/>
          <w:szCs w:val="36"/>
          <w:highlight w:val="none"/>
          <w:lang w:eastAsia="zh-CN"/>
        </w:rPr>
        <w:t>比选公告</w:t>
      </w:r>
      <w:bookmarkEnd w:id="18"/>
      <w:bookmarkEnd w:id="19"/>
    </w:p>
    <w:p w14:paraId="09D55E8E">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u w:val="single"/>
          <w:lang w:eastAsia="zh-CN"/>
        </w:rPr>
        <w:t>重庆昇晖工程咨询有限公司</w:t>
      </w:r>
      <w:r>
        <w:rPr>
          <w:rFonts w:hint="eastAsia" w:ascii="仿宋" w:hAnsi="仿宋" w:eastAsia="仿宋" w:cs="仿宋"/>
          <w:sz w:val="24"/>
          <w:szCs w:val="24"/>
          <w:highlight w:val="none"/>
        </w:rPr>
        <w:t>（以下简称：代理机构）接受</w:t>
      </w:r>
      <w:r>
        <w:rPr>
          <w:rFonts w:hint="eastAsia" w:ascii="仿宋" w:hAnsi="仿宋" w:eastAsia="仿宋" w:cs="仿宋"/>
          <w:sz w:val="24"/>
          <w:szCs w:val="24"/>
          <w:highlight w:val="none"/>
          <w:u w:val="single"/>
          <w:lang w:eastAsia="zh-CN"/>
        </w:rPr>
        <w:t>重庆市荣昌区职业教育中心</w:t>
      </w:r>
      <w:r>
        <w:rPr>
          <w:rFonts w:hint="eastAsia" w:ascii="仿宋" w:hAnsi="仿宋" w:eastAsia="仿宋" w:cs="仿宋"/>
          <w:sz w:val="24"/>
          <w:szCs w:val="24"/>
          <w:highlight w:val="none"/>
        </w:rPr>
        <w:t>的委托，对</w:t>
      </w:r>
      <w:r>
        <w:rPr>
          <w:rFonts w:hint="eastAsia" w:ascii="仿宋" w:hAnsi="仿宋" w:eastAsia="仿宋" w:cs="仿宋"/>
          <w:sz w:val="24"/>
          <w:szCs w:val="24"/>
          <w:highlight w:val="none"/>
          <w:u w:val="single"/>
          <w:lang w:eastAsia="zh-CN"/>
        </w:rPr>
        <w:t>重庆市荣昌区职业教育中心学生宿舍更换阳台门和一楼安装铝合金窗项目</w:t>
      </w:r>
      <w:r>
        <w:rPr>
          <w:rFonts w:hint="eastAsia" w:ascii="仿宋" w:hAnsi="仿宋" w:eastAsia="仿宋" w:cs="仿宋"/>
          <w:sz w:val="24"/>
          <w:szCs w:val="24"/>
          <w:highlight w:val="none"/>
        </w:rPr>
        <w:t>进行</w:t>
      </w:r>
      <w:r>
        <w:rPr>
          <w:rFonts w:hint="eastAsia" w:ascii="仿宋" w:hAnsi="仿宋" w:eastAsia="仿宋" w:cs="仿宋"/>
          <w:sz w:val="24"/>
          <w:szCs w:val="24"/>
          <w:highlight w:val="none"/>
          <w:lang w:val="en-US" w:eastAsia="zh-CN"/>
        </w:rPr>
        <w:t>比选</w:t>
      </w:r>
      <w:r>
        <w:rPr>
          <w:rFonts w:hint="eastAsia" w:ascii="仿宋" w:hAnsi="仿宋" w:eastAsia="仿宋" w:cs="仿宋"/>
          <w:sz w:val="24"/>
          <w:szCs w:val="24"/>
          <w:highlight w:val="none"/>
        </w:rPr>
        <w:t>，特邀请有兴趣的潜在竞选人参与竞争性比选。</w:t>
      </w:r>
    </w:p>
    <w:p w14:paraId="290B869B">
      <w:pPr>
        <w:pStyle w:val="3"/>
        <w:numPr>
          <w:ilvl w:val="0"/>
          <w:numId w:val="0"/>
        </w:numPr>
        <w:spacing w:before="65" w:after="65"/>
        <w:ind w:left="602" w:leftChars="0"/>
        <w:rPr>
          <w:rFonts w:hint="eastAsia" w:ascii="仿宋" w:hAnsi="仿宋" w:eastAsia="仿宋" w:cs="仿宋"/>
          <w:color w:val="auto"/>
          <w:sz w:val="28"/>
          <w:szCs w:val="22"/>
          <w:highlight w:val="none"/>
        </w:rPr>
      </w:pPr>
    </w:p>
    <w:p w14:paraId="7159E7DF">
      <w:pPr>
        <w:pStyle w:val="3"/>
        <w:numPr>
          <w:ilvl w:val="0"/>
          <w:numId w:val="1"/>
        </w:numPr>
        <w:spacing w:before="65" w:after="65"/>
        <w:ind w:left="602" w:leftChars="0" w:firstLine="0" w:firstLineChars="0"/>
        <w:rPr>
          <w:rFonts w:hint="eastAsia" w:ascii="仿宋" w:hAnsi="仿宋" w:eastAsia="仿宋" w:cs="仿宋"/>
          <w:color w:val="auto"/>
          <w:sz w:val="28"/>
          <w:szCs w:val="22"/>
          <w:highlight w:val="none"/>
        </w:rPr>
      </w:pPr>
      <w:r>
        <w:rPr>
          <w:rFonts w:hint="eastAsia" w:ascii="仿宋" w:hAnsi="仿宋" w:eastAsia="仿宋" w:cs="仿宋"/>
          <w:color w:val="auto"/>
          <w:sz w:val="28"/>
          <w:szCs w:val="22"/>
          <w:highlight w:val="none"/>
        </w:rPr>
        <w:t>项目内容</w:t>
      </w:r>
      <w:bookmarkEnd w:id="20"/>
    </w:p>
    <w:p w14:paraId="2F079729">
      <w:pPr>
        <w:numPr>
          <w:ilvl w:val="0"/>
          <w:numId w:val="0"/>
        </w:numPr>
        <w:ind w:left="602" w:leftChars="0"/>
        <w:rPr>
          <w:rFonts w:hint="eastAsia" w:ascii="仿宋" w:hAnsi="仿宋" w:eastAsia="仿宋" w:cs="仿宋"/>
        </w:rPr>
      </w:pPr>
    </w:p>
    <w:tbl>
      <w:tblPr>
        <w:tblStyle w:val="24"/>
        <w:tblW w:w="10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9"/>
        <w:gridCol w:w="1501"/>
        <w:gridCol w:w="1511"/>
        <w:gridCol w:w="1523"/>
        <w:gridCol w:w="1235"/>
        <w:gridCol w:w="1442"/>
      </w:tblGrid>
      <w:tr w14:paraId="06910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2909" w:type="dxa"/>
            <w:vAlign w:val="center"/>
          </w:tcPr>
          <w:p w14:paraId="78C7CFE7">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项目名称</w:t>
            </w:r>
          </w:p>
        </w:tc>
        <w:tc>
          <w:tcPr>
            <w:tcW w:w="1501" w:type="dxa"/>
            <w:vAlign w:val="center"/>
          </w:tcPr>
          <w:p w14:paraId="2A9D1DEF">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lang w:eastAsia="zh-CN"/>
              </w:rPr>
              <w:t>招标</w:t>
            </w:r>
            <w:r>
              <w:rPr>
                <w:rFonts w:hint="eastAsia" w:ascii="仿宋" w:hAnsi="仿宋" w:eastAsia="仿宋" w:cs="仿宋"/>
                <w:color w:val="auto"/>
                <w:highlight w:val="none"/>
              </w:rPr>
              <w:t>限价</w:t>
            </w:r>
          </w:p>
          <w:p w14:paraId="09A4639F">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（元）</w:t>
            </w:r>
          </w:p>
        </w:tc>
        <w:tc>
          <w:tcPr>
            <w:tcW w:w="1511" w:type="dxa"/>
            <w:vAlign w:val="center"/>
          </w:tcPr>
          <w:p w14:paraId="0342CB99">
            <w:pPr>
              <w:ind w:firstLine="0" w:firstLineChars="0"/>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保证金（元）</w:t>
            </w:r>
          </w:p>
        </w:tc>
        <w:tc>
          <w:tcPr>
            <w:tcW w:w="1523" w:type="dxa"/>
            <w:vAlign w:val="center"/>
          </w:tcPr>
          <w:p w14:paraId="5F987BA8">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资金来源</w:t>
            </w:r>
          </w:p>
        </w:tc>
        <w:tc>
          <w:tcPr>
            <w:tcW w:w="1235" w:type="dxa"/>
            <w:vAlign w:val="center"/>
          </w:tcPr>
          <w:p w14:paraId="42B9D5CA">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成交</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数量</w:t>
            </w:r>
          </w:p>
        </w:tc>
        <w:tc>
          <w:tcPr>
            <w:tcW w:w="1442" w:type="dxa"/>
            <w:vAlign w:val="center"/>
          </w:tcPr>
          <w:p w14:paraId="4759772F">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备注</w:t>
            </w:r>
          </w:p>
        </w:tc>
      </w:tr>
      <w:tr w14:paraId="0602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2909" w:type="dxa"/>
            <w:vAlign w:val="center"/>
          </w:tcPr>
          <w:p w14:paraId="2ABFC7CB">
            <w:pPr>
              <w:ind w:firstLine="0" w:firstLineChars="0"/>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重庆市荣昌区职业教育中心学生宿舍更换阳台门和一楼安装铝合金窗项目</w:t>
            </w:r>
          </w:p>
        </w:tc>
        <w:tc>
          <w:tcPr>
            <w:tcW w:w="1501" w:type="dxa"/>
            <w:vAlign w:val="center"/>
          </w:tcPr>
          <w:p w14:paraId="029F3F2E">
            <w:pPr>
              <w:ind w:firstLine="0" w:firstLineChars="0"/>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303477.33 </w:t>
            </w:r>
          </w:p>
        </w:tc>
        <w:tc>
          <w:tcPr>
            <w:tcW w:w="1511" w:type="dxa"/>
            <w:vAlign w:val="center"/>
          </w:tcPr>
          <w:p w14:paraId="556C60DB">
            <w:pPr>
              <w:ind w:firstLine="0" w:firstLineChars="0"/>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6000.00</w:t>
            </w:r>
          </w:p>
        </w:tc>
        <w:tc>
          <w:tcPr>
            <w:tcW w:w="1523" w:type="dxa"/>
            <w:vAlign w:val="center"/>
          </w:tcPr>
          <w:p w14:paraId="33E015CB">
            <w:pPr>
              <w:ind w:firstLine="0" w:firstLineChars="0"/>
              <w:jc w:val="center"/>
              <w:rPr>
                <w:rFonts w:hint="eastAsia" w:ascii="仿宋" w:hAnsi="仿宋" w:eastAsia="仿宋" w:cs="仿宋"/>
                <w:color w:val="auto"/>
                <w:highlight w:val="none"/>
                <w:lang w:val="en-US"/>
              </w:rPr>
            </w:pPr>
            <w:r>
              <w:rPr>
                <w:rFonts w:hint="eastAsia" w:ascii="仿宋" w:hAnsi="仿宋" w:eastAsia="仿宋" w:cs="仿宋"/>
                <w:color w:val="auto"/>
                <w:highlight w:val="none"/>
                <w:lang w:val="en-US" w:eastAsia="zh-CN"/>
              </w:rPr>
              <w:t>财政资金</w:t>
            </w:r>
          </w:p>
        </w:tc>
        <w:tc>
          <w:tcPr>
            <w:tcW w:w="1235" w:type="dxa"/>
            <w:vAlign w:val="center"/>
          </w:tcPr>
          <w:p w14:paraId="16D03A17">
            <w:pPr>
              <w:ind w:firstLine="0" w:firstLineChars="0"/>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w:t>
            </w:r>
          </w:p>
        </w:tc>
        <w:tc>
          <w:tcPr>
            <w:tcW w:w="1442" w:type="dxa"/>
            <w:vAlign w:val="center"/>
          </w:tcPr>
          <w:p w14:paraId="2924890E">
            <w:pPr>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不接受联合体投标</w:t>
            </w:r>
          </w:p>
        </w:tc>
      </w:tr>
    </w:tbl>
    <w:p w14:paraId="011EC610">
      <w:pPr>
        <w:pStyle w:val="3"/>
        <w:spacing w:beforeLines="0" w:afterLines="0" w:line="400" w:lineRule="exact"/>
        <w:ind w:firstLine="562" w:firstLineChars="200"/>
        <w:rPr>
          <w:rFonts w:hint="eastAsia" w:ascii="仿宋" w:hAnsi="仿宋" w:eastAsia="仿宋" w:cs="仿宋"/>
          <w:color w:val="auto"/>
          <w:sz w:val="28"/>
          <w:szCs w:val="22"/>
          <w:highlight w:val="none"/>
        </w:rPr>
      </w:pPr>
      <w:bookmarkStart w:id="21" w:name="_Toc29373"/>
    </w:p>
    <w:p w14:paraId="3C9AC333">
      <w:pPr>
        <w:pStyle w:val="3"/>
        <w:spacing w:beforeLines="0" w:afterLines="0" w:line="400" w:lineRule="exact"/>
        <w:ind w:firstLine="562" w:firstLineChars="200"/>
        <w:rPr>
          <w:rFonts w:hint="eastAsia" w:ascii="仿宋" w:hAnsi="仿宋" w:eastAsia="仿宋" w:cs="仿宋"/>
          <w:color w:val="auto"/>
          <w:sz w:val="28"/>
          <w:szCs w:val="22"/>
          <w:highlight w:val="none"/>
        </w:rPr>
      </w:pPr>
      <w:r>
        <w:rPr>
          <w:rFonts w:hint="eastAsia" w:ascii="仿宋" w:hAnsi="仿宋" w:eastAsia="仿宋" w:cs="仿宋"/>
          <w:color w:val="auto"/>
          <w:sz w:val="28"/>
          <w:szCs w:val="22"/>
          <w:highlight w:val="none"/>
        </w:rPr>
        <w:t>二、资格条件</w:t>
      </w:r>
      <w:bookmarkEnd w:id="21"/>
    </w:p>
    <w:p w14:paraId="206E8A30">
      <w:pPr>
        <w:wordWrap w:val="0"/>
        <w:spacing w:line="400" w:lineRule="exact"/>
        <w:ind w:firstLine="482"/>
        <w:rPr>
          <w:rFonts w:hint="eastAsia" w:ascii="仿宋" w:hAnsi="仿宋" w:eastAsia="仿宋" w:cs="仿宋"/>
          <w:b/>
          <w:bCs/>
          <w:color w:val="auto"/>
          <w:highlight w:val="none"/>
        </w:rPr>
      </w:pPr>
      <w:r>
        <w:rPr>
          <w:rFonts w:hint="eastAsia" w:ascii="仿宋" w:hAnsi="仿宋" w:eastAsia="仿宋" w:cs="仿宋"/>
          <w:b/>
          <w:bCs/>
          <w:color w:val="auto"/>
          <w:highlight w:val="none"/>
        </w:rPr>
        <w:t>（一）一般资质条件</w:t>
      </w:r>
    </w:p>
    <w:p w14:paraId="04107E5B">
      <w:pPr>
        <w:spacing w:line="360" w:lineRule="auto"/>
        <w:ind w:firstLine="480" w:firstLineChars="200"/>
        <w:rPr>
          <w:rFonts w:hint="eastAsia" w:ascii="仿宋" w:hAnsi="仿宋" w:eastAsia="仿宋" w:cs="仿宋"/>
          <w:b/>
          <w:bCs/>
          <w:color w:val="auto"/>
          <w:highlight w:val="none"/>
        </w:rPr>
      </w:pPr>
      <w:r>
        <w:rPr>
          <w:rFonts w:hint="eastAsia" w:ascii="仿宋" w:hAnsi="仿宋" w:eastAsia="仿宋" w:cs="仿宋"/>
          <w:sz w:val="24"/>
          <w:szCs w:val="24"/>
          <w:highlight w:val="none"/>
        </w:rPr>
        <w:t>合格的</w:t>
      </w:r>
      <w:r>
        <w:rPr>
          <w:rFonts w:hint="eastAsia" w:ascii="仿宋" w:hAnsi="仿宋" w:eastAsia="仿宋" w:cs="仿宋"/>
          <w:sz w:val="24"/>
          <w:szCs w:val="24"/>
          <w:highlight w:val="none"/>
          <w:lang w:eastAsia="zh-CN"/>
        </w:rPr>
        <w:t>竞选人</w:t>
      </w:r>
      <w:r>
        <w:rPr>
          <w:rFonts w:hint="eastAsia" w:ascii="仿宋" w:hAnsi="仿宋" w:eastAsia="仿宋" w:cs="仿宋"/>
          <w:sz w:val="24"/>
          <w:szCs w:val="24"/>
          <w:highlight w:val="none"/>
        </w:rPr>
        <w:t>应符合政府</w:t>
      </w:r>
      <w:r>
        <w:rPr>
          <w:rFonts w:hint="eastAsia" w:ascii="仿宋" w:hAnsi="仿宋" w:eastAsia="仿宋" w:cs="仿宋"/>
          <w:sz w:val="24"/>
          <w:szCs w:val="24"/>
          <w:highlight w:val="none"/>
          <w:lang w:eastAsia="zh-CN"/>
        </w:rPr>
        <w:t>比选</w:t>
      </w:r>
      <w:r>
        <w:rPr>
          <w:rFonts w:hint="eastAsia" w:ascii="仿宋" w:hAnsi="仿宋" w:eastAsia="仿宋" w:cs="仿宋"/>
          <w:sz w:val="24"/>
          <w:szCs w:val="24"/>
          <w:highlight w:val="none"/>
        </w:rPr>
        <w:t>法第二十二条规定的基本条件：</w:t>
      </w:r>
    </w:p>
    <w:p w14:paraId="47286C5B">
      <w:pPr>
        <w:keepNext w:val="0"/>
        <w:keepLines w:val="0"/>
        <w:pageBreakBefore w:val="0"/>
        <w:widowControl/>
        <w:kinsoku/>
        <w:wordWrap w:val="0"/>
        <w:overflowPunct/>
        <w:topLinePunct w:val="0"/>
        <w:autoSpaceDE/>
        <w:autoSpaceDN/>
        <w:bidi w:val="0"/>
        <w:adjustRightInd/>
        <w:snapToGrid/>
        <w:spacing w:line="360" w:lineRule="auto"/>
        <w:ind w:firstLine="482"/>
        <w:textAlignment w:val="auto"/>
        <w:rPr>
          <w:rFonts w:hint="eastAsia" w:ascii="仿宋" w:hAnsi="仿宋" w:eastAsia="仿宋" w:cs="仿宋"/>
          <w:color w:val="auto"/>
          <w:highlight w:val="none"/>
          <w:lang w:val="en-US" w:eastAsia="zh-CN"/>
        </w:rPr>
      </w:pPr>
      <w:r>
        <w:rPr>
          <w:rFonts w:hint="eastAsia" w:ascii="仿宋" w:hAnsi="仿宋" w:eastAsia="仿宋" w:cs="仿宋"/>
          <w:b/>
          <w:bCs/>
          <w:color w:val="auto"/>
          <w:highlight w:val="none"/>
        </w:rPr>
        <w:t>（二）特定资格条件</w:t>
      </w:r>
      <w:bookmarkStart w:id="22" w:name="_Toc21936"/>
    </w:p>
    <w:p w14:paraId="7BABC8B9">
      <w:pPr>
        <w:numPr>
          <w:ilvl w:val="0"/>
          <w:numId w:val="0"/>
        </w:numPr>
        <w:spacing w:line="360" w:lineRule="auto"/>
        <w:ind w:firstLine="720" w:firstLineChars="300"/>
        <w:jc w:val="both"/>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1.竞选人具备有效的企业法人营业执照，经营范围包含铝合金门窗制作或安装等。</w:t>
      </w:r>
      <w:r>
        <w:rPr>
          <w:rFonts w:hint="eastAsia" w:ascii="仿宋" w:hAnsi="仿宋" w:eastAsia="仿宋" w:cs="仿宋"/>
          <w:color w:val="000000" w:themeColor="text1"/>
          <w:sz w:val="24"/>
          <w:highlight w:val="none"/>
          <w:lang w:val="en-US" w:eastAsia="zh-CN"/>
          <w14:textFill>
            <w14:solidFill>
              <w14:schemeClr w14:val="tx1"/>
            </w14:solidFill>
          </w14:textFill>
        </w:rPr>
        <w:t>还应在人员、设备、资金等方面具有相应的施工能力</w:t>
      </w:r>
      <w:r>
        <w:rPr>
          <w:rFonts w:hint="eastAsia" w:ascii="仿宋" w:hAnsi="仿宋" w:eastAsia="仿宋" w:cs="仿宋"/>
          <w:color w:val="auto"/>
          <w:highlight w:val="none"/>
          <w:lang w:val="en-US" w:eastAsia="zh-CN"/>
        </w:rPr>
        <w:t>。</w:t>
      </w:r>
    </w:p>
    <w:p w14:paraId="047C9682">
      <w:pPr>
        <w:numPr>
          <w:ilvl w:val="0"/>
          <w:numId w:val="0"/>
        </w:numPr>
        <w:spacing w:line="360" w:lineRule="auto"/>
        <w:ind w:firstLine="480" w:firstLineChars="200"/>
        <w:jc w:val="both"/>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注：提供有效的营业执照副本复印件并加盖公章</w:t>
      </w:r>
      <w:bookmarkStart w:id="23" w:name="_Toc30283"/>
      <w:bookmarkStart w:id="24" w:name="_Toc14762"/>
      <w:bookmarkStart w:id="25" w:name="_Toc29229"/>
      <w:bookmarkStart w:id="26" w:name="_Toc30093"/>
      <w:bookmarkStart w:id="27" w:name="_Toc1996"/>
    </w:p>
    <w:p w14:paraId="027FF49E">
      <w:pPr>
        <w:pStyle w:val="4"/>
        <w:spacing w:before="0" w:after="0" w:line="360" w:lineRule="auto"/>
        <w:ind w:firstLine="482" w:firstLineChars="200"/>
        <w:jc w:val="left"/>
        <w:outlineLvl w:val="0"/>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三</w:t>
      </w:r>
      <w:r>
        <w:rPr>
          <w:rFonts w:hint="eastAsia" w:ascii="仿宋" w:hAnsi="仿宋" w:eastAsia="仿宋" w:cs="仿宋"/>
          <w:b/>
          <w:sz w:val="24"/>
          <w:szCs w:val="24"/>
          <w:highlight w:val="none"/>
        </w:rPr>
        <w:t>、</w:t>
      </w:r>
      <w:r>
        <w:rPr>
          <w:rFonts w:hint="eastAsia" w:ascii="仿宋" w:hAnsi="仿宋" w:eastAsia="仿宋" w:cs="仿宋"/>
          <w:b/>
          <w:sz w:val="24"/>
          <w:szCs w:val="24"/>
          <w:highlight w:val="none"/>
          <w:lang w:eastAsia="zh-CN"/>
        </w:rPr>
        <w:t>比选</w:t>
      </w:r>
      <w:r>
        <w:rPr>
          <w:rFonts w:hint="eastAsia" w:ascii="仿宋" w:hAnsi="仿宋" w:eastAsia="仿宋" w:cs="仿宋"/>
          <w:b/>
          <w:sz w:val="24"/>
          <w:szCs w:val="24"/>
          <w:highlight w:val="none"/>
        </w:rPr>
        <w:t>相关说明</w:t>
      </w:r>
      <w:bookmarkEnd w:id="23"/>
      <w:bookmarkEnd w:id="24"/>
      <w:bookmarkEnd w:id="25"/>
      <w:bookmarkEnd w:id="26"/>
      <w:bookmarkEnd w:id="27"/>
    </w:p>
    <w:p w14:paraId="369772FF">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（一）凡有意参加比选的竞选人，请在“荣昌教育（http://www.rcqjy.com/）”、</w:t>
      </w:r>
      <w:r>
        <w:rPr>
          <w:rFonts w:hint="eastAsia" w:ascii="宋体" w:hAnsi="宋体"/>
          <w:sz w:val="24"/>
          <w:highlight w:val="none"/>
          <w:lang w:eastAsia="zh-CN"/>
        </w:rPr>
        <w:t>“行采家平台（http://www.gec123.com）”</w:t>
      </w:r>
      <w:r>
        <w:rPr>
          <w:rFonts w:hint="eastAsia" w:ascii="仿宋" w:hAnsi="仿宋" w:eastAsia="仿宋" w:cs="仿宋"/>
          <w:color w:val="auto"/>
          <w:highlight w:val="none"/>
          <w:lang w:val="en-US" w:eastAsia="zh-CN"/>
        </w:rPr>
        <w:t>下载本项目比选文件以及图纸、补遗等开标前公布的所有项目资料，无论竞选人下载与否，比选人和代理机构都视为竞选人收到以上资料并全部知晓有关比选过程和事宜，由此产生的一切后果由竞选人自负。</w:t>
      </w:r>
    </w:p>
    <w:p w14:paraId="73ECE7B1">
      <w:pPr>
        <w:spacing w:line="360" w:lineRule="auto"/>
        <w:ind w:firstLine="480" w:firstLineChars="200"/>
        <w:jc w:val="both"/>
        <w:rPr>
          <w:rFonts w:hint="eastAsia" w:ascii="仿宋" w:hAnsi="仿宋" w:eastAsia="仿宋" w:cs="仿宋"/>
          <w:color w:val="auto"/>
          <w:highlight w:val="none"/>
          <w:lang w:val="en-US" w:eastAsia="zh-CN"/>
        </w:rPr>
      </w:pPr>
      <w:bookmarkStart w:id="28" w:name="_Toc15752"/>
      <w:r>
        <w:rPr>
          <w:rFonts w:hint="eastAsia" w:ascii="仿宋" w:hAnsi="仿宋" w:eastAsia="仿宋" w:cs="仿宋"/>
          <w:color w:val="auto"/>
          <w:highlight w:val="none"/>
          <w:lang w:val="en-US" w:eastAsia="zh-CN"/>
        </w:rPr>
        <w:t>（二）比选文件公告期限</w:t>
      </w:r>
      <w:bookmarkEnd w:id="28"/>
    </w:p>
    <w:p w14:paraId="3932C474">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自公告发布时间不少于三个工作日。</w:t>
      </w:r>
    </w:p>
    <w:p w14:paraId="1F491C88">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（三）比选文件发售</w:t>
      </w:r>
    </w:p>
    <w:p w14:paraId="1528ADB5">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1、比选文件发售期：2024年12月17日至2024年12月20日（工作时间）。</w:t>
      </w:r>
    </w:p>
    <w:p w14:paraId="6073F0AC">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2、比选文件售价：</w:t>
      </w:r>
      <w:r>
        <w:rPr>
          <w:rFonts w:hint="eastAsia" w:ascii="仿宋" w:hAnsi="仿宋" w:eastAsia="仿宋" w:cs="仿宋"/>
          <w:snapToGrid w:val="0"/>
          <w:color w:val="auto"/>
          <w:kern w:val="0"/>
          <w:sz w:val="24"/>
          <w:u w:val="single"/>
          <w:lang w:val="en-US" w:eastAsia="zh-CN"/>
        </w:rPr>
        <w:t>人民币500.00元/份（</w:t>
      </w:r>
      <w:r>
        <w:rPr>
          <w:rFonts w:hint="eastAsia" w:ascii="仿宋" w:hAnsi="仿宋" w:eastAsia="仿宋" w:cs="仿宋"/>
          <w:snapToGrid w:val="0"/>
          <w:color w:val="auto"/>
          <w:kern w:val="0"/>
          <w:sz w:val="24"/>
          <w:lang w:val="en-US" w:eastAsia="zh-CN"/>
        </w:rPr>
        <w:t>现场报名缴纳，</w:t>
      </w:r>
      <w:r>
        <w:rPr>
          <w:rFonts w:hint="eastAsia" w:ascii="仿宋" w:hAnsi="仿宋" w:eastAsia="仿宋" w:cs="仿宋"/>
          <w:snapToGrid w:val="0"/>
          <w:color w:val="auto"/>
          <w:kern w:val="0"/>
          <w:sz w:val="24"/>
        </w:rPr>
        <w:t>售后不退</w:t>
      </w:r>
      <w:r>
        <w:rPr>
          <w:rFonts w:hint="eastAsia" w:ascii="仿宋" w:hAnsi="仿宋" w:eastAsia="仿宋" w:cs="仿宋"/>
          <w:snapToGrid w:val="0"/>
          <w:color w:val="auto"/>
          <w:kern w:val="0"/>
          <w:sz w:val="24"/>
          <w:u w:val="none"/>
          <w:lang w:val="en-US" w:eastAsia="zh-CN"/>
        </w:rPr>
        <w:t>）</w:t>
      </w:r>
      <w:r>
        <w:rPr>
          <w:rFonts w:hint="eastAsia" w:ascii="仿宋" w:hAnsi="仿宋" w:eastAsia="仿宋" w:cs="仿宋"/>
          <w:color w:val="auto"/>
          <w:highlight w:val="none"/>
          <w:lang w:val="en-US" w:eastAsia="zh-CN"/>
        </w:rPr>
        <w:t>。</w:t>
      </w:r>
    </w:p>
    <w:p w14:paraId="0BAF9903">
      <w:pPr>
        <w:spacing w:line="360" w:lineRule="auto"/>
        <w:ind w:firstLine="480" w:firstLineChars="200"/>
        <w:jc w:val="both"/>
        <w:rPr>
          <w:rFonts w:hint="eastAsia" w:ascii="仿宋" w:hAnsi="仿宋" w:eastAsia="仿宋" w:cs="仿宋"/>
          <w:color w:val="auto"/>
          <w:highlight w:val="none"/>
          <w:lang w:val="en-US" w:eastAsia="zh-CN"/>
        </w:rPr>
      </w:pPr>
      <w:bookmarkStart w:id="29" w:name="_Toc373860294"/>
      <w:r>
        <w:rPr>
          <w:rFonts w:hint="eastAsia" w:ascii="仿宋" w:hAnsi="仿宋" w:eastAsia="仿宋" w:cs="仿宋"/>
          <w:color w:val="auto"/>
          <w:highlight w:val="none"/>
          <w:lang w:val="en-US" w:eastAsia="zh-CN"/>
        </w:rPr>
        <w:t>3.报名方式：现场报名</w:t>
      </w:r>
    </w:p>
    <w:p w14:paraId="38745FD4">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在规定的报名时间内，竞选人到重庆昇晖工程咨询有限公司（重庆市荣昌区重牧硅谷·星创天地B座220），登记递交了《重庆昇晖工程咨询有限公司项目报名表》格式详见附件并缴纳了报名费的，其报名才被接收。</w:t>
      </w:r>
    </w:p>
    <w:p w14:paraId="7855B2AD">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（四）竞选人须满足以下二种要件，其竞选文件才被接受：</w:t>
      </w:r>
    </w:p>
    <w:p w14:paraId="201680B1">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1、递交竞选人银行“基本账户信息”或“开户许可证”复印件，加盖竞选人公章；</w:t>
      </w:r>
    </w:p>
    <w:p w14:paraId="05DF1E6E">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2、在规定时间内报名并购买了竞争性比选文件；</w:t>
      </w:r>
    </w:p>
    <w:p w14:paraId="5E55F214">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3、按规定递交投标文件。</w:t>
      </w:r>
    </w:p>
    <w:p w14:paraId="074DD329">
      <w:pPr>
        <w:spacing w:line="360" w:lineRule="auto"/>
        <w:ind w:firstLine="480" w:firstLineChars="200"/>
        <w:jc w:val="both"/>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（五）竞选文件递交开始时间：2024年12 月23日北京时间14:30</w:t>
      </w:r>
    </w:p>
    <w:p w14:paraId="5B941DA2">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（六）竞选文件递交截止时间：2024年12 月23日北京时间15:00</w:t>
      </w:r>
    </w:p>
    <w:p w14:paraId="06C2298E">
      <w:pPr>
        <w:spacing w:line="360" w:lineRule="auto"/>
        <w:ind w:firstLine="480" w:firstLineChars="200"/>
        <w:jc w:val="both"/>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（七）开标时间：2024年12月23日北京时间15:00</w:t>
      </w:r>
    </w:p>
    <w:p w14:paraId="07F5C548">
      <w:pPr>
        <w:spacing w:line="360" w:lineRule="auto"/>
        <w:ind w:firstLine="480" w:firstLineChars="200"/>
        <w:jc w:val="both"/>
        <w:rPr>
          <w:rFonts w:hint="default" w:ascii="仿宋" w:hAnsi="仿宋" w:eastAsia="仿宋" w:cs="仿宋"/>
          <w:strike w:val="0"/>
          <w:dstrike w:val="0"/>
          <w:color w:val="auto"/>
          <w:highlight w:val="none"/>
          <w:lang w:val="en-US" w:eastAsia="zh-CN"/>
        </w:rPr>
      </w:pPr>
      <w:r>
        <w:rPr>
          <w:rFonts w:hint="eastAsia" w:ascii="仿宋" w:hAnsi="仿宋" w:eastAsia="仿宋" w:cs="仿宋"/>
          <w:color w:val="auto"/>
          <w:highlight w:val="none"/>
          <w:lang w:val="en-US" w:eastAsia="zh-CN"/>
        </w:rPr>
        <w:t>（八）竞选和开标地点：</w:t>
      </w:r>
      <w:r>
        <w:rPr>
          <w:rFonts w:hint="eastAsia" w:ascii="仿宋" w:hAnsi="仿宋" w:eastAsia="仿宋" w:cs="仿宋"/>
          <w:strike w:val="0"/>
          <w:dstrike w:val="0"/>
          <w:color w:val="auto"/>
          <w:highlight w:val="none"/>
          <w:lang w:val="en-US" w:eastAsia="zh-CN"/>
        </w:rPr>
        <w:t>荣昌区昌龙大道瑞尔国际三号楼12-12。</w:t>
      </w:r>
    </w:p>
    <w:p w14:paraId="49335E78">
      <w:pPr>
        <w:spacing w:line="360" w:lineRule="auto"/>
        <w:ind w:firstLine="482" w:firstLineChars="200"/>
        <w:jc w:val="both"/>
        <w:rPr>
          <w:rFonts w:hint="eastAsia" w:ascii="仿宋" w:hAnsi="仿宋" w:eastAsia="仿宋" w:cs="仿宋"/>
          <w:color w:val="auto"/>
          <w:highlight w:val="none"/>
          <w:lang w:val="en-US" w:eastAsia="zh-CN"/>
        </w:rPr>
      </w:pPr>
      <w:bookmarkStart w:id="30" w:name="_Toc14026"/>
      <w:bookmarkStart w:id="31" w:name="_Toc6346"/>
      <w:bookmarkStart w:id="32" w:name="_Toc8142"/>
      <w:bookmarkStart w:id="33" w:name="_Toc31519"/>
      <w:bookmarkStart w:id="34" w:name="_Toc29579"/>
      <w:bookmarkStart w:id="35" w:name="_Toc18338"/>
      <w:bookmarkStart w:id="36" w:name="_Toc12443"/>
      <w:bookmarkStart w:id="37" w:name="_Toc26621"/>
      <w:bookmarkStart w:id="38" w:name="_Toc21554"/>
      <w:bookmarkStart w:id="39" w:name="_Toc113094899"/>
      <w:bookmarkStart w:id="40" w:name="_Toc13255"/>
      <w:bookmarkStart w:id="41" w:name="_Toc26457"/>
      <w:r>
        <w:rPr>
          <w:rFonts w:hint="eastAsia" w:ascii="仿宋" w:hAnsi="仿宋" w:eastAsia="仿宋" w:cs="仿宋"/>
          <w:b/>
          <w:bCs/>
          <w:kern w:val="2"/>
          <w:sz w:val="24"/>
          <w:szCs w:val="24"/>
          <w:highlight w:val="none"/>
          <w:lang w:val="en-US" w:eastAsia="zh-CN" w:bidi="ar-SA"/>
        </w:rPr>
        <w:t>四、保证金</w:t>
      </w:r>
      <w:bookmarkEnd w:id="30"/>
      <w:bookmarkEnd w:id="31"/>
      <w:bookmarkEnd w:id="32"/>
      <w:bookmarkEnd w:id="33"/>
      <w:bookmarkEnd w:id="34"/>
      <w:bookmarkEnd w:id="35"/>
      <w:bookmarkEnd w:id="36"/>
      <w:bookmarkEnd w:id="37"/>
      <w:bookmarkEnd w:id="38"/>
      <w:bookmarkEnd w:id="39"/>
      <w:bookmarkEnd w:id="40"/>
      <w:bookmarkEnd w:id="41"/>
    </w:p>
    <w:bookmarkEnd w:id="29"/>
    <w:p w14:paraId="1251093F">
      <w:pPr>
        <w:spacing w:line="360" w:lineRule="auto"/>
        <w:ind w:firstLine="480" w:firstLineChars="200"/>
        <w:jc w:val="both"/>
        <w:rPr>
          <w:rFonts w:hint="eastAsia" w:ascii="仿宋" w:hAnsi="仿宋" w:eastAsia="仿宋" w:cs="仿宋"/>
          <w:color w:val="auto"/>
          <w:highlight w:val="none"/>
          <w:lang w:val="en-US" w:eastAsia="zh-CN"/>
        </w:rPr>
      </w:pPr>
      <w:bookmarkStart w:id="42" w:name="_Toc13139"/>
      <w:bookmarkStart w:id="43" w:name="_Toc5125"/>
      <w:bookmarkStart w:id="44" w:name="_Toc8065"/>
      <w:bookmarkStart w:id="45" w:name="_Toc17693"/>
      <w:bookmarkStart w:id="46" w:name="_Toc9771"/>
      <w:bookmarkStart w:id="47" w:name="_Toc27646"/>
      <w:bookmarkStart w:id="48" w:name="_Toc15466"/>
      <w:bookmarkStart w:id="49" w:name="_Toc14925"/>
      <w:bookmarkStart w:id="50" w:name="_Toc485108772"/>
      <w:bookmarkStart w:id="51" w:name="_Toc12965"/>
      <w:bookmarkStart w:id="52" w:name="_Toc113094900"/>
      <w:bookmarkStart w:id="53" w:name="_Toc12380"/>
      <w:r>
        <w:rPr>
          <w:rFonts w:hint="eastAsia" w:ascii="仿宋" w:hAnsi="仿宋" w:eastAsia="仿宋" w:cs="仿宋"/>
          <w:color w:val="auto"/>
          <w:highlight w:val="none"/>
          <w:lang w:val="en-US" w:eastAsia="zh-CN"/>
        </w:rPr>
        <w:t>竞选人须按本项目规定的保证金金额进行缴纳（保证金金额详见本篇“一、比选公告”），由竞选人从其基本账户将保证金汇至以下指定账户，保证金的开始缴纳时间为比选公告发布之日，保证金的到账截止时间为投标前一天下午17：00，竞选人在银行转账汇款时，须充分考虑转账汇款的时间差风险，如同城转账、异地转账或汇款、跨行转账或电汇的时间要求。竞选人应在银行转账（汇款）凭证备注栏中注明“投标保证金—阳台门及铝合金窗更换安装项目”（备注可简写），不按要求填写备注和缴纳保证金入指定账户视为无效投标，由竞选人自行承担。</w:t>
      </w:r>
    </w:p>
    <w:p w14:paraId="4DDE4501">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投标保证金缴纳账户：</w:t>
      </w:r>
    </w:p>
    <w:p w14:paraId="042F1AB9">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户  名：重庆昇晖工程咨询有限公司</w:t>
      </w:r>
    </w:p>
    <w:p w14:paraId="7F688C9C">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开户行：重庆农村商业银行股份有限公司铜梁支行</w:t>
      </w:r>
    </w:p>
    <w:p w14:paraId="1F9859BF">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账号：2001010120010033314</w:t>
      </w:r>
    </w:p>
    <w:p w14:paraId="00816165">
      <w:pPr>
        <w:spacing w:line="360" w:lineRule="auto"/>
        <w:ind w:firstLine="482" w:firstLineChars="200"/>
        <w:jc w:val="both"/>
        <w:rPr>
          <w:rFonts w:hint="eastAsia" w:ascii="仿宋" w:hAnsi="仿宋" w:eastAsia="仿宋" w:cs="仿宋"/>
          <w:color w:val="auto"/>
          <w:highlight w:val="none"/>
          <w:lang w:val="en-US" w:eastAsia="zh-CN"/>
        </w:rPr>
      </w:pPr>
      <w:r>
        <w:rPr>
          <w:rFonts w:hint="eastAsia" w:ascii="仿宋" w:hAnsi="仿宋" w:eastAsia="仿宋" w:cs="仿宋"/>
          <w:b/>
          <w:bCs/>
          <w:color w:val="auto"/>
          <w:highlight w:val="none"/>
          <w:lang w:val="en-US" w:eastAsia="zh-CN"/>
        </w:rPr>
        <w:t>五、其它有关规定</w:t>
      </w:r>
      <w:bookmarkEnd w:id="42"/>
      <w:bookmarkEnd w:id="43"/>
      <w:bookmarkEnd w:id="44"/>
      <w:bookmarkEnd w:id="45"/>
      <w:bookmarkEnd w:id="46"/>
      <w:bookmarkEnd w:id="47"/>
      <w:bookmarkEnd w:id="48"/>
      <w:bookmarkEnd w:id="49"/>
      <w:bookmarkEnd w:id="50"/>
      <w:bookmarkEnd w:id="51"/>
      <w:bookmarkEnd w:id="52"/>
      <w:bookmarkEnd w:id="53"/>
    </w:p>
    <w:p w14:paraId="2DC9D2FE">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（一）单位负责人为同一人或者存在直接控股、管理关系的不同竞选人，只允许其中一家竞选人参与本次比选活动。</w:t>
      </w:r>
    </w:p>
    <w:p w14:paraId="218A32E3">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（二）本项目在竞选文件提交截止时间前发布的比选文件及补遗文件（如果有）一律在“荣昌教育（http://www.rcqjy.com/）”、</w:t>
      </w:r>
      <w:r>
        <w:rPr>
          <w:rFonts w:hint="eastAsia" w:ascii="宋体" w:hAnsi="宋体"/>
          <w:sz w:val="24"/>
          <w:highlight w:val="none"/>
          <w:lang w:eastAsia="zh-CN"/>
        </w:rPr>
        <w:t>“行采家平台（http://www.gec123.com）”</w:t>
      </w:r>
      <w:r>
        <w:rPr>
          <w:rFonts w:hint="eastAsia" w:ascii="仿宋" w:hAnsi="仿宋" w:eastAsia="仿宋" w:cs="仿宋"/>
          <w:color w:val="auto"/>
          <w:highlight w:val="none"/>
          <w:lang w:val="en-US" w:eastAsia="zh-CN"/>
        </w:rPr>
        <w:t>上发布，请各竞选人注意下载；无论竞选人下载与否，均视同竞选人已知晓本项目比选文件、补遗文件（如果有）的内容。</w:t>
      </w:r>
    </w:p>
    <w:p w14:paraId="6F05E621">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（三）超过竞选文件截止时间递交的竞选文件，恕不接收。</w:t>
      </w:r>
    </w:p>
    <w:p w14:paraId="76725B11">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（四）比选费用：无论比选结果如何，竞选人参与本项目比选的所有费用均应由竞选人自行承担。</w:t>
      </w:r>
    </w:p>
    <w:p w14:paraId="4546693F">
      <w:pPr>
        <w:spacing w:line="360" w:lineRule="auto"/>
        <w:ind w:firstLine="480" w:firstLineChars="200"/>
        <w:jc w:val="both"/>
        <w:rPr>
          <w:rFonts w:hint="eastAsia" w:ascii="仿宋" w:hAnsi="仿宋" w:eastAsia="仿宋" w:cs="仿宋"/>
          <w:color w:val="auto"/>
          <w:highlight w:val="none"/>
          <w:lang w:val="en-US" w:eastAsia="zh-CN"/>
        </w:rPr>
      </w:pPr>
      <w:bookmarkStart w:id="54" w:name="_Toc27864"/>
      <w:bookmarkStart w:id="55" w:name="_Toc32055"/>
      <w:bookmarkStart w:id="56" w:name="_Toc485108773"/>
      <w:r>
        <w:rPr>
          <w:rFonts w:hint="eastAsia" w:ascii="仿宋" w:hAnsi="仿宋" w:eastAsia="仿宋" w:cs="仿宋"/>
          <w:color w:val="auto"/>
          <w:highlight w:val="none"/>
          <w:lang w:val="en-US" w:eastAsia="zh-CN"/>
        </w:rPr>
        <w:t>（五）本项目不接受联合体竞选，否则按无效处理。</w:t>
      </w:r>
    </w:p>
    <w:p w14:paraId="1CB43FAC">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（六）本项目不接受合同分包，否则按无效处理。</w:t>
      </w:r>
    </w:p>
    <w:p w14:paraId="1ECB43C0">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七）按照《财政部关于在政府比选活动中查询及使用信用记录有关问题的通知》财库〔2016〕125号，竞选人列入失信被执行人、重大税收违法案件当事人名单、政府比选严重违法失信行为记录名单及其他不符合《中华人民共和国政府比选法》第二十二条规定条件的竞选人，将拒绝其参与政府比选活动。</w:t>
      </w:r>
      <w:bookmarkStart w:id="57" w:name="_Toc113094901"/>
      <w:bookmarkStart w:id="58" w:name="_Toc13148"/>
      <w:bookmarkStart w:id="59" w:name="_Toc30577"/>
      <w:bookmarkStart w:id="60" w:name="_Toc5829"/>
      <w:bookmarkStart w:id="61" w:name="_Toc4360"/>
      <w:bookmarkStart w:id="62" w:name="_Toc22982"/>
    </w:p>
    <w:p w14:paraId="3F2C4190">
      <w:pPr>
        <w:spacing w:line="360" w:lineRule="auto"/>
        <w:ind w:firstLine="482" w:firstLineChars="200"/>
        <w:jc w:val="both"/>
        <w:rPr>
          <w:rFonts w:hint="eastAsia" w:ascii="仿宋" w:hAnsi="仿宋" w:eastAsia="仿宋" w:cs="仿宋"/>
          <w:color w:val="auto"/>
          <w:highlight w:val="none"/>
          <w:lang w:val="en-US" w:eastAsia="zh-CN"/>
        </w:rPr>
      </w:pPr>
      <w:bookmarkStart w:id="63" w:name="_Toc1094"/>
      <w:bookmarkStart w:id="64" w:name="_Toc22000"/>
      <w:r>
        <w:rPr>
          <w:rFonts w:hint="eastAsia" w:ascii="仿宋" w:hAnsi="仿宋" w:eastAsia="仿宋" w:cs="仿宋"/>
          <w:b/>
          <w:bCs/>
          <w:color w:val="auto"/>
          <w:highlight w:val="none"/>
          <w:lang w:val="en-US" w:eastAsia="zh-CN"/>
        </w:rPr>
        <w:t>六、联系方式</w:t>
      </w:r>
      <w:bookmarkEnd w:id="54"/>
      <w:bookmarkEnd w:id="55"/>
      <w:bookmarkEnd w:id="56"/>
      <w:bookmarkEnd w:id="57"/>
      <w:bookmarkEnd w:id="58"/>
      <w:bookmarkEnd w:id="59"/>
      <w:bookmarkEnd w:id="60"/>
      <w:bookmarkEnd w:id="61"/>
      <w:bookmarkEnd w:id="62"/>
      <w:bookmarkEnd w:id="63"/>
      <w:bookmarkEnd w:id="64"/>
    </w:p>
    <w:p w14:paraId="729C8C45">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（一）比选人：重庆市荣昌区职业教育中心</w:t>
      </w:r>
    </w:p>
    <w:p w14:paraId="1794D2EC">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联系人：王老师</w:t>
      </w:r>
    </w:p>
    <w:p w14:paraId="1049E1F2">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电  话：023-46797255</w:t>
      </w:r>
    </w:p>
    <w:p w14:paraId="5547C08B">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地  址：重庆市荣昌区昌州街道万福路669号</w:t>
      </w:r>
    </w:p>
    <w:p w14:paraId="624E45D8">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（二）比选代理机构：重庆昇晖工程咨询有限公司</w:t>
      </w:r>
    </w:p>
    <w:p w14:paraId="06DFE146">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业务联系人：钟老师</w:t>
      </w:r>
    </w:p>
    <w:p w14:paraId="0B5E6656">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电  话：15213495778</w:t>
      </w:r>
    </w:p>
    <w:p w14:paraId="374E62E2">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地  址：重庆市荣昌区重牧硅谷·星创天地B座220</w:t>
      </w:r>
    </w:p>
    <w:p w14:paraId="42B983C7">
      <w:pPr>
        <w:pageBreakBefore w:val="0"/>
        <w:kinsoku/>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color w:val="auto"/>
          <w:sz w:val="28"/>
          <w:szCs w:val="22"/>
          <w:highlight w:val="none"/>
        </w:rPr>
      </w:pPr>
      <w:bookmarkStart w:id="65" w:name="_Toc26782"/>
    </w:p>
    <w:p w14:paraId="6C71C50F">
      <w:pPr>
        <w:rPr>
          <w:rFonts w:hint="eastAsia" w:ascii="仿宋" w:hAnsi="仿宋" w:eastAsia="仿宋" w:cs="仿宋"/>
          <w:b/>
          <w:bCs/>
          <w:color w:val="000000" w:themeColor="text1"/>
          <w:sz w:val="36"/>
          <w:szCs w:val="36"/>
          <w:highlight w:val="none"/>
          <w14:textFill>
            <w14:solidFill>
              <w14:schemeClr w14:val="tx1"/>
            </w14:solidFill>
          </w14:textFill>
        </w:rPr>
      </w:pPr>
      <w:bookmarkStart w:id="66" w:name="_Toc1625"/>
      <w:bookmarkStart w:id="67" w:name="_Toc2422"/>
      <w:bookmarkStart w:id="68" w:name="_Toc11017"/>
      <w:bookmarkStart w:id="69" w:name="_Toc5461"/>
      <w:bookmarkStart w:id="70" w:name="_Toc32686"/>
      <w:bookmarkStart w:id="71" w:name="_Toc2070"/>
      <w:bookmarkStart w:id="72" w:name="_Toc19886"/>
      <w:bookmarkStart w:id="73" w:name="_Toc23143"/>
      <w:bookmarkStart w:id="74" w:name="_Toc119579773"/>
      <w:bookmarkStart w:id="75" w:name="_Toc8649"/>
      <w:bookmarkStart w:id="76" w:name="_Toc12959"/>
      <w:bookmarkStart w:id="77" w:name="_Toc725"/>
      <w:bookmarkStart w:id="78" w:name="_Toc2069"/>
      <w:bookmarkStart w:id="79" w:name="_Toc119949872"/>
      <w:bookmarkStart w:id="80" w:name="_Toc25639"/>
      <w:bookmarkStart w:id="81" w:name="_Toc32622"/>
      <w:bookmarkStart w:id="82" w:name="_Toc26176"/>
      <w:bookmarkStart w:id="83" w:name="_Toc75793504"/>
      <w:bookmarkStart w:id="84" w:name="_Toc1492"/>
      <w:r>
        <w:rPr>
          <w:rFonts w:hint="eastAsia" w:ascii="仿宋" w:hAnsi="仿宋" w:eastAsia="仿宋" w:cs="仿宋"/>
          <w:b/>
          <w:bCs/>
          <w:color w:val="000000" w:themeColor="text1"/>
          <w:sz w:val="36"/>
          <w:szCs w:val="36"/>
          <w:highlight w:val="none"/>
          <w14:textFill>
            <w14:solidFill>
              <w14:schemeClr w14:val="tx1"/>
            </w14:solidFill>
          </w14:textFill>
        </w:rPr>
        <w:br w:type="page"/>
      </w:r>
    </w:p>
    <w:p w14:paraId="2EAEFF72">
      <w:pPr>
        <w:pStyle w:val="2"/>
        <w:tabs>
          <w:tab w:val="left" w:pos="3360"/>
        </w:tabs>
        <w:spacing w:before="0" w:beforeLines="0" w:after="0" w:afterLines="0" w:line="360" w:lineRule="auto"/>
        <w:rPr>
          <w:rFonts w:hint="eastAsia" w:ascii="仿宋" w:hAnsi="仿宋" w:eastAsia="仿宋" w:cs="仿宋"/>
          <w:b/>
          <w:color w:val="000000" w:themeColor="text1"/>
          <w:sz w:val="36"/>
          <w:szCs w:val="36"/>
          <w:highlight w:val="none"/>
          <w:lang w:val="en-US" w:eastAsia="zh-CN"/>
          <w14:textFill>
            <w14:solidFill>
              <w14:schemeClr w14:val="tx1"/>
            </w14:solidFill>
          </w14:textFill>
        </w:rPr>
      </w:pPr>
      <w:r>
        <w:rPr>
          <w:rFonts w:hint="eastAsia" w:ascii="仿宋" w:hAnsi="仿宋" w:eastAsia="仿宋" w:cs="仿宋"/>
          <w:b/>
          <w:bCs/>
          <w:color w:val="000000" w:themeColor="text1"/>
          <w:sz w:val="36"/>
          <w:szCs w:val="36"/>
          <w:highlight w:val="none"/>
          <w14:textFill>
            <w14:solidFill>
              <w14:schemeClr w14:val="tx1"/>
            </w14:solidFill>
          </w14:textFill>
        </w:rPr>
        <w:t xml:space="preserve">第二篇  </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Pr>
          <w:rFonts w:hint="eastAsia" w:ascii="仿宋" w:hAnsi="仿宋" w:eastAsia="仿宋" w:cs="仿宋"/>
          <w:b/>
          <w:bCs/>
          <w:color w:val="000000" w:themeColor="text1"/>
          <w:sz w:val="36"/>
          <w:szCs w:val="36"/>
          <w:highlight w:val="none"/>
          <w:lang w:val="en-US" w:eastAsia="zh-CN"/>
          <w14:textFill>
            <w14:solidFill>
              <w14:schemeClr w14:val="tx1"/>
            </w14:solidFill>
          </w14:textFill>
        </w:rPr>
        <w:t>竞选人须知</w:t>
      </w:r>
    </w:p>
    <w:p w14:paraId="5B384791">
      <w:pPr>
        <w:pStyle w:val="3"/>
        <w:spacing w:line="360" w:lineRule="auto"/>
        <w:ind w:firstLine="482" w:firstLineChars="200"/>
        <w:outlineLvl w:val="0"/>
        <w:rPr>
          <w:rFonts w:hint="eastAsia" w:ascii="仿宋" w:hAnsi="仿宋" w:eastAsia="仿宋" w:cs="仿宋"/>
          <w:b/>
          <w:bCs/>
          <w:color w:val="000000" w:themeColor="text1"/>
          <w:sz w:val="24"/>
          <w:highlight w:val="none"/>
          <w14:textFill>
            <w14:solidFill>
              <w14:schemeClr w14:val="tx1"/>
            </w14:solidFill>
          </w14:textFill>
        </w:rPr>
      </w:pPr>
      <w:bookmarkStart w:id="85" w:name="_Toc9261"/>
      <w:bookmarkStart w:id="86" w:name="_Toc29985"/>
      <w:bookmarkStart w:id="87" w:name="_Toc12642"/>
      <w:bookmarkStart w:id="88" w:name="_Toc19238"/>
      <w:bookmarkStart w:id="89" w:name="_Toc4913"/>
      <w:bookmarkStart w:id="90" w:name="_Toc23656"/>
      <w:bookmarkStart w:id="91" w:name="_Toc119579774"/>
      <w:bookmarkStart w:id="92" w:name="_Toc8370"/>
      <w:bookmarkStart w:id="93" w:name="_Toc21185"/>
      <w:bookmarkStart w:id="94" w:name="_Toc4531"/>
      <w:bookmarkStart w:id="95" w:name="_Toc688"/>
      <w:bookmarkStart w:id="96" w:name="_Toc75793505"/>
      <w:bookmarkStart w:id="97" w:name="_Toc4519"/>
      <w:bookmarkStart w:id="98" w:name="_Toc23504"/>
      <w:bookmarkStart w:id="99" w:name="_Toc119949873"/>
      <w:bookmarkStart w:id="100" w:name="_Toc11703"/>
      <w:bookmarkStart w:id="101" w:name="_Toc22910"/>
      <w:bookmarkStart w:id="102" w:name="_Toc20979"/>
      <w:bookmarkStart w:id="103" w:name="_Toc7027"/>
      <w:r>
        <w:rPr>
          <w:rFonts w:hint="eastAsia" w:ascii="仿宋" w:hAnsi="仿宋" w:eastAsia="仿宋" w:cs="仿宋"/>
          <w:b/>
          <w:bCs/>
          <w:color w:val="000000" w:themeColor="text1"/>
          <w:sz w:val="24"/>
          <w:highlight w:val="none"/>
          <w14:textFill>
            <w14:solidFill>
              <w14:schemeClr w14:val="tx1"/>
            </w14:solidFill>
          </w14:textFill>
        </w:rPr>
        <w:t>一、项目一览表</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9"/>
        <w:gridCol w:w="1768"/>
        <w:gridCol w:w="3885"/>
      </w:tblGrid>
      <w:tr w14:paraId="67F1D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3659" w:type="dxa"/>
            <w:noWrap w:val="0"/>
            <w:vAlign w:val="center"/>
          </w:tcPr>
          <w:p w14:paraId="56F577EC">
            <w:pPr>
              <w:spacing w:line="360" w:lineRule="auto"/>
              <w:ind w:firstLine="1440" w:firstLineChars="600"/>
              <w:jc w:val="both"/>
              <w:rPr>
                <w:rFonts w:hint="eastAsia" w:ascii="仿宋" w:hAnsi="仿宋" w:eastAsia="仿宋" w:cs="仿宋"/>
                <w:color w:val="000000" w:themeColor="text1"/>
                <w:highlight w:val="none"/>
                <w:lang w:val="en-US" w:eastAsia="zh-CN"/>
                <w14:textFill>
                  <w14:solidFill>
                    <w14:schemeClr w14:val="tx1"/>
                  </w14:solidFill>
                </w14:textFill>
              </w:rPr>
            </w:pPr>
            <w:bookmarkStart w:id="104" w:name="_Toc10474"/>
            <w:bookmarkStart w:id="105" w:name="_Toc11829"/>
            <w:bookmarkStart w:id="106" w:name="_Toc25280"/>
            <w:bookmarkStart w:id="107" w:name="_Toc13771"/>
            <w:r>
              <w:rPr>
                <w:rFonts w:hint="eastAsia" w:ascii="仿宋" w:hAnsi="仿宋" w:eastAsia="仿宋" w:cs="仿宋"/>
                <w:color w:val="000000" w:themeColor="text1"/>
                <w:highlight w:val="none"/>
                <w:lang w:val="en-US" w:eastAsia="zh-CN"/>
                <w14:textFill>
                  <w14:solidFill>
                    <w14:schemeClr w14:val="tx1"/>
                  </w14:solidFill>
                </w14:textFill>
              </w:rPr>
              <w:t>项目名称</w:t>
            </w:r>
          </w:p>
        </w:tc>
        <w:tc>
          <w:tcPr>
            <w:tcW w:w="1768" w:type="dxa"/>
            <w:noWrap w:val="0"/>
            <w:vAlign w:val="center"/>
          </w:tcPr>
          <w:p w14:paraId="59C7368E">
            <w:pPr>
              <w:spacing w:line="360" w:lineRule="auto"/>
              <w:ind w:left="0" w:leftChars="0" w:firstLine="240" w:firstLineChars="100"/>
              <w:jc w:val="both"/>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数量/单位</w:t>
            </w:r>
          </w:p>
        </w:tc>
        <w:tc>
          <w:tcPr>
            <w:tcW w:w="3885" w:type="dxa"/>
            <w:noWrap w:val="0"/>
            <w:vAlign w:val="center"/>
          </w:tcPr>
          <w:p w14:paraId="545B8FE7">
            <w:pPr>
              <w:spacing w:line="360" w:lineRule="auto"/>
              <w:ind w:firstLine="1440" w:firstLineChars="600"/>
              <w:jc w:val="both"/>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备注</w:t>
            </w:r>
          </w:p>
        </w:tc>
      </w:tr>
      <w:tr w14:paraId="1B52B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3659" w:type="dxa"/>
            <w:noWrap w:val="0"/>
            <w:vAlign w:val="center"/>
          </w:tcPr>
          <w:p w14:paraId="5619D6A0">
            <w:pPr>
              <w:spacing w:line="240" w:lineRule="auto"/>
              <w:ind w:left="0" w:leftChars="0" w:firstLine="0" w:firstLineChars="0"/>
              <w:jc w:val="left"/>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eastAsia="zh-CN"/>
                <w14:textFill>
                  <w14:solidFill>
                    <w14:schemeClr w14:val="tx1"/>
                  </w14:solidFill>
                </w14:textFill>
              </w:rPr>
              <w:t>重庆市荣昌区职业教育中心学生宿舍更换阳台门和一楼安装铝合金窗项目</w:t>
            </w:r>
          </w:p>
        </w:tc>
        <w:tc>
          <w:tcPr>
            <w:tcW w:w="1768" w:type="dxa"/>
            <w:noWrap w:val="0"/>
            <w:vAlign w:val="center"/>
          </w:tcPr>
          <w:p w14:paraId="5DBECF06">
            <w:pPr>
              <w:spacing w:line="360" w:lineRule="auto"/>
              <w:ind w:firstLine="480" w:firstLineChars="200"/>
              <w:jc w:val="both"/>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1项</w:t>
            </w:r>
          </w:p>
        </w:tc>
        <w:tc>
          <w:tcPr>
            <w:tcW w:w="3885" w:type="dxa"/>
            <w:noWrap w:val="0"/>
            <w:vAlign w:val="center"/>
          </w:tcPr>
          <w:p w14:paraId="5AD11D76">
            <w:pPr>
              <w:spacing w:line="240" w:lineRule="auto"/>
              <w:ind w:left="0" w:leftChars="0" w:firstLine="0" w:firstLineChars="0"/>
              <w:jc w:val="left"/>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施工范围：工程量清单范围内所有内容</w:t>
            </w:r>
          </w:p>
        </w:tc>
      </w:tr>
      <w:bookmarkEnd w:id="104"/>
      <w:bookmarkEnd w:id="105"/>
    </w:tbl>
    <w:p w14:paraId="1C2131BB">
      <w:pPr>
        <w:rPr>
          <w:rFonts w:hint="eastAsia" w:ascii="仿宋" w:hAnsi="仿宋" w:eastAsia="仿宋" w:cs="仿宋"/>
          <w:b/>
          <w:sz w:val="24"/>
        </w:rPr>
      </w:pPr>
      <w:bookmarkStart w:id="108" w:name="_Toc339360683"/>
    </w:p>
    <w:p w14:paraId="562AE81E">
      <w:pPr>
        <w:rPr>
          <w:rFonts w:hint="eastAsia" w:ascii="仿宋" w:hAnsi="仿宋" w:eastAsia="仿宋" w:cs="仿宋"/>
          <w:b/>
          <w:sz w:val="24"/>
        </w:rPr>
      </w:pPr>
      <w:r>
        <w:rPr>
          <w:rFonts w:hint="eastAsia" w:ascii="仿宋" w:hAnsi="仿宋" w:eastAsia="仿宋" w:cs="仿宋"/>
          <w:b/>
          <w:sz w:val="24"/>
          <w:lang w:val="en-US" w:eastAsia="zh-CN"/>
        </w:rPr>
        <w:t>二、</w:t>
      </w:r>
      <w:r>
        <w:rPr>
          <w:rFonts w:hint="eastAsia" w:ascii="仿宋" w:hAnsi="仿宋" w:eastAsia="仿宋" w:cs="仿宋"/>
          <w:b/>
          <w:sz w:val="24"/>
        </w:rPr>
        <w:t>竞选人须知附表</w:t>
      </w:r>
      <w:bookmarkEnd w:id="108"/>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80"/>
        <w:gridCol w:w="1652"/>
        <w:gridCol w:w="6846"/>
      </w:tblGrid>
      <w:tr w14:paraId="4A47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3" w:hRule="atLeast"/>
          <w:tblHeader/>
        </w:trPr>
        <w:tc>
          <w:tcPr>
            <w:tcW w:w="980" w:type="dxa"/>
            <w:noWrap w:val="0"/>
            <w:vAlign w:val="bottom"/>
          </w:tcPr>
          <w:p w14:paraId="24A58B29">
            <w:pPr>
              <w:snapToGrid w:val="0"/>
              <w:spacing w:line="240" w:lineRule="auto"/>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条款号</w:t>
            </w:r>
          </w:p>
        </w:tc>
        <w:tc>
          <w:tcPr>
            <w:tcW w:w="1652" w:type="dxa"/>
            <w:noWrap w:val="0"/>
            <w:vAlign w:val="bottom"/>
          </w:tcPr>
          <w:p w14:paraId="0DA99CAE">
            <w:pPr>
              <w:snapToGrid w:val="0"/>
              <w:spacing w:line="240" w:lineRule="auto"/>
              <w:ind w:left="0" w:leftChars="0"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条款名称</w:t>
            </w:r>
          </w:p>
        </w:tc>
        <w:tc>
          <w:tcPr>
            <w:tcW w:w="6846" w:type="dxa"/>
            <w:noWrap w:val="0"/>
            <w:vAlign w:val="bottom"/>
          </w:tcPr>
          <w:p w14:paraId="38AB7442">
            <w:pPr>
              <w:snapToGrid w:val="0"/>
              <w:spacing w:line="240" w:lineRule="auto"/>
              <w:ind w:left="0" w:leftChars="0"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编  列  内  容</w:t>
            </w:r>
          </w:p>
        </w:tc>
      </w:tr>
      <w:tr w14:paraId="0CCDD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 w:hRule="atLeast"/>
        </w:trPr>
        <w:tc>
          <w:tcPr>
            <w:tcW w:w="980" w:type="dxa"/>
            <w:noWrap w:val="0"/>
            <w:vAlign w:val="center"/>
          </w:tcPr>
          <w:p w14:paraId="2D9EBA21">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1.1.2</w:t>
            </w:r>
          </w:p>
        </w:tc>
        <w:tc>
          <w:tcPr>
            <w:tcW w:w="1652" w:type="dxa"/>
            <w:noWrap w:val="0"/>
            <w:vAlign w:val="center"/>
          </w:tcPr>
          <w:p w14:paraId="7D6AAEA0">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比选人</w:t>
            </w:r>
          </w:p>
        </w:tc>
        <w:tc>
          <w:tcPr>
            <w:tcW w:w="6846" w:type="dxa"/>
            <w:noWrap w:val="0"/>
            <w:vAlign w:val="center"/>
          </w:tcPr>
          <w:p w14:paraId="0D97936A">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比选人：</w:t>
            </w:r>
            <w:r>
              <w:rPr>
                <w:rFonts w:hint="eastAsia" w:ascii="仿宋" w:hAnsi="仿宋" w:eastAsia="仿宋" w:cs="仿宋"/>
                <w:kern w:val="0"/>
                <w:sz w:val="24"/>
                <w:szCs w:val="24"/>
                <w:lang w:eastAsia="zh-CN"/>
              </w:rPr>
              <w:t>重庆市荣昌区职业教育中心</w:t>
            </w:r>
          </w:p>
          <w:p w14:paraId="3EE6294D">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地址：</w:t>
            </w:r>
            <w:r>
              <w:rPr>
                <w:rFonts w:hint="eastAsia" w:ascii="仿宋" w:hAnsi="仿宋" w:eastAsia="仿宋" w:cs="仿宋"/>
                <w:kern w:val="0"/>
                <w:sz w:val="24"/>
                <w:szCs w:val="24"/>
                <w:lang w:eastAsia="zh-CN"/>
              </w:rPr>
              <w:t>重庆市荣昌区昌州街道万福路669号</w:t>
            </w:r>
          </w:p>
          <w:p w14:paraId="752865F7">
            <w:pPr>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联系人：</w:t>
            </w:r>
            <w:r>
              <w:rPr>
                <w:rFonts w:hint="eastAsia" w:ascii="仿宋" w:hAnsi="仿宋" w:eastAsia="仿宋" w:cs="仿宋"/>
                <w:kern w:val="0"/>
                <w:sz w:val="24"/>
                <w:szCs w:val="24"/>
                <w:lang w:val="en-US" w:eastAsia="zh-CN"/>
              </w:rPr>
              <w:t>王老师</w:t>
            </w:r>
            <w:r>
              <w:rPr>
                <w:rFonts w:hint="eastAsia" w:ascii="仿宋" w:hAnsi="仿宋" w:eastAsia="仿宋" w:cs="仿宋"/>
                <w:kern w:val="0"/>
                <w:sz w:val="24"/>
                <w:szCs w:val="24"/>
              </w:rPr>
              <w:t xml:space="preserve"> </w:t>
            </w:r>
          </w:p>
          <w:p w14:paraId="3203B829">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电  话：</w:t>
            </w:r>
            <w:r>
              <w:rPr>
                <w:rFonts w:hint="eastAsia" w:ascii="仿宋" w:hAnsi="仿宋" w:eastAsia="仿宋" w:cs="仿宋"/>
                <w:sz w:val="24"/>
                <w:szCs w:val="24"/>
                <w:lang w:eastAsia="zh-CN"/>
              </w:rPr>
              <w:t>023-46797255</w:t>
            </w:r>
          </w:p>
        </w:tc>
      </w:tr>
      <w:tr w14:paraId="401AA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 w:hRule="atLeast"/>
        </w:trPr>
        <w:tc>
          <w:tcPr>
            <w:tcW w:w="980" w:type="dxa"/>
            <w:noWrap w:val="0"/>
            <w:vAlign w:val="center"/>
          </w:tcPr>
          <w:p w14:paraId="5F470E00">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1.1.3</w:t>
            </w:r>
          </w:p>
        </w:tc>
        <w:tc>
          <w:tcPr>
            <w:tcW w:w="1652" w:type="dxa"/>
            <w:noWrap w:val="0"/>
            <w:vAlign w:val="center"/>
          </w:tcPr>
          <w:p w14:paraId="3746BDFB">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比选代理机构</w:t>
            </w:r>
          </w:p>
        </w:tc>
        <w:tc>
          <w:tcPr>
            <w:tcW w:w="6846" w:type="dxa"/>
            <w:noWrap w:val="0"/>
            <w:vAlign w:val="center"/>
          </w:tcPr>
          <w:p w14:paraId="3575A32B">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名称：</w:t>
            </w:r>
            <w:r>
              <w:rPr>
                <w:rFonts w:hint="eastAsia" w:ascii="仿宋" w:hAnsi="仿宋" w:eastAsia="仿宋" w:cs="仿宋"/>
                <w:kern w:val="0"/>
                <w:sz w:val="24"/>
                <w:szCs w:val="24"/>
                <w:lang w:eastAsia="zh-CN"/>
              </w:rPr>
              <w:t>重庆昇晖工程咨询有限公司</w:t>
            </w:r>
          </w:p>
          <w:p w14:paraId="7B6A4B98">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地址：</w:t>
            </w:r>
            <w:r>
              <w:rPr>
                <w:rFonts w:hint="eastAsia" w:ascii="仿宋" w:hAnsi="仿宋" w:eastAsia="仿宋" w:cs="仿宋"/>
                <w:kern w:val="0"/>
                <w:sz w:val="24"/>
                <w:szCs w:val="24"/>
                <w:lang w:eastAsia="zh-CN"/>
              </w:rPr>
              <w:t>重庆市荣昌区重牧硅谷·星创天地B座220</w:t>
            </w:r>
          </w:p>
          <w:p w14:paraId="1D4B4F56">
            <w:pPr>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联系人：</w:t>
            </w:r>
            <w:r>
              <w:rPr>
                <w:rFonts w:hint="eastAsia" w:ascii="仿宋" w:hAnsi="仿宋" w:eastAsia="仿宋" w:cs="仿宋"/>
                <w:kern w:val="0"/>
                <w:sz w:val="24"/>
                <w:szCs w:val="24"/>
                <w:lang w:val="en-US" w:eastAsia="zh-CN"/>
              </w:rPr>
              <w:t>钟</w:t>
            </w:r>
            <w:r>
              <w:rPr>
                <w:rFonts w:hint="eastAsia" w:ascii="仿宋" w:hAnsi="仿宋" w:eastAsia="仿宋" w:cs="仿宋"/>
                <w:kern w:val="0"/>
                <w:sz w:val="24"/>
                <w:szCs w:val="24"/>
                <w:lang w:eastAsia="zh-CN"/>
              </w:rPr>
              <w:t>老师</w:t>
            </w:r>
            <w:r>
              <w:rPr>
                <w:rFonts w:hint="eastAsia" w:ascii="仿宋" w:hAnsi="仿宋" w:eastAsia="仿宋" w:cs="仿宋"/>
                <w:kern w:val="0"/>
                <w:sz w:val="24"/>
                <w:szCs w:val="24"/>
              </w:rPr>
              <w:t xml:space="preserve"> </w:t>
            </w:r>
          </w:p>
          <w:p w14:paraId="243FD280">
            <w:pPr>
              <w:spacing w:line="360" w:lineRule="auto"/>
              <w:ind w:firstLine="0" w:firstLineChars="0"/>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电话：</w:t>
            </w:r>
            <w:r>
              <w:rPr>
                <w:rFonts w:hint="eastAsia" w:ascii="仿宋" w:hAnsi="仿宋" w:eastAsia="仿宋" w:cs="仿宋"/>
                <w:kern w:val="0"/>
                <w:sz w:val="24"/>
                <w:szCs w:val="24"/>
                <w:lang w:val="en-US" w:eastAsia="zh-CN"/>
              </w:rPr>
              <w:t>15213495778</w:t>
            </w:r>
          </w:p>
        </w:tc>
      </w:tr>
      <w:tr w14:paraId="280B0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atLeast"/>
        </w:trPr>
        <w:tc>
          <w:tcPr>
            <w:tcW w:w="980" w:type="dxa"/>
            <w:noWrap w:val="0"/>
            <w:vAlign w:val="center"/>
          </w:tcPr>
          <w:p w14:paraId="070A457C">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1.1.4</w:t>
            </w:r>
          </w:p>
        </w:tc>
        <w:tc>
          <w:tcPr>
            <w:tcW w:w="1652" w:type="dxa"/>
            <w:noWrap w:val="0"/>
            <w:vAlign w:val="center"/>
          </w:tcPr>
          <w:p w14:paraId="566638BA">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工程名称</w:t>
            </w:r>
          </w:p>
        </w:tc>
        <w:tc>
          <w:tcPr>
            <w:tcW w:w="6846" w:type="dxa"/>
            <w:noWrap w:val="0"/>
            <w:vAlign w:val="center"/>
          </w:tcPr>
          <w:p w14:paraId="550B8691">
            <w:pPr>
              <w:snapToGrid w:val="0"/>
              <w:spacing w:line="360" w:lineRule="auto"/>
              <w:ind w:firstLine="0" w:firstLineChars="0"/>
              <w:jc w:val="left"/>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重庆市荣昌区职业教育中心学生宿舍更换阳台门和一楼安装铝合金窗项目</w:t>
            </w:r>
          </w:p>
        </w:tc>
      </w:tr>
      <w:tr w14:paraId="4030B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trPr>
        <w:tc>
          <w:tcPr>
            <w:tcW w:w="980" w:type="dxa"/>
            <w:noWrap w:val="0"/>
            <w:vAlign w:val="center"/>
          </w:tcPr>
          <w:p w14:paraId="382229E0">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1.1.5</w:t>
            </w:r>
          </w:p>
        </w:tc>
        <w:tc>
          <w:tcPr>
            <w:tcW w:w="1652" w:type="dxa"/>
            <w:noWrap w:val="0"/>
            <w:vAlign w:val="center"/>
          </w:tcPr>
          <w:p w14:paraId="6C53FE0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建设地点</w:t>
            </w:r>
          </w:p>
        </w:tc>
        <w:tc>
          <w:tcPr>
            <w:tcW w:w="6846" w:type="dxa"/>
            <w:noWrap w:val="0"/>
            <w:vAlign w:val="center"/>
          </w:tcPr>
          <w:p w14:paraId="19A327CA">
            <w:pPr>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lang w:eastAsia="zh-CN"/>
              </w:rPr>
              <w:t>重庆市荣昌区职业教育中心</w:t>
            </w:r>
            <w:r>
              <w:rPr>
                <w:rFonts w:hint="eastAsia" w:ascii="仿宋" w:hAnsi="仿宋" w:eastAsia="仿宋" w:cs="仿宋"/>
                <w:kern w:val="0"/>
                <w:sz w:val="24"/>
                <w:szCs w:val="24"/>
              </w:rPr>
              <w:t>校内</w:t>
            </w:r>
          </w:p>
        </w:tc>
      </w:tr>
      <w:tr w14:paraId="3F472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980" w:type="dxa"/>
            <w:noWrap w:val="0"/>
            <w:vAlign w:val="center"/>
          </w:tcPr>
          <w:p w14:paraId="5C8A7675">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1.2.1</w:t>
            </w:r>
          </w:p>
        </w:tc>
        <w:tc>
          <w:tcPr>
            <w:tcW w:w="1652" w:type="dxa"/>
            <w:noWrap w:val="0"/>
            <w:vAlign w:val="center"/>
          </w:tcPr>
          <w:p w14:paraId="2C8523D9">
            <w:pPr>
              <w:snapToGrid w:val="0"/>
              <w:spacing w:line="240" w:lineRule="auto"/>
              <w:ind w:firstLine="0" w:firstLineChars="0"/>
              <w:jc w:val="center"/>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资金来源</w:t>
            </w:r>
          </w:p>
        </w:tc>
        <w:tc>
          <w:tcPr>
            <w:tcW w:w="6846" w:type="dxa"/>
            <w:noWrap w:val="0"/>
            <w:vAlign w:val="center"/>
          </w:tcPr>
          <w:p w14:paraId="2F93AA47">
            <w:pPr>
              <w:spacing w:line="240" w:lineRule="auto"/>
              <w:ind w:firstLine="0" w:firstLineChars="0"/>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财政资金</w:t>
            </w:r>
          </w:p>
        </w:tc>
      </w:tr>
      <w:tr w14:paraId="37C9F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1" w:hRule="atLeast"/>
        </w:trPr>
        <w:tc>
          <w:tcPr>
            <w:tcW w:w="980" w:type="dxa"/>
            <w:noWrap w:val="0"/>
            <w:vAlign w:val="center"/>
          </w:tcPr>
          <w:p w14:paraId="51AFDE8D">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1.2.2</w:t>
            </w:r>
          </w:p>
        </w:tc>
        <w:tc>
          <w:tcPr>
            <w:tcW w:w="1652" w:type="dxa"/>
            <w:noWrap w:val="0"/>
            <w:vAlign w:val="center"/>
          </w:tcPr>
          <w:p w14:paraId="3A13CC43">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出资比例</w:t>
            </w:r>
          </w:p>
        </w:tc>
        <w:tc>
          <w:tcPr>
            <w:tcW w:w="6846" w:type="dxa"/>
            <w:noWrap w:val="0"/>
            <w:vAlign w:val="center"/>
          </w:tcPr>
          <w:p w14:paraId="059F6511">
            <w:pPr>
              <w:snapToGrid w:val="0"/>
              <w:spacing w:line="24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100%</w:t>
            </w:r>
          </w:p>
        </w:tc>
      </w:tr>
      <w:tr w14:paraId="2D071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trPr>
        <w:tc>
          <w:tcPr>
            <w:tcW w:w="980" w:type="dxa"/>
            <w:noWrap w:val="0"/>
            <w:vAlign w:val="center"/>
          </w:tcPr>
          <w:p w14:paraId="0D4BD21E">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1.3.1</w:t>
            </w:r>
          </w:p>
        </w:tc>
        <w:tc>
          <w:tcPr>
            <w:tcW w:w="1652" w:type="dxa"/>
            <w:noWrap w:val="0"/>
            <w:vAlign w:val="center"/>
          </w:tcPr>
          <w:p w14:paraId="7E016FD6">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比选范围</w:t>
            </w:r>
          </w:p>
        </w:tc>
        <w:tc>
          <w:tcPr>
            <w:tcW w:w="6846" w:type="dxa"/>
            <w:noWrap w:val="0"/>
            <w:vAlign w:val="center"/>
          </w:tcPr>
          <w:p w14:paraId="6F9FA795">
            <w:pPr>
              <w:spacing w:line="360" w:lineRule="auto"/>
              <w:ind w:firstLine="480" w:firstLineChars="200"/>
              <w:rPr>
                <w:rFonts w:hint="eastAsia" w:ascii="仿宋" w:hAnsi="仿宋" w:eastAsia="仿宋" w:cs="仿宋"/>
                <w:sz w:val="24"/>
                <w:szCs w:val="24"/>
              </w:rPr>
            </w:pPr>
            <w:r>
              <w:rPr>
                <w:rFonts w:hint="eastAsia" w:ascii="仿宋" w:hAnsi="仿宋" w:eastAsia="仿宋" w:cs="仿宋"/>
                <w:snapToGrid w:val="0"/>
                <w:kern w:val="0"/>
                <w:sz w:val="24"/>
                <w:szCs w:val="24"/>
              </w:rPr>
              <w:t>本次比选活动所提供的</w:t>
            </w:r>
            <w:r>
              <w:rPr>
                <w:rFonts w:hint="eastAsia" w:ascii="仿宋" w:hAnsi="仿宋" w:eastAsia="仿宋" w:cs="仿宋"/>
                <w:kern w:val="0"/>
                <w:sz w:val="24"/>
                <w:szCs w:val="24"/>
                <w:lang w:eastAsia="zh-CN"/>
              </w:rPr>
              <w:t>重庆市荣昌区职业教育中心学生宿舍更换阳台门和一楼安装铝合金窗项目</w:t>
            </w:r>
            <w:r>
              <w:rPr>
                <w:rFonts w:hint="eastAsia" w:ascii="仿宋" w:hAnsi="仿宋" w:eastAsia="仿宋" w:cs="仿宋"/>
                <w:snapToGrid w:val="0"/>
                <w:kern w:val="0"/>
                <w:sz w:val="24"/>
                <w:szCs w:val="24"/>
              </w:rPr>
              <w:t>的全部工程内容，详见工程量清单，具体以比选人给出的工程量清单为准。</w:t>
            </w:r>
          </w:p>
        </w:tc>
      </w:tr>
      <w:tr w14:paraId="4D2A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trPr>
        <w:tc>
          <w:tcPr>
            <w:tcW w:w="980" w:type="dxa"/>
            <w:noWrap w:val="0"/>
            <w:vAlign w:val="center"/>
          </w:tcPr>
          <w:p w14:paraId="0927C86D">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1.3.2</w:t>
            </w:r>
          </w:p>
        </w:tc>
        <w:tc>
          <w:tcPr>
            <w:tcW w:w="1652" w:type="dxa"/>
            <w:noWrap w:val="0"/>
            <w:vAlign w:val="center"/>
          </w:tcPr>
          <w:p w14:paraId="27A57EDC">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计划工期</w:t>
            </w:r>
          </w:p>
        </w:tc>
        <w:tc>
          <w:tcPr>
            <w:tcW w:w="6846" w:type="dxa"/>
            <w:noWrap w:val="0"/>
            <w:vAlign w:val="center"/>
          </w:tcPr>
          <w:p w14:paraId="06CD757C">
            <w:pPr>
              <w:spacing w:line="240" w:lineRule="auto"/>
              <w:ind w:left="0" w:leftChars="0" w:firstLine="240" w:firstLineChars="1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u w:val="single"/>
                <w:lang w:val="en-US" w:eastAsia="zh-CN"/>
              </w:rPr>
              <w:t>50</w:t>
            </w:r>
            <w:r>
              <w:rPr>
                <w:rFonts w:hint="eastAsia" w:ascii="仿宋" w:hAnsi="仿宋" w:eastAsia="仿宋" w:cs="仿宋"/>
                <w:kern w:val="0"/>
                <w:sz w:val="24"/>
                <w:szCs w:val="24"/>
                <w:highlight w:val="none"/>
              </w:rPr>
              <w:t>日历天，</w:t>
            </w:r>
            <w:r>
              <w:rPr>
                <w:rFonts w:hint="eastAsia" w:ascii="仿宋" w:hAnsi="仿宋" w:eastAsia="仿宋" w:cs="仿宋"/>
                <w:kern w:val="0"/>
                <w:sz w:val="24"/>
                <w:szCs w:val="24"/>
                <w:highlight w:val="none"/>
                <w:lang w:val="en-US" w:eastAsia="zh-CN"/>
              </w:rPr>
              <w:t>其中学生放学后不能施工。</w:t>
            </w:r>
            <w:r>
              <w:rPr>
                <w:rFonts w:hint="eastAsia" w:ascii="仿宋" w:hAnsi="仿宋" w:eastAsia="仿宋" w:cs="仿宋"/>
                <w:snapToGrid w:val="0"/>
                <w:kern w:val="0"/>
                <w:sz w:val="24"/>
                <w:szCs w:val="24"/>
                <w:highlight w:val="none"/>
              </w:rPr>
              <w:t>缺陷责任期</w:t>
            </w:r>
            <w:r>
              <w:rPr>
                <w:rFonts w:hint="eastAsia" w:ascii="仿宋" w:hAnsi="仿宋" w:eastAsia="仿宋" w:cs="仿宋"/>
                <w:snapToGrid w:val="0"/>
                <w:kern w:val="0"/>
                <w:sz w:val="24"/>
                <w:szCs w:val="24"/>
                <w:highlight w:val="none"/>
                <w:u w:val="single"/>
              </w:rPr>
              <w:t xml:space="preserve"> </w:t>
            </w:r>
            <w:r>
              <w:rPr>
                <w:rFonts w:hint="eastAsia" w:ascii="仿宋" w:hAnsi="仿宋" w:eastAsia="仿宋" w:cs="仿宋"/>
                <w:snapToGrid w:val="0"/>
                <w:kern w:val="0"/>
                <w:sz w:val="24"/>
                <w:szCs w:val="24"/>
                <w:highlight w:val="none"/>
                <w:u w:val="single"/>
                <w:lang w:val="en-US" w:eastAsia="zh-CN"/>
              </w:rPr>
              <w:t>1</w:t>
            </w:r>
            <w:r>
              <w:rPr>
                <w:rFonts w:hint="eastAsia" w:ascii="仿宋" w:hAnsi="仿宋" w:eastAsia="仿宋" w:cs="仿宋"/>
                <w:snapToGrid w:val="0"/>
                <w:kern w:val="0"/>
                <w:sz w:val="24"/>
                <w:szCs w:val="24"/>
                <w:highlight w:val="none"/>
                <w:u w:val="single"/>
              </w:rPr>
              <w:t xml:space="preserve">2 </w:t>
            </w:r>
            <w:r>
              <w:rPr>
                <w:rFonts w:hint="eastAsia" w:ascii="仿宋" w:hAnsi="仿宋" w:eastAsia="仿宋" w:cs="仿宋"/>
                <w:snapToGrid w:val="0"/>
                <w:kern w:val="0"/>
                <w:sz w:val="24"/>
                <w:szCs w:val="24"/>
                <w:highlight w:val="none"/>
              </w:rPr>
              <w:t>个月。</w:t>
            </w:r>
          </w:p>
        </w:tc>
      </w:tr>
      <w:tr w14:paraId="0DCC4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6" w:hRule="atLeast"/>
        </w:trPr>
        <w:tc>
          <w:tcPr>
            <w:tcW w:w="980" w:type="dxa"/>
            <w:noWrap w:val="0"/>
            <w:vAlign w:val="center"/>
          </w:tcPr>
          <w:p w14:paraId="01942607">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1.3.3</w:t>
            </w:r>
          </w:p>
        </w:tc>
        <w:tc>
          <w:tcPr>
            <w:tcW w:w="1652" w:type="dxa"/>
            <w:noWrap w:val="0"/>
            <w:vAlign w:val="center"/>
          </w:tcPr>
          <w:p w14:paraId="5C2A23A6">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质量要求</w:t>
            </w:r>
          </w:p>
        </w:tc>
        <w:tc>
          <w:tcPr>
            <w:tcW w:w="6846" w:type="dxa"/>
            <w:noWrap w:val="0"/>
            <w:vAlign w:val="center"/>
          </w:tcPr>
          <w:p w14:paraId="1D9740C8">
            <w:pPr>
              <w:spacing w:line="360" w:lineRule="auto"/>
              <w:ind w:firstLine="0" w:firstLineChars="0"/>
              <w:rPr>
                <w:rFonts w:hint="eastAsia" w:ascii="仿宋" w:hAnsi="仿宋" w:eastAsia="仿宋" w:cs="仿宋"/>
                <w:kern w:val="0"/>
                <w:sz w:val="24"/>
                <w:szCs w:val="24"/>
                <w:lang w:eastAsia="zh-CN"/>
              </w:rPr>
            </w:pPr>
            <w:r>
              <w:rPr>
                <w:rFonts w:hint="eastAsia" w:ascii="仿宋" w:hAnsi="仿宋" w:eastAsia="仿宋" w:cs="仿宋"/>
                <w:kern w:val="0"/>
                <w:sz w:val="24"/>
                <w:szCs w:val="24"/>
              </w:rPr>
              <w:t xml:space="preserve">  </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符合强制性质量标准，符合国家和重庆市现行有关施工质量验收规范要求，并达到合格标准。</w:t>
            </w:r>
          </w:p>
        </w:tc>
      </w:tr>
      <w:tr w14:paraId="26991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1" w:hRule="atLeast"/>
        </w:trPr>
        <w:tc>
          <w:tcPr>
            <w:tcW w:w="980" w:type="dxa"/>
            <w:noWrap w:val="0"/>
            <w:vAlign w:val="center"/>
          </w:tcPr>
          <w:p w14:paraId="0B2A6BBD">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1.4.1</w:t>
            </w:r>
          </w:p>
        </w:tc>
        <w:tc>
          <w:tcPr>
            <w:tcW w:w="1652" w:type="dxa"/>
            <w:noWrap w:val="0"/>
            <w:vAlign w:val="center"/>
          </w:tcPr>
          <w:p w14:paraId="564AB300">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竞选人资质条件、能力和信誉</w:t>
            </w:r>
          </w:p>
          <w:p w14:paraId="3B40B897">
            <w:pPr>
              <w:snapToGrid w:val="0"/>
              <w:spacing w:line="360" w:lineRule="auto"/>
              <w:ind w:firstLine="0" w:firstLineChars="0"/>
              <w:rPr>
                <w:rFonts w:hint="eastAsia" w:ascii="仿宋" w:hAnsi="仿宋" w:eastAsia="仿宋" w:cs="仿宋"/>
                <w:kern w:val="0"/>
                <w:sz w:val="24"/>
                <w:szCs w:val="24"/>
              </w:rPr>
            </w:pPr>
          </w:p>
        </w:tc>
        <w:tc>
          <w:tcPr>
            <w:tcW w:w="6846" w:type="dxa"/>
            <w:noWrap w:val="0"/>
            <w:vAlign w:val="center"/>
          </w:tcPr>
          <w:p w14:paraId="71D9AC6C">
            <w:pPr>
              <w:snapToGrid w:val="0"/>
              <w:spacing w:line="360" w:lineRule="auto"/>
              <w:ind w:firstLine="0" w:firstLineChars="0"/>
              <w:rPr>
                <w:rFonts w:hint="eastAsia" w:ascii="仿宋" w:hAnsi="仿宋" w:eastAsia="仿宋" w:cs="仿宋"/>
                <w:w w:val="90"/>
                <w:sz w:val="24"/>
                <w:szCs w:val="24"/>
              </w:rPr>
            </w:pPr>
            <w:r>
              <w:rPr>
                <w:rFonts w:hint="eastAsia" w:ascii="仿宋" w:hAnsi="仿宋" w:eastAsia="仿宋" w:cs="仿宋"/>
                <w:sz w:val="24"/>
                <w:szCs w:val="24"/>
              </w:rPr>
              <w:t>本工程施工比选实行资格后审，竞选人应具备以下资格条件：</w:t>
            </w:r>
          </w:p>
          <w:p w14:paraId="62692E06">
            <w:pPr>
              <w:autoSpaceDE w:val="0"/>
              <w:autoSpaceDN w:val="0"/>
              <w:adjustRightInd w:val="0"/>
              <w:snapToGrid w:val="0"/>
              <w:spacing w:line="360" w:lineRule="auto"/>
              <w:ind w:firstLine="482" w:firstLineChars="200"/>
              <w:jc w:val="left"/>
              <w:rPr>
                <w:rFonts w:hint="eastAsia" w:ascii="仿宋" w:hAnsi="仿宋" w:eastAsia="仿宋" w:cs="仿宋"/>
                <w:sz w:val="24"/>
                <w:szCs w:val="24"/>
              </w:rPr>
            </w:pPr>
            <w:r>
              <w:rPr>
                <w:rFonts w:hint="eastAsia" w:ascii="仿宋" w:hAnsi="仿宋" w:eastAsia="仿宋" w:cs="仿宋"/>
                <w:b/>
                <w:kern w:val="0"/>
                <w:sz w:val="24"/>
                <w:szCs w:val="24"/>
              </w:rPr>
              <w:t>1．资质条件、营业执照及安全生产条件</w:t>
            </w:r>
          </w:p>
          <w:p w14:paraId="6DD40D19">
            <w:pPr>
              <w:autoSpaceDE w:val="0"/>
              <w:autoSpaceDN w:val="0"/>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1</w:t>
            </w:r>
            <w:r>
              <w:rPr>
                <w:rFonts w:hint="eastAsia" w:ascii="仿宋" w:hAnsi="仿宋" w:eastAsia="仿宋" w:cs="仿宋"/>
                <w:sz w:val="24"/>
                <w:szCs w:val="24"/>
              </w:rPr>
              <w:t>）具备有效的营业执照。</w:t>
            </w:r>
          </w:p>
          <w:p w14:paraId="25E4C67D">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竞选人须在竞选文件资格审查部分提供有效的带二维码标识的营业执照复印件。</w:t>
            </w:r>
          </w:p>
          <w:p w14:paraId="1B0D36B3">
            <w:pPr>
              <w:autoSpaceDE w:val="0"/>
              <w:autoSpaceDN w:val="0"/>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）具备建设行政主管部门颁发的有效的安全生产许可证，企业主要负责人、拟担任该项目项目经理具备相应的由建设行政主管部门颁发的有效的安全生产考核合格证书。</w:t>
            </w:r>
          </w:p>
          <w:p w14:paraId="6978ADF3">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竞选人须在</w:t>
            </w:r>
            <w:r>
              <w:rPr>
                <w:rFonts w:hint="eastAsia" w:ascii="仿宋" w:hAnsi="仿宋" w:eastAsia="仿宋" w:cs="仿宋"/>
                <w:kern w:val="0"/>
                <w:sz w:val="24"/>
                <w:szCs w:val="24"/>
              </w:rPr>
              <w:t>竞选</w:t>
            </w:r>
            <w:r>
              <w:rPr>
                <w:rFonts w:hint="eastAsia" w:ascii="仿宋" w:hAnsi="仿宋" w:eastAsia="仿宋" w:cs="仿宋"/>
                <w:sz w:val="24"/>
                <w:szCs w:val="24"/>
              </w:rPr>
              <w:t>文件资格审查部分提供有效的安全生产许可证及安全生产考核合格证书复印件。</w:t>
            </w:r>
          </w:p>
          <w:p w14:paraId="5C9F1A38">
            <w:pPr>
              <w:autoSpaceDE w:val="0"/>
              <w:autoSpaceDN w:val="0"/>
              <w:adjustRightInd w:val="0"/>
              <w:snapToGrid w:val="0"/>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2.财务要求</w:t>
            </w:r>
          </w:p>
          <w:p w14:paraId="2366893D">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u w:val="single"/>
              </w:rPr>
              <w:t>2023年</w:t>
            </w:r>
            <w:r>
              <w:rPr>
                <w:rFonts w:hint="eastAsia" w:ascii="仿宋" w:hAnsi="仿宋" w:eastAsia="仿宋" w:cs="仿宋"/>
                <w:kern w:val="0"/>
                <w:sz w:val="24"/>
                <w:szCs w:val="24"/>
              </w:rPr>
              <w:t>的年度财务状况不亏损。</w:t>
            </w:r>
          </w:p>
          <w:p w14:paraId="25AF816F">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竞选人须在竞选文件资格审查部分提供经会计师事务所或审计机构出具的合法有效的财务审计报告及财务报表复印件，财务报表须至少包括现金流量表、资产负债表、利润表。</w:t>
            </w:r>
          </w:p>
          <w:p w14:paraId="39DAD95B">
            <w:pPr>
              <w:snapToGrid w:val="0"/>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3.</w:t>
            </w:r>
            <w:r>
              <w:rPr>
                <w:rFonts w:hint="eastAsia" w:ascii="仿宋" w:hAnsi="仿宋" w:eastAsia="仿宋" w:cs="仿宋"/>
                <w:sz w:val="24"/>
                <w:szCs w:val="24"/>
              </w:rPr>
              <w:t xml:space="preserve"> </w:t>
            </w:r>
            <w:r>
              <w:rPr>
                <w:rFonts w:hint="eastAsia" w:ascii="仿宋" w:hAnsi="仿宋" w:eastAsia="仿宋" w:cs="仿宋"/>
                <w:b/>
                <w:sz w:val="24"/>
                <w:szCs w:val="24"/>
              </w:rPr>
              <w:t>投标截止日投标资格情况：</w:t>
            </w:r>
          </w:p>
          <w:p w14:paraId="175EF138">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竞选人自行承诺（格式见</w:t>
            </w:r>
            <w:r>
              <w:rPr>
                <w:rFonts w:hint="eastAsia" w:ascii="仿宋" w:hAnsi="仿宋" w:eastAsia="仿宋" w:cs="仿宋"/>
                <w:kern w:val="0"/>
                <w:sz w:val="24"/>
                <w:szCs w:val="24"/>
                <w:lang w:eastAsia="zh-CN"/>
              </w:rPr>
              <w:t>第七篇</w:t>
            </w:r>
            <w:r>
              <w:rPr>
                <w:rFonts w:hint="eastAsia" w:ascii="仿宋" w:hAnsi="仿宋" w:eastAsia="仿宋" w:cs="仿宋"/>
                <w:kern w:val="0"/>
                <w:sz w:val="24"/>
                <w:szCs w:val="24"/>
              </w:rPr>
              <w:t>竞选文件格式）不得存在下列情形之一：</w:t>
            </w:r>
          </w:p>
          <w:p w14:paraId="3FC68ED4">
            <w:pPr>
              <w:autoSpaceDE w:val="0"/>
              <w:autoSpaceDN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（1）被人民法院列入失信被执行人名单且在被执行期内；</w:t>
            </w:r>
          </w:p>
          <w:p w14:paraId="324E471C">
            <w:pPr>
              <w:autoSpaceDE w:val="0"/>
              <w:autoSpaceDN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（2）被列入《重庆市工程建设领域招标投标信用管理暂行办法》规定的重点关注名单且记分达到12分且在记分有效期内；</w:t>
            </w:r>
          </w:p>
          <w:p w14:paraId="4528D26E">
            <w:pPr>
              <w:autoSpaceDE w:val="0"/>
              <w:autoSpaceDN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（3）被列入《重庆市工程建设领域招标投标信用管理暂行办法》规定的重庆市工程建设领域招标投标失信惩戒对象名单（以下称黑名单）且在记分有效期内；</w:t>
            </w:r>
          </w:p>
          <w:p w14:paraId="458A1462">
            <w:pPr>
              <w:autoSpaceDE w:val="0"/>
              <w:autoSpaceDN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（4）被国家、重庆市（含市或任意区县）有关行政部门处以暂停投标资格行政处罚，且在处罚期限内；</w:t>
            </w:r>
          </w:p>
          <w:p w14:paraId="3379AA2B">
            <w:pPr>
              <w:autoSpaceDE w:val="0"/>
              <w:autoSpaceDN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（5）被重庆市市级有关行业主管部门暂停在渝承揽新业务且在暂停期内。</w:t>
            </w:r>
          </w:p>
          <w:p w14:paraId="7A850CBE">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竞选人须在竞选文件资格审查部分提供承诺。</w:t>
            </w:r>
          </w:p>
          <w:p w14:paraId="5A4FFB54">
            <w:pPr>
              <w:snapToGrid w:val="0"/>
              <w:spacing w:line="360" w:lineRule="auto"/>
              <w:ind w:firstLine="482" w:firstLineChars="200"/>
              <w:rPr>
                <w:rFonts w:hint="eastAsia" w:ascii="仿宋" w:hAnsi="仿宋" w:eastAsia="仿宋" w:cs="仿宋"/>
                <w:sz w:val="24"/>
                <w:szCs w:val="24"/>
              </w:rPr>
            </w:pPr>
            <w:r>
              <w:rPr>
                <w:rFonts w:hint="eastAsia" w:ascii="仿宋" w:hAnsi="仿宋" w:eastAsia="仿宋" w:cs="仿宋"/>
                <w:b/>
                <w:sz w:val="24"/>
                <w:szCs w:val="24"/>
              </w:rPr>
              <w:t>4.项目经理资格：</w:t>
            </w:r>
          </w:p>
          <w:p w14:paraId="0C3E6BBA">
            <w:pPr>
              <w:autoSpaceDE w:val="0"/>
              <w:autoSpaceDN w:val="0"/>
              <w:adjustRightInd w:val="0"/>
              <w:snapToGrid w:val="0"/>
              <w:spacing w:line="360" w:lineRule="auto"/>
              <w:ind w:firstLine="480" w:firstLineChars="200"/>
              <w:rPr>
                <w:rFonts w:hint="eastAsia" w:ascii="仿宋" w:hAnsi="仿宋" w:eastAsia="仿宋" w:cs="仿宋"/>
                <w:strike/>
                <w:dstrike w:val="0"/>
                <w:sz w:val="24"/>
                <w:szCs w:val="24"/>
                <w:highlight w:val="cyan"/>
              </w:rPr>
            </w:pPr>
            <w:r>
              <w:rPr>
                <w:rFonts w:hint="eastAsia" w:ascii="仿宋" w:hAnsi="仿宋" w:eastAsia="仿宋" w:cs="仿宋"/>
                <w:sz w:val="24"/>
                <w:szCs w:val="24"/>
              </w:rPr>
              <w:t>4.1竞选人拟派的项目经理必须</w:t>
            </w:r>
            <w:r>
              <w:rPr>
                <w:rFonts w:hint="eastAsia" w:ascii="仿宋" w:hAnsi="仿宋" w:eastAsia="仿宋" w:cs="仿宋"/>
                <w:sz w:val="24"/>
                <w:szCs w:val="24"/>
                <w:lang w:val="en-US" w:eastAsia="zh-CN"/>
              </w:rPr>
              <w:t>为</w:t>
            </w:r>
            <w:r>
              <w:rPr>
                <w:rFonts w:hint="eastAsia" w:ascii="仿宋" w:hAnsi="仿宋" w:eastAsia="仿宋" w:cs="仿宋"/>
                <w:sz w:val="24"/>
                <w:szCs w:val="24"/>
              </w:rPr>
              <w:t>竞选人本单位</w:t>
            </w:r>
            <w:r>
              <w:rPr>
                <w:rFonts w:hint="eastAsia" w:ascii="仿宋" w:hAnsi="仿宋" w:eastAsia="仿宋" w:cs="仿宋"/>
                <w:sz w:val="24"/>
                <w:szCs w:val="24"/>
                <w:lang w:val="en-US" w:eastAsia="zh-CN"/>
              </w:rPr>
              <w:t>人员。</w:t>
            </w:r>
          </w:p>
          <w:p w14:paraId="706CA62D">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4.2竞选人拟派的项目经理须做出到岗履职的承诺</w:t>
            </w:r>
            <w:r>
              <w:rPr>
                <w:rFonts w:hint="eastAsia" w:ascii="仿宋" w:hAnsi="仿宋" w:eastAsia="仿宋" w:cs="仿宋"/>
                <w:sz w:val="24"/>
                <w:szCs w:val="24"/>
                <w:lang w:eastAsia="zh-CN"/>
              </w:rPr>
              <w:t>，</w:t>
            </w:r>
            <w:r>
              <w:rPr>
                <w:rFonts w:hint="eastAsia" w:ascii="仿宋" w:hAnsi="仿宋" w:eastAsia="仿宋" w:cs="仿宋"/>
                <w:sz w:val="24"/>
                <w:szCs w:val="24"/>
              </w:rPr>
              <w:t>拟派项目经理中标后不得随意更换。</w:t>
            </w:r>
          </w:p>
          <w:p w14:paraId="1F429126">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竞选人须在竞选文件资格审查部分提供有效的拟派项目经理身份证、竞选人为其缴纳的养老保险证明材料复印件，拟派项目经理到岗履职和未被禁止参与投标的承诺原件（承诺格式见</w:t>
            </w:r>
            <w:r>
              <w:rPr>
                <w:rFonts w:hint="eastAsia" w:ascii="仿宋" w:hAnsi="仿宋" w:eastAsia="仿宋" w:cs="仿宋"/>
                <w:kern w:val="0"/>
                <w:sz w:val="24"/>
                <w:szCs w:val="24"/>
                <w:lang w:eastAsia="zh-CN"/>
              </w:rPr>
              <w:t>第七篇</w:t>
            </w:r>
            <w:r>
              <w:rPr>
                <w:rFonts w:hint="eastAsia" w:ascii="仿宋" w:hAnsi="仿宋" w:eastAsia="仿宋" w:cs="仿宋"/>
                <w:kern w:val="0"/>
                <w:sz w:val="24"/>
                <w:szCs w:val="24"/>
              </w:rPr>
              <w:t>竞选文件格式）。</w:t>
            </w:r>
          </w:p>
          <w:p w14:paraId="645AA9EE">
            <w:pPr>
              <w:snapToGrid w:val="0"/>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5.技术负责人资格：</w:t>
            </w:r>
          </w:p>
          <w:p w14:paraId="32214969">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u w:val="single"/>
                <w:lang w:val="en-US" w:eastAsia="zh-CN"/>
              </w:rPr>
              <w:t>1人</w:t>
            </w:r>
          </w:p>
          <w:p w14:paraId="66BE9F01">
            <w:pPr>
              <w:autoSpaceDE w:val="0"/>
              <w:autoSpaceDN w:val="0"/>
              <w:adjustRightInd w:val="0"/>
              <w:snapToGrid w:val="0"/>
              <w:spacing w:line="360" w:lineRule="auto"/>
              <w:ind w:firstLine="480" w:firstLineChars="200"/>
              <w:rPr>
                <w:rFonts w:hint="eastAsia" w:ascii="仿宋" w:hAnsi="仿宋" w:eastAsia="仿宋" w:cs="仿宋"/>
                <w:spacing w:val="-24"/>
                <w:kern w:val="0"/>
                <w:sz w:val="24"/>
                <w:szCs w:val="24"/>
              </w:rPr>
            </w:pPr>
            <w:r>
              <w:rPr>
                <w:rFonts w:hint="eastAsia" w:ascii="仿宋" w:hAnsi="仿宋" w:eastAsia="仿宋" w:cs="仿宋"/>
                <w:kern w:val="0"/>
                <w:sz w:val="24"/>
                <w:szCs w:val="24"/>
              </w:rPr>
              <w:t>竞选人须在竞选文件资格审查部分提供拟派技术负责人身份证及竞选人本单位为其缴纳的养老保险证明材料复印件。</w:t>
            </w:r>
          </w:p>
          <w:p w14:paraId="7A8FF426">
            <w:pPr>
              <w:autoSpaceDE w:val="0"/>
              <w:autoSpaceDN w:val="0"/>
              <w:adjustRightInd w:val="0"/>
              <w:spacing w:line="360" w:lineRule="auto"/>
              <w:ind w:firstLine="482" w:firstLineChars="200"/>
              <w:rPr>
                <w:rFonts w:hint="eastAsia" w:ascii="仿宋" w:hAnsi="仿宋" w:eastAsia="仿宋" w:cs="仿宋"/>
                <w:sz w:val="24"/>
                <w:szCs w:val="24"/>
              </w:rPr>
            </w:pPr>
            <w:r>
              <w:rPr>
                <w:rFonts w:hint="eastAsia" w:ascii="仿宋" w:hAnsi="仿宋" w:eastAsia="仿宋" w:cs="仿宋"/>
                <w:b/>
                <w:sz w:val="24"/>
                <w:szCs w:val="24"/>
              </w:rPr>
              <w:t>6.主要管理人员：</w:t>
            </w:r>
          </w:p>
          <w:p w14:paraId="114324A5">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竞选人自行承诺中标后在签订合同之前，须按照建设行政主管部门的要求组建施工项目部，配置项目管理班子，出具任命文件。任命文件应当明确施工项目部的职责、岗位设置、人员配备，并书面通知建设单位。相关岗位管理人员应持有建设行政主管部门要求的岗位证书，并提供竞选人为其缴纳的养老保险证明材料。中标后不能满足该要求的，取消其中标资格，给比选人造成损失的，竞选人依法承担违约赔偿责任。</w:t>
            </w:r>
          </w:p>
          <w:p w14:paraId="7A106E60">
            <w:pPr>
              <w:autoSpaceDE w:val="0"/>
              <w:autoSpaceDN w:val="0"/>
              <w:adjustRightIn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竞选人须在</w:t>
            </w:r>
            <w:r>
              <w:rPr>
                <w:rFonts w:hint="eastAsia" w:ascii="仿宋" w:hAnsi="仿宋" w:eastAsia="仿宋" w:cs="仿宋"/>
                <w:kern w:val="0"/>
                <w:sz w:val="24"/>
                <w:szCs w:val="24"/>
              </w:rPr>
              <w:t>竞选</w:t>
            </w:r>
            <w:r>
              <w:rPr>
                <w:rFonts w:hint="eastAsia" w:ascii="仿宋" w:hAnsi="仿宋" w:eastAsia="仿宋" w:cs="仿宋"/>
                <w:sz w:val="24"/>
                <w:szCs w:val="24"/>
              </w:rPr>
              <w:t>文件资格审查部分提供承诺（承诺格式见</w:t>
            </w:r>
            <w:r>
              <w:rPr>
                <w:rFonts w:hint="eastAsia" w:ascii="仿宋" w:hAnsi="仿宋" w:eastAsia="仿宋" w:cs="仿宋"/>
                <w:sz w:val="24"/>
                <w:szCs w:val="24"/>
                <w:lang w:eastAsia="zh-CN"/>
              </w:rPr>
              <w:t>第七篇</w:t>
            </w:r>
            <w:r>
              <w:rPr>
                <w:rFonts w:hint="eastAsia" w:ascii="仿宋" w:hAnsi="仿宋" w:eastAsia="仿宋" w:cs="仿宋"/>
                <w:sz w:val="24"/>
                <w:szCs w:val="24"/>
              </w:rPr>
              <w:t>竞选文件格式）。</w:t>
            </w:r>
          </w:p>
          <w:p w14:paraId="2C930BD1">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（3）委托代理人：</w:t>
            </w:r>
          </w:p>
          <w:p w14:paraId="77823F7E">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委托代理人必须为</w:t>
            </w:r>
            <w:r>
              <w:rPr>
                <w:rFonts w:hint="eastAsia" w:ascii="仿宋" w:hAnsi="仿宋" w:eastAsia="仿宋" w:cs="仿宋"/>
                <w:sz w:val="24"/>
                <w:szCs w:val="24"/>
              </w:rPr>
              <w:t>竞选</w:t>
            </w:r>
            <w:r>
              <w:rPr>
                <w:rFonts w:hint="eastAsia" w:ascii="仿宋" w:hAnsi="仿宋" w:eastAsia="仿宋" w:cs="仿宋"/>
                <w:kern w:val="0"/>
                <w:sz w:val="24"/>
                <w:szCs w:val="24"/>
              </w:rPr>
              <w:t>人本单位人员。</w:t>
            </w:r>
          </w:p>
          <w:p w14:paraId="26DE7500">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sz w:val="24"/>
                <w:szCs w:val="24"/>
              </w:rPr>
              <w:t>竞选</w:t>
            </w:r>
            <w:r>
              <w:rPr>
                <w:rFonts w:hint="eastAsia" w:ascii="仿宋" w:hAnsi="仿宋" w:eastAsia="仿宋" w:cs="仿宋"/>
                <w:kern w:val="0"/>
                <w:sz w:val="24"/>
                <w:szCs w:val="24"/>
              </w:rPr>
              <w:t>人须在</w:t>
            </w:r>
            <w:r>
              <w:rPr>
                <w:rFonts w:hint="eastAsia" w:ascii="仿宋" w:hAnsi="仿宋" w:eastAsia="仿宋" w:cs="仿宋"/>
                <w:sz w:val="24"/>
                <w:szCs w:val="24"/>
              </w:rPr>
              <w:t>竞选</w:t>
            </w:r>
            <w:r>
              <w:rPr>
                <w:rFonts w:hint="eastAsia" w:ascii="仿宋" w:hAnsi="仿宋" w:eastAsia="仿宋" w:cs="仿宋"/>
                <w:kern w:val="0"/>
                <w:sz w:val="24"/>
                <w:szCs w:val="24"/>
              </w:rPr>
              <w:t>文件资格审查部分提供</w:t>
            </w:r>
            <w:r>
              <w:rPr>
                <w:rFonts w:hint="eastAsia" w:ascii="仿宋" w:hAnsi="仿宋" w:eastAsia="仿宋" w:cs="仿宋"/>
                <w:sz w:val="24"/>
                <w:szCs w:val="24"/>
              </w:rPr>
              <w:t>竞选</w:t>
            </w:r>
            <w:r>
              <w:rPr>
                <w:rFonts w:hint="eastAsia" w:ascii="仿宋" w:hAnsi="仿宋" w:eastAsia="仿宋" w:cs="仿宋"/>
                <w:kern w:val="0"/>
                <w:sz w:val="24"/>
                <w:szCs w:val="24"/>
              </w:rPr>
              <w:t>人为该委托代理人缴纳的养老保险证明复印件。否则，将由评标委员会作否决投标处理。</w:t>
            </w:r>
          </w:p>
          <w:p w14:paraId="6E2BC013">
            <w:pPr>
              <w:autoSpaceDE w:val="0"/>
              <w:autoSpaceDN w:val="0"/>
              <w:adjustRightInd w:val="0"/>
              <w:snapToGrid w:val="0"/>
              <w:spacing w:line="360" w:lineRule="auto"/>
              <w:ind w:firstLine="0" w:firstLineChars="0"/>
              <w:rPr>
                <w:rFonts w:hint="eastAsia" w:ascii="仿宋" w:hAnsi="仿宋" w:eastAsia="仿宋" w:cs="仿宋"/>
                <w:b/>
                <w:sz w:val="24"/>
                <w:szCs w:val="24"/>
              </w:rPr>
            </w:pPr>
            <w:r>
              <w:rPr>
                <w:rFonts w:hint="eastAsia" w:ascii="仿宋" w:hAnsi="仿宋" w:eastAsia="仿宋" w:cs="仿宋"/>
                <w:b/>
                <w:sz w:val="24"/>
                <w:szCs w:val="24"/>
              </w:rPr>
              <w:t>特别说明：</w:t>
            </w:r>
          </w:p>
          <w:p w14:paraId="3B3319EE">
            <w:pPr>
              <w:autoSpaceDE w:val="0"/>
              <w:autoSpaceDN w:val="0"/>
              <w:adjustRightInd w:val="0"/>
              <w:snapToGrid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sz w:val="24"/>
                <w:szCs w:val="24"/>
              </w:rPr>
              <w:t>（1）上述1～</w:t>
            </w:r>
            <w:r>
              <w:rPr>
                <w:rFonts w:hint="eastAsia" w:ascii="仿宋" w:hAnsi="仿宋" w:eastAsia="仿宋" w:cs="仿宋"/>
                <w:sz w:val="24"/>
                <w:szCs w:val="24"/>
                <w:lang w:val="en-US" w:eastAsia="zh-CN"/>
              </w:rPr>
              <w:t>6</w:t>
            </w:r>
            <w:r>
              <w:rPr>
                <w:rFonts w:hint="eastAsia" w:ascii="仿宋" w:hAnsi="仿宋" w:eastAsia="仿宋" w:cs="仿宋"/>
                <w:sz w:val="24"/>
                <w:szCs w:val="24"/>
              </w:rPr>
              <w:t>条所须提交的相关证明材料复印件均应加盖</w:t>
            </w:r>
            <w:r>
              <w:rPr>
                <w:rFonts w:hint="eastAsia" w:ascii="仿宋" w:hAnsi="仿宋" w:eastAsia="仿宋" w:cs="仿宋"/>
                <w:kern w:val="0"/>
                <w:sz w:val="24"/>
                <w:szCs w:val="24"/>
              </w:rPr>
              <w:t>竞选</w:t>
            </w:r>
            <w:r>
              <w:rPr>
                <w:rFonts w:hint="eastAsia" w:ascii="仿宋" w:hAnsi="仿宋" w:eastAsia="仿宋" w:cs="仿宋"/>
                <w:sz w:val="24"/>
                <w:szCs w:val="24"/>
              </w:rPr>
              <w:t>单位法人章并装入竞选文件资格审查部分中。上述</w:t>
            </w:r>
            <w:r>
              <w:rPr>
                <w:rFonts w:hint="eastAsia" w:ascii="仿宋" w:hAnsi="仿宋" w:eastAsia="仿宋" w:cs="仿宋"/>
                <w:kern w:val="0"/>
                <w:sz w:val="24"/>
                <w:szCs w:val="24"/>
              </w:rPr>
              <w:t>1</w:t>
            </w:r>
            <w:r>
              <w:rPr>
                <w:rFonts w:hint="eastAsia" w:ascii="仿宋" w:hAnsi="仿宋" w:eastAsia="仿宋" w:cs="仿宋"/>
                <w:sz w:val="24"/>
                <w:szCs w:val="24"/>
              </w:rPr>
              <w:t>～</w:t>
            </w:r>
            <w:r>
              <w:rPr>
                <w:rFonts w:hint="eastAsia" w:ascii="仿宋" w:hAnsi="仿宋" w:eastAsia="仿宋" w:cs="仿宋"/>
                <w:kern w:val="0"/>
                <w:sz w:val="24"/>
                <w:szCs w:val="24"/>
              </w:rPr>
              <w:t>6条，有一条不满足则竞选文件由评标委员会</w:t>
            </w:r>
            <w:r>
              <w:rPr>
                <w:rFonts w:hint="eastAsia" w:ascii="仿宋" w:hAnsi="仿宋" w:eastAsia="仿宋" w:cs="仿宋"/>
                <w:sz w:val="24"/>
                <w:szCs w:val="24"/>
              </w:rPr>
              <w:t>作否决投标处理</w:t>
            </w:r>
            <w:r>
              <w:rPr>
                <w:rFonts w:hint="eastAsia" w:ascii="仿宋" w:hAnsi="仿宋" w:eastAsia="仿宋" w:cs="仿宋"/>
                <w:kern w:val="0"/>
                <w:sz w:val="24"/>
                <w:szCs w:val="24"/>
              </w:rPr>
              <w:t>。</w:t>
            </w:r>
          </w:p>
          <w:p w14:paraId="05877797">
            <w:pPr>
              <w:autoSpaceDE w:val="0"/>
              <w:autoSpaceDN w:val="0"/>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kern w:val="0"/>
                <w:sz w:val="24"/>
                <w:szCs w:val="24"/>
              </w:rPr>
              <w:t>竞选</w:t>
            </w:r>
            <w:r>
              <w:rPr>
                <w:rFonts w:hint="eastAsia" w:ascii="仿宋" w:hAnsi="仿宋" w:eastAsia="仿宋" w:cs="仿宋"/>
                <w:sz w:val="24"/>
                <w:szCs w:val="24"/>
              </w:rPr>
              <w:t>人须自行承诺其提供的上述相关证明材料真实有效，不存在弄虚作假情形（格式见</w:t>
            </w:r>
            <w:r>
              <w:rPr>
                <w:rFonts w:hint="eastAsia" w:ascii="仿宋" w:hAnsi="仿宋" w:eastAsia="仿宋" w:cs="仿宋"/>
                <w:sz w:val="24"/>
                <w:szCs w:val="24"/>
                <w:lang w:eastAsia="zh-CN"/>
              </w:rPr>
              <w:t>第七篇</w:t>
            </w:r>
            <w:r>
              <w:rPr>
                <w:rFonts w:hint="eastAsia" w:ascii="仿宋" w:hAnsi="仿宋" w:eastAsia="仿宋" w:cs="仿宋"/>
                <w:kern w:val="0"/>
                <w:sz w:val="24"/>
                <w:szCs w:val="24"/>
              </w:rPr>
              <w:t>竞选</w:t>
            </w:r>
            <w:r>
              <w:rPr>
                <w:rFonts w:hint="eastAsia" w:ascii="仿宋" w:hAnsi="仿宋" w:eastAsia="仿宋" w:cs="仿宋"/>
                <w:sz w:val="24"/>
                <w:szCs w:val="24"/>
              </w:rPr>
              <w:t>文件格式）。比选人在合同签订前均有权对</w:t>
            </w:r>
            <w:r>
              <w:rPr>
                <w:rFonts w:hint="eastAsia" w:ascii="仿宋" w:hAnsi="仿宋" w:eastAsia="仿宋" w:cs="仿宋"/>
                <w:kern w:val="0"/>
                <w:sz w:val="24"/>
                <w:szCs w:val="24"/>
              </w:rPr>
              <w:t>竞选</w:t>
            </w:r>
            <w:r>
              <w:rPr>
                <w:rFonts w:hint="eastAsia" w:ascii="仿宋" w:hAnsi="仿宋" w:eastAsia="仿宋" w:cs="仿宋"/>
                <w:sz w:val="24"/>
                <w:szCs w:val="24"/>
              </w:rPr>
              <w:t>人提供的资料（如业绩截图信息等相关证明材料）进行核实，若发现弄虚作假，取消其中标资格，并按相关法律法规报招标投标监督部门处理，其投标保证金不予退还，</w:t>
            </w:r>
            <w:r>
              <w:rPr>
                <w:rFonts w:hint="eastAsia" w:ascii="仿宋" w:hAnsi="仿宋" w:eastAsia="仿宋" w:cs="仿宋"/>
                <w:kern w:val="0"/>
                <w:sz w:val="24"/>
                <w:szCs w:val="24"/>
              </w:rPr>
              <w:t>竞选</w:t>
            </w:r>
            <w:r>
              <w:rPr>
                <w:rFonts w:hint="eastAsia" w:ascii="仿宋" w:hAnsi="仿宋" w:eastAsia="仿宋" w:cs="仿宋"/>
                <w:sz w:val="24"/>
                <w:szCs w:val="24"/>
              </w:rPr>
              <w:t>人承担因此造成的相关责任并赔偿相应损失。</w:t>
            </w:r>
          </w:p>
          <w:p w14:paraId="54B4C0E3">
            <w:pPr>
              <w:spacing w:line="360" w:lineRule="auto"/>
              <w:ind w:firstLine="480" w:firstLineChars="200"/>
              <w:rPr>
                <w:rFonts w:hint="eastAsia" w:ascii="仿宋" w:hAnsi="仿宋" w:eastAsia="仿宋" w:cs="仿宋"/>
                <w:bCs/>
                <w:kern w:val="0"/>
                <w:sz w:val="24"/>
                <w:szCs w:val="24"/>
              </w:rPr>
            </w:pPr>
            <w:r>
              <w:rPr>
                <w:rFonts w:hint="eastAsia" w:ascii="仿宋" w:hAnsi="仿宋" w:eastAsia="仿宋" w:cs="仿宋"/>
                <w:bCs/>
                <w:kern w:val="0"/>
                <w:sz w:val="24"/>
                <w:szCs w:val="24"/>
              </w:rPr>
              <w:t>（3）本招标文件中所要求的人员养老保险证明要求如下：</w:t>
            </w:r>
          </w:p>
          <w:p w14:paraId="66089CF5">
            <w:pPr>
              <w:spacing w:line="360" w:lineRule="auto"/>
              <w:ind w:firstLine="480" w:firstLineChars="200"/>
              <w:rPr>
                <w:rFonts w:hint="eastAsia" w:ascii="仿宋" w:hAnsi="仿宋" w:eastAsia="仿宋" w:cs="仿宋"/>
                <w:bCs/>
                <w:kern w:val="0"/>
                <w:sz w:val="24"/>
                <w:szCs w:val="24"/>
              </w:rPr>
            </w:pPr>
            <w:r>
              <w:rPr>
                <w:rFonts w:hint="eastAsia" w:ascii="仿宋" w:hAnsi="仿宋" w:eastAsia="仿宋" w:cs="仿宋"/>
                <w:bCs/>
                <w:kern w:val="0"/>
                <w:sz w:val="24"/>
                <w:szCs w:val="24"/>
              </w:rPr>
              <w:t>①社会单位提供养老保险证明，事业单位提供养老保险证明或行政主管部门在编证明。</w:t>
            </w:r>
          </w:p>
          <w:p w14:paraId="34471D4B">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bCs/>
                <w:kern w:val="0"/>
                <w:sz w:val="24"/>
                <w:szCs w:val="24"/>
                <w:highlight w:val="none"/>
              </w:rPr>
              <w:t>②</w:t>
            </w:r>
            <w:r>
              <w:rPr>
                <w:rFonts w:hint="eastAsia" w:ascii="仿宋" w:hAnsi="仿宋" w:eastAsia="仿宋" w:cs="仿宋"/>
                <w:bCs/>
                <w:snapToGrid w:val="0"/>
                <w:kern w:val="0"/>
                <w:sz w:val="24"/>
                <w:szCs w:val="24"/>
                <w:highlight w:val="none"/>
              </w:rPr>
              <w:t>项目经理、项目技术负责人和委托代理人的养老保险证明期限为</w:t>
            </w:r>
            <w:r>
              <w:rPr>
                <w:rFonts w:hint="eastAsia" w:ascii="仿宋" w:hAnsi="仿宋" w:eastAsia="仿宋" w:cs="仿宋"/>
                <w:bCs/>
                <w:snapToGrid w:val="0"/>
                <w:kern w:val="0"/>
                <w:sz w:val="24"/>
                <w:szCs w:val="24"/>
                <w:highlight w:val="none"/>
                <w:u w:val="single"/>
              </w:rPr>
              <w:t xml:space="preserve"> 202</w:t>
            </w:r>
            <w:r>
              <w:rPr>
                <w:rFonts w:hint="eastAsia" w:ascii="仿宋" w:hAnsi="仿宋" w:eastAsia="仿宋" w:cs="仿宋"/>
                <w:bCs/>
                <w:snapToGrid w:val="0"/>
                <w:kern w:val="0"/>
                <w:sz w:val="24"/>
                <w:szCs w:val="24"/>
                <w:highlight w:val="none"/>
                <w:u w:val="single"/>
                <w:lang w:val="en-US" w:eastAsia="zh-CN"/>
              </w:rPr>
              <w:t>4</w:t>
            </w:r>
            <w:r>
              <w:rPr>
                <w:rFonts w:hint="eastAsia" w:ascii="仿宋" w:hAnsi="仿宋" w:eastAsia="仿宋" w:cs="仿宋"/>
                <w:bCs/>
                <w:snapToGrid w:val="0"/>
                <w:kern w:val="0"/>
                <w:sz w:val="24"/>
                <w:szCs w:val="24"/>
                <w:highlight w:val="none"/>
                <w:u w:val="single"/>
              </w:rPr>
              <w:t xml:space="preserve"> </w:t>
            </w:r>
            <w:r>
              <w:rPr>
                <w:rFonts w:hint="eastAsia" w:ascii="仿宋" w:hAnsi="仿宋" w:eastAsia="仿宋" w:cs="仿宋"/>
                <w:bCs/>
                <w:snapToGrid w:val="0"/>
                <w:kern w:val="0"/>
                <w:sz w:val="24"/>
                <w:szCs w:val="24"/>
                <w:highlight w:val="none"/>
              </w:rPr>
              <w:t>年</w:t>
            </w:r>
            <w:r>
              <w:rPr>
                <w:rFonts w:hint="eastAsia" w:ascii="仿宋" w:hAnsi="仿宋" w:eastAsia="仿宋" w:cs="仿宋"/>
                <w:bCs/>
                <w:snapToGrid w:val="0"/>
                <w:kern w:val="0"/>
                <w:sz w:val="24"/>
                <w:szCs w:val="24"/>
                <w:highlight w:val="none"/>
                <w:u w:val="single"/>
              </w:rPr>
              <w:t xml:space="preserve"> </w:t>
            </w:r>
            <w:r>
              <w:rPr>
                <w:rFonts w:hint="eastAsia" w:ascii="仿宋" w:hAnsi="仿宋" w:eastAsia="仿宋" w:cs="仿宋"/>
                <w:bCs/>
                <w:snapToGrid w:val="0"/>
                <w:kern w:val="0"/>
                <w:sz w:val="24"/>
                <w:szCs w:val="24"/>
                <w:highlight w:val="none"/>
                <w:u w:val="single"/>
                <w:lang w:val="en-US" w:eastAsia="zh-CN"/>
              </w:rPr>
              <w:t>6</w:t>
            </w:r>
            <w:r>
              <w:rPr>
                <w:rFonts w:hint="eastAsia" w:ascii="仿宋" w:hAnsi="仿宋" w:eastAsia="仿宋" w:cs="仿宋"/>
                <w:bCs/>
                <w:snapToGrid w:val="0"/>
                <w:kern w:val="0"/>
                <w:sz w:val="24"/>
                <w:szCs w:val="24"/>
                <w:highlight w:val="none"/>
                <w:u w:val="single"/>
              </w:rPr>
              <w:t xml:space="preserve"> </w:t>
            </w:r>
            <w:r>
              <w:rPr>
                <w:rFonts w:hint="eastAsia" w:ascii="仿宋" w:hAnsi="仿宋" w:eastAsia="仿宋" w:cs="仿宋"/>
                <w:bCs/>
                <w:snapToGrid w:val="0"/>
                <w:kern w:val="0"/>
                <w:sz w:val="24"/>
                <w:szCs w:val="24"/>
                <w:highlight w:val="none"/>
              </w:rPr>
              <w:t>月至</w:t>
            </w:r>
            <w:r>
              <w:rPr>
                <w:rFonts w:hint="eastAsia" w:ascii="仿宋" w:hAnsi="仿宋" w:eastAsia="仿宋" w:cs="仿宋"/>
                <w:bCs/>
                <w:snapToGrid w:val="0"/>
                <w:kern w:val="0"/>
                <w:sz w:val="24"/>
                <w:szCs w:val="24"/>
                <w:highlight w:val="none"/>
                <w:u w:val="single"/>
              </w:rPr>
              <w:t xml:space="preserve"> 2024 </w:t>
            </w:r>
            <w:r>
              <w:rPr>
                <w:rFonts w:hint="eastAsia" w:ascii="仿宋" w:hAnsi="仿宋" w:eastAsia="仿宋" w:cs="仿宋"/>
                <w:bCs/>
                <w:snapToGrid w:val="0"/>
                <w:kern w:val="0"/>
                <w:sz w:val="24"/>
                <w:szCs w:val="24"/>
                <w:highlight w:val="none"/>
              </w:rPr>
              <w:t>年</w:t>
            </w:r>
            <w:r>
              <w:rPr>
                <w:rFonts w:hint="eastAsia" w:ascii="仿宋" w:hAnsi="仿宋" w:eastAsia="仿宋" w:cs="仿宋"/>
                <w:bCs/>
                <w:snapToGrid w:val="0"/>
                <w:kern w:val="0"/>
                <w:sz w:val="24"/>
                <w:szCs w:val="24"/>
                <w:highlight w:val="none"/>
                <w:u w:val="single"/>
              </w:rPr>
              <w:t xml:space="preserve"> </w:t>
            </w:r>
            <w:r>
              <w:rPr>
                <w:rFonts w:hint="eastAsia" w:ascii="仿宋" w:hAnsi="仿宋" w:eastAsia="仿宋" w:cs="仿宋"/>
                <w:bCs/>
                <w:snapToGrid w:val="0"/>
                <w:kern w:val="0"/>
                <w:sz w:val="24"/>
                <w:szCs w:val="24"/>
                <w:highlight w:val="none"/>
                <w:u w:val="single"/>
                <w:lang w:val="en-US" w:eastAsia="zh-CN"/>
              </w:rPr>
              <w:t>11</w:t>
            </w:r>
            <w:r>
              <w:rPr>
                <w:rFonts w:hint="eastAsia" w:ascii="仿宋" w:hAnsi="仿宋" w:eastAsia="仿宋" w:cs="仿宋"/>
                <w:bCs/>
                <w:snapToGrid w:val="0"/>
                <w:kern w:val="0"/>
                <w:sz w:val="24"/>
                <w:szCs w:val="24"/>
                <w:highlight w:val="none"/>
                <w:u w:val="single"/>
              </w:rPr>
              <w:t xml:space="preserve"> </w:t>
            </w:r>
            <w:r>
              <w:rPr>
                <w:rFonts w:hint="eastAsia" w:ascii="仿宋" w:hAnsi="仿宋" w:eastAsia="仿宋" w:cs="仿宋"/>
                <w:bCs/>
                <w:snapToGrid w:val="0"/>
                <w:kern w:val="0"/>
                <w:sz w:val="24"/>
                <w:szCs w:val="24"/>
                <w:highlight w:val="none"/>
              </w:rPr>
              <w:t>月的</w:t>
            </w:r>
            <w:r>
              <w:rPr>
                <w:rFonts w:hint="eastAsia" w:ascii="仿宋" w:hAnsi="仿宋" w:eastAsia="仿宋" w:cs="仿宋"/>
                <w:bCs/>
                <w:sz w:val="24"/>
                <w:szCs w:val="24"/>
                <w:highlight w:val="none"/>
              </w:rPr>
              <w:t>连续养老保险。</w:t>
            </w:r>
            <w:r>
              <w:rPr>
                <w:rFonts w:hint="eastAsia" w:ascii="仿宋" w:hAnsi="仿宋" w:eastAsia="仿宋" w:cs="仿宋"/>
                <w:bCs/>
                <w:sz w:val="24"/>
                <w:szCs w:val="24"/>
              </w:rPr>
              <w:t>提供的养老保险参保证明须体现上述人员的姓名、身份证号（或社保号）、单位名称、本单位参保时间（或起始参保时间），并带有社保部门公章或社保部门的有效电子印章。</w:t>
            </w:r>
          </w:p>
        </w:tc>
      </w:tr>
      <w:tr w14:paraId="2C3F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7" w:hRule="atLeast"/>
        </w:trPr>
        <w:tc>
          <w:tcPr>
            <w:tcW w:w="980" w:type="dxa"/>
            <w:noWrap w:val="0"/>
            <w:vAlign w:val="center"/>
          </w:tcPr>
          <w:p w14:paraId="38F6A44E">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1.4.2</w:t>
            </w:r>
          </w:p>
        </w:tc>
        <w:tc>
          <w:tcPr>
            <w:tcW w:w="1652" w:type="dxa"/>
            <w:noWrap w:val="0"/>
            <w:vAlign w:val="center"/>
          </w:tcPr>
          <w:p w14:paraId="6807723C">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是否接受联合体竞选</w:t>
            </w:r>
          </w:p>
        </w:tc>
        <w:tc>
          <w:tcPr>
            <w:tcW w:w="6846" w:type="dxa"/>
            <w:noWrap w:val="0"/>
            <w:vAlign w:val="center"/>
          </w:tcPr>
          <w:p w14:paraId="5431C47D">
            <w:pPr>
              <w:snapToGrid w:val="0"/>
              <w:spacing w:line="24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不接受</w:t>
            </w:r>
          </w:p>
        </w:tc>
      </w:tr>
      <w:tr w14:paraId="23204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980" w:type="dxa"/>
            <w:noWrap w:val="0"/>
            <w:vAlign w:val="center"/>
          </w:tcPr>
          <w:p w14:paraId="1C263CD2">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1.9.1</w:t>
            </w:r>
          </w:p>
        </w:tc>
        <w:tc>
          <w:tcPr>
            <w:tcW w:w="1652" w:type="dxa"/>
            <w:noWrap w:val="0"/>
            <w:vAlign w:val="center"/>
          </w:tcPr>
          <w:p w14:paraId="065B0D97">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highlight w:val="none"/>
              </w:rPr>
              <w:t>踏勘现场</w:t>
            </w:r>
          </w:p>
        </w:tc>
        <w:tc>
          <w:tcPr>
            <w:tcW w:w="6846" w:type="dxa"/>
            <w:noWrap w:val="0"/>
            <w:vAlign w:val="center"/>
          </w:tcPr>
          <w:p w14:paraId="22A368A7">
            <w:pPr>
              <w:pStyle w:val="7"/>
              <w:numPr>
                <w:ilvl w:val="0"/>
                <w:numId w:val="0"/>
              </w:numPr>
              <w:tabs>
                <w:tab w:val="left" w:pos="546"/>
                <w:tab w:val="left" w:pos="711"/>
              </w:tabs>
              <w:snapToGrid w:val="0"/>
              <w:spacing w:after="0" w:line="240" w:lineRule="auto"/>
              <w:ind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不组织，由竞选人自行踏勘</w:t>
            </w:r>
          </w:p>
        </w:tc>
      </w:tr>
      <w:tr w14:paraId="3946D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1" w:hRule="atLeast"/>
        </w:trPr>
        <w:tc>
          <w:tcPr>
            <w:tcW w:w="980" w:type="dxa"/>
            <w:noWrap w:val="0"/>
            <w:vAlign w:val="center"/>
          </w:tcPr>
          <w:p w14:paraId="17FF84EA">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1.10.1</w:t>
            </w:r>
          </w:p>
        </w:tc>
        <w:tc>
          <w:tcPr>
            <w:tcW w:w="1652" w:type="dxa"/>
            <w:noWrap w:val="0"/>
            <w:vAlign w:val="center"/>
          </w:tcPr>
          <w:p w14:paraId="3C96F2DC">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竞选预备会</w:t>
            </w:r>
          </w:p>
        </w:tc>
        <w:tc>
          <w:tcPr>
            <w:tcW w:w="6846" w:type="dxa"/>
            <w:noWrap w:val="0"/>
            <w:vAlign w:val="center"/>
          </w:tcPr>
          <w:p w14:paraId="0E97B8C4">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不召开</w:t>
            </w:r>
          </w:p>
        </w:tc>
      </w:tr>
      <w:tr w14:paraId="513BC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 w:hRule="atLeast"/>
        </w:trPr>
        <w:tc>
          <w:tcPr>
            <w:tcW w:w="980" w:type="dxa"/>
            <w:noWrap w:val="0"/>
            <w:vAlign w:val="center"/>
          </w:tcPr>
          <w:p w14:paraId="33F1823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1.10.2</w:t>
            </w:r>
          </w:p>
        </w:tc>
        <w:tc>
          <w:tcPr>
            <w:tcW w:w="1652" w:type="dxa"/>
            <w:noWrap w:val="0"/>
            <w:vAlign w:val="center"/>
          </w:tcPr>
          <w:p w14:paraId="2D451BA3">
            <w:pPr>
              <w:snapToGrid w:val="0"/>
              <w:spacing w:line="240" w:lineRule="auto"/>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竞选人提出问题的截止时间</w:t>
            </w:r>
          </w:p>
        </w:tc>
        <w:tc>
          <w:tcPr>
            <w:tcW w:w="6846" w:type="dxa"/>
            <w:noWrap w:val="0"/>
            <w:vAlign w:val="center"/>
          </w:tcPr>
          <w:p w14:paraId="2CCC3EF9">
            <w:pPr>
              <w:snapToGrid w:val="0"/>
              <w:spacing w:line="240" w:lineRule="auto"/>
              <w:ind w:firstLine="0" w:firstLineChars="0"/>
              <w:rPr>
                <w:rFonts w:hint="eastAsia" w:ascii="仿宋" w:hAnsi="仿宋" w:eastAsia="仿宋" w:cs="仿宋"/>
                <w:snapToGrid w:val="0"/>
                <w:kern w:val="0"/>
                <w:sz w:val="24"/>
                <w:szCs w:val="24"/>
              </w:rPr>
            </w:pPr>
            <w:r>
              <w:rPr>
                <w:rFonts w:hint="eastAsia" w:ascii="仿宋" w:hAnsi="仿宋" w:eastAsia="仿宋" w:cs="仿宋"/>
                <w:sz w:val="24"/>
                <w:szCs w:val="24"/>
                <w:u w:val="single"/>
              </w:rPr>
              <w:t>2024</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12 </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18 </w:t>
            </w:r>
            <w:r>
              <w:rPr>
                <w:rFonts w:hint="eastAsia" w:ascii="仿宋" w:hAnsi="仿宋" w:eastAsia="仿宋" w:cs="仿宋"/>
                <w:sz w:val="24"/>
                <w:szCs w:val="24"/>
              </w:rPr>
              <w:t>日</w:t>
            </w:r>
            <w:r>
              <w:rPr>
                <w:rFonts w:hint="eastAsia" w:ascii="仿宋" w:hAnsi="仿宋" w:eastAsia="仿宋" w:cs="仿宋"/>
                <w:sz w:val="24"/>
                <w:szCs w:val="24"/>
                <w:u w:val="single"/>
              </w:rPr>
              <w:t>12：00</w:t>
            </w:r>
            <w:r>
              <w:rPr>
                <w:rFonts w:hint="eastAsia" w:ascii="仿宋" w:hAnsi="仿宋" w:eastAsia="仿宋" w:cs="仿宋"/>
                <w:sz w:val="24"/>
                <w:szCs w:val="24"/>
              </w:rPr>
              <w:t>前；</w:t>
            </w:r>
          </w:p>
        </w:tc>
      </w:tr>
      <w:tr w14:paraId="18AD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 w:hRule="atLeast"/>
        </w:trPr>
        <w:tc>
          <w:tcPr>
            <w:tcW w:w="980" w:type="dxa"/>
            <w:noWrap w:val="0"/>
            <w:vAlign w:val="center"/>
          </w:tcPr>
          <w:p w14:paraId="36BA847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1.10.3</w:t>
            </w:r>
          </w:p>
        </w:tc>
        <w:tc>
          <w:tcPr>
            <w:tcW w:w="1652" w:type="dxa"/>
            <w:noWrap w:val="0"/>
            <w:vAlign w:val="top"/>
          </w:tcPr>
          <w:p w14:paraId="43ACBC1C">
            <w:pPr>
              <w:snapToGrid w:val="0"/>
              <w:spacing w:line="240" w:lineRule="auto"/>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比选人书面澄清的时间</w:t>
            </w:r>
          </w:p>
        </w:tc>
        <w:tc>
          <w:tcPr>
            <w:tcW w:w="6846" w:type="dxa"/>
            <w:noWrap w:val="0"/>
            <w:vAlign w:val="center"/>
          </w:tcPr>
          <w:p w14:paraId="477DD65A">
            <w:pPr>
              <w:snapToGrid w:val="0"/>
              <w:spacing w:line="240" w:lineRule="auto"/>
              <w:ind w:firstLine="0" w:firstLineChars="0"/>
              <w:rPr>
                <w:rFonts w:hint="eastAsia" w:ascii="仿宋" w:hAnsi="仿宋" w:eastAsia="仿宋" w:cs="仿宋"/>
                <w:snapToGrid w:val="0"/>
                <w:kern w:val="0"/>
                <w:sz w:val="24"/>
                <w:szCs w:val="24"/>
              </w:rPr>
            </w:pPr>
            <w:r>
              <w:rPr>
                <w:rFonts w:hint="eastAsia" w:ascii="仿宋" w:hAnsi="仿宋" w:eastAsia="仿宋" w:cs="仿宋"/>
                <w:sz w:val="24"/>
                <w:szCs w:val="24"/>
                <w:u w:val="single"/>
              </w:rPr>
              <w:t>2024</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12</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18</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r>
              <w:rPr>
                <w:rFonts w:hint="eastAsia" w:ascii="仿宋" w:hAnsi="仿宋" w:eastAsia="仿宋" w:cs="仿宋"/>
                <w:sz w:val="24"/>
                <w:szCs w:val="24"/>
                <w:u w:val="single"/>
              </w:rPr>
              <w:t>17：00</w:t>
            </w:r>
            <w:r>
              <w:rPr>
                <w:rFonts w:hint="eastAsia" w:ascii="仿宋" w:hAnsi="仿宋" w:eastAsia="仿宋" w:cs="仿宋"/>
                <w:sz w:val="24"/>
                <w:szCs w:val="24"/>
              </w:rPr>
              <w:t>前；</w:t>
            </w:r>
          </w:p>
        </w:tc>
      </w:tr>
      <w:tr w14:paraId="3B4C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6" w:hRule="atLeast"/>
        </w:trPr>
        <w:tc>
          <w:tcPr>
            <w:tcW w:w="980" w:type="dxa"/>
            <w:noWrap w:val="0"/>
            <w:vAlign w:val="center"/>
          </w:tcPr>
          <w:p w14:paraId="27B3CD4F">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1.11</w:t>
            </w:r>
          </w:p>
        </w:tc>
        <w:tc>
          <w:tcPr>
            <w:tcW w:w="1652" w:type="dxa"/>
            <w:noWrap w:val="0"/>
            <w:vAlign w:val="center"/>
          </w:tcPr>
          <w:p w14:paraId="30D40F81">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分包</w:t>
            </w:r>
          </w:p>
        </w:tc>
        <w:tc>
          <w:tcPr>
            <w:tcW w:w="6846" w:type="dxa"/>
            <w:noWrap w:val="0"/>
            <w:vAlign w:val="center"/>
          </w:tcPr>
          <w:p w14:paraId="662274DD">
            <w:pPr>
              <w:autoSpaceDE w:val="0"/>
              <w:autoSpaceDN w:val="0"/>
              <w:adjustRightInd w:val="0"/>
              <w:snapToGrid w:val="0"/>
              <w:spacing w:line="240" w:lineRule="auto"/>
              <w:ind w:firstLine="0" w:firstLineChars="0"/>
              <w:jc w:val="left"/>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不允许。</w:t>
            </w:r>
          </w:p>
        </w:tc>
      </w:tr>
      <w:tr w14:paraId="521E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3" w:hRule="atLeast"/>
        </w:trPr>
        <w:tc>
          <w:tcPr>
            <w:tcW w:w="980" w:type="dxa"/>
            <w:noWrap w:val="0"/>
            <w:vAlign w:val="center"/>
          </w:tcPr>
          <w:p w14:paraId="041FA7A8">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2.1</w:t>
            </w:r>
          </w:p>
        </w:tc>
        <w:tc>
          <w:tcPr>
            <w:tcW w:w="1652" w:type="dxa"/>
            <w:noWrap w:val="0"/>
            <w:vAlign w:val="center"/>
          </w:tcPr>
          <w:p w14:paraId="74127EBE">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构成比选文件的其他材料</w:t>
            </w:r>
          </w:p>
        </w:tc>
        <w:tc>
          <w:tcPr>
            <w:tcW w:w="6846" w:type="dxa"/>
            <w:noWrap w:val="0"/>
            <w:vAlign w:val="center"/>
          </w:tcPr>
          <w:p w14:paraId="5C6D0816">
            <w:pPr>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比选人发出的澄清及修改</w:t>
            </w:r>
          </w:p>
        </w:tc>
      </w:tr>
      <w:tr w14:paraId="723CC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trPr>
        <w:tc>
          <w:tcPr>
            <w:tcW w:w="980" w:type="dxa"/>
            <w:noWrap w:val="0"/>
            <w:vAlign w:val="center"/>
          </w:tcPr>
          <w:p w14:paraId="394B726E">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2.2.1</w:t>
            </w:r>
          </w:p>
        </w:tc>
        <w:tc>
          <w:tcPr>
            <w:tcW w:w="1652" w:type="dxa"/>
            <w:noWrap w:val="0"/>
            <w:vAlign w:val="center"/>
          </w:tcPr>
          <w:p w14:paraId="7FEBBC3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竞选人要求澄清比选文件的截止时间</w:t>
            </w:r>
          </w:p>
        </w:tc>
        <w:tc>
          <w:tcPr>
            <w:tcW w:w="6846" w:type="dxa"/>
            <w:noWrap w:val="0"/>
            <w:vAlign w:val="center"/>
          </w:tcPr>
          <w:p w14:paraId="31FA5C69">
            <w:pPr>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竞选人在收到比选文件后，应仔细检查比选文件的所有内容，如有残缺或文字表述不清，图纸尺寸标注不明以及存在错、碰、漏、缺、概念模糊和有可能出现歧义或理解上的偏差的内容，清单工程量等应在</w:t>
            </w:r>
            <w:r>
              <w:rPr>
                <w:rFonts w:hint="eastAsia" w:ascii="仿宋" w:hAnsi="仿宋" w:eastAsia="仿宋" w:cs="仿宋"/>
                <w:kern w:val="0"/>
                <w:sz w:val="24"/>
                <w:szCs w:val="24"/>
                <w:u w:val="single"/>
              </w:rPr>
              <w:t xml:space="preserve"> 2024 </w:t>
            </w:r>
            <w:r>
              <w:rPr>
                <w:rFonts w:hint="eastAsia" w:ascii="仿宋" w:hAnsi="仿宋" w:eastAsia="仿宋" w:cs="仿宋"/>
                <w:kern w:val="0"/>
                <w:sz w:val="24"/>
                <w:szCs w:val="24"/>
              </w:rPr>
              <w:t>年</w:t>
            </w:r>
            <w:r>
              <w:rPr>
                <w:rFonts w:hint="eastAsia" w:ascii="仿宋" w:hAnsi="仿宋" w:eastAsia="仿宋" w:cs="仿宋"/>
                <w:kern w:val="0"/>
                <w:sz w:val="24"/>
                <w:szCs w:val="24"/>
                <w:u w:val="single"/>
                <w:lang w:val="en-US" w:eastAsia="zh-CN"/>
              </w:rPr>
              <w:t>12</w:t>
            </w:r>
            <w:r>
              <w:rPr>
                <w:rFonts w:hint="eastAsia" w:ascii="仿宋" w:hAnsi="仿宋" w:eastAsia="仿宋" w:cs="仿宋"/>
                <w:kern w:val="0"/>
                <w:sz w:val="24"/>
                <w:szCs w:val="24"/>
              </w:rPr>
              <w:t>月</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 xml:space="preserve">18  </w:t>
            </w:r>
            <w:r>
              <w:rPr>
                <w:rFonts w:hint="eastAsia" w:ascii="仿宋" w:hAnsi="仿宋" w:eastAsia="仿宋" w:cs="仿宋"/>
                <w:kern w:val="0"/>
                <w:sz w:val="24"/>
                <w:szCs w:val="24"/>
              </w:rPr>
              <w:t>日</w:t>
            </w:r>
            <w:r>
              <w:rPr>
                <w:rFonts w:hint="eastAsia" w:ascii="仿宋" w:hAnsi="仿宋" w:eastAsia="仿宋" w:cs="仿宋"/>
                <w:kern w:val="0"/>
                <w:sz w:val="24"/>
                <w:szCs w:val="24"/>
                <w:u w:val="single"/>
              </w:rPr>
              <w:t>12：00</w:t>
            </w:r>
            <w:r>
              <w:rPr>
                <w:rFonts w:hint="eastAsia" w:ascii="仿宋" w:hAnsi="仿宋" w:eastAsia="仿宋" w:cs="仿宋"/>
                <w:kern w:val="0"/>
                <w:sz w:val="24"/>
                <w:szCs w:val="24"/>
              </w:rPr>
              <w:t>前通过</w:t>
            </w:r>
            <w:r>
              <w:rPr>
                <w:rFonts w:hint="eastAsia" w:ascii="仿宋" w:hAnsi="仿宋" w:eastAsia="仿宋" w:cs="仿宋"/>
                <w:kern w:val="0"/>
                <w:sz w:val="24"/>
                <w:szCs w:val="24"/>
                <w:lang w:val="en-US" w:eastAsia="zh-CN"/>
              </w:rPr>
              <w:t>邮箱</w:t>
            </w:r>
            <w:r>
              <w:rPr>
                <w:rFonts w:hint="eastAsia" w:ascii="仿宋" w:hAnsi="仿宋" w:eastAsia="仿宋" w:cs="仿宋"/>
                <w:kern w:val="0"/>
                <w:sz w:val="24"/>
                <w:szCs w:val="24"/>
              </w:rPr>
              <w:t>匿名通知。</w:t>
            </w:r>
          </w:p>
          <w:p w14:paraId="2B69D3D5">
            <w:pPr>
              <w:snapToGrid w:val="0"/>
              <w:spacing w:line="360" w:lineRule="auto"/>
              <w:ind w:firstLine="0" w:firstLineChars="0"/>
              <w:rPr>
                <w:rFonts w:hint="eastAsia" w:ascii="仿宋" w:hAnsi="仿宋" w:eastAsia="仿宋" w:cs="仿宋"/>
                <w:sz w:val="24"/>
                <w:szCs w:val="24"/>
                <w:lang w:val="en-US" w:eastAsia="zh-CN"/>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邮 箱</w:t>
            </w:r>
            <w:r>
              <w:rPr>
                <w:rFonts w:hint="eastAsia" w:ascii="仿宋" w:hAnsi="仿宋" w:eastAsia="仿宋" w:cs="仿宋"/>
                <w:sz w:val="24"/>
                <w:szCs w:val="24"/>
              </w:rPr>
              <w:t>：</w:t>
            </w:r>
            <w:r>
              <w:rPr>
                <w:rFonts w:hint="eastAsia" w:ascii="仿宋" w:hAnsi="仿宋" w:eastAsia="仿宋" w:cs="仿宋"/>
                <w:sz w:val="24"/>
                <w:szCs w:val="24"/>
                <w:lang w:val="en-US" w:eastAsia="zh-CN"/>
              </w:rPr>
              <w:t>547491591@qq.com</w:t>
            </w:r>
          </w:p>
        </w:tc>
      </w:tr>
      <w:tr w14:paraId="66E5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9" w:hRule="atLeast"/>
        </w:trPr>
        <w:tc>
          <w:tcPr>
            <w:tcW w:w="980" w:type="dxa"/>
            <w:noWrap w:val="0"/>
            <w:vAlign w:val="center"/>
          </w:tcPr>
          <w:p w14:paraId="277548A0">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2.2.2</w:t>
            </w:r>
          </w:p>
        </w:tc>
        <w:tc>
          <w:tcPr>
            <w:tcW w:w="1652" w:type="dxa"/>
            <w:noWrap w:val="0"/>
            <w:vAlign w:val="center"/>
          </w:tcPr>
          <w:p w14:paraId="5A47027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highlight w:val="none"/>
              </w:rPr>
              <w:t>竞选截止时间</w:t>
            </w:r>
          </w:p>
        </w:tc>
        <w:tc>
          <w:tcPr>
            <w:tcW w:w="6846" w:type="dxa"/>
            <w:noWrap w:val="0"/>
            <w:vAlign w:val="center"/>
          </w:tcPr>
          <w:p w14:paraId="33B6D55B">
            <w:pPr>
              <w:snapToGrid w:val="0"/>
              <w:spacing w:line="240" w:lineRule="auto"/>
              <w:ind w:firstLine="0" w:firstLineChars="0"/>
              <w:rPr>
                <w:rFonts w:hint="eastAsia" w:ascii="仿宋" w:hAnsi="仿宋" w:eastAsia="仿宋" w:cs="仿宋"/>
                <w:b/>
                <w:sz w:val="24"/>
                <w:szCs w:val="24"/>
              </w:rPr>
            </w:pPr>
            <w:r>
              <w:rPr>
                <w:rFonts w:hint="eastAsia" w:ascii="仿宋" w:hAnsi="仿宋" w:eastAsia="仿宋" w:cs="仿宋"/>
                <w:b/>
                <w:sz w:val="24"/>
                <w:szCs w:val="24"/>
                <w:u w:val="single"/>
              </w:rPr>
              <w:t xml:space="preserve">2024 </w:t>
            </w:r>
            <w:r>
              <w:rPr>
                <w:rFonts w:hint="eastAsia" w:ascii="仿宋" w:hAnsi="仿宋" w:eastAsia="仿宋" w:cs="仿宋"/>
                <w:b/>
                <w:sz w:val="24"/>
                <w:szCs w:val="24"/>
              </w:rPr>
              <w:t>年</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12  </w:t>
            </w:r>
            <w:r>
              <w:rPr>
                <w:rFonts w:hint="eastAsia" w:ascii="仿宋" w:hAnsi="仿宋" w:eastAsia="仿宋" w:cs="仿宋"/>
                <w:b/>
                <w:sz w:val="24"/>
                <w:szCs w:val="24"/>
              </w:rPr>
              <w:t>月</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23 </w:t>
            </w:r>
            <w:r>
              <w:rPr>
                <w:rFonts w:hint="eastAsia" w:ascii="仿宋" w:hAnsi="仿宋" w:eastAsia="仿宋" w:cs="仿宋"/>
                <w:b/>
                <w:sz w:val="24"/>
                <w:szCs w:val="24"/>
                <w:u w:val="single"/>
              </w:rPr>
              <w:t xml:space="preserve"> </w:t>
            </w:r>
            <w:r>
              <w:rPr>
                <w:rFonts w:hint="eastAsia" w:ascii="仿宋" w:hAnsi="仿宋" w:eastAsia="仿宋" w:cs="仿宋"/>
                <w:b/>
                <w:sz w:val="24"/>
                <w:szCs w:val="24"/>
              </w:rPr>
              <w:t>日</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  15 </w:t>
            </w:r>
            <w:r>
              <w:rPr>
                <w:rFonts w:hint="eastAsia" w:ascii="仿宋" w:hAnsi="仿宋" w:eastAsia="仿宋" w:cs="仿宋"/>
                <w:b/>
                <w:sz w:val="24"/>
                <w:szCs w:val="24"/>
                <w:u w:val="single"/>
              </w:rPr>
              <w:t xml:space="preserve"> </w:t>
            </w:r>
            <w:r>
              <w:rPr>
                <w:rFonts w:hint="eastAsia" w:ascii="仿宋" w:hAnsi="仿宋" w:eastAsia="仿宋" w:cs="仿宋"/>
                <w:b/>
                <w:sz w:val="24"/>
                <w:szCs w:val="24"/>
              </w:rPr>
              <w:t>时</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00  </w:t>
            </w:r>
            <w:r>
              <w:rPr>
                <w:rFonts w:hint="eastAsia" w:ascii="仿宋" w:hAnsi="仿宋" w:eastAsia="仿宋" w:cs="仿宋"/>
                <w:b/>
                <w:sz w:val="24"/>
                <w:szCs w:val="24"/>
              </w:rPr>
              <w:t>分（北京时间）</w:t>
            </w:r>
          </w:p>
        </w:tc>
      </w:tr>
      <w:tr w14:paraId="2595B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0" w:hRule="atLeast"/>
        </w:trPr>
        <w:tc>
          <w:tcPr>
            <w:tcW w:w="980" w:type="dxa"/>
            <w:noWrap w:val="0"/>
            <w:vAlign w:val="center"/>
          </w:tcPr>
          <w:p w14:paraId="32E44423">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2.2.3</w:t>
            </w:r>
          </w:p>
        </w:tc>
        <w:tc>
          <w:tcPr>
            <w:tcW w:w="1652" w:type="dxa"/>
            <w:noWrap w:val="0"/>
            <w:vAlign w:val="center"/>
          </w:tcPr>
          <w:p w14:paraId="38EE3B0D">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竞选人确认收到比选文件澄清的时间</w:t>
            </w:r>
          </w:p>
        </w:tc>
        <w:tc>
          <w:tcPr>
            <w:tcW w:w="6846" w:type="dxa"/>
            <w:noWrap w:val="0"/>
            <w:vAlign w:val="center"/>
          </w:tcPr>
          <w:p w14:paraId="3C6C12C7">
            <w:pPr>
              <w:snapToGrid w:val="0"/>
              <w:spacing w:line="360" w:lineRule="auto"/>
              <w:ind w:firstLine="240" w:firstLineChars="100"/>
              <w:rPr>
                <w:rFonts w:hint="eastAsia" w:ascii="仿宋" w:hAnsi="仿宋" w:eastAsia="仿宋" w:cs="仿宋"/>
                <w:sz w:val="24"/>
                <w:szCs w:val="24"/>
              </w:rPr>
            </w:pPr>
            <w:r>
              <w:rPr>
                <w:rFonts w:hint="eastAsia" w:ascii="仿宋" w:hAnsi="仿宋" w:eastAsia="仿宋" w:cs="仿宋"/>
                <w:kern w:val="0"/>
                <w:sz w:val="24"/>
                <w:szCs w:val="24"/>
              </w:rPr>
              <w:t>不采用</w:t>
            </w:r>
          </w:p>
        </w:tc>
      </w:tr>
      <w:tr w14:paraId="6082C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8" w:hRule="atLeast"/>
        </w:trPr>
        <w:tc>
          <w:tcPr>
            <w:tcW w:w="980" w:type="dxa"/>
            <w:noWrap w:val="0"/>
            <w:vAlign w:val="center"/>
          </w:tcPr>
          <w:p w14:paraId="20C2B74E">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2.3.2</w:t>
            </w:r>
          </w:p>
        </w:tc>
        <w:tc>
          <w:tcPr>
            <w:tcW w:w="1652" w:type="dxa"/>
            <w:noWrap w:val="0"/>
            <w:vAlign w:val="center"/>
          </w:tcPr>
          <w:p w14:paraId="2A45099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竞选人确认收到比选文件修改的时间</w:t>
            </w:r>
          </w:p>
        </w:tc>
        <w:tc>
          <w:tcPr>
            <w:tcW w:w="6846" w:type="dxa"/>
            <w:noWrap w:val="0"/>
            <w:vAlign w:val="center"/>
          </w:tcPr>
          <w:p w14:paraId="6EA93EDA">
            <w:pPr>
              <w:snapToGrid w:val="0"/>
              <w:spacing w:line="240" w:lineRule="auto"/>
              <w:ind w:firstLine="240" w:firstLineChars="100"/>
              <w:rPr>
                <w:rFonts w:hint="eastAsia" w:ascii="仿宋" w:hAnsi="仿宋" w:eastAsia="仿宋" w:cs="仿宋"/>
                <w:sz w:val="24"/>
                <w:szCs w:val="24"/>
              </w:rPr>
            </w:pPr>
            <w:r>
              <w:rPr>
                <w:rFonts w:hint="eastAsia" w:ascii="仿宋" w:hAnsi="仿宋" w:eastAsia="仿宋" w:cs="仿宋"/>
                <w:sz w:val="24"/>
                <w:szCs w:val="24"/>
              </w:rPr>
              <w:t>不采用</w:t>
            </w:r>
          </w:p>
        </w:tc>
      </w:tr>
      <w:tr w14:paraId="1BE9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2" w:hRule="atLeast"/>
        </w:trPr>
        <w:tc>
          <w:tcPr>
            <w:tcW w:w="980" w:type="dxa"/>
            <w:noWrap w:val="0"/>
            <w:vAlign w:val="center"/>
          </w:tcPr>
          <w:p w14:paraId="6E51FA8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3.1.1</w:t>
            </w:r>
          </w:p>
        </w:tc>
        <w:tc>
          <w:tcPr>
            <w:tcW w:w="1652" w:type="dxa"/>
            <w:noWrap w:val="0"/>
            <w:vAlign w:val="center"/>
          </w:tcPr>
          <w:p w14:paraId="0E8C03F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构成竞选文件的其他材料</w:t>
            </w:r>
          </w:p>
        </w:tc>
        <w:tc>
          <w:tcPr>
            <w:tcW w:w="6846" w:type="dxa"/>
            <w:noWrap w:val="0"/>
            <w:vAlign w:val="center"/>
          </w:tcPr>
          <w:p w14:paraId="478DE6B7">
            <w:pPr>
              <w:snapToGrid w:val="0"/>
              <w:spacing w:line="240" w:lineRule="auto"/>
              <w:ind w:firstLine="240" w:firstLineChars="100"/>
              <w:rPr>
                <w:rFonts w:hint="eastAsia" w:ascii="仿宋" w:hAnsi="仿宋" w:eastAsia="仿宋" w:cs="仿宋"/>
                <w:sz w:val="24"/>
                <w:szCs w:val="24"/>
              </w:rPr>
            </w:pPr>
            <w:r>
              <w:rPr>
                <w:rFonts w:hint="eastAsia" w:ascii="仿宋" w:hAnsi="仿宋" w:eastAsia="仿宋" w:cs="仿宋"/>
                <w:kern w:val="0"/>
                <w:sz w:val="24"/>
                <w:szCs w:val="24"/>
              </w:rPr>
              <w:t>比选人发出的答疑、补遗及最高限价通知等。</w:t>
            </w:r>
          </w:p>
        </w:tc>
      </w:tr>
      <w:tr w14:paraId="2301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tcBorders>
              <w:bottom w:val="single" w:color="auto" w:sz="4" w:space="0"/>
            </w:tcBorders>
            <w:noWrap w:val="0"/>
            <w:vAlign w:val="center"/>
          </w:tcPr>
          <w:p w14:paraId="2D5495C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3.2</w:t>
            </w:r>
          </w:p>
        </w:tc>
        <w:tc>
          <w:tcPr>
            <w:tcW w:w="1652" w:type="dxa"/>
            <w:tcBorders>
              <w:bottom w:val="single" w:color="auto" w:sz="4" w:space="0"/>
            </w:tcBorders>
            <w:noWrap w:val="0"/>
            <w:vAlign w:val="center"/>
          </w:tcPr>
          <w:p w14:paraId="4D13DFB0">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竞选报价</w:t>
            </w:r>
          </w:p>
        </w:tc>
        <w:tc>
          <w:tcPr>
            <w:tcW w:w="6846" w:type="dxa"/>
            <w:tcBorders>
              <w:bottom w:val="single" w:color="auto" w:sz="4" w:space="0"/>
            </w:tcBorders>
            <w:noWrap w:val="0"/>
            <w:vAlign w:val="center"/>
          </w:tcPr>
          <w:p w14:paraId="795E929F">
            <w:pPr>
              <w:pStyle w:val="7"/>
              <w:tabs>
                <w:tab w:val="left" w:pos="546"/>
                <w:tab w:val="left" w:pos="711"/>
              </w:tabs>
              <w:snapToGrid w:val="0"/>
              <w:spacing w:after="0"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1.本项目采用工程量清单计价。工程量清单应采用综合单价计价。</w:t>
            </w:r>
          </w:p>
          <w:p w14:paraId="40BB86C7">
            <w:pPr>
              <w:pStyle w:val="7"/>
              <w:tabs>
                <w:tab w:val="left" w:pos="546"/>
                <w:tab w:val="left" w:pos="711"/>
              </w:tabs>
              <w:snapToGrid w:val="0"/>
              <w:spacing w:line="360" w:lineRule="auto"/>
              <w:ind w:left="7" w:leftChars="3"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竞选人应按《建设工程工程量清单计价规范》（GB50500-2013）及重庆市相关工程量清单计价规则的要求填写相应清单表格。投标人应按本须知、《重庆市建设工程费用定额》（CQFYDE-2018）、《重庆市住房和城乡建设委员会关于适用增值税新税率调整建设工程计价依据的通知》（渝建〔2019〕143号）和第五章“工程量清单”的要求填写相应清单表格。竞选人的竞选报价应是本章竞选人须知前附表第1.3.1项中所述的本工程合同段招标范围内的全部工程的投标报价，并以竞选人在工程量清单中提出的单价为依据。</w:t>
            </w:r>
          </w:p>
          <w:p w14:paraId="68BCF98D">
            <w:pPr>
              <w:tabs>
                <w:tab w:val="left" w:pos="546"/>
                <w:tab w:val="left" w:pos="711"/>
              </w:tabs>
              <w:snapToGrid w:val="0"/>
              <w:spacing w:line="360" w:lineRule="auto"/>
              <w:ind w:left="7" w:leftChars="3" w:firstLine="480" w:firstLineChars="200"/>
              <w:rPr>
                <w:rFonts w:hint="eastAsia" w:ascii="仿宋" w:hAnsi="仿宋" w:eastAsia="仿宋" w:cs="仿宋"/>
                <w:sz w:val="24"/>
                <w:szCs w:val="24"/>
              </w:rPr>
            </w:pPr>
            <w:r>
              <w:rPr>
                <w:rFonts w:hint="eastAsia" w:ascii="仿宋" w:hAnsi="仿宋" w:eastAsia="仿宋" w:cs="仿宋"/>
                <w:sz w:val="24"/>
                <w:szCs w:val="24"/>
              </w:rPr>
              <w:t>3.竞选人应认真填写工程量清单中所列的本合同各工程子目的单价或总价。竞选人没有填入单价或总价的工程子目，比选人将认为该子目的价款已包括在工程量清单其他子目的单价和总价中。竞选人必须按招标工程量清单填报价格。项目编码、项目名称、项目特征、计量单位、工程量必须与招标工程量清单一致。</w:t>
            </w:r>
          </w:p>
          <w:p w14:paraId="0D374EDD">
            <w:pPr>
              <w:tabs>
                <w:tab w:val="left" w:pos="546"/>
                <w:tab w:val="left" w:pos="711"/>
              </w:tabs>
              <w:snapToGrid w:val="0"/>
              <w:spacing w:line="360" w:lineRule="auto"/>
              <w:ind w:left="7" w:leftChars="3" w:firstLine="480" w:firstLineChars="200"/>
              <w:rPr>
                <w:rFonts w:hint="eastAsia" w:ascii="仿宋" w:hAnsi="仿宋" w:eastAsia="仿宋" w:cs="仿宋"/>
                <w:sz w:val="24"/>
                <w:szCs w:val="24"/>
              </w:rPr>
            </w:pPr>
            <w:r>
              <w:rPr>
                <w:rFonts w:hint="eastAsia" w:ascii="仿宋" w:hAnsi="仿宋" w:eastAsia="仿宋" w:cs="仿宋"/>
                <w:sz w:val="24"/>
                <w:szCs w:val="24"/>
              </w:rPr>
              <w:t>4.竞选函中的总报价必须与已标价工程量清单总报价一致。否则由评标委员会作否决投标处理。</w:t>
            </w:r>
          </w:p>
          <w:p w14:paraId="32B9EFAB">
            <w:pPr>
              <w:pStyle w:val="7"/>
              <w:tabs>
                <w:tab w:val="left" w:pos="546"/>
                <w:tab w:val="left" w:pos="711"/>
              </w:tabs>
              <w:snapToGrid w:val="0"/>
              <w:spacing w:line="360" w:lineRule="auto"/>
              <w:ind w:left="7" w:leftChars="3"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highlight w:val="none"/>
                <w:u w:val="single"/>
                <w:lang w:val="en-US" w:eastAsia="zh-CN"/>
              </w:rPr>
              <w:t>（1）在合同实施期间，单价和总价不可调整</w:t>
            </w:r>
            <w:r>
              <w:rPr>
                <w:rFonts w:hint="eastAsia" w:ascii="仿宋" w:hAnsi="仿宋" w:eastAsia="仿宋" w:cs="仿宋"/>
                <w:sz w:val="24"/>
                <w:szCs w:val="24"/>
                <w:highlight w:val="none"/>
                <w:lang w:val="en-US" w:eastAsia="zh-CN"/>
              </w:rPr>
              <w:t>。</w:t>
            </w:r>
          </w:p>
          <w:p w14:paraId="7C648490">
            <w:pPr>
              <w:pStyle w:val="7"/>
              <w:tabs>
                <w:tab w:val="left" w:pos="546"/>
                <w:tab w:val="left" w:pos="711"/>
              </w:tabs>
              <w:snapToGrid w:val="0"/>
              <w:spacing w:line="360" w:lineRule="auto"/>
              <w:ind w:left="7" w:leftChars="3" w:firstLine="720" w:firstLineChars="300"/>
              <w:rPr>
                <w:rFonts w:hint="eastAsia" w:ascii="仿宋" w:hAnsi="仿宋" w:eastAsia="仿宋" w:cs="仿宋"/>
                <w:i/>
                <w:sz w:val="24"/>
                <w:szCs w:val="24"/>
                <w:lang w:val="en-US" w:eastAsia="zh-CN"/>
              </w:rPr>
            </w:pPr>
            <w:r>
              <w:rPr>
                <w:rFonts w:hint="eastAsia" w:ascii="仿宋" w:hAnsi="仿宋" w:eastAsia="仿宋" w:cs="仿宋"/>
                <w:sz w:val="24"/>
                <w:szCs w:val="24"/>
                <w:lang w:val="en-US" w:eastAsia="zh-CN"/>
              </w:rPr>
              <w:t>（2）增值税计税方法由招标人依据国家税法规定选择：一般计税法。</w:t>
            </w:r>
          </w:p>
          <w:p w14:paraId="32DF0FF4">
            <w:pPr>
              <w:pStyle w:val="7"/>
              <w:tabs>
                <w:tab w:val="left" w:pos="546"/>
                <w:tab w:val="left" w:pos="711"/>
              </w:tabs>
              <w:snapToGrid w:val="0"/>
              <w:spacing w:line="360" w:lineRule="auto"/>
              <w:ind w:left="7" w:leftChars="3"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6.工程量为暂定工程量，结算时据实结算。</w:t>
            </w:r>
          </w:p>
          <w:p w14:paraId="0F749592">
            <w:pPr>
              <w:tabs>
                <w:tab w:val="left" w:pos="546"/>
                <w:tab w:val="left" w:pos="711"/>
              </w:tabs>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7.比选人在工程量清单中所列出的暂列金额、暂估价等暂定金额，投标人不得</w:t>
            </w:r>
            <w:r>
              <w:rPr>
                <w:rFonts w:hint="eastAsia" w:ascii="仿宋" w:hAnsi="仿宋" w:eastAsia="仿宋" w:cs="仿宋"/>
                <w:color w:val="auto"/>
                <w:sz w:val="24"/>
                <w:szCs w:val="24"/>
              </w:rPr>
              <w:t>修改。</w:t>
            </w:r>
          </w:p>
          <w:p w14:paraId="280E3876">
            <w:pPr>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color w:val="auto"/>
                <w:sz w:val="24"/>
                <w:szCs w:val="24"/>
              </w:rPr>
              <w:t>8.本工程比选将对比选总报价及所有子目单项报价设置最高限价，</w:t>
            </w:r>
            <w:r>
              <w:rPr>
                <w:rFonts w:hint="eastAsia" w:ascii="仿宋" w:hAnsi="仿宋" w:eastAsia="仿宋" w:cs="仿宋"/>
                <w:b/>
                <w:bCs/>
                <w:color w:val="auto"/>
                <w:sz w:val="24"/>
                <w:szCs w:val="24"/>
              </w:rPr>
              <w:t>最高限价为大写：</w:t>
            </w:r>
            <w:r>
              <w:rPr>
                <w:rFonts w:hint="eastAsia" w:ascii="仿宋" w:hAnsi="仿宋" w:eastAsia="仿宋" w:cs="仿宋"/>
                <w:b/>
                <w:bCs/>
                <w:color w:val="auto"/>
                <w:sz w:val="24"/>
                <w:szCs w:val="24"/>
                <w:lang w:val="en-US" w:eastAsia="zh-CN"/>
              </w:rPr>
              <w:t>叁拾万零叁仟肆佰柒拾柒元叁角叁分</w:t>
            </w:r>
            <w:r>
              <w:rPr>
                <w:rFonts w:hint="eastAsia" w:ascii="仿宋" w:hAnsi="仿宋" w:eastAsia="仿宋" w:cs="仿宋"/>
                <w:b/>
                <w:bCs/>
                <w:color w:val="auto"/>
                <w:sz w:val="24"/>
                <w:szCs w:val="24"/>
              </w:rPr>
              <w:t>（小写：</w:t>
            </w:r>
            <w:r>
              <w:rPr>
                <w:rFonts w:hint="eastAsia" w:ascii="仿宋" w:hAnsi="仿宋" w:eastAsia="仿宋" w:cs="仿宋"/>
                <w:b/>
                <w:bCs/>
                <w:color w:val="auto"/>
                <w:sz w:val="24"/>
                <w:szCs w:val="24"/>
                <w:lang w:eastAsia="zh-CN"/>
              </w:rPr>
              <w:t>303477.33</w:t>
            </w:r>
            <w:r>
              <w:rPr>
                <w:rFonts w:hint="eastAsia" w:ascii="仿宋" w:hAnsi="仿宋" w:eastAsia="仿宋" w:cs="仿宋"/>
                <w:b/>
                <w:bCs/>
                <w:color w:val="auto"/>
                <w:sz w:val="24"/>
                <w:szCs w:val="24"/>
              </w:rPr>
              <w:t>元），</w:t>
            </w:r>
            <w:r>
              <w:rPr>
                <w:rFonts w:hint="eastAsia" w:ascii="仿宋" w:hAnsi="仿宋" w:eastAsia="仿宋" w:cs="仿宋"/>
                <w:b/>
                <w:bCs/>
                <w:color w:val="auto"/>
                <w:sz w:val="24"/>
                <w:szCs w:val="24"/>
                <w:highlight w:val="none"/>
              </w:rPr>
              <w:t>其中含暂定安全文明施工费</w:t>
            </w:r>
            <w:r>
              <w:rPr>
                <w:rFonts w:hint="eastAsia" w:ascii="仿宋" w:hAnsi="仿宋" w:eastAsia="仿宋" w:cs="仿宋"/>
                <w:b/>
                <w:bCs/>
                <w:color w:val="auto"/>
                <w:sz w:val="24"/>
                <w:szCs w:val="24"/>
                <w:highlight w:val="none"/>
                <w:lang w:eastAsia="zh-CN"/>
              </w:rPr>
              <w:t>8910.37</w:t>
            </w:r>
            <w:r>
              <w:rPr>
                <w:rFonts w:hint="eastAsia" w:ascii="仿宋" w:hAnsi="仿宋" w:eastAsia="仿宋" w:cs="仿宋"/>
                <w:b/>
                <w:bCs/>
                <w:color w:val="auto"/>
                <w:sz w:val="24"/>
                <w:szCs w:val="24"/>
                <w:highlight w:val="none"/>
              </w:rPr>
              <w:t>元（大写：</w:t>
            </w:r>
            <w:r>
              <w:rPr>
                <w:rFonts w:hint="eastAsia" w:ascii="仿宋" w:hAnsi="仿宋" w:eastAsia="仿宋" w:cs="仿宋"/>
                <w:b/>
                <w:bCs/>
                <w:color w:val="auto"/>
                <w:sz w:val="24"/>
                <w:szCs w:val="24"/>
                <w:highlight w:val="none"/>
                <w:lang w:val="en-US" w:eastAsia="zh-CN"/>
              </w:rPr>
              <w:t>捌仟玖佰壹拾元叁角柒分）。</w:t>
            </w:r>
            <w:r>
              <w:rPr>
                <w:rFonts w:hint="eastAsia" w:ascii="仿宋" w:hAnsi="仿宋" w:eastAsia="仿宋" w:cs="仿宋"/>
                <w:color w:val="auto"/>
                <w:sz w:val="24"/>
                <w:szCs w:val="24"/>
              </w:rPr>
              <w:t>竞选人填写的竞选总报价及子目单项报</w:t>
            </w:r>
            <w:r>
              <w:rPr>
                <w:rFonts w:hint="eastAsia" w:ascii="仿宋" w:hAnsi="仿宋" w:eastAsia="仿宋" w:cs="仿宋"/>
                <w:sz w:val="24"/>
                <w:szCs w:val="24"/>
              </w:rPr>
              <w:t>价均不得超过比选人公布的最高限价。因中选人自身原因造成漏报、少报皆由其自行承担责任，比选人不再补偿。</w:t>
            </w:r>
          </w:p>
          <w:p w14:paraId="18B21BFE">
            <w:pPr>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本工程招标将设置全部工程量清单综合单价最高限价，竞选人的每项清单综合单价报价不得超过每项清单综合单价最高限价。</w:t>
            </w:r>
          </w:p>
          <w:p w14:paraId="7F958F09">
            <w:pPr>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比选人在合同签订前将对中选人已标价工程量清单进行清标。若发现中选人的工程量清单综合单价报价超过招标时给出的工程量清单综合单价最高限价的，在工程结算时比选人将以发出的工程量清单综合单价最高限价为基础，按照中选人的中选总报价与本工程的总价最高限价的下浮比例进行同比例下调，中选人必须无条件接受，否则按中选人违约处理。竞选人须在竞选文件资格审查部分提供承诺函（自行承诺格式自拟），承诺函包括以下内容：</w:t>
            </w:r>
          </w:p>
          <w:p w14:paraId="6E4C9E21">
            <w:pPr>
              <w:snapToGrid w:val="0"/>
              <w:spacing w:after="24" w:afterLines="10"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（1）按照第五章“工程量清单”给出的范围及数量进行报价。</w:t>
            </w:r>
          </w:p>
          <w:p w14:paraId="0A3C7B76">
            <w:pPr>
              <w:snapToGrid w:val="0"/>
              <w:spacing w:after="24" w:afterLines="10"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（2）比选文件中规定工程量清单不允许修改的内容不得修改。</w:t>
            </w:r>
          </w:p>
          <w:p w14:paraId="43F84880">
            <w:pPr>
              <w:snapToGrid w:val="0"/>
              <w:spacing w:after="24" w:afterLines="10"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（3）竞选总报价不高于比选人公布的竞选总报价最高限价。</w:t>
            </w:r>
          </w:p>
          <w:p w14:paraId="214FF816">
            <w:pPr>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（4）各清单子目单价不高于比选人公布的各清单子目单价最高限价的。</w:t>
            </w:r>
          </w:p>
          <w:p w14:paraId="3CD872A8">
            <w:pPr>
              <w:pStyle w:val="7"/>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9.安全文明施工费：</w:t>
            </w:r>
          </w:p>
          <w:p w14:paraId="382AFAA0">
            <w:pPr>
              <w:pStyle w:val="7"/>
              <w:tabs>
                <w:tab w:val="left" w:pos="546"/>
                <w:tab w:val="left" w:pos="711"/>
              </w:tabs>
              <w:snapToGrid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9.1根据《重庆城乡建设委员会关于印发&lt;重庆市建设工程安全文明施工费计取及使用管理规定&gt;的通知》（渝建发〔2014〕25号）规定，安全文明施工费由安全施工费、文明施工费、环境保护费及临时设施费组成。</w:t>
            </w:r>
          </w:p>
          <w:p w14:paraId="4609FEE2">
            <w:pPr>
              <w:pStyle w:val="53"/>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9.2本工程安全文明施工费由招标人根据《建设工程工程量清单计价规范》（GB50500-2013）、《重庆市建设工程工程量清单计价规则》（CQJJGZ-2013）、《重庆市城乡建设委员会关于印发&lt;重庆市建设工程安全文明施工费计取及使用管理规定&gt;的通知》（渝建发〔2014〕25号）、《重庆市住房和城乡建设委员会关于调整建设施工现场形象品质提升安全文明施工费计取的通知》（渝建管〔2020〕97号）、《重庆市建设工程费用定额》（CQFYDE-2018）、《重庆市住房和城乡建设委员会关于适用增值税新税率调整建设工程计价依据的通知》（渝建〔2019〕143号）的相关规定和费用标准单列计算，安全文明施工费为暂定金额，与最高限价一起公布。《竞选函》中的安全文明施工费金额或工程量清单中安全文明施工费的汇总金额未按照比选人给出的暂定金额填报的，其竞选文件由评标委员会作否决投标处理，其竞选文件由评标委员会作否决投标处理；竞选人须在竞选函中明确专款专用，否则视为对比选文件不作实质性</w:t>
            </w:r>
            <w:r>
              <w:rPr>
                <w:rFonts w:hint="eastAsia" w:ascii="仿宋" w:hAnsi="仿宋" w:eastAsia="仿宋" w:cs="仿宋"/>
                <w:sz w:val="24"/>
                <w:szCs w:val="24"/>
                <w:lang w:eastAsia="zh-CN"/>
              </w:rPr>
              <w:t>竞选</w:t>
            </w:r>
            <w:r>
              <w:rPr>
                <w:rFonts w:hint="eastAsia" w:ascii="仿宋" w:hAnsi="仿宋" w:eastAsia="仿宋" w:cs="仿宋"/>
                <w:sz w:val="24"/>
                <w:szCs w:val="24"/>
              </w:rPr>
              <w:t>，其竞选文件由评标委员会作否决投标处理。注：采用全费用清单计价的项目，安全文明施工费仅针对《竞选函》中的安全文明施工费进行评审。</w:t>
            </w:r>
          </w:p>
          <w:p w14:paraId="3E597D59">
            <w:pPr>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10.本工程所需材料（含设备）价格由竞选人参照重庆市建设工程造价管理总站发布的《重庆工程造价信息》或工程造价管理机构发布的工程造价信息（造价信息引用时限为招标公告发布日期前一期），并结合市场行情及自身实力进行自主报价。</w:t>
            </w:r>
          </w:p>
          <w:p w14:paraId="47BE43A8">
            <w:pPr>
              <w:pStyle w:val="7"/>
              <w:tabs>
                <w:tab w:val="left" w:pos="546"/>
                <w:tab w:val="left" w:pos="711"/>
              </w:tabs>
              <w:snapToGrid w:val="0"/>
              <w:spacing w:line="360" w:lineRule="auto"/>
              <w:ind w:firstLine="480" w:firstLineChars="200"/>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11.本项目建筑安装材料价格风险按照《重庆市城乡建设委员会关于进一步加强建筑安装材料价格风险管控的指导意见》（渝建〔2018〕61号）执行。本项目主要材料及设备价格风险内容、范围及调整方法为：</w:t>
            </w:r>
            <w:r>
              <w:rPr>
                <w:rFonts w:hint="eastAsia" w:ascii="仿宋" w:hAnsi="仿宋" w:eastAsia="仿宋" w:cs="仿宋"/>
                <w:sz w:val="24"/>
                <w:szCs w:val="24"/>
                <w:u w:val="single"/>
                <w:lang w:val="en-US" w:eastAsia="zh-CN"/>
              </w:rPr>
              <w:t xml:space="preserve"> 不调整。  </w:t>
            </w:r>
          </w:p>
          <w:p w14:paraId="1D73EC14">
            <w:pPr>
              <w:pStyle w:val="7"/>
              <w:tabs>
                <w:tab w:val="left" w:pos="546"/>
                <w:tab w:val="left" w:pos="711"/>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12.本项目所采用技术、工艺和产品等必须执行重庆市住房和城乡建设委员会关于发布《重庆市建设领域禁止、限制使用落后技术通告（2019年版）（渝建发〔2019〕25号）的规定。</w:t>
            </w:r>
          </w:p>
          <w:p w14:paraId="32AED89B">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13</w:t>
            </w:r>
            <w:r>
              <w:rPr>
                <w:rFonts w:hint="eastAsia" w:ascii="仿宋" w:hAnsi="仿宋" w:eastAsia="仿宋" w:cs="仿宋"/>
                <w:sz w:val="24"/>
                <w:szCs w:val="24"/>
              </w:rPr>
              <w:t>.其他说明：</w:t>
            </w:r>
          </w:p>
          <w:p w14:paraId="5AFFC686">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竞选人应到施工现场踏勘以充分了解工地位置、地质情况、进出场道路、拆迁干扰、储存空间、装卸限制、行车干扰及任何其它足以影响承包价格的情况，任何因忽视上述情况而导致的索赔或工期延长申请将不获批准。</w:t>
            </w:r>
          </w:p>
          <w:p w14:paraId="29A3D7C8">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（2）竞选人应为比选人、监理、跟踪审计等单位提供施工现场办公用房。</w:t>
            </w:r>
          </w:p>
          <w:p w14:paraId="552E960E">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（3）在竞选时承诺在抢工期间时段，竞选人必须按比选人要求无条件增加相应人员且不调整合同总价。</w:t>
            </w:r>
          </w:p>
          <w:p w14:paraId="25DC899C">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（4）土石方相关费用（含环保、市政、运距、渣场处置费等一切费用）各竞选人充分考虑项目实际情况，结合企业自身实力，自行综合考虑在综合单价中，结算时土石方相关费用总价包干不作调整。</w:t>
            </w:r>
          </w:p>
          <w:p w14:paraId="14CE6C2A">
            <w:pPr>
              <w:tabs>
                <w:tab w:val="left" w:pos="546"/>
                <w:tab w:val="left" w:pos="711"/>
              </w:tabs>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（5）施工配合费由各竞选人自行测算计入本次竞选报价内，中选后不再计取。</w:t>
            </w:r>
          </w:p>
        </w:tc>
      </w:tr>
      <w:tr w14:paraId="3DB2E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9" w:hRule="atLeast"/>
        </w:trPr>
        <w:tc>
          <w:tcPr>
            <w:tcW w:w="980" w:type="dxa"/>
            <w:noWrap w:val="0"/>
            <w:vAlign w:val="center"/>
          </w:tcPr>
          <w:p w14:paraId="5B0069D6">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3.3.1</w:t>
            </w:r>
          </w:p>
        </w:tc>
        <w:tc>
          <w:tcPr>
            <w:tcW w:w="1652" w:type="dxa"/>
            <w:noWrap w:val="0"/>
            <w:vAlign w:val="center"/>
          </w:tcPr>
          <w:p w14:paraId="4CA0ADDF">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竞选有效期</w:t>
            </w:r>
          </w:p>
        </w:tc>
        <w:tc>
          <w:tcPr>
            <w:tcW w:w="6846" w:type="dxa"/>
            <w:noWrap w:val="0"/>
            <w:vAlign w:val="center"/>
          </w:tcPr>
          <w:p w14:paraId="3CE26D08">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u w:val="single"/>
              </w:rPr>
              <w:t xml:space="preserve"> 90</w:t>
            </w:r>
            <w:r>
              <w:rPr>
                <w:rFonts w:hint="eastAsia" w:ascii="仿宋" w:hAnsi="仿宋" w:eastAsia="仿宋" w:cs="仿宋"/>
                <w:sz w:val="24"/>
                <w:szCs w:val="24"/>
              </w:rPr>
              <w:t>日历天（从提交竞选文件截止日起计算）</w:t>
            </w:r>
          </w:p>
        </w:tc>
      </w:tr>
      <w:tr w14:paraId="0934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 w:hRule="atLeast"/>
        </w:trPr>
        <w:tc>
          <w:tcPr>
            <w:tcW w:w="980" w:type="dxa"/>
            <w:noWrap w:val="0"/>
            <w:vAlign w:val="center"/>
          </w:tcPr>
          <w:p w14:paraId="631C8B54">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3.4.1</w:t>
            </w:r>
          </w:p>
        </w:tc>
        <w:tc>
          <w:tcPr>
            <w:tcW w:w="1652" w:type="dxa"/>
            <w:noWrap w:val="0"/>
            <w:vAlign w:val="center"/>
          </w:tcPr>
          <w:p w14:paraId="4AE59462">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竞选保证金</w:t>
            </w:r>
          </w:p>
        </w:tc>
        <w:tc>
          <w:tcPr>
            <w:tcW w:w="6846" w:type="dxa"/>
            <w:noWrap w:val="0"/>
            <w:vAlign w:val="center"/>
          </w:tcPr>
          <w:p w14:paraId="7EC5867E">
            <w:pPr>
              <w:spacing w:line="360" w:lineRule="auto"/>
              <w:ind w:left="0" w:leftChars="0" w:firstLine="0" w:firstLineChars="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一、保证金递交</w:t>
            </w:r>
          </w:p>
          <w:p w14:paraId="00CDAF10">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1、竞选人须按本项目规定的保证金金额进行缴纳（保证金金额详见本篇“一、比选公告”），由竞选人从其基本账户将保证金汇至以下指定账户，保证金的开始缴纳时间为比选公告发布之日，保证金的到账截止时间为投标前一天下午17：00，竞选人在银行转账汇款时，须充分考虑转账汇款的时间差风险，如同城转账、异地转账或汇款、跨行转账或电汇的时间要求。竞选人应在银行转账（汇款）凭证备注栏中注明“投标保证金—阳台门及铝合金窗更换安装项目”（备注可简写），不按要求填写备注和缴纳保证金入指定账户视为无效投标，由竞选人自行承担。</w:t>
            </w:r>
          </w:p>
          <w:p w14:paraId="57E8EC88">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投标保证金缴纳账户：</w:t>
            </w:r>
          </w:p>
          <w:p w14:paraId="1999BD5D">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户  名：重庆昇晖工程咨询有限公司</w:t>
            </w:r>
          </w:p>
          <w:p w14:paraId="296E2E21">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开户行：重庆农村商业银行股份有限公司铜梁支行</w:t>
            </w:r>
          </w:p>
          <w:p w14:paraId="40B776D7">
            <w:pPr>
              <w:spacing w:line="360" w:lineRule="auto"/>
              <w:ind w:firstLine="480" w:firstLineChars="20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账号：2001010120010033314</w:t>
            </w:r>
          </w:p>
          <w:p w14:paraId="2D46C4DD">
            <w:pPr>
              <w:pStyle w:val="54"/>
              <w:spacing w:before="0" w:beforeAutospacing="0" w:after="0" w:afterAutospacing="0" w:line="360" w:lineRule="auto"/>
              <w:ind w:firstLine="0" w:firstLineChars="0"/>
              <w:jc w:val="both"/>
              <w:rPr>
                <w:rFonts w:hint="eastAsia" w:ascii="仿宋" w:hAnsi="仿宋" w:eastAsia="仿宋" w:cs="仿宋"/>
                <w:color w:val="auto"/>
                <w:highlight w:val="none"/>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w:t>
            </w:r>
            <w:r>
              <w:rPr>
                <w:rFonts w:hint="eastAsia" w:ascii="仿宋" w:hAnsi="仿宋" w:eastAsia="仿宋" w:cs="仿宋"/>
                <w:sz w:val="24"/>
                <w:szCs w:val="24"/>
              </w:rPr>
              <w:t>竞选保证金的金</w:t>
            </w:r>
            <w:r>
              <w:rPr>
                <w:rFonts w:hint="eastAsia" w:ascii="仿宋" w:hAnsi="仿宋" w:eastAsia="仿宋" w:cs="仿宋"/>
                <w:color w:val="auto"/>
                <w:sz w:val="24"/>
                <w:szCs w:val="24"/>
              </w:rPr>
              <w:t>额：</w:t>
            </w:r>
            <w:r>
              <w:rPr>
                <w:rFonts w:hint="eastAsia" w:ascii="仿宋" w:hAnsi="仿宋" w:eastAsia="仿宋" w:cs="仿宋"/>
                <w:b/>
                <w:bCs/>
                <w:color w:val="auto"/>
                <w:sz w:val="24"/>
                <w:szCs w:val="24"/>
                <w:lang w:val="en-US" w:eastAsia="zh-CN"/>
              </w:rPr>
              <w:t>6000.00元</w:t>
            </w:r>
            <w:r>
              <w:rPr>
                <w:rFonts w:hint="eastAsia" w:ascii="仿宋" w:hAnsi="仿宋" w:eastAsia="仿宋" w:cs="仿宋"/>
                <w:b/>
                <w:bCs/>
                <w:color w:val="auto"/>
                <w:sz w:val="24"/>
                <w:szCs w:val="24"/>
              </w:rPr>
              <w:t>（人民币</w:t>
            </w:r>
            <w:r>
              <w:rPr>
                <w:rFonts w:hint="eastAsia" w:ascii="仿宋" w:hAnsi="仿宋" w:eastAsia="仿宋" w:cs="仿宋"/>
                <w:b/>
                <w:bCs/>
                <w:color w:val="auto"/>
                <w:sz w:val="24"/>
                <w:szCs w:val="24"/>
                <w:lang w:val="en-US" w:eastAsia="zh-CN"/>
              </w:rPr>
              <w:t>陆仟元整</w:t>
            </w:r>
            <w:r>
              <w:rPr>
                <w:rFonts w:hint="eastAsia" w:ascii="仿宋" w:hAnsi="仿宋" w:eastAsia="仿宋" w:cs="仿宋"/>
                <w:b/>
                <w:bCs/>
                <w:color w:val="auto"/>
                <w:sz w:val="24"/>
                <w:szCs w:val="24"/>
              </w:rPr>
              <w:t>）</w:t>
            </w:r>
          </w:p>
          <w:p w14:paraId="7EC97F1F">
            <w:pPr>
              <w:spacing w:line="360" w:lineRule="auto"/>
              <w:ind w:left="0" w:leftChars="0" w:firstLine="0" w:firstLineChars="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二、保证金退还方式</w:t>
            </w:r>
          </w:p>
          <w:p w14:paraId="71C6DFB8">
            <w:pPr>
              <w:spacing w:line="360" w:lineRule="auto"/>
              <w:ind w:left="0" w:leftChars="0" w:firstLine="0" w:firstLineChars="0"/>
              <w:jc w:val="both"/>
              <w:rPr>
                <w:rFonts w:hint="eastAsia" w:ascii="仿宋" w:hAnsi="仿宋" w:eastAsia="仿宋" w:cs="仿宋"/>
                <w:sz w:val="24"/>
                <w:szCs w:val="24"/>
              </w:rPr>
            </w:pPr>
            <w:r>
              <w:rPr>
                <w:rFonts w:hint="eastAsia" w:ascii="仿宋" w:hAnsi="仿宋" w:eastAsia="仿宋" w:cs="仿宋"/>
                <w:color w:val="auto"/>
                <w:highlight w:val="none"/>
                <w:lang w:val="en-US" w:eastAsia="zh-CN"/>
              </w:rPr>
              <w:t>按照相关规定执行。</w:t>
            </w:r>
          </w:p>
          <w:p w14:paraId="04A6DDA8">
            <w:pPr>
              <w:pStyle w:val="54"/>
              <w:spacing w:before="0" w:beforeAutospacing="0" w:after="0" w:afterAutospacing="0"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三、不予退还保证金的情形</w:t>
            </w:r>
          </w:p>
          <w:p w14:paraId="28A1DBA2">
            <w:pPr>
              <w:pStyle w:val="54"/>
              <w:spacing w:before="0" w:beforeAutospacing="0" w:after="0" w:afterAutospacing="0" w:line="360" w:lineRule="auto"/>
              <w:ind w:firstLine="0" w:firstLineChars="0"/>
              <w:jc w:val="both"/>
              <w:rPr>
                <w:rFonts w:hint="eastAsia" w:ascii="仿宋" w:hAnsi="仿宋" w:eastAsia="仿宋" w:cs="仿宋"/>
                <w:sz w:val="24"/>
                <w:szCs w:val="24"/>
              </w:rPr>
            </w:pPr>
            <w:r>
              <w:rPr>
                <w:rFonts w:hint="eastAsia" w:ascii="仿宋" w:hAnsi="仿宋" w:eastAsia="仿宋" w:cs="仿宋"/>
                <w:sz w:val="24"/>
                <w:szCs w:val="24"/>
              </w:rPr>
              <w:t>1、中选通知书发出后，中选人无故放弃中选项目或无正当理由在中选通知书发出7个工作日内不与比选人签订合同的，不予退还竞选保证金；并视为放弃中选，由比选人另行决定处理。</w:t>
            </w:r>
          </w:p>
          <w:p w14:paraId="467D4438">
            <w:pPr>
              <w:pStyle w:val="54"/>
              <w:spacing w:before="0" w:beforeAutospacing="0" w:after="0" w:afterAutospacing="0" w:line="360" w:lineRule="auto"/>
              <w:ind w:firstLine="0" w:firstLineChars="0"/>
              <w:jc w:val="both"/>
              <w:rPr>
                <w:rFonts w:hint="eastAsia" w:ascii="仿宋" w:hAnsi="仿宋" w:eastAsia="仿宋" w:cs="仿宋"/>
                <w:sz w:val="24"/>
                <w:szCs w:val="24"/>
              </w:rPr>
            </w:pPr>
            <w:r>
              <w:rPr>
                <w:rFonts w:hint="eastAsia" w:ascii="仿宋" w:hAnsi="仿宋" w:eastAsia="仿宋" w:cs="仿宋"/>
                <w:sz w:val="24"/>
                <w:szCs w:val="24"/>
              </w:rPr>
              <w:t>2、竞选人在规定的竞选有效期内撤销或修改其竞选文件的，不予退还竞选保证金；</w:t>
            </w:r>
          </w:p>
          <w:p w14:paraId="29DC79CF">
            <w:pPr>
              <w:pStyle w:val="54"/>
              <w:spacing w:before="0" w:beforeAutospacing="0" w:after="0" w:afterAutospacing="0" w:line="360" w:lineRule="auto"/>
              <w:ind w:firstLine="0" w:firstLineChars="0"/>
              <w:jc w:val="both"/>
              <w:rPr>
                <w:rFonts w:hint="eastAsia" w:ascii="仿宋" w:hAnsi="仿宋" w:eastAsia="仿宋" w:cs="仿宋"/>
                <w:sz w:val="24"/>
                <w:szCs w:val="24"/>
              </w:rPr>
            </w:pPr>
            <w:r>
              <w:rPr>
                <w:rFonts w:hint="eastAsia" w:ascii="仿宋" w:hAnsi="仿宋" w:eastAsia="仿宋" w:cs="仿宋"/>
                <w:sz w:val="24"/>
                <w:szCs w:val="24"/>
              </w:rPr>
              <w:t>3、中选人在收到中选通知书后，无正当理由拒签合同协议书或未按比选文件规定提交履约担保；</w:t>
            </w:r>
          </w:p>
          <w:p w14:paraId="776EB7EA">
            <w:pPr>
              <w:pStyle w:val="54"/>
              <w:spacing w:before="0" w:beforeAutospacing="0" w:after="0" w:afterAutospacing="0"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4、凡在签发中选通知书前，竞选人被比选人及监督部门查实具有弄虚作假及围标、串标行为的。</w:t>
            </w:r>
          </w:p>
        </w:tc>
      </w:tr>
      <w:tr w14:paraId="7437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4" w:hRule="atLeast"/>
        </w:trPr>
        <w:tc>
          <w:tcPr>
            <w:tcW w:w="980" w:type="dxa"/>
            <w:noWrap w:val="0"/>
            <w:vAlign w:val="center"/>
          </w:tcPr>
          <w:p w14:paraId="7A474645">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3.5</w:t>
            </w:r>
          </w:p>
        </w:tc>
        <w:tc>
          <w:tcPr>
            <w:tcW w:w="1652" w:type="dxa"/>
            <w:noWrap w:val="0"/>
            <w:vAlign w:val="center"/>
          </w:tcPr>
          <w:p w14:paraId="33E9A915">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资格审查资料</w:t>
            </w:r>
          </w:p>
        </w:tc>
        <w:tc>
          <w:tcPr>
            <w:tcW w:w="6846" w:type="dxa"/>
            <w:noWrap w:val="0"/>
            <w:vAlign w:val="center"/>
          </w:tcPr>
          <w:p w14:paraId="0FCF1B60">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本须知规定提供的资料。</w:t>
            </w:r>
          </w:p>
        </w:tc>
      </w:tr>
      <w:tr w14:paraId="46B44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trPr>
        <w:tc>
          <w:tcPr>
            <w:tcW w:w="980" w:type="dxa"/>
            <w:noWrap w:val="0"/>
            <w:vAlign w:val="center"/>
          </w:tcPr>
          <w:p w14:paraId="60FC855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3.5.2</w:t>
            </w:r>
          </w:p>
        </w:tc>
        <w:tc>
          <w:tcPr>
            <w:tcW w:w="1652" w:type="dxa"/>
            <w:noWrap w:val="0"/>
            <w:vAlign w:val="center"/>
          </w:tcPr>
          <w:p w14:paraId="561D87E8">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近年财务状况的年份要求</w:t>
            </w:r>
          </w:p>
        </w:tc>
        <w:tc>
          <w:tcPr>
            <w:tcW w:w="6846" w:type="dxa"/>
            <w:noWrap w:val="0"/>
            <w:vAlign w:val="center"/>
          </w:tcPr>
          <w:p w14:paraId="117FD4E8">
            <w:pPr>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kern w:val="0"/>
                <w:sz w:val="24"/>
                <w:szCs w:val="24"/>
              </w:rPr>
              <w:t>/</w:t>
            </w:r>
          </w:p>
        </w:tc>
      </w:tr>
      <w:tr w14:paraId="52DA6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3" w:hRule="atLeast"/>
        </w:trPr>
        <w:tc>
          <w:tcPr>
            <w:tcW w:w="980" w:type="dxa"/>
            <w:noWrap w:val="0"/>
            <w:vAlign w:val="center"/>
          </w:tcPr>
          <w:p w14:paraId="6D91A27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3.6</w:t>
            </w:r>
          </w:p>
        </w:tc>
        <w:tc>
          <w:tcPr>
            <w:tcW w:w="1652" w:type="dxa"/>
            <w:noWrap w:val="0"/>
            <w:vAlign w:val="center"/>
          </w:tcPr>
          <w:p w14:paraId="42B17973">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是否允许递交备选竞选方案</w:t>
            </w:r>
          </w:p>
        </w:tc>
        <w:tc>
          <w:tcPr>
            <w:tcW w:w="6846" w:type="dxa"/>
            <w:noWrap w:val="0"/>
            <w:vAlign w:val="center"/>
          </w:tcPr>
          <w:p w14:paraId="1DE473A1">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不允许</w:t>
            </w:r>
          </w:p>
        </w:tc>
      </w:tr>
      <w:tr w14:paraId="3349D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4" w:hRule="atLeast"/>
        </w:trPr>
        <w:tc>
          <w:tcPr>
            <w:tcW w:w="980" w:type="dxa"/>
            <w:noWrap w:val="0"/>
            <w:vAlign w:val="center"/>
          </w:tcPr>
          <w:p w14:paraId="1FB33929">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3.7.3</w:t>
            </w:r>
          </w:p>
        </w:tc>
        <w:tc>
          <w:tcPr>
            <w:tcW w:w="1652" w:type="dxa"/>
            <w:noWrap w:val="0"/>
            <w:vAlign w:val="center"/>
          </w:tcPr>
          <w:p w14:paraId="09298C43">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签字盖章要求</w:t>
            </w:r>
          </w:p>
        </w:tc>
        <w:tc>
          <w:tcPr>
            <w:tcW w:w="6846" w:type="dxa"/>
            <w:noWrap w:val="0"/>
            <w:vAlign w:val="center"/>
          </w:tcPr>
          <w:p w14:paraId="11CB5603">
            <w:pPr>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按本章竞选人须知3.7.3款执行。</w:t>
            </w:r>
          </w:p>
        </w:tc>
      </w:tr>
      <w:tr w14:paraId="275A1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8" w:hRule="atLeast"/>
        </w:trPr>
        <w:tc>
          <w:tcPr>
            <w:tcW w:w="980" w:type="dxa"/>
            <w:noWrap w:val="0"/>
            <w:vAlign w:val="center"/>
          </w:tcPr>
          <w:p w14:paraId="33F136FB">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3.7.4</w:t>
            </w:r>
          </w:p>
        </w:tc>
        <w:tc>
          <w:tcPr>
            <w:tcW w:w="1652" w:type="dxa"/>
            <w:noWrap w:val="0"/>
            <w:vAlign w:val="center"/>
          </w:tcPr>
          <w:p w14:paraId="50BCE468">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竞选文件的份数</w:t>
            </w:r>
          </w:p>
        </w:tc>
        <w:tc>
          <w:tcPr>
            <w:tcW w:w="6846" w:type="dxa"/>
            <w:noWrap w:val="0"/>
            <w:vAlign w:val="center"/>
          </w:tcPr>
          <w:p w14:paraId="411ADAEA">
            <w:pPr>
              <w:adjustRightInd w:val="0"/>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 xml:space="preserve"> 一式三份（其中：正本一份，副本两份</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电子文档一份</w:t>
            </w:r>
            <w:r>
              <w:rPr>
                <w:rFonts w:hint="eastAsia" w:ascii="仿宋" w:hAnsi="仿宋" w:eastAsia="仿宋" w:cs="仿宋"/>
                <w:sz w:val="24"/>
                <w:szCs w:val="24"/>
              </w:rPr>
              <w:t>）；</w:t>
            </w:r>
          </w:p>
        </w:tc>
      </w:tr>
      <w:tr w14:paraId="49AE7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trPr>
        <w:tc>
          <w:tcPr>
            <w:tcW w:w="980" w:type="dxa"/>
            <w:noWrap w:val="0"/>
            <w:vAlign w:val="center"/>
          </w:tcPr>
          <w:p w14:paraId="1AFF696C">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3.7.5</w:t>
            </w:r>
          </w:p>
        </w:tc>
        <w:tc>
          <w:tcPr>
            <w:tcW w:w="1652" w:type="dxa"/>
            <w:noWrap w:val="0"/>
            <w:vAlign w:val="center"/>
          </w:tcPr>
          <w:p w14:paraId="49311ACF">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 xml:space="preserve">  装订要求</w:t>
            </w:r>
          </w:p>
        </w:tc>
        <w:tc>
          <w:tcPr>
            <w:tcW w:w="6846" w:type="dxa"/>
            <w:noWrap w:val="0"/>
            <w:vAlign w:val="center"/>
          </w:tcPr>
          <w:p w14:paraId="4832D9C1">
            <w:pPr>
              <w:adjustRightInd w:val="0"/>
              <w:snapToGrid w:val="0"/>
              <w:spacing w:line="240" w:lineRule="auto"/>
              <w:ind w:firstLine="0" w:firstLineChars="0"/>
              <w:rPr>
                <w:rFonts w:hint="eastAsia" w:ascii="仿宋" w:hAnsi="仿宋" w:eastAsia="仿宋" w:cs="仿宋"/>
                <w:sz w:val="24"/>
                <w:szCs w:val="24"/>
              </w:rPr>
            </w:pPr>
            <w:r>
              <w:rPr>
                <w:rFonts w:hint="eastAsia" w:ascii="仿宋" w:hAnsi="仿宋" w:eastAsia="仿宋" w:cs="仿宋"/>
                <w:sz w:val="24"/>
                <w:szCs w:val="24"/>
              </w:rPr>
              <w:t>应按照</w:t>
            </w:r>
            <w:r>
              <w:rPr>
                <w:rFonts w:hint="eastAsia" w:ascii="仿宋" w:hAnsi="仿宋" w:eastAsia="仿宋" w:cs="仿宋"/>
                <w:sz w:val="24"/>
                <w:szCs w:val="24"/>
                <w:lang w:eastAsia="zh-CN"/>
              </w:rPr>
              <w:t>第七篇</w:t>
            </w:r>
            <w:r>
              <w:rPr>
                <w:rFonts w:hint="eastAsia" w:ascii="仿宋" w:hAnsi="仿宋" w:eastAsia="仿宋" w:cs="仿宋"/>
                <w:sz w:val="24"/>
                <w:szCs w:val="24"/>
              </w:rPr>
              <w:t>规定格式装订成册，并应编制目录。</w:t>
            </w:r>
          </w:p>
        </w:tc>
      </w:tr>
      <w:tr w14:paraId="19957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4" w:hRule="atLeast"/>
        </w:trPr>
        <w:tc>
          <w:tcPr>
            <w:tcW w:w="980" w:type="dxa"/>
            <w:noWrap w:val="0"/>
            <w:vAlign w:val="center"/>
          </w:tcPr>
          <w:p w14:paraId="5BEF794F">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4.1.1</w:t>
            </w:r>
          </w:p>
        </w:tc>
        <w:tc>
          <w:tcPr>
            <w:tcW w:w="1652" w:type="dxa"/>
            <w:noWrap w:val="0"/>
            <w:vAlign w:val="center"/>
          </w:tcPr>
          <w:p w14:paraId="2B24BED3">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竞选文件的密封</w:t>
            </w:r>
          </w:p>
        </w:tc>
        <w:tc>
          <w:tcPr>
            <w:tcW w:w="6846" w:type="dxa"/>
            <w:noWrap w:val="0"/>
            <w:vAlign w:val="center"/>
          </w:tcPr>
          <w:p w14:paraId="14DADEDF">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1.竞选文件袋使用 “竞选文件”大袋</w:t>
            </w:r>
            <w:r>
              <w:rPr>
                <w:rFonts w:hint="eastAsia" w:ascii="仿宋" w:hAnsi="仿宋" w:eastAsia="仿宋" w:cs="仿宋"/>
                <w:sz w:val="24"/>
                <w:szCs w:val="24"/>
                <w:lang w:eastAsia="zh-CN"/>
              </w:rPr>
              <w:t>，</w:t>
            </w:r>
            <w:r>
              <w:rPr>
                <w:rFonts w:hint="eastAsia" w:ascii="仿宋" w:hAnsi="仿宋" w:eastAsia="仿宋" w:cs="仿宋"/>
                <w:sz w:val="24"/>
                <w:szCs w:val="24"/>
              </w:rPr>
              <w:t>密封并在袋上加盖竞选人单位公章，同时在“竞选文件”大袋按本表第4.1.2项的规定写明相应内容。</w:t>
            </w:r>
          </w:p>
          <w:p w14:paraId="40C1EE37">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.如因投标资料较多，无法装入一袋的，可以装成两袋或更多，但必须符合上述各相应资料袋的封装要求。</w:t>
            </w:r>
          </w:p>
          <w:p w14:paraId="1A45411E">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.如果竞选文件没有按上述规定密封，该竞选文件将被拒绝接收。</w:t>
            </w:r>
          </w:p>
        </w:tc>
      </w:tr>
      <w:tr w14:paraId="14119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6" w:hRule="atLeast"/>
        </w:trPr>
        <w:tc>
          <w:tcPr>
            <w:tcW w:w="980" w:type="dxa"/>
            <w:noWrap w:val="0"/>
            <w:vAlign w:val="center"/>
          </w:tcPr>
          <w:p w14:paraId="4B85CE5E">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4.1.2</w:t>
            </w:r>
          </w:p>
        </w:tc>
        <w:tc>
          <w:tcPr>
            <w:tcW w:w="1652" w:type="dxa"/>
            <w:noWrap w:val="0"/>
            <w:vAlign w:val="center"/>
          </w:tcPr>
          <w:p w14:paraId="2136F19B">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封套上写明</w:t>
            </w:r>
          </w:p>
        </w:tc>
        <w:tc>
          <w:tcPr>
            <w:tcW w:w="6846" w:type="dxa"/>
            <w:noWrap w:val="0"/>
            <w:vAlign w:val="center"/>
          </w:tcPr>
          <w:p w14:paraId="5A9A129F">
            <w:pPr>
              <w:autoSpaceDE w:val="0"/>
              <w:autoSpaceDN w:val="0"/>
              <w:adjustRightInd w:val="0"/>
              <w:snapToGrid w:val="0"/>
              <w:spacing w:line="360" w:lineRule="auto"/>
              <w:ind w:firstLine="0" w:firstLineChars="0"/>
              <w:jc w:val="left"/>
              <w:rPr>
                <w:rFonts w:hint="eastAsia" w:ascii="仿宋" w:hAnsi="仿宋" w:eastAsia="仿宋" w:cs="仿宋"/>
                <w:sz w:val="24"/>
                <w:szCs w:val="24"/>
              </w:rPr>
            </w:pPr>
            <w:r>
              <w:rPr>
                <w:rFonts w:hint="eastAsia" w:ascii="仿宋" w:hAnsi="仿宋" w:eastAsia="仿宋" w:cs="仿宋"/>
                <w:sz w:val="24"/>
                <w:szCs w:val="24"/>
              </w:rPr>
              <w:t>应在“竞选文件”封套上写明如下内容：</w:t>
            </w:r>
          </w:p>
          <w:p w14:paraId="062A63C4">
            <w:pPr>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比选人名称：</w:t>
            </w:r>
            <w:r>
              <w:rPr>
                <w:rFonts w:hint="eastAsia" w:ascii="仿宋" w:hAnsi="仿宋" w:eastAsia="仿宋" w:cs="仿宋"/>
                <w:kern w:val="0"/>
                <w:sz w:val="24"/>
                <w:szCs w:val="24"/>
                <w:u w:val="single"/>
              </w:rPr>
              <w:t xml:space="preserve">                      </w:t>
            </w:r>
          </w:p>
          <w:p w14:paraId="43DB960E">
            <w:pPr>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sz w:val="24"/>
                <w:szCs w:val="24"/>
              </w:rPr>
              <w:t>竞选人</w:t>
            </w:r>
            <w:r>
              <w:rPr>
                <w:rFonts w:hint="eastAsia" w:ascii="仿宋" w:hAnsi="仿宋" w:eastAsia="仿宋" w:cs="仿宋"/>
                <w:kern w:val="0"/>
                <w:sz w:val="24"/>
                <w:szCs w:val="24"/>
              </w:rPr>
              <w:t>名称：</w:t>
            </w:r>
            <w:r>
              <w:rPr>
                <w:rFonts w:hint="eastAsia" w:ascii="仿宋" w:hAnsi="仿宋" w:eastAsia="仿宋" w:cs="仿宋"/>
                <w:kern w:val="0"/>
                <w:sz w:val="24"/>
                <w:szCs w:val="24"/>
                <w:u w:val="single"/>
              </w:rPr>
              <w:t xml:space="preserve">                      </w:t>
            </w:r>
          </w:p>
          <w:p w14:paraId="4C57A124">
            <w:pPr>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u w:val="single"/>
              </w:rPr>
              <w:t xml:space="preserve">                           （项目名称）</w:t>
            </w:r>
            <w:r>
              <w:rPr>
                <w:rFonts w:hint="eastAsia" w:ascii="仿宋" w:hAnsi="仿宋" w:eastAsia="仿宋" w:cs="仿宋"/>
                <w:sz w:val="24"/>
                <w:szCs w:val="24"/>
              </w:rPr>
              <w:t>竞选文</w:t>
            </w:r>
            <w:r>
              <w:rPr>
                <w:rFonts w:hint="eastAsia" w:ascii="仿宋" w:hAnsi="仿宋" w:eastAsia="仿宋" w:cs="仿宋"/>
                <w:kern w:val="0"/>
                <w:sz w:val="24"/>
                <w:szCs w:val="24"/>
              </w:rPr>
              <w:t>件</w:t>
            </w:r>
          </w:p>
          <w:p w14:paraId="549C65DF">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kern w:val="0"/>
                <w:sz w:val="24"/>
                <w:szCs w:val="24"/>
              </w:rPr>
              <w:t>在</w:t>
            </w:r>
            <w:r>
              <w:rPr>
                <w:rFonts w:hint="eastAsia" w:ascii="仿宋" w:hAnsi="仿宋" w:eastAsia="仿宋" w:cs="仿宋"/>
                <w:kern w:val="0"/>
                <w:sz w:val="24"/>
                <w:szCs w:val="24"/>
                <w:u w:val="single"/>
              </w:rPr>
              <w:t xml:space="preserve">       年    月     日    时    </w:t>
            </w:r>
            <w:r>
              <w:rPr>
                <w:rFonts w:hint="eastAsia" w:ascii="仿宋" w:hAnsi="仿宋" w:eastAsia="仿宋" w:cs="仿宋"/>
                <w:kern w:val="0"/>
                <w:sz w:val="24"/>
                <w:szCs w:val="24"/>
              </w:rPr>
              <w:t>分前不得开启</w:t>
            </w:r>
          </w:p>
        </w:tc>
      </w:tr>
      <w:tr w14:paraId="2677A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7" w:hRule="atLeast"/>
        </w:trPr>
        <w:tc>
          <w:tcPr>
            <w:tcW w:w="980" w:type="dxa"/>
            <w:noWrap w:val="0"/>
            <w:vAlign w:val="center"/>
          </w:tcPr>
          <w:p w14:paraId="0B46BFA4">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4.2.2</w:t>
            </w:r>
          </w:p>
        </w:tc>
        <w:tc>
          <w:tcPr>
            <w:tcW w:w="1652" w:type="dxa"/>
            <w:noWrap w:val="0"/>
            <w:vAlign w:val="center"/>
          </w:tcPr>
          <w:p w14:paraId="74EB07E8">
            <w:pPr>
              <w:snapToGrid w:val="0"/>
              <w:spacing w:line="360" w:lineRule="auto"/>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递交竞选文件地点和时间</w:t>
            </w:r>
          </w:p>
        </w:tc>
        <w:tc>
          <w:tcPr>
            <w:tcW w:w="6846" w:type="dxa"/>
            <w:noWrap w:val="0"/>
            <w:vAlign w:val="center"/>
          </w:tcPr>
          <w:p w14:paraId="252F5EF2">
            <w:pPr>
              <w:topLinePunct/>
              <w:spacing w:line="360" w:lineRule="auto"/>
              <w:ind w:left="0" w:leftChars="0" w:firstLine="482" w:firstLineChars="200"/>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rPr>
              <w:t>地址：</w:t>
            </w:r>
            <w:r>
              <w:rPr>
                <w:rFonts w:hint="eastAsia" w:ascii="仿宋" w:hAnsi="仿宋" w:eastAsia="仿宋" w:cs="仿宋"/>
                <w:b/>
                <w:bCs/>
                <w:kern w:val="0"/>
                <w:sz w:val="24"/>
                <w:szCs w:val="24"/>
                <w:lang w:val="en-US" w:eastAsia="zh-CN"/>
              </w:rPr>
              <w:t>荣昌区昌龙大道瑞尔国际三号楼12-12</w:t>
            </w:r>
          </w:p>
          <w:p w14:paraId="7E0B2621">
            <w:pPr>
              <w:topLinePunct/>
              <w:spacing w:line="360" w:lineRule="auto"/>
              <w:ind w:left="417" w:firstLine="0" w:firstLineChars="0"/>
              <w:rPr>
                <w:rFonts w:hint="eastAsia" w:ascii="仿宋" w:hAnsi="仿宋" w:eastAsia="仿宋" w:cs="仿宋"/>
                <w:b/>
                <w:sz w:val="24"/>
                <w:szCs w:val="24"/>
              </w:rPr>
            </w:pPr>
            <w:r>
              <w:rPr>
                <w:rFonts w:hint="eastAsia" w:ascii="仿宋" w:hAnsi="仿宋" w:eastAsia="仿宋" w:cs="仿宋"/>
                <w:b/>
                <w:sz w:val="24"/>
                <w:szCs w:val="24"/>
              </w:rPr>
              <w:t>递交时间：</w:t>
            </w:r>
            <w:r>
              <w:rPr>
                <w:rFonts w:hint="eastAsia" w:ascii="仿宋" w:hAnsi="仿宋" w:eastAsia="仿宋" w:cs="仿宋"/>
                <w:b/>
                <w:sz w:val="24"/>
                <w:szCs w:val="24"/>
                <w:u w:val="single"/>
              </w:rPr>
              <w:t>2024</w:t>
            </w:r>
            <w:r>
              <w:rPr>
                <w:rFonts w:hint="eastAsia" w:ascii="仿宋" w:hAnsi="仿宋" w:eastAsia="仿宋" w:cs="仿宋"/>
                <w:b/>
                <w:sz w:val="24"/>
                <w:szCs w:val="24"/>
              </w:rPr>
              <w:t>年</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12 </w:t>
            </w:r>
            <w:r>
              <w:rPr>
                <w:rFonts w:hint="eastAsia" w:ascii="仿宋" w:hAnsi="仿宋" w:eastAsia="仿宋" w:cs="仿宋"/>
                <w:b/>
                <w:sz w:val="24"/>
                <w:szCs w:val="24"/>
              </w:rPr>
              <w:t>月</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23 </w:t>
            </w:r>
            <w:r>
              <w:rPr>
                <w:rFonts w:hint="eastAsia" w:ascii="仿宋" w:hAnsi="仿宋" w:eastAsia="仿宋" w:cs="仿宋"/>
                <w:b/>
                <w:sz w:val="24"/>
                <w:szCs w:val="24"/>
              </w:rPr>
              <w:t>日</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14</w:t>
            </w:r>
            <w:r>
              <w:rPr>
                <w:rFonts w:hint="eastAsia" w:ascii="仿宋" w:hAnsi="仿宋" w:eastAsia="仿宋" w:cs="仿宋"/>
                <w:b/>
                <w:sz w:val="24"/>
                <w:szCs w:val="24"/>
                <w:u w:val="single"/>
              </w:rPr>
              <w:t xml:space="preserve"> </w:t>
            </w:r>
            <w:r>
              <w:rPr>
                <w:rFonts w:hint="eastAsia" w:ascii="仿宋" w:hAnsi="仿宋" w:eastAsia="仿宋" w:cs="仿宋"/>
                <w:b/>
                <w:sz w:val="24"/>
                <w:szCs w:val="24"/>
              </w:rPr>
              <w:t>时</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30 </w:t>
            </w:r>
            <w:r>
              <w:rPr>
                <w:rFonts w:hint="eastAsia" w:ascii="仿宋" w:hAnsi="仿宋" w:eastAsia="仿宋" w:cs="仿宋"/>
                <w:b/>
                <w:sz w:val="24"/>
                <w:szCs w:val="24"/>
              </w:rPr>
              <w:t>分至</w:t>
            </w:r>
            <w:r>
              <w:rPr>
                <w:rFonts w:hint="eastAsia" w:ascii="仿宋" w:hAnsi="仿宋" w:eastAsia="仿宋" w:cs="仿宋"/>
                <w:b/>
                <w:sz w:val="24"/>
                <w:szCs w:val="24"/>
                <w:u w:val="single"/>
                <w:lang w:val="en-US" w:eastAsia="zh-CN"/>
              </w:rPr>
              <w:t xml:space="preserve"> 15</w:t>
            </w:r>
            <w:r>
              <w:rPr>
                <w:rFonts w:hint="eastAsia" w:ascii="仿宋" w:hAnsi="仿宋" w:eastAsia="仿宋" w:cs="仿宋"/>
                <w:b/>
                <w:sz w:val="24"/>
                <w:szCs w:val="24"/>
                <w:u w:val="single"/>
              </w:rPr>
              <w:t xml:space="preserve"> </w:t>
            </w:r>
            <w:r>
              <w:rPr>
                <w:rFonts w:hint="eastAsia" w:ascii="仿宋" w:hAnsi="仿宋" w:eastAsia="仿宋" w:cs="仿宋"/>
                <w:b/>
                <w:sz w:val="24"/>
                <w:szCs w:val="24"/>
              </w:rPr>
              <w:t>时</w:t>
            </w:r>
            <w:r>
              <w:rPr>
                <w:rFonts w:hint="eastAsia" w:ascii="仿宋" w:hAnsi="仿宋" w:eastAsia="仿宋" w:cs="仿宋"/>
                <w:b/>
                <w:sz w:val="24"/>
                <w:szCs w:val="24"/>
                <w:u w:val="single"/>
                <w:lang w:val="en-US" w:eastAsia="zh-CN"/>
              </w:rPr>
              <w:t>00</w:t>
            </w:r>
            <w:r>
              <w:rPr>
                <w:rFonts w:hint="eastAsia" w:ascii="仿宋" w:hAnsi="仿宋" w:eastAsia="仿宋" w:cs="仿宋"/>
                <w:b/>
                <w:sz w:val="24"/>
                <w:szCs w:val="24"/>
              </w:rPr>
              <w:t>分（北京时间）</w:t>
            </w:r>
          </w:p>
        </w:tc>
      </w:tr>
      <w:tr w14:paraId="64B41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1" w:hRule="atLeast"/>
        </w:trPr>
        <w:tc>
          <w:tcPr>
            <w:tcW w:w="980" w:type="dxa"/>
            <w:noWrap w:val="0"/>
            <w:vAlign w:val="center"/>
          </w:tcPr>
          <w:p w14:paraId="591C45B9">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4.2.3</w:t>
            </w:r>
          </w:p>
        </w:tc>
        <w:tc>
          <w:tcPr>
            <w:tcW w:w="1652" w:type="dxa"/>
            <w:noWrap w:val="0"/>
            <w:vAlign w:val="center"/>
          </w:tcPr>
          <w:p w14:paraId="0B592EEF">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是否退还竞选文件</w:t>
            </w:r>
          </w:p>
        </w:tc>
        <w:tc>
          <w:tcPr>
            <w:tcW w:w="6846" w:type="dxa"/>
            <w:noWrap w:val="0"/>
            <w:vAlign w:val="center"/>
          </w:tcPr>
          <w:p w14:paraId="3803AF11">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否</w:t>
            </w:r>
          </w:p>
        </w:tc>
      </w:tr>
      <w:tr w14:paraId="74FD8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1" w:hRule="atLeast"/>
        </w:trPr>
        <w:tc>
          <w:tcPr>
            <w:tcW w:w="980" w:type="dxa"/>
            <w:noWrap w:val="0"/>
            <w:vAlign w:val="center"/>
          </w:tcPr>
          <w:p w14:paraId="111D107F">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5.1</w:t>
            </w:r>
          </w:p>
        </w:tc>
        <w:tc>
          <w:tcPr>
            <w:tcW w:w="1652" w:type="dxa"/>
            <w:noWrap w:val="0"/>
            <w:vAlign w:val="center"/>
          </w:tcPr>
          <w:p w14:paraId="2229E84A">
            <w:pPr>
              <w:snapToGrid w:val="0"/>
              <w:spacing w:line="360" w:lineRule="auto"/>
              <w:ind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开标时间和地点</w:t>
            </w:r>
          </w:p>
        </w:tc>
        <w:tc>
          <w:tcPr>
            <w:tcW w:w="6846" w:type="dxa"/>
            <w:noWrap w:val="0"/>
            <w:vAlign w:val="center"/>
          </w:tcPr>
          <w:p w14:paraId="4E93CD54">
            <w:pPr>
              <w:snapToGrid w:val="0"/>
              <w:spacing w:line="360" w:lineRule="auto"/>
              <w:ind w:firstLine="0" w:firstLineChars="0"/>
              <w:rPr>
                <w:rFonts w:hint="eastAsia" w:ascii="仿宋" w:hAnsi="仿宋" w:eastAsia="仿宋" w:cs="仿宋"/>
                <w:b/>
                <w:kern w:val="0"/>
                <w:sz w:val="24"/>
                <w:szCs w:val="24"/>
              </w:rPr>
            </w:pPr>
            <w:r>
              <w:rPr>
                <w:rFonts w:hint="eastAsia" w:ascii="仿宋" w:hAnsi="仿宋" w:eastAsia="仿宋" w:cs="仿宋"/>
                <w:b/>
                <w:kern w:val="0"/>
                <w:sz w:val="24"/>
                <w:szCs w:val="24"/>
              </w:rPr>
              <w:t>开标时间：</w:t>
            </w:r>
            <w:r>
              <w:rPr>
                <w:rFonts w:hint="eastAsia" w:ascii="仿宋" w:hAnsi="仿宋" w:eastAsia="仿宋" w:cs="仿宋"/>
                <w:b/>
                <w:sz w:val="24"/>
                <w:szCs w:val="24"/>
                <w:u w:val="single"/>
              </w:rPr>
              <w:t>2024</w:t>
            </w:r>
            <w:r>
              <w:rPr>
                <w:rFonts w:hint="eastAsia" w:ascii="仿宋" w:hAnsi="仿宋" w:eastAsia="仿宋" w:cs="仿宋"/>
                <w:b/>
                <w:sz w:val="24"/>
                <w:szCs w:val="24"/>
              </w:rPr>
              <w:t>年</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12 </w:t>
            </w:r>
            <w:r>
              <w:rPr>
                <w:rFonts w:hint="eastAsia" w:ascii="仿宋" w:hAnsi="仿宋" w:eastAsia="仿宋" w:cs="仿宋"/>
                <w:b/>
                <w:sz w:val="24"/>
                <w:szCs w:val="24"/>
              </w:rPr>
              <w:t>月</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23 </w:t>
            </w:r>
            <w:r>
              <w:rPr>
                <w:rFonts w:hint="eastAsia" w:ascii="仿宋" w:hAnsi="仿宋" w:eastAsia="仿宋" w:cs="仿宋"/>
                <w:b/>
                <w:sz w:val="24"/>
                <w:szCs w:val="24"/>
              </w:rPr>
              <w:t>日</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14</w:t>
            </w:r>
            <w:r>
              <w:rPr>
                <w:rFonts w:hint="eastAsia" w:ascii="仿宋" w:hAnsi="仿宋" w:eastAsia="仿宋" w:cs="仿宋"/>
                <w:b/>
                <w:sz w:val="24"/>
                <w:szCs w:val="24"/>
                <w:u w:val="single"/>
              </w:rPr>
              <w:t xml:space="preserve"> </w:t>
            </w:r>
            <w:r>
              <w:rPr>
                <w:rFonts w:hint="eastAsia" w:ascii="仿宋" w:hAnsi="仿宋" w:eastAsia="仿宋" w:cs="仿宋"/>
                <w:b/>
                <w:sz w:val="24"/>
                <w:szCs w:val="24"/>
              </w:rPr>
              <w:t>时</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 xml:space="preserve">30 </w:t>
            </w:r>
            <w:r>
              <w:rPr>
                <w:rFonts w:hint="eastAsia" w:ascii="仿宋" w:hAnsi="仿宋" w:eastAsia="仿宋" w:cs="仿宋"/>
                <w:b/>
                <w:sz w:val="24"/>
                <w:szCs w:val="24"/>
              </w:rPr>
              <w:t>分至</w:t>
            </w:r>
            <w:r>
              <w:rPr>
                <w:rFonts w:hint="eastAsia" w:ascii="仿宋" w:hAnsi="仿宋" w:eastAsia="仿宋" w:cs="仿宋"/>
                <w:b/>
                <w:sz w:val="24"/>
                <w:szCs w:val="24"/>
                <w:u w:val="single"/>
                <w:lang w:val="en-US" w:eastAsia="zh-CN"/>
              </w:rPr>
              <w:t xml:space="preserve"> 15</w:t>
            </w:r>
            <w:r>
              <w:rPr>
                <w:rFonts w:hint="eastAsia" w:ascii="仿宋" w:hAnsi="仿宋" w:eastAsia="仿宋" w:cs="仿宋"/>
                <w:b/>
                <w:sz w:val="24"/>
                <w:szCs w:val="24"/>
                <w:u w:val="single"/>
              </w:rPr>
              <w:t xml:space="preserve"> </w:t>
            </w:r>
            <w:r>
              <w:rPr>
                <w:rFonts w:hint="eastAsia" w:ascii="仿宋" w:hAnsi="仿宋" w:eastAsia="仿宋" w:cs="仿宋"/>
                <w:b/>
                <w:sz w:val="24"/>
                <w:szCs w:val="24"/>
              </w:rPr>
              <w:t>时</w:t>
            </w:r>
            <w:r>
              <w:rPr>
                <w:rFonts w:hint="eastAsia" w:ascii="仿宋" w:hAnsi="仿宋" w:eastAsia="仿宋" w:cs="仿宋"/>
                <w:b/>
                <w:sz w:val="24"/>
                <w:szCs w:val="24"/>
                <w:u w:val="single"/>
                <w:lang w:val="en-US" w:eastAsia="zh-CN"/>
              </w:rPr>
              <w:t>00</w:t>
            </w:r>
            <w:r>
              <w:rPr>
                <w:rFonts w:hint="eastAsia" w:ascii="仿宋" w:hAnsi="仿宋" w:eastAsia="仿宋" w:cs="仿宋"/>
                <w:b/>
                <w:sz w:val="24"/>
                <w:szCs w:val="24"/>
              </w:rPr>
              <w:t>分（北京时间）</w:t>
            </w:r>
          </w:p>
          <w:p w14:paraId="01A2271F">
            <w:pPr>
              <w:topLinePunct/>
              <w:spacing w:line="360" w:lineRule="auto"/>
              <w:ind w:firstLine="0" w:firstLineChars="0"/>
              <w:rPr>
                <w:rFonts w:hint="eastAsia" w:ascii="仿宋" w:hAnsi="仿宋" w:eastAsia="仿宋" w:cs="仿宋"/>
                <w:sz w:val="24"/>
                <w:szCs w:val="24"/>
                <w:lang w:eastAsia="zh-CN"/>
              </w:rPr>
            </w:pPr>
            <w:r>
              <w:rPr>
                <w:rFonts w:hint="eastAsia" w:ascii="仿宋" w:hAnsi="仿宋" w:eastAsia="仿宋" w:cs="仿宋"/>
                <w:b/>
                <w:kern w:val="0"/>
                <w:sz w:val="24"/>
                <w:szCs w:val="24"/>
              </w:rPr>
              <w:t>开标地点：</w:t>
            </w:r>
            <w:r>
              <w:rPr>
                <w:rFonts w:hint="eastAsia" w:ascii="仿宋" w:hAnsi="仿宋" w:eastAsia="仿宋" w:cs="仿宋"/>
                <w:b/>
                <w:kern w:val="0"/>
                <w:sz w:val="24"/>
                <w:szCs w:val="24"/>
                <w:lang w:val="en-US" w:eastAsia="zh-CN"/>
              </w:rPr>
              <w:t>荣昌区昌龙大道瑞尔国际三号楼12-12</w:t>
            </w:r>
          </w:p>
        </w:tc>
      </w:tr>
      <w:tr w14:paraId="13B2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03" w:hRule="atLeast"/>
        </w:trPr>
        <w:tc>
          <w:tcPr>
            <w:tcW w:w="980" w:type="dxa"/>
            <w:noWrap w:val="0"/>
            <w:vAlign w:val="center"/>
          </w:tcPr>
          <w:p w14:paraId="3111A2A1">
            <w:pPr>
              <w:snapToGrid w:val="0"/>
              <w:spacing w:line="360" w:lineRule="auto"/>
              <w:ind w:firstLine="0" w:firstLineChars="0"/>
              <w:jc w:val="center"/>
              <w:rPr>
                <w:rFonts w:hint="eastAsia" w:ascii="仿宋" w:hAnsi="仿宋" w:eastAsia="仿宋" w:cs="仿宋"/>
                <w:sz w:val="24"/>
                <w:szCs w:val="24"/>
              </w:rPr>
            </w:pPr>
            <w:r>
              <w:rPr>
                <w:rFonts w:hint="eastAsia" w:ascii="仿宋" w:hAnsi="仿宋" w:eastAsia="仿宋" w:cs="仿宋"/>
                <w:kern w:val="0"/>
                <w:sz w:val="24"/>
                <w:szCs w:val="24"/>
              </w:rPr>
              <w:t>5.2</w:t>
            </w:r>
          </w:p>
        </w:tc>
        <w:tc>
          <w:tcPr>
            <w:tcW w:w="1652" w:type="dxa"/>
            <w:noWrap w:val="0"/>
            <w:vAlign w:val="center"/>
          </w:tcPr>
          <w:p w14:paraId="7CFA6D53">
            <w:pPr>
              <w:snapToGrid w:val="0"/>
              <w:spacing w:line="360" w:lineRule="auto"/>
              <w:ind w:firstLine="0" w:firstLineChars="0"/>
              <w:jc w:val="center"/>
              <w:rPr>
                <w:rFonts w:hint="eastAsia" w:ascii="仿宋" w:hAnsi="仿宋" w:eastAsia="仿宋" w:cs="仿宋"/>
                <w:sz w:val="24"/>
                <w:szCs w:val="24"/>
              </w:rPr>
            </w:pPr>
            <w:r>
              <w:rPr>
                <w:rFonts w:hint="eastAsia" w:ascii="仿宋" w:hAnsi="仿宋" w:eastAsia="仿宋" w:cs="仿宋"/>
                <w:kern w:val="0"/>
                <w:sz w:val="24"/>
                <w:szCs w:val="24"/>
              </w:rPr>
              <w:t>开标程序</w:t>
            </w:r>
          </w:p>
        </w:tc>
        <w:tc>
          <w:tcPr>
            <w:tcW w:w="6846" w:type="dxa"/>
            <w:noWrap w:val="0"/>
            <w:vAlign w:val="center"/>
          </w:tcPr>
          <w:p w14:paraId="0CAE9211">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主持人按下列程序进行开标：</w:t>
            </w:r>
          </w:p>
          <w:p w14:paraId="67EC514D">
            <w:pPr>
              <w:numPr>
                <w:ilvl w:val="0"/>
                <w:numId w:val="2"/>
              </w:num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核验参加开标会议的竞选人的法定代表人或委托代理人本人身份证（原件），核验委托代理人的授权委托书（原</w:t>
            </w:r>
            <w:bookmarkStart w:id="412" w:name="_GoBack"/>
            <w:bookmarkEnd w:id="412"/>
            <w:r>
              <w:rPr>
                <w:rFonts w:hint="eastAsia" w:ascii="仿宋" w:hAnsi="仿宋" w:eastAsia="仿宋" w:cs="仿宋"/>
                <w:sz w:val="24"/>
                <w:szCs w:val="24"/>
              </w:rPr>
              <w:t>件）、养老保险证明材料复印件，以确认其身份合法有效；若经核实委托代理人提供资料与实际不符的，不得参加开标会。核验合格的法定代表人或委托代理人可自行选择是否参加开标会，不参加开标会的视为默认开标结果。</w:t>
            </w:r>
          </w:p>
          <w:p w14:paraId="3B0D60F6">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 宣布开标纪律。</w:t>
            </w:r>
          </w:p>
          <w:p w14:paraId="5CF37F7D">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 宣布开标人、唱标人、记录人、监标人等有关人员姓名。</w:t>
            </w:r>
          </w:p>
          <w:p w14:paraId="521B8B86">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 公布在投标截止时间前递交竞选文件的竞选人名称。</w:t>
            </w:r>
          </w:p>
          <w:p w14:paraId="53FAF8A5">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5. 竞选文件的密封检查：竞选人可对自己的竞选文件封装情况进行检查，以确认其竞选文件密封完好。</w:t>
            </w:r>
          </w:p>
          <w:p w14:paraId="6EBFAF99">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6. 展示投标保证金交纳情况，并由比选人代表、监标人、记录人签字确认。</w:t>
            </w:r>
          </w:p>
          <w:p w14:paraId="13BBB4E4">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7. 设有最高限价的，公布最高限价。采用经评审最低投标价法的还需计算最高限价的85%数值，以便评标委员会评审。</w:t>
            </w:r>
          </w:p>
          <w:p w14:paraId="2BA91538">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8. 逐单位随机开启竞选文件。开启竞选文件大袋及竞选函部分袋、经济部分袋、资格审查部分袋；公布竞选人名称、投标报价、质量要求、工期及其他内容并记录在案。</w:t>
            </w:r>
          </w:p>
          <w:p w14:paraId="5BAB99D5">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9. 竞选人对开标有异议的，应当场提出，由比选人或代理机构当场答复，并记录到开标记录表中。异议处理完毕后，汇总开标情况，打印开标记录表。</w:t>
            </w:r>
          </w:p>
          <w:p w14:paraId="6B89CE39">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10. 竞选人代表、比选人代表、监标人、主持人、记录人等有关人员在开标记录上签字确认。因其他原因未能签字的，视为默认开标结果。</w:t>
            </w:r>
          </w:p>
          <w:p w14:paraId="6C7B74AB">
            <w:pPr>
              <w:autoSpaceDE w:val="0"/>
              <w:autoSpaceDN w:val="0"/>
              <w:adjustRightInd w:val="0"/>
              <w:snapToGrid w:val="0"/>
              <w:spacing w:line="360" w:lineRule="auto"/>
              <w:ind w:firstLine="0" w:firstLineChars="0"/>
              <w:jc w:val="left"/>
              <w:rPr>
                <w:rFonts w:hint="eastAsia" w:ascii="仿宋" w:hAnsi="仿宋" w:eastAsia="仿宋" w:cs="仿宋"/>
                <w:sz w:val="24"/>
                <w:szCs w:val="24"/>
              </w:rPr>
            </w:pPr>
            <w:r>
              <w:rPr>
                <w:rFonts w:hint="eastAsia" w:ascii="仿宋" w:hAnsi="仿宋" w:eastAsia="仿宋" w:cs="仿宋"/>
                <w:sz w:val="24"/>
                <w:szCs w:val="24"/>
              </w:rPr>
              <w:t>11. 开标结束。</w:t>
            </w:r>
          </w:p>
        </w:tc>
      </w:tr>
      <w:tr w14:paraId="72FFE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5" w:hRule="atLeast"/>
        </w:trPr>
        <w:tc>
          <w:tcPr>
            <w:tcW w:w="980" w:type="dxa"/>
            <w:noWrap w:val="0"/>
            <w:vAlign w:val="center"/>
          </w:tcPr>
          <w:p w14:paraId="0A348BA2">
            <w:pPr>
              <w:snapToGrid w:val="0"/>
              <w:spacing w:line="240" w:lineRule="auto"/>
              <w:ind w:right="0" w:rightChars="0"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6.1.1</w:t>
            </w:r>
          </w:p>
        </w:tc>
        <w:tc>
          <w:tcPr>
            <w:tcW w:w="1652" w:type="dxa"/>
            <w:noWrap w:val="0"/>
            <w:vAlign w:val="center"/>
          </w:tcPr>
          <w:p w14:paraId="3D20DE88">
            <w:pPr>
              <w:snapToGrid w:val="0"/>
              <w:spacing w:line="240" w:lineRule="auto"/>
              <w:ind w:right="0" w:rightChars="0"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评标委员会的组建</w:t>
            </w:r>
          </w:p>
        </w:tc>
        <w:tc>
          <w:tcPr>
            <w:tcW w:w="6846" w:type="dxa"/>
            <w:noWrap w:val="0"/>
            <w:vAlign w:val="center"/>
          </w:tcPr>
          <w:p w14:paraId="37693EE0">
            <w:pPr>
              <w:autoSpaceDE w:val="0"/>
              <w:autoSpaceDN w:val="0"/>
              <w:adjustRightInd w:val="0"/>
              <w:snapToGrid w:val="0"/>
              <w:spacing w:line="240" w:lineRule="auto"/>
              <w:ind w:right="0" w:rightChars="0" w:firstLine="0" w:firstLineChars="0"/>
              <w:rPr>
                <w:rFonts w:hint="eastAsia" w:ascii="仿宋" w:hAnsi="仿宋" w:eastAsia="仿宋" w:cs="仿宋"/>
                <w:sz w:val="24"/>
                <w:szCs w:val="24"/>
              </w:rPr>
            </w:pPr>
            <w:r>
              <w:rPr>
                <w:rFonts w:hint="eastAsia" w:ascii="仿宋" w:hAnsi="仿宋" w:eastAsia="仿宋" w:cs="仿宋"/>
                <w:sz w:val="24"/>
                <w:szCs w:val="24"/>
              </w:rPr>
              <w:t>评标委员会构成：由比选人依法组建。</w:t>
            </w:r>
          </w:p>
        </w:tc>
      </w:tr>
      <w:tr w14:paraId="2BFC4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4" w:hRule="atLeast"/>
        </w:trPr>
        <w:tc>
          <w:tcPr>
            <w:tcW w:w="980" w:type="dxa"/>
            <w:noWrap w:val="0"/>
            <w:vAlign w:val="center"/>
          </w:tcPr>
          <w:p w14:paraId="18660C8B">
            <w:pPr>
              <w:snapToGrid w:val="0"/>
              <w:spacing w:line="240" w:lineRule="auto"/>
              <w:ind w:right="0" w:rightChars="0"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7.1</w:t>
            </w:r>
          </w:p>
        </w:tc>
        <w:tc>
          <w:tcPr>
            <w:tcW w:w="1652" w:type="dxa"/>
            <w:noWrap w:val="0"/>
            <w:vAlign w:val="center"/>
          </w:tcPr>
          <w:p w14:paraId="02FEBD11">
            <w:pPr>
              <w:snapToGrid w:val="0"/>
              <w:spacing w:line="240" w:lineRule="auto"/>
              <w:ind w:right="0" w:rightChars="0"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是否授权评标委员会确定中选人</w:t>
            </w:r>
          </w:p>
        </w:tc>
        <w:tc>
          <w:tcPr>
            <w:tcW w:w="6846" w:type="dxa"/>
            <w:noWrap w:val="0"/>
            <w:vAlign w:val="center"/>
          </w:tcPr>
          <w:p w14:paraId="077E561D">
            <w:pPr>
              <w:autoSpaceDE w:val="0"/>
              <w:autoSpaceDN w:val="0"/>
              <w:adjustRightInd w:val="0"/>
              <w:snapToGrid w:val="0"/>
              <w:spacing w:line="240" w:lineRule="auto"/>
              <w:ind w:right="0" w:rightChars="0" w:firstLine="0" w:firstLineChars="0"/>
              <w:rPr>
                <w:rFonts w:hint="eastAsia" w:ascii="仿宋" w:hAnsi="仿宋" w:eastAsia="仿宋" w:cs="仿宋"/>
                <w:sz w:val="24"/>
                <w:szCs w:val="24"/>
              </w:rPr>
            </w:pPr>
            <w:r>
              <w:rPr>
                <w:rFonts w:hint="eastAsia" w:ascii="仿宋" w:hAnsi="仿宋" w:eastAsia="仿宋" w:cs="仿宋"/>
                <w:sz w:val="24"/>
                <w:szCs w:val="24"/>
              </w:rPr>
              <w:t>否，推荐经评审得分由高到低排名前三名为中标候选人。</w:t>
            </w:r>
          </w:p>
        </w:tc>
      </w:tr>
      <w:tr w14:paraId="78474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0" w:hRule="atLeast"/>
        </w:trPr>
        <w:tc>
          <w:tcPr>
            <w:tcW w:w="980" w:type="dxa"/>
            <w:noWrap w:val="0"/>
            <w:vAlign w:val="center"/>
          </w:tcPr>
          <w:p w14:paraId="011753F2">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7.3.1</w:t>
            </w:r>
          </w:p>
        </w:tc>
        <w:tc>
          <w:tcPr>
            <w:tcW w:w="1652" w:type="dxa"/>
            <w:noWrap w:val="0"/>
            <w:vAlign w:val="center"/>
          </w:tcPr>
          <w:p w14:paraId="74CCE86A">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履约担保</w:t>
            </w:r>
          </w:p>
        </w:tc>
        <w:tc>
          <w:tcPr>
            <w:tcW w:w="6846" w:type="dxa"/>
            <w:noWrap w:val="0"/>
            <w:vAlign w:val="center"/>
          </w:tcPr>
          <w:p w14:paraId="4A5DF443">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1、履约保证金的形式：银行转账。</w:t>
            </w:r>
          </w:p>
          <w:p w14:paraId="7CDC0713">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2、履约保证金的金额：中选金额的10﹪。</w:t>
            </w:r>
          </w:p>
          <w:p w14:paraId="334A5092">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3、履约保证金提交的时间：</w:t>
            </w:r>
          </w:p>
          <w:p w14:paraId="03D8048B">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中选人在收到中选通知书后务必在7个工作日内缴清履约保证金并完成合同签订，否则比选人将取消其中选资格。</w:t>
            </w:r>
          </w:p>
          <w:p w14:paraId="6D3D127A">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4、履约担保的期限：自提交履约担保之日起至竣工验收合格之日止。</w:t>
            </w:r>
          </w:p>
          <w:p w14:paraId="51508BDB">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5、履约保证金的退还：工程竣工验收合格后14天内无息退还。</w:t>
            </w:r>
          </w:p>
        </w:tc>
      </w:tr>
      <w:tr w14:paraId="5E77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5" w:hRule="atLeast"/>
        </w:trPr>
        <w:tc>
          <w:tcPr>
            <w:tcW w:w="980" w:type="dxa"/>
            <w:noWrap w:val="0"/>
            <w:vAlign w:val="center"/>
          </w:tcPr>
          <w:p w14:paraId="27658C17">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8.1</w:t>
            </w:r>
          </w:p>
        </w:tc>
        <w:tc>
          <w:tcPr>
            <w:tcW w:w="1652" w:type="dxa"/>
            <w:noWrap w:val="0"/>
            <w:vAlign w:val="center"/>
          </w:tcPr>
          <w:p w14:paraId="153964D4">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重新比选</w:t>
            </w:r>
          </w:p>
        </w:tc>
        <w:tc>
          <w:tcPr>
            <w:tcW w:w="6846" w:type="dxa"/>
            <w:noWrap w:val="0"/>
            <w:vAlign w:val="center"/>
          </w:tcPr>
          <w:p w14:paraId="36E4946D">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1.按竞选人须知第8.1（1）执行；</w:t>
            </w:r>
          </w:p>
          <w:p w14:paraId="6057F1C8">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2.按竞选人须知第8.1（2）执行；</w:t>
            </w:r>
          </w:p>
          <w:p w14:paraId="4447D492">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3.按竞选人须知第8.1（3）执行；</w:t>
            </w:r>
          </w:p>
          <w:p w14:paraId="739467BB">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4.按竞选人须知第8.1（4）执行。</w:t>
            </w:r>
          </w:p>
        </w:tc>
      </w:tr>
      <w:tr w14:paraId="2023E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0" w:hRule="atLeast"/>
        </w:trPr>
        <w:tc>
          <w:tcPr>
            <w:tcW w:w="980" w:type="dxa"/>
            <w:noWrap w:val="0"/>
            <w:vAlign w:val="center"/>
          </w:tcPr>
          <w:p w14:paraId="27104B4F">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8.2</w:t>
            </w:r>
          </w:p>
        </w:tc>
        <w:tc>
          <w:tcPr>
            <w:tcW w:w="1652" w:type="dxa"/>
            <w:noWrap w:val="0"/>
            <w:vAlign w:val="center"/>
          </w:tcPr>
          <w:p w14:paraId="3E2F71EA">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不再比选</w:t>
            </w:r>
          </w:p>
        </w:tc>
        <w:tc>
          <w:tcPr>
            <w:tcW w:w="6846" w:type="dxa"/>
            <w:noWrap w:val="0"/>
            <w:vAlign w:val="center"/>
          </w:tcPr>
          <w:p w14:paraId="55A245A3">
            <w:pPr>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sz w:val="24"/>
                <w:szCs w:val="24"/>
              </w:rPr>
              <w:t>重新招标的竞选人仍然少于三个的，按照招标投标法律法规规定的程序开标和评标。重新招标经评审有有效竞选人的，应当依法确定中标候选人；无有效竞选人的，可以不再进行招标，但是按照国家有关规定需要履行审批、核准、备案手续的依法必须进行招标的项目，应当报原项目投资主管部门审批、核准、备案。</w:t>
            </w:r>
          </w:p>
        </w:tc>
      </w:tr>
      <w:tr w14:paraId="2793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0" w:hRule="atLeast"/>
        </w:trPr>
        <w:tc>
          <w:tcPr>
            <w:tcW w:w="980" w:type="dxa"/>
            <w:noWrap w:val="0"/>
            <w:vAlign w:val="center"/>
          </w:tcPr>
          <w:p w14:paraId="01639740">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9</w:t>
            </w:r>
          </w:p>
        </w:tc>
        <w:tc>
          <w:tcPr>
            <w:tcW w:w="1652" w:type="dxa"/>
            <w:noWrap w:val="0"/>
            <w:vAlign w:val="center"/>
          </w:tcPr>
          <w:p w14:paraId="0BB3BFD4">
            <w:pPr>
              <w:snapToGrid w:val="0"/>
              <w:spacing w:line="24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监督单位</w:t>
            </w:r>
          </w:p>
        </w:tc>
        <w:tc>
          <w:tcPr>
            <w:tcW w:w="6846" w:type="dxa"/>
            <w:noWrap w:val="0"/>
            <w:vAlign w:val="center"/>
          </w:tcPr>
          <w:p w14:paraId="51457842">
            <w:pPr>
              <w:snapToGrid w:val="0"/>
              <w:spacing w:line="240" w:lineRule="auto"/>
              <w:ind w:firstLine="0" w:firstLineChars="0"/>
              <w:rPr>
                <w:rFonts w:hint="eastAsia" w:ascii="仿宋" w:hAnsi="仿宋" w:eastAsia="仿宋" w:cs="仿宋"/>
                <w:kern w:val="0"/>
                <w:sz w:val="24"/>
                <w:szCs w:val="24"/>
              </w:rPr>
            </w:pPr>
            <w:r>
              <w:rPr>
                <w:rFonts w:hint="eastAsia" w:ascii="仿宋" w:hAnsi="仿宋" w:eastAsia="仿宋" w:cs="仿宋"/>
                <w:sz w:val="24"/>
                <w:szCs w:val="24"/>
              </w:rPr>
              <w:t>本次比选工作受荣昌区相关行政部门监督，并接受社会公开监督。</w:t>
            </w:r>
          </w:p>
        </w:tc>
      </w:tr>
      <w:tr w14:paraId="47268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7" w:hRule="atLeast"/>
        </w:trPr>
        <w:tc>
          <w:tcPr>
            <w:tcW w:w="980" w:type="dxa"/>
            <w:noWrap w:val="0"/>
            <w:vAlign w:val="center"/>
          </w:tcPr>
          <w:p w14:paraId="22A159E2">
            <w:pPr>
              <w:snapToGrid w:val="0"/>
              <w:spacing w:line="240" w:lineRule="auto"/>
              <w:ind w:firstLine="0" w:firstLineChars="0"/>
              <w:jc w:val="center"/>
              <w:rPr>
                <w:rFonts w:hint="eastAsia" w:ascii="仿宋" w:hAnsi="仿宋" w:eastAsia="仿宋" w:cs="仿宋"/>
                <w:b/>
                <w:kern w:val="0"/>
                <w:sz w:val="24"/>
                <w:szCs w:val="24"/>
                <w:lang w:eastAsia="zh-CN"/>
              </w:rPr>
            </w:pPr>
            <w:r>
              <w:rPr>
                <w:rFonts w:hint="eastAsia" w:ascii="仿宋" w:hAnsi="仿宋" w:eastAsia="仿宋" w:cs="仿宋"/>
                <w:b/>
                <w:kern w:val="0"/>
                <w:sz w:val="24"/>
                <w:szCs w:val="24"/>
              </w:rPr>
              <w:t>1</w:t>
            </w:r>
            <w:r>
              <w:rPr>
                <w:rFonts w:hint="eastAsia" w:ascii="仿宋" w:hAnsi="仿宋" w:eastAsia="仿宋" w:cs="仿宋"/>
                <w:b/>
                <w:kern w:val="0"/>
                <w:sz w:val="24"/>
                <w:szCs w:val="24"/>
                <w:lang w:val="en-US" w:eastAsia="zh-CN"/>
              </w:rPr>
              <w:t>0</w:t>
            </w:r>
          </w:p>
        </w:tc>
        <w:tc>
          <w:tcPr>
            <w:tcW w:w="8498" w:type="dxa"/>
            <w:gridSpan w:val="2"/>
            <w:noWrap w:val="0"/>
            <w:vAlign w:val="center"/>
          </w:tcPr>
          <w:p w14:paraId="4ADA5B37">
            <w:pPr>
              <w:snapToGrid w:val="0"/>
              <w:spacing w:line="240" w:lineRule="auto"/>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需要补充的其他内容</w:t>
            </w:r>
          </w:p>
        </w:tc>
      </w:tr>
      <w:tr w14:paraId="4FFD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9" w:hRule="atLeast"/>
        </w:trPr>
        <w:tc>
          <w:tcPr>
            <w:tcW w:w="980" w:type="dxa"/>
            <w:noWrap w:val="0"/>
            <w:vAlign w:val="center"/>
          </w:tcPr>
          <w:p w14:paraId="5ECDE9E6">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.1</w:t>
            </w:r>
          </w:p>
        </w:tc>
        <w:tc>
          <w:tcPr>
            <w:tcW w:w="1652" w:type="dxa"/>
            <w:noWrap w:val="0"/>
            <w:vAlign w:val="center"/>
          </w:tcPr>
          <w:p w14:paraId="04D1A664">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highlight w:val="none"/>
              </w:rPr>
              <w:t>工程进度款支付方式</w:t>
            </w:r>
          </w:p>
        </w:tc>
        <w:tc>
          <w:tcPr>
            <w:tcW w:w="6846" w:type="dxa"/>
            <w:noWrap w:val="0"/>
            <w:vAlign w:val="center"/>
          </w:tcPr>
          <w:p w14:paraId="2579654B">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本工程</w:t>
            </w:r>
            <w:r>
              <w:rPr>
                <w:rFonts w:hint="eastAsia" w:ascii="仿宋" w:hAnsi="仿宋" w:eastAsia="仿宋" w:cs="仿宋"/>
                <w:kern w:val="0"/>
                <w:sz w:val="24"/>
                <w:szCs w:val="24"/>
              </w:rPr>
              <w:t>竣工验收合格后且</w:t>
            </w:r>
            <w:r>
              <w:rPr>
                <w:rFonts w:hint="eastAsia" w:ascii="仿宋" w:hAnsi="仿宋" w:eastAsia="仿宋" w:cs="仿宋"/>
                <w:sz w:val="24"/>
                <w:szCs w:val="24"/>
              </w:rPr>
              <w:t>相关单位审计完成</w:t>
            </w:r>
            <w:r>
              <w:rPr>
                <w:rFonts w:hint="eastAsia" w:ascii="仿宋" w:hAnsi="仿宋" w:eastAsia="仿宋" w:cs="仿宋"/>
                <w:kern w:val="0"/>
                <w:sz w:val="24"/>
                <w:szCs w:val="24"/>
              </w:rPr>
              <w:t>后30</w:t>
            </w:r>
            <w:r>
              <w:rPr>
                <w:rFonts w:hint="eastAsia" w:ascii="仿宋" w:hAnsi="仿宋" w:eastAsia="仿宋" w:cs="仿宋"/>
                <w:sz w:val="24"/>
                <w:szCs w:val="24"/>
              </w:rPr>
              <w:t>日内付至审定金额的</w:t>
            </w:r>
            <w:r>
              <w:rPr>
                <w:rFonts w:hint="eastAsia" w:ascii="仿宋" w:hAnsi="仿宋" w:eastAsia="仿宋" w:cs="仿宋"/>
                <w:sz w:val="24"/>
                <w:szCs w:val="24"/>
                <w:lang w:val="en-US" w:eastAsia="zh-CN"/>
              </w:rPr>
              <w:t>97</w:t>
            </w:r>
            <w:r>
              <w:rPr>
                <w:rFonts w:hint="eastAsia" w:ascii="仿宋" w:hAnsi="仿宋" w:eastAsia="仿宋" w:cs="仿宋"/>
                <w:kern w:val="0"/>
                <w:sz w:val="24"/>
                <w:szCs w:val="24"/>
              </w:rPr>
              <w:t>%</w:t>
            </w:r>
            <w:r>
              <w:rPr>
                <w:rFonts w:hint="eastAsia" w:ascii="仿宋" w:hAnsi="仿宋" w:eastAsia="仿宋" w:cs="仿宋"/>
                <w:snapToGrid w:val="0"/>
                <w:sz w:val="24"/>
                <w:szCs w:val="24"/>
              </w:rPr>
              <w:t>，留审定金额的</w:t>
            </w:r>
            <w:r>
              <w:rPr>
                <w:rFonts w:hint="eastAsia" w:ascii="仿宋" w:hAnsi="仿宋" w:eastAsia="仿宋" w:cs="仿宋"/>
                <w:kern w:val="0"/>
                <w:sz w:val="24"/>
                <w:szCs w:val="24"/>
              </w:rPr>
              <w:t>3</w:t>
            </w:r>
            <w:r>
              <w:rPr>
                <w:rFonts w:hint="eastAsia" w:ascii="仿宋" w:hAnsi="仿宋" w:eastAsia="仿宋" w:cs="仿宋"/>
                <w:snapToGrid w:val="0"/>
                <w:sz w:val="24"/>
                <w:szCs w:val="24"/>
              </w:rPr>
              <w:t>%作为质量保证金，待</w:t>
            </w:r>
            <w:r>
              <w:rPr>
                <w:rFonts w:hint="eastAsia" w:ascii="仿宋" w:hAnsi="仿宋" w:eastAsia="仿宋" w:cs="仿宋"/>
                <w:sz w:val="24"/>
                <w:szCs w:val="24"/>
              </w:rPr>
              <w:t>质保期满后扣除相应款项（如有）后无息退还。</w:t>
            </w:r>
          </w:p>
        </w:tc>
      </w:tr>
      <w:tr w14:paraId="59C6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trPr>
        <w:tc>
          <w:tcPr>
            <w:tcW w:w="980" w:type="dxa"/>
            <w:noWrap w:val="0"/>
            <w:vAlign w:val="center"/>
          </w:tcPr>
          <w:p w14:paraId="0B86037F">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.2</w:t>
            </w:r>
          </w:p>
        </w:tc>
        <w:tc>
          <w:tcPr>
            <w:tcW w:w="1652" w:type="dxa"/>
            <w:noWrap w:val="0"/>
            <w:vAlign w:val="center"/>
          </w:tcPr>
          <w:p w14:paraId="390BD668">
            <w:pPr>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highlight w:val="none"/>
              </w:rPr>
              <w:t>结算原则</w:t>
            </w:r>
          </w:p>
        </w:tc>
        <w:tc>
          <w:tcPr>
            <w:tcW w:w="6846" w:type="dxa"/>
            <w:noWrap w:val="0"/>
            <w:vAlign w:val="center"/>
          </w:tcPr>
          <w:p w14:paraId="21860BEC">
            <w:pPr>
              <w:spacing w:line="360" w:lineRule="auto"/>
              <w:ind w:right="120" w:rightChars="50" w:firstLine="0" w:firstLineChars="0"/>
              <w:jc w:val="left"/>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结算原则：工程量据实结算</w:t>
            </w:r>
          </w:p>
          <w:p w14:paraId="2D2755EF">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rPr>
              <w:t>具体结算办法如下：</w:t>
            </w:r>
          </w:p>
          <w:p w14:paraId="3934A681">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rPr>
            </w:pPr>
            <w:r>
              <w:rPr>
                <w:rFonts w:hint="eastAsia" w:ascii="仿宋" w:hAnsi="仿宋" w:eastAsia="仿宋" w:cs="仿宋"/>
                <w:sz w:val="24"/>
                <w:szCs w:val="24"/>
              </w:rPr>
              <w:t>（1）分部分项工程：</w:t>
            </w:r>
          </w:p>
          <w:p w14:paraId="390D43DF">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①已标价工程量清单子目综合单价按合同约定无需调整的，以按照竣工图和专用合同条款第12.3.1项〔计量原则〕约定确定的工程量乘以相应的已标价工程量清单子目综合单价确定该部分分部分项工程结算价</w:t>
            </w:r>
            <w:r>
              <w:rPr>
                <w:rFonts w:hint="eastAsia" w:ascii="仿宋" w:hAnsi="仿宋" w:eastAsia="仿宋" w:cs="仿宋"/>
                <w:sz w:val="24"/>
                <w:szCs w:val="24"/>
              </w:rPr>
              <w:t>；</w:t>
            </w:r>
          </w:p>
          <w:p w14:paraId="74CF2100">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②需要对没有填入综合单价或总额价的子目项目进行扣减的，专用合同条款第12.3.1项〔计量原则〕约定确定的工程量乘以按照专用合同条款10.4.1〔变更估价原则〕（3）目约定的综合单价进行扣减</w:t>
            </w:r>
            <w:r>
              <w:rPr>
                <w:rFonts w:hint="eastAsia" w:ascii="仿宋" w:hAnsi="仿宋" w:eastAsia="仿宋" w:cs="仿宋"/>
                <w:sz w:val="24"/>
                <w:szCs w:val="24"/>
              </w:rPr>
              <w:t>；</w:t>
            </w:r>
          </w:p>
          <w:p w14:paraId="21A9EBCB">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③合同、已标价工程量清单和招标文件另有约定的，按照其约定执行</w:t>
            </w:r>
            <w:r>
              <w:rPr>
                <w:rFonts w:hint="eastAsia" w:ascii="仿宋" w:hAnsi="仿宋" w:eastAsia="仿宋" w:cs="仿宋"/>
                <w:sz w:val="24"/>
                <w:szCs w:val="24"/>
              </w:rPr>
              <w:t>。</w:t>
            </w:r>
          </w:p>
          <w:p w14:paraId="28AF0303">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rPr>
            </w:pPr>
            <w:r>
              <w:rPr>
                <w:rFonts w:hint="eastAsia" w:ascii="仿宋" w:hAnsi="仿宋" w:eastAsia="仿宋" w:cs="仿宋"/>
                <w:sz w:val="24"/>
                <w:szCs w:val="24"/>
              </w:rPr>
              <w:t>（2）措施项目：</w:t>
            </w:r>
          </w:p>
          <w:p w14:paraId="580E8FCE">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①已标价工程量清单范围内以项为计量单位的措施项目费（安全文明施工费除外）包干使用；不以项为计量单位的措施项目费按专用合同条款第14.2.1项〔竣工结算办理办法〕分部分项约定执行</w:t>
            </w:r>
            <w:r>
              <w:rPr>
                <w:rFonts w:hint="eastAsia" w:ascii="仿宋" w:hAnsi="仿宋" w:eastAsia="仿宋" w:cs="仿宋"/>
                <w:sz w:val="24"/>
                <w:szCs w:val="24"/>
              </w:rPr>
              <w:t>。</w:t>
            </w:r>
          </w:p>
          <w:p w14:paraId="73AF1F21">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②工程变更引起施工方案改变使措施项目发生变化的，经监理人、发包人确定后可对按专用合同条款第10.4.3项约定执行</w:t>
            </w:r>
            <w:r>
              <w:rPr>
                <w:rFonts w:hint="eastAsia" w:ascii="仿宋" w:hAnsi="仿宋" w:eastAsia="仿宋" w:cs="仿宋"/>
                <w:sz w:val="24"/>
                <w:szCs w:val="24"/>
              </w:rPr>
              <w:t>。</w:t>
            </w:r>
          </w:p>
          <w:p w14:paraId="13750BFB">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u w:val="single"/>
              </w:rPr>
              <w:t>③安全文明施工费按照《重庆市建设工程安全文明施工费计取及使用管理规定》（渝建发〔2014〕25号）、《重庆市住房和城乡建设委员会关于调整建设施工现场形象品质提升安全文明施工费计取的通知》（渝建管〔2020〕97号）、《重庆市建设工程费用定额》（CQFYDE-2018）、《重庆市城乡建设委员会关于适用增值税新税率调整建设工程计价依据的通知》（渝建〔2019〕143号）的规定进行结算</w:t>
            </w:r>
            <w:r>
              <w:rPr>
                <w:rFonts w:hint="eastAsia" w:ascii="仿宋" w:hAnsi="仿宋" w:eastAsia="仿宋" w:cs="仿宋"/>
                <w:sz w:val="24"/>
                <w:szCs w:val="24"/>
              </w:rPr>
              <w:t>。</w:t>
            </w:r>
          </w:p>
          <w:p w14:paraId="21040982">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rPr>
            </w:pPr>
            <w:r>
              <w:rPr>
                <w:rFonts w:hint="eastAsia" w:ascii="仿宋" w:hAnsi="仿宋" w:eastAsia="仿宋" w:cs="仿宋"/>
                <w:sz w:val="24"/>
                <w:szCs w:val="24"/>
              </w:rPr>
              <w:t>（3）其他项目：</w:t>
            </w:r>
          </w:p>
          <w:p w14:paraId="62043CFC">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rPr>
              <w:t>①材料（工程设备）暂估价：</w:t>
            </w:r>
            <w:r>
              <w:rPr>
                <w:rFonts w:hint="eastAsia" w:ascii="仿宋" w:hAnsi="仿宋" w:eastAsia="仿宋" w:cs="仿宋"/>
                <w:sz w:val="24"/>
                <w:szCs w:val="24"/>
                <w:u w:val="single"/>
              </w:rPr>
              <w:t>按照专用合同条款第12.3.1项〔计量原则〕约定及对应定额消耗量确定的数量乘以监理人、工程量清单施工阶段工程造价全过程控制单位（跟审单位）、发包人根据市场行情认质核价确定的价格进行结算</w:t>
            </w:r>
            <w:r>
              <w:rPr>
                <w:rFonts w:hint="eastAsia" w:ascii="仿宋" w:hAnsi="仿宋" w:eastAsia="仿宋" w:cs="仿宋"/>
                <w:sz w:val="24"/>
                <w:szCs w:val="24"/>
              </w:rPr>
              <w:t>。</w:t>
            </w:r>
          </w:p>
          <w:p w14:paraId="6382EBF8">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rPr>
              <w:t>②专业工程暂估价：</w:t>
            </w:r>
          </w:p>
          <w:p w14:paraId="5511A458">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u w:val="single"/>
              </w:rPr>
              <w:t>1）对于不属于依法必须招标的暂估价项目：按发包人审定的价格进行结算</w:t>
            </w:r>
            <w:r>
              <w:rPr>
                <w:rFonts w:hint="eastAsia" w:ascii="仿宋" w:hAnsi="仿宋" w:eastAsia="仿宋" w:cs="仿宋"/>
                <w:sz w:val="24"/>
                <w:szCs w:val="24"/>
              </w:rPr>
              <w:t>。</w:t>
            </w:r>
          </w:p>
          <w:p w14:paraId="06B6EE6C">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u w:val="single"/>
              </w:rPr>
              <w:t>2）对于依法必须招标的暂估价项目：达到招标规模标准的暂估价内容，包括专业工程暂估价和材料设备暂估价均应招标确定，并按暂估价招标文件约定结算</w:t>
            </w:r>
            <w:r>
              <w:rPr>
                <w:rFonts w:hint="eastAsia" w:ascii="仿宋" w:hAnsi="仿宋" w:eastAsia="仿宋" w:cs="仿宋"/>
                <w:sz w:val="24"/>
                <w:szCs w:val="24"/>
              </w:rPr>
              <w:t>。</w:t>
            </w:r>
          </w:p>
          <w:p w14:paraId="15FC1512">
            <w:pPr>
              <w:spacing w:line="360" w:lineRule="auto"/>
              <w:ind w:right="120" w:rightChars="50" w:firstLine="0" w:firstLineChars="0"/>
              <w:jc w:val="left"/>
              <w:rPr>
                <w:rFonts w:hint="eastAsia" w:ascii="仿宋" w:hAnsi="仿宋" w:eastAsia="仿宋" w:cs="仿宋"/>
                <w:sz w:val="24"/>
                <w:szCs w:val="24"/>
              </w:rPr>
            </w:pPr>
            <w:r>
              <w:rPr>
                <w:rFonts w:hint="eastAsia" w:ascii="仿宋" w:hAnsi="仿宋" w:eastAsia="仿宋" w:cs="仿宋"/>
                <w:sz w:val="24"/>
                <w:szCs w:val="24"/>
                <w:u w:val="single"/>
              </w:rPr>
              <w:t>3）总承包服务费：总承包服务费包干使用，结算时不作调整</w:t>
            </w:r>
            <w:r>
              <w:rPr>
                <w:rFonts w:hint="eastAsia" w:ascii="仿宋" w:hAnsi="仿宋" w:eastAsia="仿宋" w:cs="仿宋"/>
                <w:sz w:val="24"/>
                <w:szCs w:val="24"/>
              </w:rPr>
              <w:t>。</w:t>
            </w:r>
          </w:p>
          <w:p w14:paraId="5126748B">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rPr>
            </w:pPr>
            <w:r>
              <w:rPr>
                <w:rFonts w:hint="eastAsia" w:ascii="仿宋" w:hAnsi="仿宋" w:eastAsia="仿宋" w:cs="仿宋"/>
                <w:sz w:val="24"/>
                <w:szCs w:val="24"/>
              </w:rPr>
              <w:t>（4）价格调整：</w:t>
            </w:r>
            <w:r>
              <w:rPr>
                <w:rFonts w:hint="eastAsia" w:ascii="仿宋" w:hAnsi="仿宋" w:eastAsia="仿宋" w:cs="仿宋"/>
                <w:sz w:val="24"/>
                <w:szCs w:val="24"/>
                <w:u w:val="single"/>
                <w:lang w:val="en-US" w:eastAsia="zh-CN"/>
              </w:rPr>
              <w:t>不调整</w:t>
            </w:r>
            <w:r>
              <w:rPr>
                <w:rFonts w:hint="eastAsia" w:ascii="仿宋" w:hAnsi="仿宋" w:eastAsia="仿宋" w:cs="仿宋"/>
                <w:sz w:val="24"/>
                <w:szCs w:val="24"/>
              </w:rPr>
              <w:t>。</w:t>
            </w:r>
          </w:p>
          <w:p w14:paraId="000B2301">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（5）工程变更、索赔与现场签证：</w:t>
            </w:r>
          </w:p>
          <w:p w14:paraId="5BEAE5CF">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1）工程变更：按照专用合同条款第10.4.1项〔变更估价原则〕约定确定为总价包干的，按审定包干总价计入结算；其余项目按照有效的竣工结算资料和专用合同条款第12.3.1项〔计量原则〕约定确定的工程量乘以相应的按照专用合同条款第10.4.1项〔变更估价原则〕约定确定综合单价来确定该部分结算价。</w:t>
            </w:r>
          </w:p>
          <w:p w14:paraId="3D1AB290">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2）索赔：按照专用合同条款第10.4.1项〔变更估价原则〕和专用合同条款第14.2.1项〔竣工结算办法〕约定执行。</w:t>
            </w:r>
          </w:p>
          <w:p w14:paraId="04F22AB4">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3）现场签证：按照专用合同条款第10.4.1项〔变更估价原则〕和专用合同条款第14.2.1项〔竣工结算办法〕约定执行。</w:t>
            </w:r>
          </w:p>
          <w:p w14:paraId="048241F5">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（6）奖励、罚金、违约金及其他费用：</w:t>
            </w:r>
            <w:r>
              <w:rPr>
                <w:rFonts w:hint="eastAsia" w:ascii="仿宋" w:hAnsi="仿宋" w:eastAsia="仿宋" w:cs="仿宋"/>
                <w:sz w:val="24"/>
                <w:szCs w:val="24"/>
                <w:u w:val="single"/>
              </w:rPr>
              <w:t>按实进行结算</w:t>
            </w:r>
            <w:r>
              <w:rPr>
                <w:rFonts w:hint="eastAsia" w:ascii="仿宋" w:hAnsi="仿宋" w:eastAsia="仿宋" w:cs="仿宋"/>
                <w:sz w:val="24"/>
                <w:szCs w:val="24"/>
              </w:rPr>
              <w:t>。</w:t>
            </w:r>
          </w:p>
          <w:p w14:paraId="2E25BBE4">
            <w:pPr>
              <w:tabs>
                <w:tab w:val="left" w:pos="711"/>
                <w:tab w:val="left" w:pos="2580"/>
              </w:tabs>
              <w:spacing w:line="360" w:lineRule="auto"/>
              <w:ind w:right="120" w:rightChars="50" w:firstLine="0" w:firstLineChars="0"/>
              <w:jc w:val="left"/>
              <w:textAlignment w:val="baseline"/>
              <w:rPr>
                <w:rFonts w:hint="eastAsia" w:ascii="仿宋" w:hAnsi="仿宋" w:eastAsia="仿宋" w:cs="仿宋"/>
                <w:sz w:val="24"/>
                <w:szCs w:val="24"/>
                <w:u w:val="single"/>
              </w:rPr>
            </w:pPr>
            <w:r>
              <w:rPr>
                <w:rFonts w:hint="eastAsia" w:ascii="仿宋" w:hAnsi="仿宋" w:eastAsia="仿宋" w:cs="仿宋"/>
                <w:sz w:val="24"/>
                <w:szCs w:val="24"/>
              </w:rPr>
              <w:t>（7）规费：已标价工程量清单中规费费用按《重庆市建设工程费用定额》（CQFYDE-2018）执行。</w:t>
            </w:r>
          </w:p>
          <w:p w14:paraId="486FDBC7">
            <w:pPr>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8）税金：包含增值税、城市维护建设税、教育费附加、地方教育附加以及环境保护税。其中增值税按《重庆市建设工程费用定额》（CQFYDE-2018）、《重庆市城乡建设委员会关于适用增值税新税率调整建设工程计价依据的通知》（渝建〔2019〕143号）规定执行，环境保护税按实结算。</w:t>
            </w:r>
            <w:r>
              <w:rPr>
                <w:rFonts w:hint="eastAsia" w:ascii="仿宋" w:hAnsi="仿宋" w:eastAsia="仿宋" w:cs="仿宋"/>
                <w:kern w:val="0"/>
                <w:sz w:val="24"/>
                <w:szCs w:val="24"/>
              </w:rPr>
              <w:t xml:space="preserve"> </w:t>
            </w:r>
          </w:p>
        </w:tc>
      </w:tr>
      <w:tr w14:paraId="69EB3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trPr>
        <w:tc>
          <w:tcPr>
            <w:tcW w:w="980" w:type="dxa"/>
            <w:noWrap w:val="0"/>
            <w:vAlign w:val="center"/>
          </w:tcPr>
          <w:p w14:paraId="25AED692">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.3</w:t>
            </w:r>
          </w:p>
        </w:tc>
        <w:tc>
          <w:tcPr>
            <w:tcW w:w="1652" w:type="dxa"/>
            <w:noWrap w:val="0"/>
            <w:vAlign w:val="center"/>
          </w:tcPr>
          <w:p w14:paraId="038F0F09">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低价风险担保</w:t>
            </w:r>
          </w:p>
          <w:p w14:paraId="5A3F7832">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（采用经评审的最低投标价法适用）</w:t>
            </w:r>
          </w:p>
        </w:tc>
        <w:tc>
          <w:tcPr>
            <w:tcW w:w="6846" w:type="dxa"/>
            <w:noWrap w:val="0"/>
            <w:vAlign w:val="center"/>
          </w:tcPr>
          <w:p w14:paraId="60691380">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1、低价风险担保：中标价低于最高限价的85%时提供，如不按时足额提供低价风险担保金，视为中标人放弃中标，比选人有权不退还其投标保证金，</w:t>
            </w:r>
            <w:r>
              <w:rPr>
                <w:rFonts w:hint="eastAsia" w:ascii="仿宋" w:hAnsi="仿宋" w:eastAsia="仿宋" w:cs="仿宋"/>
                <w:sz w:val="24"/>
                <w:szCs w:val="24"/>
              </w:rPr>
              <w:t>并报招标投标行政监督部门按照信用管理办法的规定处理，对中标人的不良行为直接记12分，纳入重点关注名单。若竞选人为联合体，由联合体牵头人或按照联合体协议的约定提交低价风险担保</w:t>
            </w:r>
            <w:r>
              <w:rPr>
                <w:rFonts w:hint="eastAsia" w:ascii="仿宋" w:hAnsi="仿宋" w:eastAsia="仿宋" w:cs="仿宋"/>
                <w:kern w:val="0"/>
                <w:sz w:val="24"/>
                <w:szCs w:val="24"/>
              </w:rPr>
              <w:t>。</w:t>
            </w:r>
          </w:p>
          <w:p w14:paraId="55A13CBD">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2、中标人提供低价风险担保的形式、金额及期限：</w:t>
            </w:r>
          </w:p>
          <w:p w14:paraId="545DFFBD">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1）低价风险担保的形式：现金或银行保函或现金+银行保函的组合；采用银行保函形式的，保函必须为不可撤销、不可转让且见索即付的独立保函，保函格式详见第四章合同条款及格式附件，中标人出具保函时，不得修改“低价风险担保保函”名称，也不得对低价风险担保保函示范文本中付款条件等实质性内容进行修改，否则视为不符合招标文件规定。</w:t>
            </w:r>
          </w:p>
          <w:p w14:paraId="74855F7B">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（2）低价风险担保的金额：（最高限价×85%-中标价）×3，且最高不超过最高限价的85%；</w:t>
            </w:r>
          </w:p>
          <w:p w14:paraId="32B011C8">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（3）低价风险担保送达比选人的时间：</w:t>
            </w:r>
            <w:r>
              <w:rPr>
                <w:rFonts w:hint="eastAsia" w:ascii="仿宋" w:hAnsi="仿宋" w:eastAsia="仿宋" w:cs="仿宋"/>
                <w:sz w:val="24"/>
                <w:szCs w:val="24"/>
              </w:rPr>
              <w:t>与履约保证金同时缴纳</w:t>
            </w:r>
            <w:r>
              <w:rPr>
                <w:rFonts w:hint="eastAsia" w:ascii="仿宋" w:hAnsi="仿宋" w:eastAsia="仿宋" w:cs="仿宋"/>
                <w:kern w:val="0"/>
                <w:sz w:val="24"/>
                <w:szCs w:val="24"/>
              </w:rPr>
              <w:t>；</w:t>
            </w:r>
          </w:p>
          <w:p w14:paraId="5156442A">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（4）中标人因自身原因未按中标通知书规定的时限与比选人签订合同的，比选人有权扣除其低价风险担保并取消中标资格。</w:t>
            </w:r>
          </w:p>
          <w:p w14:paraId="60B2EE27">
            <w:pPr>
              <w:autoSpaceDE w:val="0"/>
              <w:autoSpaceDN w:val="0"/>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（5）低价风险担保的期限：</w:t>
            </w:r>
            <w:r>
              <w:rPr>
                <w:rFonts w:hint="eastAsia" w:ascii="仿宋" w:hAnsi="仿宋" w:eastAsia="仿宋" w:cs="仿宋"/>
                <w:kern w:val="0"/>
                <w:sz w:val="24"/>
                <w:szCs w:val="24"/>
                <w:u w:val="single"/>
              </w:rPr>
              <w:t>自低价风险担保生效之日起至竣工验收合格之日止</w:t>
            </w:r>
            <w:r>
              <w:rPr>
                <w:rFonts w:hint="eastAsia" w:ascii="仿宋" w:hAnsi="仿宋" w:eastAsia="仿宋" w:cs="仿宋"/>
                <w:kern w:val="0"/>
                <w:sz w:val="24"/>
                <w:szCs w:val="24"/>
              </w:rPr>
              <w:t>。</w:t>
            </w:r>
          </w:p>
          <w:p w14:paraId="00BF1670">
            <w:pPr>
              <w:widowControl/>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3、低价风险担保的退还时间：见专用合同条款。</w:t>
            </w:r>
          </w:p>
          <w:p w14:paraId="0585E140">
            <w:pPr>
              <w:widowControl/>
              <w:spacing w:line="360" w:lineRule="auto"/>
              <w:ind w:firstLine="0" w:firstLineChars="0"/>
              <w:rPr>
                <w:rFonts w:hint="eastAsia" w:ascii="仿宋" w:hAnsi="仿宋" w:eastAsia="仿宋" w:cs="仿宋"/>
                <w:kern w:val="0"/>
                <w:sz w:val="24"/>
                <w:szCs w:val="24"/>
              </w:rPr>
            </w:pPr>
            <w:r>
              <w:rPr>
                <w:rFonts w:hint="eastAsia" w:ascii="仿宋" w:hAnsi="仿宋" w:eastAsia="仿宋" w:cs="仿宋"/>
                <w:sz w:val="24"/>
                <w:szCs w:val="24"/>
              </w:rPr>
              <w:t>4、采用经评审最低投标价法的项目，拟中标人或者中标人放弃中标项目，无正当理由不与比选人签订合同，在签订合同时向比选人提出附加条件或者更改合同实质性内容，或者拒不按照招标文件规定提交低价风险担保或履约担保的，取消其中标资格，投标保证金不予退还，给比选人造成的损失超过投标保证金数额的，拟中标人或中标人应对超过部分予以赔偿。</w:t>
            </w:r>
          </w:p>
        </w:tc>
      </w:tr>
      <w:tr w14:paraId="3E28D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noWrap w:val="0"/>
            <w:vAlign w:val="center"/>
          </w:tcPr>
          <w:p w14:paraId="74F507BD">
            <w:pPr>
              <w:spacing w:line="360" w:lineRule="auto"/>
              <w:ind w:firstLine="0" w:firstLineChars="0"/>
              <w:jc w:val="center"/>
              <w:rPr>
                <w:rFonts w:hint="eastAsia" w:ascii="仿宋" w:hAnsi="仿宋" w:eastAsia="仿宋" w:cs="仿宋"/>
                <w:b/>
                <w:bCs/>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.4</w:t>
            </w:r>
          </w:p>
        </w:tc>
        <w:tc>
          <w:tcPr>
            <w:tcW w:w="1652" w:type="dxa"/>
            <w:noWrap w:val="0"/>
            <w:vAlign w:val="center"/>
          </w:tcPr>
          <w:p w14:paraId="25AFE84F">
            <w:pPr>
              <w:snapToGrid w:val="0"/>
              <w:spacing w:line="36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kern w:val="0"/>
                <w:sz w:val="24"/>
                <w:szCs w:val="24"/>
              </w:rPr>
              <w:t>不允许负数报价</w:t>
            </w:r>
          </w:p>
        </w:tc>
        <w:tc>
          <w:tcPr>
            <w:tcW w:w="6846" w:type="dxa"/>
            <w:noWrap w:val="0"/>
            <w:vAlign w:val="center"/>
          </w:tcPr>
          <w:p w14:paraId="005ED5D4">
            <w:pPr>
              <w:autoSpaceDE w:val="0"/>
              <w:autoSpaceDN w:val="0"/>
              <w:adjustRightInd w:val="0"/>
              <w:snapToGrid w:val="0"/>
              <w:spacing w:line="360" w:lineRule="auto"/>
              <w:ind w:firstLine="0" w:firstLineChars="0"/>
              <w:rPr>
                <w:rFonts w:hint="eastAsia" w:ascii="仿宋" w:hAnsi="仿宋" w:eastAsia="仿宋" w:cs="仿宋"/>
                <w:b/>
                <w:bCs/>
                <w:kern w:val="0"/>
                <w:sz w:val="24"/>
                <w:szCs w:val="24"/>
              </w:rPr>
            </w:pPr>
            <w:r>
              <w:rPr>
                <w:rFonts w:hint="eastAsia" w:ascii="仿宋" w:hAnsi="仿宋" w:eastAsia="仿宋" w:cs="仿宋"/>
                <w:kern w:val="0"/>
                <w:sz w:val="24"/>
                <w:szCs w:val="24"/>
              </w:rPr>
              <w:t>竞选人的各项报价不得为负数。比选人在发出中标通知书前将对中标人的各项报价进行复核，若发现中标人各项报价中存在负数报价的情形，比选人按相关规定取消其中标资格，其投标保证金不予退还，中标人承担因此造成的相关责任并赔偿相应损失。（由竞选人自行承诺，格式自拟。）</w:t>
            </w:r>
          </w:p>
        </w:tc>
      </w:tr>
      <w:tr w14:paraId="2D8E1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noWrap w:val="0"/>
            <w:vAlign w:val="center"/>
          </w:tcPr>
          <w:p w14:paraId="516E6B49">
            <w:pPr>
              <w:snapToGrid w:val="0"/>
              <w:spacing w:line="360" w:lineRule="auto"/>
              <w:ind w:firstLine="0" w:firstLineChars="0"/>
              <w:jc w:val="center"/>
              <w:rPr>
                <w:rFonts w:hint="eastAsia" w:ascii="仿宋" w:hAnsi="仿宋" w:eastAsia="仿宋" w:cs="仿宋"/>
                <w:b/>
                <w:bCs/>
                <w:sz w:val="24"/>
                <w:szCs w:val="24"/>
              </w:rPr>
            </w:pPr>
            <w:r>
              <w:rPr>
                <w:rFonts w:hint="eastAsia" w:ascii="仿宋" w:hAnsi="仿宋" w:eastAsia="仿宋" w:cs="仿宋"/>
                <w:kern w:val="0"/>
                <w:sz w:val="24"/>
                <w:szCs w:val="24"/>
                <w:lang w:val="en-US" w:eastAsia="zh-CN"/>
              </w:rPr>
              <w:t>10</w:t>
            </w:r>
            <w:r>
              <w:rPr>
                <w:rFonts w:hint="eastAsia" w:ascii="仿宋" w:hAnsi="仿宋" w:eastAsia="仿宋" w:cs="仿宋"/>
                <w:kern w:val="0"/>
                <w:sz w:val="24"/>
                <w:szCs w:val="24"/>
              </w:rPr>
              <w:t>.5</w:t>
            </w:r>
          </w:p>
        </w:tc>
        <w:tc>
          <w:tcPr>
            <w:tcW w:w="1652" w:type="dxa"/>
            <w:noWrap w:val="0"/>
            <w:vAlign w:val="center"/>
          </w:tcPr>
          <w:p w14:paraId="70933980">
            <w:pPr>
              <w:snapToGrid w:val="0"/>
              <w:spacing w:line="360" w:lineRule="auto"/>
              <w:ind w:firstLine="0" w:firstLineChars="0"/>
              <w:jc w:val="center"/>
              <w:rPr>
                <w:rFonts w:hint="eastAsia" w:ascii="仿宋" w:hAnsi="仿宋" w:eastAsia="仿宋" w:cs="仿宋"/>
                <w:b/>
                <w:bCs/>
                <w:kern w:val="0"/>
                <w:sz w:val="24"/>
                <w:szCs w:val="24"/>
              </w:rPr>
            </w:pPr>
            <w:r>
              <w:rPr>
                <w:rFonts w:hint="eastAsia" w:ascii="仿宋" w:hAnsi="仿宋" w:eastAsia="仿宋" w:cs="仿宋"/>
                <w:kern w:val="0"/>
                <w:sz w:val="24"/>
                <w:szCs w:val="24"/>
              </w:rPr>
              <w:t>不平衡报价</w:t>
            </w:r>
          </w:p>
        </w:tc>
        <w:tc>
          <w:tcPr>
            <w:tcW w:w="6846" w:type="dxa"/>
            <w:noWrap w:val="0"/>
            <w:vAlign w:val="center"/>
          </w:tcPr>
          <w:p w14:paraId="7C754E3B">
            <w:pPr>
              <w:pStyle w:val="7"/>
              <w:spacing w:line="360" w:lineRule="auto"/>
              <w:ind w:firstLine="0" w:firstLineChars="0"/>
              <w:rPr>
                <w:rFonts w:hint="eastAsia" w:ascii="仿宋" w:hAnsi="仿宋" w:eastAsia="仿宋" w:cs="仿宋"/>
                <w:b/>
                <w:bCs/>
                <w:kern w:val="0"/>
                <w:sz w:val="24"/>
                <w:szCs w:val="24"/>
                <w:lang w:val="en-US" w:eastAsia="zh-CN"/>
              </w:rPr>
            </w:pPr>
            <w:r>
              <w:rPr>
                <w:rFonts w:hint="eastAsia" w:ascii="仿宋" w:hAnsi="仿宋" w:eastAsia="仿宋" w:cs="仿宋"/>
                <w:kern w:val="0"/>
                <w:sz w:val="24"/>
                <w:szCs w:val="24"/>
                <w:lang w:val="en-US" w:eastAsia="zh-CN"/>
              </w:rPr>
              <w:t>关于不平衡报价的约定：本项目实行子目单项报价按最高限价均衡下浮，任意两项子目单价下浮率之差绝对值不超过5%。（由竞选人自行承诺，格式自拟。）</w:t>
            </w:r>
          </w:p>
        </w:tc>
      </w:tr>
      <w:tr w14:paraId="0A2F6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noWrap w:val="0"/>
            <w:vAlign w:val="center"/>
          </w:tcPr>
          <w:p w14:paraId="6DBDF4CF">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.6</w:t>
            </w:r>
          </w:p>
        </w:tc>
        <w:tc>
          <w:tcPr>
            <w:tcW w:w="1652" w:type="dxa"/>
            <w:noWrap w:val="0"/>
            <w:vAlign w:val="center"/>
          </w:tcPr>
          <w:p w14:paraId="74570873">
            <w:pPr>
              <w:adjustRightInd w:val="0"/>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其他</w:t>
            </w:r>
          </w:p>
        </w:tc>
        <w:tc>
          <w:tcPr>
            <w:tcW w:w="6846" w:type="dxa"/>
            <w:noWrap w:val="0"/>
            <w:vAlign w:val="center"/>
          </w:tcPr>
          <w:p w14:paraId="594857D3">
            <w:pPr>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中选人必须在接到比选人通知3个工作日内领取中选通知书，中选通知书领取后7个工作日内与比选人签订施工合同，否则比选人将取消其中选资格，竞选保证金不予退还。</w:t>
            </w:r>
          </w:p>
        </w:tc>
      </w:tr>
      <w:tr w14:paraId="3BCC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noWrap w:val="0"/>
            <w:vAlign w:val="center"/>
          </w:tcPr>
          <w:p w14:paraId="3577A880">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10</w:t>
            </w:r>
            <w:r>
              <w:rPr>
                <w:rFonts w:hint="eastAsia" w:ascii="仿宋" w:hAnsi="仿宋" w:eastAsia="仿宋" w:cs="仿宋"/>
                <w:kern w:val="0"/>
                <w:sz w:val="24"/>
                <w:szCs w:val="24"/>
              </w:rPr>
              <w:t>.7</w:t>
            </w:r>
          </w:p>
        </w:tc>
        <w:tc>
          <w:tcPr>
            <w:tcW w:w="1652" w:type="dxa"/>
            <w:noWrap w:val="0"/>
            <w:vAlign w:val="center"/>
          </w:tcPr>
          <w:p w14:paraId="7769D886">
            <w:pPr>
              <w:snapToGrid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对放弃中标等行为的处理</w:t>
            </w:r>
          </w:p>
        </w:tc>
        <w:tc>
          <w:tcPr>
            <w:tcW w:w="6846" w:type="dxa"/>
            <w:noWrap w:val="0"/>
            <w:vAlign w:val="center"/>
          </w:tcPr>
          <w:p w14:paraId="12DF40D7">
            <w:pPr>
              <w:autoSpaceDE w:val="0"/>
              <w:autoSpaceDN w:val="0"/>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中标候选人或中标人放弃中标项目，无正当理由不与比选人签订合同，在签订合同时向比选人提出附加条件或者更改合同实质性内容，或者拒不提交低价风险担保或者履约担保的，取消其中标资格，投标保证金不予退还，给比选人的损失超过投标保证金数额的，中标候选人或中标人应对超过部分予以赔偿，没有提交投标保证金的，应对比选人的损失承担赔偿责任。</w:t>
            </w:r>
          </w:p>
          <w:p w14:paraId="12FDB48F">
            <w:pPr>
              <w:autoSpaceDE w:val="0"/>
              <w:autoSpaceDN w:val="0"/>
              <w:adjustRightInd w:val="0"/>
              <w:snapToGrid w:val="0"/>
              <w:spacing w:line="360" w:lineRule="auto"/>
              <w:ind w:firstLine="0" w:firstLineChars="0"/>
              <w:rPr>
                <w:rFonts w:hint="eastAsia" w:ascii="仿宋" w:hAnsi="仿宋" w:eastAsia="仿宋" w:cs="仿宋"/>
                <w:i/>
                <w:kern w:val="0"/>
                <w:sz w:val="24"/>
                <w:szCs w:val="24"/>
              </w:rPr>
            </w:pPr>
            <w:r>
              <w:rPr>
                <w:rFonts w:hint="eastAsia" w:ascii="仿宋" w:hAnsi="仿宋" w:eastAsia="仿宋" w:cs="仿宋"/>
                <w:sz w:val="24"/>
                <w:szCs w:val="24"/>
              </w:rPr>
              <w:t>中标候选人有《招标投标法实施条例》第七十四条规定行为的，视为特别严重信用不良行为且情节特别严重，按信用记分上限一次性记12分，纳入黑名单管理；中标人有《招标投标法实施条例》第七十四条规定行为的，按中标项目金额10‰罚款上限予以行政处罚，按信用记分上限一次性并处记12分，纳入黑名单管理。</w:t>
            </w:r>
          </w:p>
        </w:tc>
      </w:tr>
      <w:tr w14:paraId="61CD4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atLeast"/>
        </w:trPr>
        <w:tc>
          <w:tcPr>
            <w:tcW w:w="980" w:type="dxa"/>
            <w:tcBorders>
              <w:top w:val="single" w:color="auto" w:sz="4" w:space="0"/>
              <w:left w:val="single" w:color="auto" w:sz="4" w:space="0"/>
              <w:bottom w:val="single" w:color="auto" w:sz="4" w:space="0"/>
              <w:right w:val="single" w:color="auto" w:sz="4" w:space="0"/>
            </w:tcBorders>
            <w:noWrap w:val="0"/>
            <w:vAlign w:val="center"/>
          </w:tcPr>
          <w:p w14:paraId="3A38ABB9">
            <w:pPr>
              <w:spacing w:line="360" w:lineRule="auto"/>
              <w:ind w:firstLine="0" w:firstLineChars="0"/>
              <w:jc w:val="center"/>
              <w:rPr>
                <w:rFonts w:hint="eastAsia" w:ascii="仿宋" w:hAnsi="仿宋" w:eastAsia="仿宋" w:cs="仿宋"/>
                <w:sz w:val="24"/>
                <w:szCs w:val="24"/>
              </w:rPr>
            </w:pPr>
            <w:r>
              <w:rPr>
                <w:rFonts w:hint="eastAsia" w:ascii="仿宋" w:hAnsi="仿宋" w:eastAsia="仿宋" w:cs="仿宋"/>
                <w:sz w:val="24"/>
                <w:szCs w:val="24"/>
              </w:rPr>
              <w:t>10.8</w:t>
            </w:r>
          </w:p>
        </w:tc>
        <w:tc>
          <w:tcPr>
            <w:tcW w:w="1652" w:type="dxa"/>
            <w:tcBorders>
              <w:top w:val="single" w:color="auto" w:sz="4" w:space="0"/>
              <w:left w:val="single" w:color="auto" w:sz="4" w:space="0"/>
              <w:bottom w:val="single" w:color="auto" w:sz="4" w:space="0"/>
              <w:right w:val="single" w:color="auto" w:sz="4" w:space="0"/>
            </w:tcBorders>
            <w:noWrap w:val="0"/>
            <w:vAlign w:val="center"/>
          </w:tcPr>
          <w:p w14:paraId="0E146213">
            <w:pPr>
              <w:adjustRightInd w:val="0"/>
              <w:snapToGrid w:val="0"/>
              <w:spacing w:line="360" w:lineRule="auto"/>
              <w:ind w:firstLine="0" w:firstLineChars="0"/>
              <w:rPr>
                <w:rFonts w:hint="eastAsia" w:ascii="仿宋" w:hAnsi="仿宋" w:eastAsia="仿宋" w:cs="仿宋"/>
                <w:kern w:val="0"/>
                <w:sz w:val="24"/>
                <w:szCs w:val="24"/>
              </w:rPr>
            </w:pPr>
            <w:r>
              <w:rPr>
                <w:rFonts w:hint="eastAsia" w:ascii="仿宋" w:hAnsi="仿宋" w:eastAsia="仿宋" w:cs="仿宋"/>
                <w:kern w:val="0"/>
                <w:sz w:val="24"/>
                <w:szCs w:val="24"/>
              </w:rPr>
              <w:t>比选代理服务费</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3062B166">
            <w:pPr>
              <w:adjustRightInd w:val="0"/>
              <w:snapToGrid w:val="0"/>
              <w:spacing w:line="360" w:lineRule="auto"/>
              <w:ind w:firstLine="0" w:firstLineChars="0"/>
              <w:rPr>
                <w:rFonts w:hint="eastAsia" w:ascii="仿宋" w:hAnsi="仿宋" w:eastAsia="仿宋" w:cs="仿宋"/>
                <w:sz w:val="24"/>
                <w:szCs w:val="24"/>
              </w:rPr>
            </w:pPr>
            <w:r>
              <w:rPr>
                <w:rFonts w:hint="eastAsia" w:ascii="仿宋" w:hAnsi="仿宋" w:eastAsia="仿宋" w:cs="仿宋"/>
                <w:kern w:val="0"/>
                <w:sz w:val="24"/>
                <w:szCs w:val="24"/>
              </w:rPr>
              <w:t>1.本工程</w:t>
            </w:r>
            <w:r>
              <w:rPr>
                <w:rFonts w:hint="eastAsia" w:ascii="仿宋" w:hAnsi="仿宋" w:eastAsia="仿宋" w:cs="仿宋"/>
                <w:sz w:val="24"/>
                <w:szCs w:val="24"/>
              </w:rPr>
              <w:t>的比选代理服务费由中选人支付。本工程比选工作结束后（即中选人在领取中标通知书之前），应向比选代理机构一次性支付相应的比选代理服务费用。</w:t>
            </w:r>
          </w:p>
          <w:p w14:paraId="09D7962B">
            <w:pP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2.本次比选的比选代理服务费由中选人承担，包干收费</w:t>
            </w:r>
            <w:r>
              <w:rPr>
                <w:rFonts w:hint="eastAsia" w:ascii="仿宋" w:hAnsi="仿宋" w:eastAsia="仿宋" w:cs="仿宋"/>
                <w:sz w:val="24"/>
                <w:szCs w:val="24"/>
                <w:lang w:val="en-US" w:eastAsia="zh-CN"/>
              </w:rPr>
              <w:t>2500</w:t>
            </w:r>
            <w:r>
              <w:rPr>
                <w:rFonts w:hint="eastAsia" w:ascii="仿宋" w:hAnsi="仿宋" w:eastAsia="仿宋" w:cs="仿宋"/>
                <w:sz w:val="24"/>
                <w:szCs w:val="24"/>
              </w:rPr>
              <w:t>.00元（</w:t>
            </w:r>
            <w:r>
              <w:rPr>
                <w:rFonts w:hint="eastAsia" w:ascii="仿宋" w:hAnsi="仿宋" w:eastAsia="仿宋" w:cs="仿宋"/>
                <w:sz w:val="24"/>
                <w:szCs w:val="24"/>
                <w:lang w:val="en-US" w:eastAsia="zh-CN"/>
              </w:rPr>
              <w:t>人民币大写贰仟伍佰元整</w:t>
            </w:r>
            <w:r>
              <w:rPr>
                <w:rFonts w:hint="eastAsia" w:ascii="仿宋" w:hAnsi="仿宋" w:eastAsia="仿宋" w:cs="仿宋"/>
                <w:sz w:val="24"/>
                <w:szCs w:val="24"/>
              </w:rPr>
              <w:t>）。</w:t>
            </w:r>
          </w:p>
          <w:p w14:paraId="31C68DFD">
            <w:pPr>
              <w:spacing w:line="360" w:lineRule="auto"/>
              <w:ind w:firstLine="0" w:firstLineChars="0"/>
              <w:rPr>
                <w:rFonts w:hint="eastAsia" w:ascii="仿宋" w:hAnsi="仿宋" w:eastAsia="仿宋" w:cs="仿宋"/>
                <w:sz w:val="24"/>
                <w:szCs w:val="24"/>
              </w:rPr>
            </w:pPr>
            <w:r>
              <w:rPr>
                <w:rFonts w:hint="eastAsia" w:ascii="仿宋" w:hAnsi="仿宋" w:eastAsia="仿宋" w:cs="仿宋"/>
                <w:kern w:val="0"/>
                <w:sz w:val="24"/>
                <w:szCs w:val="24"/>
              </w:rPr>
              <w:t>在中选通知书发出时，由中选人一次性向比选代理机构支付比选代理服务费，比选人不再支付招标代理费。</w:t>
            </w:r>
          </w:p>
        </w:tc>
      </w:tr>
      <w:bookmarkEnd w:id="106"/>
      <w:bookmarkEnd w:id="107"/>
    </w:tbl>
    <w:p w14:paraId="76270C28">
      <w:pPr>
        <w:rPr>
          <w:rFonts w:hint="eastAsia" w:ascii="仿宋" w:hAnsi="仿宋" w:eastAsia="仿宋" w:cs="仿宋"/>
          <w:b/>
          <w:snapToGrid w:val="0"/>
          <w:w w:val="99"/>
          <w:szCs w:val="21"/>
        </w:rPr>
      </w:pPr>
      <w:bookmarkStart w:id="109" w:name="_Toc339360684"/>
      <w:bookmarkStart w:id="110" w:name="_Toc200513126"/>
      <w:bookmarkStart w:id="111" w:name="_Toc66460665"/>
      <w:bookmarkStart w:id="112" w:name="_Toc31578"/>
      <w:r>
        <w:rPr>
          <w:rFonts w:hint="eastAsia" w:ascii="仿宋" w:hAnsi="仿宋" w:eastAsia="仿宋" w:cs="仿宋"/>
          <w:b/>
          <w:snapToGrid w:val="0"/>
          <w:w w:val="99"/>
          <w:szCs w:val="21"/>
        </w:rPr>
        <w:br w:type="page"/>
      </w:r>
    </w:p>
    <w:p w14:paraId="39007C92">
      <w:pPr>
        <w:spacing w:line="560" w:lineRule="exact"/>
        <w:outlineLvl w:val="1"/>
        <w:rPr>
          <w:rFonts w:hint="eastAsia" w:ascii="仿宋" w:hAnsi="仿宋" w:eastAsia="仿宋" w:cs="仿宋"/>
          <w:b/>
          <w:snapToGrid w:val="0"/>
          <w:w w:val="99"/>
          <w:szCs w:val="21"/>
        </w:rPr>
      </w:pPr>
      <w:r>
        <w:rPr>
          <w:rFonts w:hint="eastAsia" w:ascii="仿宋" w:hAnsi="仿宋" w:eastAsia="仿宋" w:cs="仿宋"/>
          <w:b/>
          <w:snapToGrid w:val="0"/>
          <w:w w:val="99"/>
          <w:szCs w:val="21"/>
        </w:rPr>
        <w:t>1.  总则</w:t>
      </w:r>
      <w:bookmarkEnd w:id="109"/>
      <w:bookmarkEnd w:id="110"/>
      <w:bookmarkEnd w:id="111"/>
    </w:p>
    <w:p w14:paraId="43EBA79D">
      <w:pPr>
        <w:spacing w:line="560" w:lineRule="exact"/>
        <w:rPr>
          <w:rFonts w:hint="eastAsia" w:ascii="仿宋" w:hAnsi="仿宋" w:eastAsia="仿宋" w:cs="仿宋"/>
          <w:b/>
          <w:snapToGrid w:val="0"/>
          <w:szCs w:val="21"/>
        </w:rPr>
      </w:pPr>
      <w:bookmarkStart w:id="113" w:name="_Toc264976021"/>
      <w:bookmarkStart w:id="114" w:name="_Toc200513127"/>
      <w:r>
        <w:rPr>
          <w:rFonts w:hint="eastAsia" w:ascii="仿宋" w:hAnsi="仿宋" w:eastAsia="仿宋" w:cs="仿宋"/>
          <w:b/>
          <w:snapToGrid w:val="0"/>
          <w:szCs w:val="21"/>
        </w:rPr>
        <w:t>1.1  项目概况</w:t>
      </w:r>
      <w:bookmarkEnd w:id="113"/>
      <w:bookmarkEnd w:id="114"/>
    </w:p>
    <w:p w14:paraId="60D56C34">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1.1.1  根据《 中华人民共和国招标投标法》等有关法律、法规和规章的规定，本比选项目已具备比选条件，现对本标段施工进行比选。</w:t>
      </w:r>
    </w:p>
    <w:p w14:paraId="1009509D">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1.1.2  本比选项目比选人：见竞选人须知前附表。</w:t>
      </w:r>
    </w:p>
    <w:p w14:paraId="6F2BFF9D">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1.1.3  本标段比选代理机构：见竞选人须知前附表。</w:t>
      </w:r>
    </w:p>
    <w:p w14:paraId="1B2C874C">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1.1.4  本比选项目名称：见竞选人须知前附表。</w:t>
      </w:r>
    </w:p>
    <w:p w14:paraId="5BF4D8EF">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1.1.5  本标段建设地点：见竞选人须知前附表。</w:t>
      </w:r>
    </w:p>
    <w:p w14:paraId="359EF753">
      <w:pPr>
        <w:spacing w:line="560" w:lineRule="exact"/>
        <w:rPr>
          <w:rFonts w:hint="eastAsia" w:ascii="仿宋" w:hAnsi="仿宋" w:eastAsia="仿宋" w:cs="仿宋"/>
          <w:b/>
          <w:snapToGrid w:val="0"/>
          <w:szCs w:val="21"/>
        </w:rPr>
      </w:pPr>
      <w:bookmarkStart w:id="115" w:name="_Toc200513128"/>
      <w:bookmarkStart w:id="116" w:name="_Toc264976022"/>
      <w:r>
        <w:rPr>
          <w:rFonts w:hint="eastAsia" w:ascii="仿宋" w:hAnsi="仿宋" w:eastAsia="仿宋" w:cs="仿宋"/>
          <w:b/>
          <w:snapToGrid w:val="0"/>
          <w:szCs w:val="21"/>
        </w:rPr>
        <w:t>1.2  资金来源和落实情况</w:t>
      </w:r>
      <w:bookmarkEnd w:id="115"/>
      <w:bookmarkEnd w:id="116"/>
    </w:p>
    <w:p w14:paraId="576240CE">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1.2.1  本比选项目的资金来源：见竞选人须知前附表。</w:t>
      </w:r>
    </w:p>
    <w:p w14:paraId="52DBB219">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1.2.2  本比选项目的出资比例：见竞选人须知前附表。</w:t>
      </w:r>
    </w:p>
    <w:p w14:paraId="30EA8C2B">
      <w:pPr>
        <w:spacing w:line="560" w:lineRule="exact"/>
        <w:rPr>
          <w:rFonts w:hint="eastAsia" w:ascii="仿宋" w:hAnsi="仿宋" w:eastAsia="仿宋" w:cs="仿宋"/>
          <w:b/>
          <w:snapToGrid w:val="0"/>
          <w:szCs w:val="21"/>
        </w:rPr>
      </w:pPr>
      <w:bookmarkStart w:id="117" w:name="_Toc264976023"/>
      <w:bookmarkStart w:id="118" w:name="_Toc200513129"/>
      <w:r>
        <w:rPr>
          <w:rFonts w:hint="eastAsia" w:ascii="仿宋" w:hAnsi="仿宋" w:eastAsia="仿宋" w:cs="仿宋"/>
          <w:b/>
          <w:snapToGrid w:val="0"/>
          <w:szCs w:val="21"/>
        </w:rPr>
        <w:t>1.3  比选范围、计划工期和质量要求</w:t>
      </w:r>
      <w:bookmarkEnd w:id="117"/>
      <w:bookmarkEnd w:id="118"/>
    </w:p>
    <w:p w14:paraId="356D76A1">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1.3.1  本次比选范围：见竞选人须知前附表。</w:t>
      </w:r>
    </w:p>
    <w:p w14:paraId="3427FC63">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1.3.2  本标段的计划工期：见竞选人须知前附表。</w:t>
      </w:r>
    </w:p>
    <w:p w14:paraId="6E542342">
      <w:pPr>
        <w:autoSpaceDE w:val="0"/>
        <w:autoSpaceDN w:val="0"/>
        <w:adjustRightInd w:val="0"/>
        <w:snapToGrid w:val="0"/>
        <w:spacing w:line="560" w:lineRule="exact"/>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1.3.3  本标段的质量要求：见竞选人须知前附表。</w:t>
      </w:r>
    </w:p>
    <w:p w14:paraId="4C3F37A6">
      <w:pPr>
        <w:spacing w:line="560" w:lineRule="exact"/>
        <w:rPr>
          <w:rFonts w:hint="eastAsia" w:ascii="仿宋" w:hAnsi="仿宋" w:eastAsia="仿宋" w:cs="仿宋"/>
          <w:b/>
          <w:snapToGrid w:val="0"/>
          <w:szCs w:val="21"/>
        </w:rPr>
      </w:pPr>
      <w:bookmarkStart w:id="119" w:name="_Toc264976024"/>
      <w:bookmarkStart w:id="120" w:name="_Toc200513131"/>
      <w:r>
        <w:rPr>
          <w:rFonts w:hint="eastAsia" w:ascii="仿宋" w:hAnsi="仿宋" w:eastAsia="仿宋" w:cs="仿宋"/>
          <w:b/>
          <w:snapToGrid w:val="0"/>
          <w:szCs w:val="21"/>
        </w:rPr>
        <w:t>1.4  竞选人资格要求</w:t>
      </w:r>
      <w:bookmarkEnd w:id="119"/>
      <w:bookmarkEnd w:id="120"/>
    </w:p>
    <w:p w14:paraId="6759E02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1.4.1 竞选人应具备承担本标段施工的资质条件、能力和信誉。</w:t>
      </w:r>
    </w:p>
    <w:p w14:paraId="0FE03D34">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（1）资质条件、营业执照及安全生产条件：见竞选人须知前附表；</w:t>
      </w:r>
    </w:p>
    <w:p w14:paraId="6020219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（2）财务要求：见竞选人须知前附表；</w:t>
      </w:r>
    </w:p>
    <w:p w14:paraId="6343949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（3）业绩要求：/；</w:t>
      </w:r>
    </w:p>
    <w:p w14:paraId="7F718E0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（4）投标截止日投标资格情况：见竞选人须知前附表；</w:t>
      </w:r>
    </w:p>
    <w:p w14:paraId="0C464DF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（5）项目经理资格要求：见竞选人须知前附表；</w:t>
      </w:r>
    </w:p>
    <w:p w14:paraId="36119CD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（6）其他要求：见竞选人须知前附表。</w:t>
      </w:r>
    </w:p>
    <w:p w14:paraId="07F07CE4">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1.4.2  竞选人不得存在下列情形之一：</w:t>
      </w:r>
    </w:p>
    <w:p w14:paraId="20378B3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（1）为比选人不具有独立法人资格的附属机构（单位）；</w:t>
      </w:r>
    </w:p>
    <w:p w14:paraId="0B00A7F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（2）为本标段前期准备提供设计或咨询服务的，但设计施工总承包的除外；</w:t>
      </w:r>
    </w:p>
    <w:p w14:paraId="4E8AF7D6">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（3）为本标段的监理人；</w:t>
      </w:r>
    </w:p>
    <w:p w14:paraId="77386978">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（4）为本标段的代建人；</w:t>
      </w:r>
    </w:p>
    <w:p w14:paraId="6FAFBDB8">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（5）为本标段提供比选代理服务的；</w:t>
      </w:r>
    </w:p>
    <w:p w14:paraId="34B6281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（6）与本标段的监理人或代建人或比选代理机构同为一个法定代表人的；</w:t>
      </w:r>
    </w:p>
    <w:p w14:paraId="1698882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（7）与本标段的监理人或代建人或比选代理机构相互控股或参股的；</w:t>
      </w:r>
    </w:p>
    <w:p w14:paraId="4B61117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（8）与本标段的监理人或代建人或比选代理机构相互任职或工作的；</w:t>
      </w:r>
    </w:p>
    <w:p w14:paraId="4A7381F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（9）被责令停业的；</w:t>
      </w:r>
    </w:p>
    <w:p w14:paraId="7215886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（10）被暂停或取消竞选资格的；</w:t>
      </w:r>
    </w:p>
    <w:p w14:paraId="6C86F10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（11）财产被接管或冻结的；</w:t>
      </w:r>
    </w:p>
    <w:p w14:paraId="73AB65C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（12）在最近三年内有骗取中标或严重违约或重大工程质量问题的；</w:t>
      </w:r>
    </w:p>
    <w:p w14:paraId="29CA59B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（13）两个以上竞选人的法定代表人为同一人，母公司、全资子公司及其控股公司，不得在同一标段中同时竞选。</w:t>
      </w:r>
    </w:p>
    <w:p w14:paraId="3F2C389E">
      <w:pPr>
        <w:rPr>
          <w:rFonts w:hint="eastAsia" w:ascii="仿宋" w:hAnsi="仿宋" w:eastAsia="仿宋" w:cs="仿宋"/>
          <w:b/>
          <w:snapToGrid w:val="0"/>
          <w:szCs w:val="21"/>
        </w:rPr>
      </w:pPr>
      <w:bookmarkStart w:id="121" w:name="_Toc264976025"/>
      <w:bookmarkStart w:id="122" w:name="_Toc200513132"/>
      <w:r>
        <w:rPr>
          <w:rFonts w:hint="eastAsia" w:ascii="仿宋" w:hAnsi="仿宋" w:eastAsia="仿宋" w:cs="仿宋"/>
          <w:b/>
          <w:snapToGrid w:val="0"/>
          <w:szCs w:val="21"/>
        </w:rPr>
        <w:t>1.5  费用承担</w:t>
      </w:r>
      <w:bookmarkEnd w:id="121"/>
      <w:bookmarkEnd w:id="122"/>
    </w:p>
    <w:p w14:paraId="6D567CED">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竞选人准备和参加竞选活动发生的费用自理。</w:t>
      </w:r>
    </w:p>
    <w:p w14:paraId="07AF96A6">
      <w:pPr>
        <w:rPr>
          <w:rFonts w:hint="eastAsia" w:ascii="仿宋" w:hAnsi="仿宋" w:eastAsia="仿宋" w:cs="仿宋"/>
          <w:b/>
          <w:snapToGrid w:val="0"/>
          <w:szCs w:val="21"/>
        </w:rPr>
      </w:pPr>
      <w:bookmarkStart w:id="123" w:name="_Toc200513133"/>
      <w:bookmarkStart w:id="124" w:name="_Toc264976026"/>
      <w:r>
        <w:rPr>
          <w:rFonts w:hint="eastAsia" w:ascii="仿宋" w:hAnsi="仿宋" w:eastAsia="仿宋" w:cs="仿宋"/>
          <w:b/>
          <w:snapToGrid w:val="0"/>
          <w:szCs w:val="21"/>
        </w:rPr>
        <w:t>1.6  保密</w:t>
      </w:r>
      <w:bookmarkEnd w:id="123"/>
      <w:bookmarkEnd w:id="124"/>
    </w:p>
    <w:p w14:paraId="4A9C1D98">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参与竞争性比选活动的各方应对比选文件和竞选文件中的商业和技术等秘密保密，违者应 对由此造成的后果承担法律责任。</w:t>
      </w:r>
    </w:p>
    <w:p w14:paraId="7161CEA6">
      <w:pPr>
        <w:rPr>
          <w:rFonts w:hint="eastAsia" w:ascii="仿宋" w:hAnsi="仿宋" w:eastAsia="仿宋" w:cs="仿宋"/>
          <w:b/>
          <w:snapToGrid w:val="0"/>
          <w:szCs w:val="21"/>
        </w:rPr>
      </w:pPr>
      <w:bookmarkStart w:id="125" w:name="_Toc200513134"/>
      <w:bookmarkStart w:id="126" w:name="_Toc264976027"/>
      <w:r>
        <w:rPr>
          <w:rFonts w:hint="eastAsia" w:ascii="仿宋" w:hAnsi="仿宋" w:eastAsia="仿宋" w:cs="仿宋"/>
          <w:b/>
          <w:snapToGrid w:val="0"/>
          <w:szCs w:val="21"/>
        </w:rPr>
        <w:t>1.7  语言文字</w:t>
      </w:r>
      <w:bookmarkEnd w:id="125"/>
      <w:bookmarkEnd w:id="126"/>
    </w:p>
    <w:p w14:paraId="51567DD4">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除专用术语外，与竞争性比选有关的语言均使用中文。必要时专用术语应附有中文注释。</w:t>
      </w:r>
    </w:p>
    <w:p w14:paraId="0700ED3F">
      <w:pPr>
        <w:rPr>
          <w:rFonts w:hint="eastAsia" w:ascii="仿宋" w:hAnsi="仿宋" w:eastAsia="仿宋" w:cs="仿宋"/>
          <w:b/>
          <w:snapToGrid w:val="0"/>
          <w:szCs w:val="21"/>
        </w:rPr>
      </w:pPr>
      <w:bookmarkStart w:id="127" w:name="_Toc264976028"/>
      <w:bookmarkStart w:id="128" w:name="_Toc200513135"/>
      <w:r>
        <w:rPr>
          <w:rFonts w:hint="eastAsia" w:ascii="仿宋" w:hAnsi="仿宋" w:eastAsia="仿宋" w:cs="仿宋"/>
          <w:b/>
          <w:snapToGrid w:val="0"/>
          <w:szCs w:val="21"/>
        </w:rPr>
        <w:t>1.8  计量单位</w:t>
      </w:r>
      <w:bookmarkEnd w:id="127"/>
      <w:bookmarkEnd w:id="128"/>
    </w:p>
    <w:p w14:paraId="46F0E09F">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所有计量均采用中华人民共和国法定计量单位。</w:t>
      </w:r>
    </w:p>
    <w:p w14:paraId="607A1737">
      <w:pPr>
        <w:rPr>
          <w:rFonts w:hint="eastAsia" w:ascii="仿宋" w:hAnsi="仿宋" w:eastAsia="仿宋" w:cs="仿宋"/>
          <w:b/>
          <w:snapToGrid w:val="0"/>
          <w:szCs w:val="21"/>
        </w:rPr>
      </w:pPr>
      <w:bookmarkStart w:id="129" w:name="_Toc200513136"/>
      <w:bookmarkStart w:id="130" w:name="_Toc264976029"/>
      <w:r>
        <w:rPr>
          <w:rFonts w:hint="eastAsia" w:ascii="仿宋" w:hAnsi="仿宋" w:eastAsia="仿宋" w:cs="仿宋"/>
          <w:b/>
          <w:snapToGrid w:val="0"/>
          <w:szCs w:val="21"/>
        </w:rPr>
        <w:t>1.9  踏勘现场</w:t>
      </w:r>
      <w:bookmarkEnd w:id="129"/>
      <w:bookmarkEnd w:id="130"/>
    </w:p>
    <w:p w14:paraId="72F7C5B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1.9.1  竞选人须知前附表规定组织踏勘现场的，比选人按竞选人须知前附表规定的时间、 地点组织竞选人踏勘项目现场。</w:t>
      </w:r>
    </w:p>
    <w:p w14:paraId="26FC2ADD">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1.9.2  竞选人踏勘现场发生的费用自理。</w:t>
      </w:r>
    </w:p>
    <w:p w14:paraId="34C8BC19">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1.9.3  除比选人的原因外，竞选人自行负责在踏勘现场中所发生的人员伤亡和财产损失。</w:t>
      </w:r>
    </w:p>
    <w:p w14:paraId="5A32CAAD">
      <w:pPr>
        <w:rPr>
          <w:rFonts w:hint="eastAsia" w:ascii="仿宋" w:hAnsi="仿宋" w:eastAsia="仿宋" w:cs="仿宋"/>
          <w:b/>
          <w:snapToGrid w:val="0"/>
          <w:szCs w:val="21"/>
        </w:rPr>
      </w:pPr>
      <w:bookmarkStart w:id="131" w:name="_Toc264976030"/>
      <w:bookmarkStart w:id="132" w:name="_Toc200513137"/>
      <w:r>
        <w:rPr>
          <w:rFonts w:hint="eastAsia" w:ascii="仿宋" w:hAnsi="仿宋" w:eastAsia="仿宋" w:cs="仿宋"/>
          <w:b/>
          <w:snapToGrid w:val="0"/>
          <w:szCs w:val="21"/>
        </w:rPr>
        <w:t>1.10  竞选预备会</w:t>
      </w:r>
      <w:bookmarkEnd w:id="131"/>
      <w:bookmarkEnd w:id="132"/>
    </w:p>
    <w:p w14:paraId="5AC84B27">
      <w:pPr>
        <w:autoSpaceDE w:val="0"/>
        <w:autoSpaceDN w:val="0"/>
        <w:adjustRightInd w:val="0"/>
        <w:snapToGrid w:val="0"/>
        <w:spacing w:line="360" w:lineRule="auto"/>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不召开</w:t>
      </w:r>
    </w:p>
    <w:p w14:paraId="266AF0A7">
      <w:pPr>
        <w:rPr>
          <w:rFonts w:hint="eastAsia" w:ascii="仿宋" w:hAnsi="仿宋" w:eastAsia="仿宋" w:cs="仿宋"/>
          <w:b/>
          <w:snapToGrid w:val="0"/>
          <w:szCs w:val="21"/>
        </w:rPr>
      </w:pPr>
      <w:bookmarkStart w:id="133" w:name="_Toc200513138"/>
      <w:bookmarkStart w:id="134" w:name="_Toc264976031"/>
      <w:r>
        <w:rPr>
          <w:rFonts w:hint="eastAsia" w:ascii="仿宋" w:hAnsi="仿宋" w:eastAsia="仿宋" w:cs="仿宋"/>
          <w:b/>
          <w:snapToGrid w:val="0"/>
          <w:szCs w:val="21"/>
        </w:rPr>
        <w:t>1.11  分包</w:t>
      </w:r>
      <w:bookmarkEnd w:id="133"/>
      <w:bookmarkEnd w:id="134"/>
    </w:p>
    <w:p w14:paraId="4C338226">
      <w:pPr>
        <w:autoSpaceDE w:val="0"/>
        <w:autoSpaceDN w:val="0"/>
        <w:adjustRightInd w:val="0"/>
        <w:snapToGrid w:val="0"/>
        <w:spacing w:line="360" w:lineRule="auto"/>
        <w:ind w:firstLine="480" w:firstLineChars="200"/>
        <w:jc w:val="left"/>
        <w:rPr>
          <w:rFonts w:hint="eastAsia" w:ascii="仿宋" w:hAnsi="仿宋" w:eastAsia="仿宋" w:cs="仿宋"/>
          <w:snapToGrid w:val="0"/>
          <w:kern w:val="0"/>
          <w:szCs w:val="21"/>
        </w:rPr>
      </w:pPr>
      <w:bookmarkStart w:id="135" w:name="_Toc200513139"/>
      <w:r>
        <w:rPr>
          <w:rFonts w:hint="eastAsia" w:ascii="仿宋" w:hAnsi="仿宋" w:eastAsia="仿宋" w:cs="仿宋"/>
          <w:snapToGrid w:val="0"/>
          <w:kern w:val="0"/>
          <w:szCs w:val="21"/>
        </w:rPr>
        <w:t>不允许分包。</w:t>
      </w:r>
    </w:p>
    <w:p w14:paraId="6B03F095">
      <w:pPr>
        <w:rPr>
          <w:rFonts w:hint="eastAsia" w:ascii="仿宋" w:hAnsi="仿宋" w:eastAsia="仿宋" w:cs="仿宋"/>
          <w:b/>
          <w:snapToGrid w:val="0"/>
          <w:szCs w:val="21"/>
        </w:rPr>
      </w:pPr>
      <w:bookmarkStart w:id="136" w:name="_Toc264976032"/>
      <w:r>
        <w:rPr>
          <w:rFonts w:hint="eastAsia" w:ascii="仿宋" w:hAnsi="仿宋" w:eastAsia="仿宋" w:cs="仿宋"/>
          <w:b/>
          <w:snapToGrid w:val="0"/>
          <w:szCs w:val="21"/>
        </w:rPr>
        <w:t>1.12  偏离</w:t>
      </w:r>
      <w:bookmarkEnd w:id="135"/>
      <w:bookmarkEnd w:id="136"/>
    </w:p>
    <w:p w14:paraId="016056B8">
      <w:pPr>
        <w:autoSpaceDE w:val="0"/>
        <w:autoSpaceDN w:val="0"/>
        <w:adjustRightInd w:val="0"/>
        <w:snapToGrid w:val="0"/>
        <w:spacing w:line="360" w:lineRule="auto"/>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不允许。</w:t>
      </w:r>
    </w:p>
    <w:p w14:paraId="1FBAF6A3">
      <w:pPr>
        <w:outlineLvl w:val="1"/>
        <w:rPr>
          <w:rFonts w:hint="eastAsia" w:ascii="仿宋" w:hAnsi="仿宋" w:eastAsia="仿宋" w:cs="仿宋"/>
          <w:b/>
          <w:snapToGrid w:val="0"/>
          <w:w w:val="99"/>
          <w:szCs w:val="21"/>
        </w:rPr>
      </w:pPr>
      <w:bookmarkStart w:id="137" w:name="_Toc339360685"/>
      <w:bookmarkStart w:id="138" w:name="_Toc200513140"/>
      <w:bookmarkStart w:id="139" w:name="_Toc66460666"/>
      <w:r>
        <w:rPr>
          <w:rFonts w:hint="eastAsia" w:ascii="仿宋" w:hAnsi="仿宋" w:eastAsia="仿宋" w:cs="仿宋"/>
          <w:b/>
          <w:snapToGrid w:val="0"/>
          <w:w w:val="99"/>
          <w:szCs w:val="21"/>
        </w:rPr>
        <w:t>2.  比选文件</w:t>
      </w:r>
      <w:bookmarkEnd w:id="137"/>
      <w:bookmarkEnd w:id="138"/>
      <w:bookmarkEnd w:id="139"/>
    </w:p>
    <w:p w14:paraId="2CFE8732">
      <w:pPr>
        <w:rPr>
          <w:rFonts w:hint="eastAsia" w:ascii="仿宋" w:hAnsi="仿宋" w:eastAsia="仿宋" w:cs="仿宋"/>
          <w:b/>
          <w:snapToGrid w:val="0"/>
          <w:szCs w:val="21"/>
        </w:rPr>
      </w:pPr>
      <w:bookmarkStart w:id="140" w:name="_Toc264976034"/>
      <w:bookmarkStart w:id="141" w:name="_Toc200513141"/>
      <w:r>
        <w:rPr>
          <w:rFonts w:hint="eastAsia" w:ascii="仿宋" w:hAnsi="仿宋" w:eastAsia="仿宋" w:cs="仿宋"/>
          <w:b/>
          <w:snapToGrid w:val="0"/>
          <w:szCs w:val="21"/>
        </w:rPr>
        <w:t>2.1  比选文件的组成</w:t>
      </w:r>
      <w:bookmarkEnd w:id="140"/>
      <w:bookmarkEnd w:id="141"/>
    </w:p>
    <w:p w14:paraId="2C44689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本比选文件包括：</w:t>
      </w:r>
    </w:p>
    <w:p w14:paraId="103CBEE6">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（1）比选公告；</w:t>
      </w:r>
    </w:p>
    <w:p w14:paraId="3D07C5F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（2）竞选人须知；</w:t>
      </w:r>
    </w:p>
    <w:p w14:paraId="3E31F886">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（3）评标办法；</w:t>
      </w:r>
    </w:p>
    <w:p w14:paraId="4AF9B22C">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（4）合同条款及格式；</w:t>
      </w:r>
    </w:p>
    <w:p w14:paraId="588ECA0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（5）工程量清单；</w:t>
      </w:r>
    </w:p>
    <w:p w14:paraId="675F5C0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w:t>
      </w:r>
      <w:r>
        <w:rPr>
          <w:rFonts w:hint="eastAsia" w:ascii="仿宋" w:hAnsi="仿宋" w:eastAsia="仿宋" w:cs="仿宋"/>
          <w:snapToGrid w:val="0"/>
          <w:kern w:val="0"/>
          <w:szCs w:val="21"/>
          <w:lang w:val="en-US" w:eastAsia="zh-CN"/>
        </w:rPr>
        <w:t>6</w:t>
      </w:r>
      <w:r>
        <w:rPr>
          <w:rFonts w:hint="eastAsia" w:ascii="仿宋" w:hAnsi="仿宋" w:eastAsia="仿宋" w:cs="仿宋"/>
          <w:snapToGrid w:val="0"/>
          <w:kern w:val="0"/>
          <w:szCs w:val="21"/>
        </w:rPr>
        <w:t>）竞选文件格式；</w:t>
      </w:r>
    </w:p>
    <w:p w14:paraId="25CA177A">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w:t>
      </w:r>
      <w:r>
        <w:rPr>
          <w:rFonts w:hint="eastAsia" w:ascii="仿宋" w:hAnsi="仿宋" w:eastAsia="仿宋" w:cs="仿宋"/>
          <w:snapToGrid w:val="0"/>
          <w:kern w:val="0"/>
          <w:szCs w:val="21"/>
          <w:lang w:val="en-US" w:eastAsia="zh-CN"/>
        </w:rPr>
        <w:t>7</w:t>
      </w:r>
      <w:r>
        <w:rPr>
          <w:rFonts w:hint="eastAsia" w:ascii="仿宋" w:hAnsi="仿宋" w:eastAsia="仿宋" w:cs="仿宋"/>
          <w:snapToGrid w:val="0"/>
          <w:kern w:val="0"/>
          <w:szCs w:val="21"/>
        </w:rPr>
        <w:t>）竞选人须知前附表规定的其他材料。</w:t>
      </w:r>
    </w:p>
    <w:p w14:paraId="4055433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根据本章第1.10款、第2.2款和第2.3款对比选文件所作的澄清、修改，构成比选文件的组成部分。</w:t>
      </w:r>
    </w:p>
    <w:p w14:paraId="6C00D25A">
      <w:pPr>
        <w:rPr>
          <w:rFonts w:hint="eastAsia" w:ascii="仿宋" w:hAnsi="仿宋" w:eastAsia="仿宋" w:cs="仿宋"/>
          <w:b/>
          <w:snapToGrid w:val="0"/>
          <w:szCs w:val="21"/>
        </w:rPr>
      </w:pPr>
      <w:bookmarkStart w:id="142" w:name="_Toc20953"/>
      <w:bookmarkStart w:id="143" w:name="_Toc339360686"/>
      <w:bookmarkStart w:id="144" w:name="_Toc200513142"/>
      <w:bookmarkStart w:id="145" w:name="_Toc264976035"/>
      <w:r>
        <w:rPr>
          <w:rFonts w:hint="eastAsia" w:ascii="仿宋" w:hAnsi="仿宋" w:eastAsia="仿宋" w:cs="仿宋"/>
          <w:b/>
          <w:snapToGrid w:val="0"/>
          <w:szCs w:val="21"/>
        </w:rPr>
        <w:t>2.2  比选文件的澄清</w:t>
      </w:r>
      <w:bookmarkEnd w:id="142"/>
      <w:bookmarkEnd w:id="143"/>
    </w:p>
    <w:p w14:paraId="3DBAFFA1">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2.2.1竞选人应仔细阅读和检查比选文件的全部内容。如发现缺页或附件不全，应及时向比选人提出，以便补齐。如有疑问，应在竞选人须知前附表规定的时间前以匿名传真方式提交，要求比选人对比选文件予以澄清。</w:t>
      </w:r>
    </w:p>
    <w:p w14:paraId="067438D2">
      <w:pPr>
        <w:spacing w:line="360" w:lineRule="auto"/>
        <w:ind w:firstLine="480" w:firstLineChars="200"/>
        <w:rPr>
          <w:rFonts w:hint="eastAsia" w:ascii="仿宋" w:hAnsi="仿宋" w:eastAsia="仿宋" w:cs="仿宋"/>
          <w:snapToGrid w:val="0"/>
          <w:kern w:val="0"/>
          <w:szCs w:val="21"/>
        </w:rPr>
      </w:pPr>
      <w:bookmarkStart w:id="146" w:name="_Toc17171"/>
      <w:bookmarkStart w:id="147" w:name="_Toc339360687"/>
      <w:r>
        <w:rPr>
          <w:rFonts w:hint="eastAsia" w:ascii="仿宋" w:hAnsi="仿宋" w:eastAsia="仿宋" w:cs="仿宋"/>
          <w:snapToGrid w:val="0"/>
          <w:kern w:val="0"/>
          <w:szCs w:val="21"/>
        </w:rPr>
        <w:t>2.2.2比选文件的澄清将在竞选人须知前附表规定的竞选截止时间3天前以书面形式发给所有购买竞争性比选文件的竞选人，但不指明澄清问题的来源。</w:t>
      </w:r>
    </w:p>
    <w:p w14:paraId="29E3F912">
      <w:pPr>
        <w:autoSpaceDE w:val="0"/>
        <w:autoSpaceDN w:val="0"/>
        <w:adjustRightInd w:val="0"/>
        <w:snapToGrid w:val="0"/>
        <w:spacing w:line="360" w:lineRule="auto"/>
        <w:ind w:firstLine="410" w:firstLineChars="170"/>
        <w:jc w:val="left"/>
        <w:rPr>
          <w:rFonts w:hint="eastAsia" w:ascii="仿宋" w:hAnsi="仿宋" w:eastAsia="仿宋" w:cs="仿宋"/>
          <w:b/>
          <w:snapToGrid w:val="0"/>
          <w:szCs w:val="21"/>
        </w:rPr>
      </w:pPr>
      <w:r>
        <w:rPr>
          <w:rFonts w:hint="eastAsia" w:ascii="仿宋" w:hAnsi="仿宋" w:eastAsia="仿宋" w:cs="仿宋"/>
          <w:b/>
          <w:snapToGrid w:val="0"/>
          <w:szCs w:val="21"/>
        </w:rPr>
        <w:t>2.3  比选文件的修改</w:t>
      </w:r>
      <w:bookmarkEnd w:id="146"/>
      <w:bookmarkEnd w:id="147"/>
    </w:p>
    <w:bookmarkEnd w:id="144"/>
    <w:bookmarkEnd w:id="145"/>
    <w:p w14:paraId="63A02FCA">
      <w:pPr>
        <w:autoSpaceDE w:val="0"/>
        <w:autoSpaceDN w:val="0"/>
        <w:adjustRightInd w:val="0"/>
        <w:snapToGrid w:val="0"/>
        <w:spacing w:line="360" w:lineRule="auto"/>
        <w:ind w:firstLine="408" w:firstLineChars="170"/>
        <w:jc w:val="left"/>
        <w:rPr>
          <w:rFonts w:hint="eastAsia" w:ascii="仿宋" w:hAnsi="仿宋" w:eastAsia="仿宋" w:cs="仿宋"/>
          <w:b/>
          <w:snapToGrid w:val="0"/>
          <w:szCs w:val="21"/>
        </w:rPr>
      </w:pPr>
      <w:bookmarkStart w:id="148" w:name="_Toc200513144"/>
      <w:bookmarkStart w:id="149" w:name="_Toc339360688"/>
      <w:r>
        <w:rPr>
          <w:rFonts w:hint="eastAsia" w:ascii="仿宋" w:hAnsi="仿宋" w:eastAsia="仿宋" w:cs="仿宋"/>
          <w:snapToGrid w:val="0"/>
          <w:kern w:val="0"/>
          <w:szCs w:val="21"/>
        </w:rPr>
        <w:t>2.3.1在距竞选截止时间3天前的任何时候，如果修改比选文件的时间距竞选截止时间不足3天，相应延长竞选截止时间。</w:t>
      </w:r>
    </w:p>
    <w:p w14:paraId="3D064EF4">
      <w:pPr>
        <w:outlineLvl w:val="1"/>
        <w:rPr>
          <w:rFonts w:hint="eastAsia" w:ascii="仿宋" w:hAnsi="仿宋" w:eastAsia="仿宋" w:cs="仿宋"/>
          <w:b/>
          <w:snapToGrid w:val="0"/>
          <w:w w:val="99"/>
          <w:szCs w:val="21"/>
        </w:rPr>
      </w:pPr>
      <w:bookmarkStart w:id="150" w:name="_Toc66460667"/>
      <w:r>
        <w:rPr>
          <w:rFonts w:hint="eastAsia" w:ascii="仿宋" w:hAnsi="仿宋" w:eastAsia="仿宋" w:cs="仿宋"/>
          <w:b/>
          <w:snapToGrid w:val="0"/>
          <w:w w:val="99"/>
          <w:szCs w:val="21"/>
        </w:rPr>
        <w:t>3.  竞选文件</w:t>
      </w:r>
      <w:bookmarkEnd w:id="148"/>
      <w:bookmarkEnd w:id="149"/>
      <w:bookmarkEnd w:id="150"/>
    </w:p>
    <w:p w14:paraId="15D87665">
      <w:pPr>
        <w:rPr>
          <w:rFonts w:hint="eastAsia" w:ascii="仿宋" w:hAnsi="仿宋" w:eastAsia="仿宋" w:cs="仿宋"/>
          <w:b/>
          <w:snapToGrid w:val="0"/>
          <w:szCs w:val="21"/>
        </w:rPr>
      </w:pPr>
      <w:bookmarkStart w:id="151" w:name="_Toc264976038"/>
      <w:bookmarkStart w:id="152" w:name="_Toc200513145"/>
      <w:r>
        <w:rPr>
          <w:rFonts w:hint="eastAsia" w:ascii="仿宋" w:hAnsi="仿宋" w:eastAsia="仿宋" w:cs="仿宋"/>
          <w:b/>
          <w:snapToGrid w:val="0"/>
          <w:szCs w:val="21"/>
        </w:rPr>
        <w:t>3.1  竞选文件的组成</w:t>
      </w:r>
      <w:bookmarkEnd w:id="151"/>
      <w:bookmarkEnd w:id="152"/>
    </w:p>
    <w:p w14:paraId="5814D399">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3.1.1 竞选文件应包括下列内容：</w:t>
      </w:r>
    </w:p>
    <w:p w14:paraId="5CA7AC0A">
      <w:pPr>
        <w:spacing w:line="360" w:lineRule="auto"/>
        <w:ind w:firstLine="480" w:firstLineChars="200"/>
        <w:outlineLvl w:val="0"/>
        <w:rPr>
          <w:rFonts w:hint="eastAsia" w:ascii="仿宋" w:hAnsi="仿宋" w:eastAsia="仿宋" w:cs="仿宋"/>
          <w:sz w:val="24"/>
          <w:szCs w:val="24"/>
          <w:highlight w:val="none"/>
        </w:rPr>
      </w:pPr>
      <w:bookmarkStart w:id="153" w:name="_Toc200513146"/>
      <w:bookmarkStart w:id="154" w:name="_Toc264976039"/>
      <w:r>
        <w:rPr>
          <w:rFonts w:hint="eastAsia" w:ascii="仿宋" w:hAnsi="仿宋" w:eastAsia="仿宋" w:cs="仿宋"/>
          <w:sz w:val="24"/>
          <w:szCs w:val="24"/>
          <w:highlight w:val="none"/>
        </w:rPr>
        <w:t>一、经济部分</w:t>
      </w:r>
    </w:p>
    <w:p w14:paraId="03DEB41B">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（一）报价函</w:t>
      </w:r>
    </w:p>
    <w:p w14:paraId="67FA6AC7">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（二）</w:t>
      </w:r>
      <w:r>
        <w:rPr>
          <w:rFonts w:hint="eastAsia" w:ascii="仿宋" w:hAnsi="仿宋" w:eastAsia="仿宋" w:cs="仿宋"/>
          <w:sz w:val="24"/>
          <w:szCs w:val="24"/>
          <w:highlight w:val="none"/>
          <w:lang w:val="en-US" w:eastAsia="zh-CN"/>
        </w:rPr>
        <w:t>分项报价表明细</w:t>
      </w:r>
    </w:p>
    <w:p w14:paraId="24F0871B">
      <w:pPr>
        <w:autoSpaceDE w:val="0"/>
        <w:autoSpaceDN w:val="0"/>
        <w:adjustRightInd w:val="0"/>
        <w:spacing w:line="360" w:lineRule="auto"/>
        <w:ind w:right="-20"/>
        <w:jc w:val="left"/>
        <w:rPr>
          <w:rFonts w:hint="eastAsia" w:ascii="仿宋" w:hAnsi="仿宋" w:eastAsia="仿宋" w:cs="仿宋"/>
          <w:kern w:val="0"/>
          <w:sz w:val="24"/>
        </w:rPr>
      </w:pPr>
      <w:r>
        <w:rPr>
          <w:rFonts w:hint="eastAsia" w:ascii="仿宋" w:hAnsi="仿宋" w:eastAsia="仿宋" w:cs="仿宋"/>
          <w:kern w:val="0"/>
          <w:sz w:val="24"/>
        </w:rPr>
        <w:t>（</w:t>
      </w:r>
      <w:r>
        <w:rPr>
          <w:rFonts w:hint="eastAsia" w:ascii="仿宋" w:hAnsi="仿宋" w:eastAsia="仿宋" w:cs="仿宋"/>
          <w:kern w:val="0"/>
          <w:sz w:val="24"/>
          <w:lang w:val="en-US" w:eastAsia="zh-CN"/>
        </w:rPr>
        <w:t>三</w:t>
      </w:r>
      <w:r>
        <w:rPr>
          <w:rFonts w:hint="eastAsia" w:ascii="仿宋" w:hAnsi="仿宋" w:eastAsia="仿宋" w:cs="仿宋"/>
          <w:kern w:val="0"/>
          <w:sz w:val="24"/>
        </w:rPr>
        <w:t>）低价风险担保缴纳承诺书</w:t>
      </w:r>
    </w:p>
    <w:p w14:paraId="316975CF">
      <w:pPr>
        <w:autoSpaceDE w:val="0"/>
        <w:autoSpaceDN w:val="0"/>
        <w:adjustRightInd w:val="0"/>
        <w:spacing w:line="360" w:lineRule="auto"/>
        <w:ind w:right="-20"/>
        <w:jc w:val="left"/>
        <w:rPr>
          <w:rFonts w:hint="eastAsia" w:ascii="仿宋" w:hAnsi="仿宋" w:eastAsia="仿宋" w:cs="仿宋"/>
          <w:sz w:val="24"/>
          <w:szCs w:val="24"/>
          <w:highlight w:val="none"/>
          <w:lang w:val="en-US" w:eastAsia="zh-CN"/>
        </w:rPr>
      </w:pPr>
      <w:r>
        <w:rPr>
          <w:rFonts w:hint="eastAsia" w:ascii="仿宋" w:hAnsi="仿宋" w:eastAsia="仿宋" w:cs="仿宋"/>
          <w:kern w:val="0"/>
          <w:sz w:val="24"/>
        </w:rPr>
        <w:t>（</w:t>
      </w:r>
      <w:r>
        <w:rPr>
          <w:rFonts w:hint="eastAsia" w:ascii="仿宋" w:hAnsi="仿宋" w:eastAsia="仿宋" w:cs="仿宋"/>
          <w:kern w:val="0"/>
          <w:sz w:val="24"/>
          <w:lang w:val="en-US" w:eastAsia="zh-CN"/>
        </w:rPr>
        <w:t>四</w:t>
      </w:r>
      <w:r>
        <w:rPr>
          <w:rFonts w:hint="eastAsia" w:ascii="仿宋" w:hAnsi="仿宋" w:eastAsia="仿宋" w:cs="仿宋"/>
          <w:kern w:val="0"/>
          <w:sz w:val="24"/>
        </w:rPr>
        <w:t>）投标总报价低于最高限价 85%的书面说明及相关证明材料（如有）</w:t>
      </w:r>
    </w:p>
    <w:p w14:paraId="46329F32">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二、技术（质量）部分</w:t>
      </w:r>
    </w:p>
    <w:p w14:paraId="60931A55">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（一）技术（质量）</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偏离表</w:t>
      </w:r>
    </w:p>
    <w:p w14:paraId="74A90AE9">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（二）其他资料（格式自定）</w:t>
      </w:r>
    </w:p>
    <w:p w14:paraId="253ACC4A">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三、商务部分</w:t>
      </w:r>
    </w:p>
    <w:p w14:paraId="727FCBCB">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（一）商务</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偏离表</w:t>
      </w:r>
    </w:p>
    <w:p w14:paraId="5677592D">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（二）其它优惠服务承诺（格式自定）</w:t>
      </w:r>
    </w:p>
    <w:p w14:paraId="3EB66BEA">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四、资格条件及其他</w:t>
      </w:r>
    </w:p>
    <w:p w14:paraId="044A16F9">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（一）法人营业执照（副本）或事业单位法人证书（副本）或个体工商户营业执照或有效的自然人身份证明或社会团体法人登记证书</w:t>
      </w:r>
    </w:p>
    <w:p w14:paraId="295228EB">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（二）法定代表人身份证明书（格式）</w:t>
      </w:r>
    </w:p>
    <w:p w14:paraId="1447F10A">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（三）法定代表人授权委托书（格式）</w:t>
      </w:r>
    </w:p>
    <w:p w14:paraId="001854BA">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（四）近年财务状况表</w:t>
      </w:r>
    </w:p>
    <w:p w14:paraId="7286ABD1">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）基本资格条件承诺函（格式）</w:t>
      </w:r>
    </w:p>
    <w:p w14:paraId="3C159366">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）特定资格条件证书或证明文件</w:t>
      </w:r>
    </w:p>
    <w:p w14:paraId="387EA1BA">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五、其他资料</w:t>
      </w:r>
    </w:p>
    <w:p w14:paraId="6D40AA81">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一</w:t>
      </w:r>
      <w:r>
        <w:rPr>
          <w:rFonts w:hint="eastAsia" w:ascii="仿宋" w:hAnsi="仿宋" w:eastAsia="仿宋" w:cs="仿宋"/>
          <w:sz w:val="24"/>
          <w:szCs w:val="24"/>
          <w:highlight w:val="none"/>
        </w:rPr>
        <w:t>）其他与项目有关的资料（自附）</w:t>
      </w:r>
    </w:p>
    <w:p w14:paraId="00F83E27">
      <w:pPr>
        <w:rPr>
          <w:rFonts w:hint="eastAsia" w:ascii="仿宋" w:hAnsi="仿宋" w:eastAsia="仿宋" w:cs="仿宋"/>
          <w:b/>
          <w:snapToGrid w:val="0"/>
          <w:szCs w:val="21"/>
        </w:rPr>
      </w:pPr>
      <w:r>
        <w:rPr>
          <w:rFonts w:hint="eastAsia" w:ascii="仿宋" w:hAnsi="仿宋" w:eastAsia="仿宋" w:cs="仿宋"/>
          <w:b/>
          <w:snapToGrid w:val="0"/>
          <w:szCs w:val="21"/>
        </w:rPr>
        <w:t>3.2  竞选报价</w:t>
      </w:r>
      <w:bookmarkEnd w:id="153"/>
      <w:bookmarkEnd w:id="154"/>
    </w:p>
    <w:p w14:paraId="15843C02">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bookmarkStart w:id="155" w:name="_Toc264976040"/>
      <w:bookmarkStart w:id="156" w:name="_Toc200513147"/>
      <w:r>
        <w:rPr>
          <w:rFonts w:hint="eastAsia" w:ascii="仿宋" w:hAnsi="仿宋" w:eastAsia="仿宋" w:cs="仿宋"/>
          <w:snapToGrid w:val="0"/>
          <w:kern w:val="0"/>
          <w:szCs w:val="21"/>
        </w:rPr>
        <w:t>3.2.1  竞选人应按第五章“工程量清单”的要求填写相应表格。</w:t>
      </w:r>
    </w:p>
    <w:p w14:paraId="06E82417">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3.2.2  竞选人在投标截止时间前修改投标函中的投标总报价，应同时修改第五章“工程量清单”中的相应报价。此修改须符合本章第 4.3 款的有关要求。</w:t>
      </w:r>
    </w:p>
    <w:p w14:paraId="3140AE0A">
      <w:pPr>
        <w:rPr>
          <w:rFonts w:hint="eastAsia" w:ascii="仿宋" w:hAnsi="仿宋" w:eastAsia="仿宋" w:cs="仿宋"/>
          <w:b/>
          <w:snapToGrid w:val="0"/>
          <w:szCs w:val="21"/>
        </w:rPr>
      </w:pPr>
      <w:r>
        <w:rPr>
          <w:rFonts w:hint="eastAsia" w:ascii="仿宋" w:hAnsi="仿宋" w:eastAsia="仿宋" w:cs="仿宋"/>
          <w:b/>
          <w:snapToGrid w:val="0"/>
          <w:szCs w:val="21"/>
        </w:rPr>
        <w:t>3.3  竞选有效期</w:t>
      </w:r>
      <w:bookmarkEnd w:id="155"/>
      <w:bookmarkEnd w:id="156"/>
    </w:p>
    <w:p w14:paraId="331C2C29">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3.3.1  在竞选人须知前附表规定的竞选有效期内，竞选人不得要求撤销或修改其竞选文件。</w:t>
      </w:r>
    </w:p>
    <w:p w14:paraId="589C072D">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3.3.2  出现特殊情况需要延长竞选有效期的，比选人以书面形式通知所有竞选人延长竞选有效期。竞选人同意延长的，应相应延长其竞选保证金的有效期，但不得要求或被允许修改或撤销其竞选文件；竞选人拒绝延长的，其竞选失效，但竞选人有权收回其竞选保证金。</w:t>
      </w:r>
    </w:p>
    <w:p w14:paraId="5D8C38FA">
      <w:pPr>
        <w:rPr>
          <w:rFonts w:hint="eastAsia" w:ascii="仿宋" w:hAnsi="仿宋" w:eastAsia="仿宋" w:cs="仿宋"/>
          <w:b/>
          <w:snapToGrid w:val="0"/>
          <w:szCs w:val="21"/>
        </w:rPr>
      </w:pPr>
      <w:bookmarkStart w:id="157" w:name="_Toc264976041"/>
      <w:bookmarkStart w:id="158" w:name="_Toc200513148"/>
      <w:r>
        <w:rPr>
          <w:rFonts w:hint="eastAsia" w:ascii="仿宋" w:hAnsi="仿宋" w:eastAsia="仿宋" w:cs="仿宋"/>
          <w:b/>
          <w:snapToGrid w:val="0"/>
          <w:szCs w:val="21"/>
        </w:rPr>
        <w:t>3.4  竞选保证金</w:t>
      </w:r>
      <w:bookmarkEnd w:id="157"/>
      <w:bookmarkEnd w:id="158"/>
    </w:p>
    <w:p w14:paraId="6FBA0B04">
      <w:pPr>
        <w:autoSpaceDE w:val="0"/>
        <w:autoSpaceDN w:val="0"/>
        <w:adjustRightInd w:val="0"/>
        <w:snapToGrid w:val="0"/>
        <w:spacing w:line="500" w:lineRule="exact"/>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3.4.1竞选人在递交竞选文件的同时，应按竞选人须知前附表规定的金额、担保形式和第七章“竞选文件格式”规定的竞选保证金格式递交竞选保证金，并作为其竞选文件的组成部分。</w:t>
      </w:r>
    </w:p>
    <w:p w14:paraId="679F67AF">
      <w:pPr>
        <w:autoSpaceDE w:val="0"/>
        <w:autoSpaceDN w:val="0"/>
        <w:adjustRightInd w:val="0"/>
        <w:snapToGrid w:val="0"/>
        <w:spacing w:line="500" w:lineRule="exact"/>
        <w:ind w:left="14" w:leftChars="6"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3.4.2竞选人不按本章第3.4.1项要求提交竞选保证金的，其竞选文件作废标处理。</w:t>
      </w:r>
    </w:p>
    <w:p w14:paraId="746781A1">
      <w:pPr>
        <w:autoSpaceDE w:val="0"/>
        <w:autoSpaceDN w:val="0"/>
        <w:adjustRightInd w:val="0"/>
        <w:snapToGrid w:val="0"/>
        <w:spacing w:line="500" w:lineRule="exact"/>
        <w:ind w:left="14" w:leftChars="6"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3.4.3竞选保证金退还：见竞选人须知前附表。</w:t>
      </w:r>
    </w:p>
    <w:p w14:paraId="303121AA">
      <w:pPr>
        <w:autoSpaceDE w:val="0"/>
        <w:autoSpaceDN w:val="0"/>
        <w:adjustRightInd w:val="0"/>
        <w:snapToGrid w:val="0"/>
        <w:spacing w:line="500" w:lineRule="exact"/>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3.4.4有下列情形之一的，竞选保证金将不予退还：</w:t>
      </w:r>
    </w:p>
    <w:p w14:paraId="46D63687">
      <w:pPr>
        <w:autoSpaceDE w:val="0"/>
        <w:autoSpaceDN w:val="0"/>
        <w:adjustRightInd w:val="0"/>
        <w:snapToGrid w:val="0"/>
        <w:spacing w:line="500" w:lineRule="exact"/>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（1）竞选人在规定的竞选有效期内撤销或修改其竞选文件；</w:t>
      </w:r>
    </w:p>
    <w:p w14:paraId="20B187E5">
      <w:pPr>
        <w:autoSpaceDE w:val="0"/>
        <w:autoSpaceDN w:val="0"/>
        <w:adjustRightInd w:val="0"/>
        <w:snapToGrid w:val="0"/>
        <w:spacing w:line="500" w:lineRule="exact"/>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（2）中选人在收到中标通知书后，无正当理由拒签合同协议书或未按比选文件规定提交履约担保；</w:t>
      </w:r>
    </w:p>
    <w:p w14:paraId="36752E0B">
      <w:pPr>
        <w:autoSpaceDE w:val="0"/>
        <w:autoSpaceDN w:val="0"/>
        <w:adjustRightInd w:val="0"/>
        <w:snapToGrid w:val="0"/>
        <w:spacing w:line="500" w:lineRule="exact"/>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（3）存在围标串标行为的；</w:t>
      </w:r>
    </w:p>
    <w:p w14:paraId="0288D64F">
      <w:pPr>
        <w:autoSpaceDE w:val="0"/>
        <w:autoSpaceDN w:val="0"/>
        <w:adjustRightInd w:val="0"/>
        <w:snapToGrid w:val="0"/>
        <w:spacing w:line="500" w:lineRule="exact"/>
        <w:ind w:firstLine="480" w:firstLineChars="2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（4）提供虚假资料的。</w:t>
      </w:r>
    </w:p>
    <w:p w14:paraId="6358DCC1">
      <w:pPr>
        <w:rPr>
          <w:rFonts w:hint="eastAsia" w:ascii="仿宋" w:hAnsi="仿宋" w:eastAsia="仿宋" w:cs="仿宋"/>
          <w:b/>
          <w:snapToGrid w:val="0"/>
          <w:szCs w:val="21"/>
        </w:rPr>
      </w:pPr>
      <w:bookmarkStart w:id="159" w:name="_Toc264976042"/>
      <w:bookmarkStart w:id="160" w:name="_Toc200513150"/>
      <w:r>
        <w:rPr>
          <w:rFonts w:hint="eastAsia" w:ascii="仿宋" w:hAnsi="仿宋" w:eastAsia="仿宋" w:cs="仿宋"/>
          <w:b/>
          <w:snapToGrid w:val="0"/>
          <w:szCs w:val="21"/>
        </w:rPr>
        <w:t>3.5  资格审查资料</w:t>
      </w:r>
      <w:bookmarkEnd w:id="159"/>
      <w:bookmarkEnd w:id="160"/>
    </w:p>
    <w:p w14:paraId="325EAF8C">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3.5.1  具体要求见竞选须知前附表1.4.1“竞选人资质条件、能力和信誉”和</w:t>
      </w:r>
      <w:r>
        <w:rPr>
          <w:rFonts w:hint="eastAsia" w:ascii="仿宋" w:hAnsi="仿宋" w:eastAsia="仿宋" w:cs="仿宋"/>
          <w:snapToGrid w:val="0"/>
          <w:kern w:val="0"/>
          <w:szCs w:val="21"/>
          <w:lang w:eastAsia="zh-CN"/>
        </w:rPr>
        <w:t>第七篇</w:t>
      </w:r>
      <w:r>
        <w:rPr>
          <w:rFonts w:hint="eastAsia" w:ascii="仿宋" w:hAnsi="仿宋" w:eastAsia="仿宋" w:cs="仿宋"/>
          <w:snapToGrid w:val="0"/>
          <w:kern w:val="0"/>
          <w:szCs w:val="21"/>
        </w:rPr>
        <w:t>“竞选文件格式”和“资格审查资料”的相关规定。</w:t>
      </w:r>
    </w:p>
    <w:p w14:paraId="04300F73">
      <w:pPr>
        <w:rPr>
          <w:rFonts w:hint="eastAsia" w:ascii="仿宋" w:hAnsi="仿宋" w:eastAsia="仿宋" w:cs="仿宋"/>
          <w:b/>
          <w:snapToGrid w:val="0"/>
          <w:szCs w:val="21"/>
        </w:rPr>
      </w:pPr>
      <w:bookmarkStart w:id="161" w:name="_Toc264976043"/>
      <w:bookmarkStart w:id="162" w:name="_Toc200513151"/>
      <w:r>
        <w:rPr>
          <w:rFonts w:hint="eastAsia" w:ascii="仿宋" w:hAnsi="仿宋" w:eastAsia="仿宋" w:cs="仿宋"/>
          <w:b/>
          <w:snapToGrid w:val="0"/>
          <w:szCs w:val="21"/>
        </w:rPr>
        <w:t>3.6  备选竞选方案</w:t>
      </w:r>
      <w:bookmarkEnd w:id="161"/>
      <w:bookmarkEnd w:id="162"/>
    </w:p>
    <w:p w14:paraId="4C2366B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不允许。</w:t>
      </w:r>
    </w:p>
    <w:p w14:paraId="0989D993">
      <w:pPr>
        <w:rPr>
          <w:rFonts w:hint="eastAsia" w:ascii="仿宋" w:hAnsi="仿宋" w:eastAsia="仿宋" w:cs="仿宋"/>
          <w:b/>
          <w:snapToGrid w:val="0"/>
          <w:szCs w:val="21"/>
        </w:rPr>
      </w:pPr>
      <w:bookmarkStart w:id="163" w:name="_Toc264976044"/>
      <w:bookmarkStart w:id="164" w:name="_Toc200513152"/>
      <w:r>
        <w:rPr>
          <w:rFonts w:hint="eastAsia" w:ascii="仿宋" w:hAnsi="仿宋" w:eastAsia="仿宋" w:cs="仿宋"/>
          <w:b/>
          <w:snapToGrid w:val="0"/>
          <w:szCs w:val="21"/>
        </w:rPr>
        <w:t>3.7  竞选文件的编制</w:t>
      </w:r>
      <w:bookmarkEnd w:id="163"/>
      <w:bookmarkEnd w:id="164"/>
    </w:p>
    <w:p w14:paraId="1A15548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3.7.1  竞选文件应按</w:t>
      </w:r>
      <w:r>
        <w:rPr>
          <w:rFonts w:hint="eastAsia" w:ascii="仿宋" w:hAnsi="仿宋" w:eastAsia="仿宋" w:cs="仿宋"/>
          <w:snapToGrid w:val="0"/>
          <w:kern w:val="0"/>
          <w:szCs w:val="21"/>
          <w:lang w:eastAsia="zh-CN"/>
        </w:rPr>
        <w:t>第七篇</w:t>
      </w:r>
      <w:r>
        <w:rPr>
          <w:rFonts w:hint="eastAsia" w:ascii="仿宋" w:hAnsi="仿宋" w:eastAsia="仿宋" w:cs="仿宋"/>
          <w:snapToGrid w:val="0"/>
          <w:kern w:val="0"/>
          <w:szCs w:val="21"/>
        </w:rPr>
        <w:t>“竞选文件格式”进行编写，如有必要，可以增加附页，作为竞选文件的组成部分。其中，竞选函附录在满足比选文件实质性要求的基础上，可以提出比比选文件要求更有利于比选人的承诺。</w:t>
      </w:r>
    </w:p>
    <w:p w14:paraId="3A28B24C">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3.7.2  竞选文件应当对比选文件有关工期、竞选有效期、质量要求、技术标准和要求、比选范围等实质性内容做出</w:t>
      </w:r>
      <w:r>
        <w:rPr>
          <w:rFonts w:hint="eastAsia" w:ascii="仿宋" w:hAnsi="仿宋" w:eastAsia="仿宋" w:cs="仿宋"/>
          <w:snapToGrid w:val="0"/>
          <w:kern w:val="0"/>
          <w:szCs w:val="21"/>
          <w:lang w:eastAsia="zh-CN"/>
        </w:rPr>
        <w:t>竞选</w:t>
      </w:r>
      <w:r>
        <w:rPr>
          <w:rFonts w:hint="eastAsia" w:ascii="仿宋" w:hAnsi="仿宋" w:eastAsia="仿宋" w:cs="仿宋"/>
          <w:snapToGrid w:val="0"/>
          <w:kern w:val="0"/>
          <w:szCs w:val="21"/>
        </w:rPr>
        <w:t>。</w:t>
      </w:r>
    </w:p>
    <w:p w14:paraId="27D0270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3.7.3  竞选文件应由竞选人的法定代表人或其委托代理人按比选文件规定和要求签字、盖单位章。 委托代理人签字的，竞选文件应附法定代表人签署的授权委托书。竞选文件应尽量避免涂改、行间插字或删除。如果出现上述情况，改动之处应加盖单位公章或由竞选人的法定代表人或其授权的代理人签字确认。</w:t>
      </w:r>
    </w:p>
    <w:p w14:paraId="5DF82F2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3.7.4  竞选文件正本一份，副本份数见竞选人须知前附表。正本和副本的封面上应清楚地标记“正本”或“副本”的字样，当副本和正本不一致时，以正本为准。</w:t>
      </w:r>
    </w:p>
    <w:p w14:paraId="6D23EBA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3.7.5  竞选文件的正本与副本应分别装订成册，编制目录，具体装订要求见竞选人须知前附表规定。</w:t>
      </w:r>
    </w:p>
    <w:p w14:paraId="5BE3A6C8">
      <w:pPr>
        <w:pStyle w:val="3"/>
        <w:rPr>
          <w:rFonts w:hint="eastAsia" w:ascii="仿宋" w:hAnsi="仿宋" w:eastAsia="仿宋" w:cs="仿宋"/>
          <w:b/>
          <w:bCs w:val="0"/>
          <w:snapToGrid w:val="0"/>
          <w:kern w:val="2"/>
          <w:sz w:val="24"/>
          <w:szCs w:val="21"/>
          <w:lang w:val="en-US" w:eastAsia="zh-CN" w:bidi="ar-SA"/>
        </w:rPr>
      </w:pPr>
      <w:bookmarkStart w:id="165" w:name="_Toc200513153"/>
      <w:bookmarkStart w:id="166" w:name="_Toc339360689"/>
      <w:bookmarkStart w:id="167" w:name="_Toc66460668"/>
      <w:r>
        <w:rPr>
          <w:rFonts w:hint="eastAsia" w:ascii="仿宋" w:hAnsi="仿宋" w:eastAsia="仿宋" w:cs="仿宋"/>
          <w:b/>
          <w:bCs w:val="0"/>
          <w:snapToGrid w:val="0"/>
          <w:kern w:val="2"/>
          <w:sz w:val="24"/>
          <w:szCs w:val="21"/>
          <w:lang w:val="en-US" w:eastAsia="zh-CN" w:bidi="ar-SA"/>
        </w:rPr>
        <w:t>4.  竞选</w:t>
      </w:r>
      <w:bookmarkEnd w:id="165"/>
      <w:bookmarkEnd w:id="166"/>
      <w:bookmarkEnd w:id="167"/>
    </w:p>
    <w:p w14:paraId="32E2A721">
      <w:pPr>
        <w:rPr>
          <w:rFonts w:hint="eastAsia" w:ascii="仿宋" w:hAnsi="仿宋" w:eastAsia="仿宋" w:cs="仿宋"/>
          <w:b/>
          <w:snapToGrid w:val="0"/>
          <w:szCs w:val="21"/>
        </w:rPr>
      </w:pPr>
      <w:bookmarkStart w:id="168" w:name="_Toc264976046"/>
      <w:bookmarkStart w:id="169" w:name="_Toc200513154"/>
      <w:r>
        <w:rPr>
          <w:rFonts w:hint="eastAsia" w:ascii="仿宋" w:hAnsi="仿宋" w:eastAsia="仿宋" w:cs="仿宋"/>
          <w:b/>
          <w:snapToGrid w:val="0"/>
          <w:szCs w:val="21"/>
        </w:rPr>
        <w:t>4.1  竞选文件的密封和标记</w:t>
      </w:r>
      <w:bookmarkEnd w:id="168"/>
      <w:bookmarkEnd w:id="169"/>
    </w:p>
    <w:p w14:paraId="763B16EF">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bookmarkStart w:id="170" w:name="_Toc200513155"/>
      <w:r>
        <w:rPr>
          <w:rFonts w:hint="eastAsia" w:ascii="仿宋" w:hAnsi="仿宋" w:eastAsia="仿宋" w:cs="仿宋"/>
          <w:snapToGrid w:val="0"/>
          <w:kern w:val="0"/>
          <w:szCs w:val="21"/>
        </w:rPr>
        <w:t xml:space="preserve">4.1.1  竞选文件的正本与副本密封见竞选人须知前附表。 </w:t>
      </w:r>
    </w:p>
    <w:p w14:paraId="5A9F9F2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4.1.2  竞选文件的封套上应写明的内容见竞选人须知前附表。</w:t>
      </w:r>
    </w:p>
    <w:p w14:paraId="2147582F">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4.1.3  未按本章第 4.1.1 项或第 4.1.2 项要求密封和加写标记的竞选文件，比选人不予受理。</w:t>
      </w:r>
    </w:p>
    <w:p w14:paraId="33F77D9B">
      <w:pPr>
        <w:rPr>
          <w:rFonts w:hint="eastAsia" w:ascii="仿宋" w:hAnsi="仿宋" w:eastAsia="仿宋" w:cs="仿宋"/>
          <w:b/>
          <w:snapToGrid w:val="0"/>
          <w:szCs w:val="21"/>
        </w:rPr>
      </w:pPr>
      <w:bookmarkStart w:id="171" w:name="_Toc264976047"/>
      <w:r>
        <w:rPr>
          <w:rFonts w:hint="eastAsia" w:ascii="仿宋" w:hAnsi="仿宋" w:eastAsia="仿宋" w:cs="仿宋"/>
          <w:b/>
          <w:snapToGrid w:val="0"/>
          <w:szCs w:val="21"/>
        </w:rPr>
        <w:t>4.2  竞选文件的递交</w:t>
      </w:r>
      <w:bookmarkEnd w:id="170"/>
      <w:bookmarkEnd w:id="171"/>
    </w:p>
    <w:p w14:paraId="4018CF4D">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4.2.1  竞选人应在本章前附表第 2.2.2 项规定的竞选截止时间前递交竞选文件。</w:t>
      </w:r>
    </w:p>
    <w:p w14:paraId="69F03BA8">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4.2.2  竞选人递交竞选文件的地点：见竞选人须知前附表。</w:t>
      </w:r>
    </w:p>
    <w:p w14:paraId="4A04502B">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4.2.3  除竞选人须知前附表另有规定外，竞选人所递交的竞选文件不予退还。</w:t>
      </w:r>
    </w:p>
    <w:p w14:paraId="48FC4BC6">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4.2.4  比选人收到竞选文件后，向竞选人出具签收凭证。</w:t>
      </w:r>
    </w:p>
    <w:p w14:paraId="751C11A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4.2.5  逾期送达的或者未送达指定地点的竞选文件，比选人不予受理。</w:t>
      </w:r>
    </w:p>
    <w:p w14:paraId="29F5AA10">
      <w:pPr>
        <w:rPr>
          <w:rFonts w:hint="eastAsia" w:ascii="仿宋" w:hAnsi="仿宋" w:eastAsia="仿宋" w:cs="仿宋"/>
          <w:b/>
          <w:snapToGrid w:val="0"/>
          <w:szCs w:val="21"/>
        </w:rPr>
      </w:pPr>
      <w:bookmarkStart w:id="172" w:name="_Toc264976048"/>
      <w:bookmarkStart w:id="173" w:name="_Toc200513156"/>
      <w:r>
        <w:rPr>
          <w:rFonts w:hint="eastAsia" w:ascii="仿宋" w:hAnsi="仿宋" w:eastAsia="仿宋" w:cs="仿宋"/>
          <w:b/>
          <w:snapToGrid w:val="0"/>
          <w:szCs w:val="21"/>
        </w:rPr>
        <w:t>4.3  竞选文件的修改与撤回</w:t>
      </w:r>
      <w:bookmarkEnd w:id="172"/>
      <w:bookmarkEnd w:id="173"/>
    </w:p>
    <w:p w14:paraId="2C68A76C">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4.3.1  在本章前附表第2.2.2项规定的竞选截止时间前，竞选人可以修改或撤回已递交的竞选文件，但应以书面形式通知比选人。</w:t>
      </w:r>
    </w:p>
    <w:p w14:paraId="22580628">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4.3.2  竞选人修改或撤回已递交竞选文件的书面通知应按照本章第3.7.3项的要求签字或盖章。比选人收到书面通知后，向竞选人出具签收凭证。</w:t>
      </w:r>
    </w:p>
    <w:p w14:paraId="31EFE0B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4.3.3  修改的内容为竞选文件的组成部分。修改的竞选文件应按照本章第3条、第4条规定进行编制、密封、标记和递交，并标明“修改”字样。</w:t>
      </w:r>
    </w:p>
    <w:p w14:paraId="11DB23A9">
      <w:pPr>
        <w:pStyle w:val="3"/>
        <w:rPr>
          <w:rFonts w:hint="eastAsia" w:ascii="仿宋" w:hAnsi="仿宋" w:eastAsia="仿宋" w:cs="仿宋"/>
          <w:b/>
          <w:bCs w:val="0"/>
          <w:snapToGrid w:val="0"/>
          <w:kern w:val="2"/>
          <w:sz w:val="24"/>
          <w:szCs w:val="21"/>
          <w:lang w:val="en-US" w:eastAsia="zh-CN" w:bidi="ar-SA"/>
        </w:rPr>
      </w:pPr>
      <w:bookmarkStart w:id="174" w:name="_Toc339360690"/>
      <w:bookmarkStart w:id="175" w:name="_Toc66460669"/>
      <w:bookmarkStart w:id="176" w:name="_Toc200513157"/>
      <w:r>
        <w:rPr>
          <w:rFonts w:hint="eastAsia" w:ascii="仿宋" w:hAnsi="仿宋" w:eastAsia="仿宋" w:cs="仿宋"/>
          <w:b/>
          <w:bCs w:val="0"/>
          <w:snapToGrid w:val="0"/>
          <w:kern w:val="2"/>
          <w:sz w:val="24"/>
          <w:szCs w:val="21"/>
          <w:lang w:val="en-US" w:eastAsia="zh-CN" w:bidi="ar-SA"/>
        </w:rPr>
        <w:t>5.  开标</w:t>
      </w:r>
      <w:bookmarkEnd w:id="174"/>
      <w:bookmarkEnd w:id="175"/>
      <w:bookmarkEnd w:id="176"/>
    </w:p>
    <w:p w14:paraId="43B8BDD0">
      <w:pPr>
        <w:rPr>
          <w:rFonts w:hint="eastAsia" w:ascii="仿宋" w:hAnsi="仿宋" w:eastAsia="仿宋" w:cs="仿宋"/>
          <w:b/>
          <w:snapToGrid w:val="0"/>
          <w:szCs w:val="21"/>
        </w:rPr>
      </w:pPr>
      <w:bookmarkStart w:id="177" w:name="_Toc200513158"/>
      <w:bookmarkStart w:id="178" w:name="_Toc264976050"/>
      <w:r>
        <w:rPr>
          <w:rFonts w:hint="eastAsia" w:ascii="仿宋" w:hAnsi="仿宋" w:eastAsia="仿宋" w:cs="仿宋"/>
          <w:b/>
          <w:snapToGrid w:val="0"/>
          <w:szCs w:val="21"/>
        </w:rPr>
        <w:t>5.1  开标时间和地点</w:t>
      </w:r>
      <w:bookmarkEnd w:id="177"/>
      <w:bookmarkEnd w:id="178"/>
    </w:p>
    <w:p w14:paraId="7967D259">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比选人在本章前附表第 2.2.2 项规定的竞选截止时间（开标时间）和竞选人须知前附表规定的地点公开开标，并邀请所有竞选人的法定代表人或其委托代理人准时参加。</w:t>
      </w:r>
    </w:p>
    <w:p w14:paraId="7E83810E">
      <w:pPr>
        <w:rPr>
          <w:rFonts w:hint="eastAsia" w:ascii="仿宋" w:hAnsi="仿宋" w:eastAsia="仿宋" w:cs="仿宋"/>
          <w:b/>
          <w:snapToGrid w:val="0"/>
          <w:szCs w:val="21"/>
        </w:rPr>
      </w:pPr>
      <w:bookmarkStart w:id="179" w:name="_Toc264976051"/>
      <w:bookmarkStart w:id="180" w:name="_Toc200513159"/>
      <w:r>
        <w:rPr>
          <w:rFonts w:hint="eastAsia" w:ascii="仿宋" w:hAnsi="仿宋" w:eastAsia="仿宋" w:cs="仿宋"/>
          <w:b/>
          <w:snapToGrid w:val="0"/>
          <w:szCs w:val="21"/>
        </w:rPr>
        <w:t>5.2  开标程序</w:t>
      </w:r>
      <w:bookmarkEnd w:id="179"/>
      <w:bookmarkEnd w:id="180"/>
    </w:p>
    <w:p w14:paraId="35D8EEE9">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bookmarkStart w:id="181" w:name="_Toc200513160"/>
      <w:r>
        <w:rPr>
          <w:rFonts w:hint="eastAsia" w:ascii="仿宋" w:hAnsi="仿宋" w:eastAsia="仿宋" w:cs="仿宋"/>
          <w:snapToGrid w:val="0"/>
          <w:kern w:val="0"/>
          <w:szCs w:val="21"/>
        </w:rPr>
        <w:t>详见竞选人须知前附表。</w:t>
      </w:r>
    </w:p>
    <w:p w14:paraId="2C259452">
      <w:pPr>
        <w:pStyle w:val="3"/>
        <w:rPr>
          <w:rFonts w:hint="eastAsia" w:ascii="仿宋" w:hAnsi="仿宋" w:eastAsia="仿宋" w:cs="仿宋"/>
          <w:b/>
          <w:bCs w:val="0"/>
          <w:snapToGrid w:val="0"/>
          <w:kern w:val="2"/>
          <w:sz w:val="24"/>
          <w:szCs w:val="21"/>
          <w:lang w:val="en-US" w:eastAsia="zh-CN" w:bidi="ar-SA"/>
        </w:rPr>
      </w:pPr>
      <w:bookmarkStart w:id="182" w:name="_Toc339360691"/>
      <w:bookmarkStart w:id="183" w:name="_Toc66460670"/>
      <w:r>
        <w:rPr>
          <w:rFonts w:hint="eastAsia" w:ascii="仿宋" w:hAnsi="仿宋" w:eastAsia="仿宋" w:cs="仿宋"/>
          <w:b/>
          <w:bCs w:val="0"/>
          <w:snapToGrid w:val="0"/>
          <w:kern w:val="2"/>
          <w:sz w:val="24"/>
          <w:szCs w:val="21"/>
          <w:lang w:val="en-US" w:eastAsia="zh-CN" w:bidi="ar-SA"/>
        </w:rPr>
        <w:t>6.  评标</w:t>
      </w:r>
      <w:bookmarkEnd w:id="181"/>
      <w:bookmarkEnd w:id="182"/>
      <w:bookmarkEnd w:id="183"/>
    </w:p>
    <w:p w14:paraId="60CB2357">
      <w:pPr>
        <w:rPr>
          <w:rFonts w:hint="eastAsia" w:ascii="仿宋" w:hAnsi="仿宋" w:eastAsia="仿宋" w:cs="仿宋"/>
          <w:b/>
          <w:snapToGrid w:val="0"/>
          <w:szCs w:val="21"/>
        </w:rPr>
      </w:pPr>
      <w:bookmarkStart w:id="184" w:name="_Toc264976053"/>
      <w:bookmarkStart w:id="185" w:name="_Toc200513161"/>
      <w:r>
        <w:rPr>
          <w:rFonts w:hint="eastAsia" w:ascii="仿宋" w:hAnsi="仿宋" w:eastAsia="仿宋" w:cs="仿宋"/>
          <w:b/>
          <w:snapToGrid w:val="0"/>
          <w:szCs w:val="21"/>
        </w:rPr>
        <w:t>6.1  评标委员会</w:t>
      </w:r>
      <w:bookmarkEnd w:id="184"/>
      <w:bookmarkEnd w:id="185"/>
    </w:p>
    <w:p w14:paraId="1CC3E4AE">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6.1.1  评标由比选人依法组建的评标委员会负责。评标委员会由比选人或其委托的比选代理机构熟悉相关业务的代表，以及有关技术、经济等方面的专家组成。评标委员会成员人数以及技术、经济等方面专家的确定方式见竞选人须知前附表。</w:t>
      </w:r>
    </w:p>
    <w:p w14:paraId="5F70C3F6">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6.1.2  评标委员会成员有下列情形之一的，应当回避：</w:t>
      </w:r>
    </w:p>
    <w:p w14:paraId="061BA84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（1）比选人或竞选人的主要负责人的近亲属；</w:t>
      </w:r>
    </w:p>
    <w:p w14:paraId="6360204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（2）项目主管部门或者行政监督部门的人员；</w:t>
      </w:r>
    </w:p>
    <w:p w14:paraId="6809880C">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（3）与竞选人有经济利益关系，可能影响对竞选公正评审的；</w:t>
      </w:r>
    </w:p>
    <w:p w14:paraId="2325021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（4）曾因在比选、评标以及其他与比选竞选有关活动中从事违法行为而受过行政处罚或刑事处罚的。</w:t>
      </w:r>
    </w:p>
    <w:p w14:paraId="719FD0C5">
      <w:pPr>
        <w:rPr>
          <w:rFonts w:hint="eastAsia" w:ascii="仿宋" w:hAnsi="仿宋" w:eastAsia="仿宋" w:cs="仿宋"/>
          <w:b/>
          <w:snapToGrid w:val="0"/>
          <w:szCs w:val="21"/>
        </w:rPr>
      </w:pPr>
      <w:bookmarkStart w:id="186" w:name="_Toc200513162"/>
      <w:bookmarkStart w:id="187" w:name="_Toc264976054"/>
      <w:r>
        <w:rPr>
          <w:rFonts w:hint="eastAsia" w:ascii="仿宋" w:hAnsi="仿宋" w:eastAsia="仿宋" w:cs="仿宋"/>
          <w:b/>
          <w:snapToGrid w:val="0"/>
          <w:szCs w:val="21"/>
        </w:rPr>
        <w:t>6.2  评标原则</w:t>
      </w:r>
      <w:bookmarkEnd w:id="186"/>
      <w:bookmarkEnd w:id="187"/>
    </w:p>
    <w:p w14:paraId="20F41C8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 xml:space="preserve">    评标活动遵循公平、公正、科学和择优的原则。</w:t>
      </w:r>
    </w:p>
    <w:p w14:paraId="10E4651D">
      <w:pPr>
        <w:rPr>
          <w:rFonts w:hint="eastAsia" w:ascii="仿宋" w:hAnsi="仿宋" w:eastAsia="仿宋" w:cs="仿宋"/>
          <w:b/>
          <w:snapToGrid w:val="0"/>
          <w:szCs w:val="21"/>
        </w:rPr>
      </w:pPr>
      <w:bookmarkStart w:id="188" w:name="_Toc200513163"/>
      <w:bookmarkStart w:id="189" w:name="_Toc264976055"/>
      <w:r>
        <w:rPr>
          <w:rFonts w:hint="eastAsia" w:ascii="仿宋" w:hAnsi="仿宋" w:eastAsia="仿宋" w:cs="仿宋"/>
          <w:b/>
          <w:snapToGrid w:val="0"/>
          <w:szCs w:val="21"/>
        </w:rPr>
        <w:t>6.3  评标</w:t>
      </w:r>
      <w:bookmarkEnd w:id="188"/>
      <w:bookmarkEnd w:id="189"/>
    </w:p>
    <w:p w14:paraId="6D6C39F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评标委员会按照第三章“评标办法”规定的方法、评审因素、标准和程序对竞选文件进行评审。第三章“评标办法”没有规定的方法、评审因素和标准，不作为评标依据。</w:t>
      </w:r>
    </w:p>
    <w:p w14:paraId="056C3848">
      <w:pPr>
        <w:pStyle w:val="3"/>
        <w:rPr>
          <w:rFonts w:hint="eastAsia" w:ascii="仿宋" w:hAnsi="仿宋" w:eastAsia="仿宋" w:cs="仿宋"/>
          <w:b/>
          <w:bCs w:val="0"/>
          <w:snapToGrid w:val="0"/>
          <w:kern w:val="2"/>
          <w:sz w:val="24"/>
          <w:szCs w:val="21"/>
          <w:lang w:val="en-US" w:eastAsia="zh-CN" w:bidi="ar-SA"/>
        </w:rPr>
      </w:pPr>
      <w:bookmarkStart w:id="190" w:name="_Toc66460671"/>
      <w:bookmarkStart w:id="191" w:name="_Toc200513164"/>
      <w:bookmarkStart w:id="192" w:name="_Toc339360692"/>
      <w:r>
        <w:rPr>
          <w:rFonts w:hint="eastAsia" w:ascii="仿宋" w:hAnsi="仿宋" w:eastAsia="仿宋" w:cs="仿宋"/>
          <w:b/>
          <w:bCs w:val="0"/>
          <w:snapToGrid w:val="0"/>
          <w:kern w:val="2"/>
          <w:sz w:val="24"/>
          <w:szCs w:val="21"/>
          <w:lang w:val="en-US" w:eastAsia="zh-CN" w:bidi="ar-SA"/>
        </w:rPr>
        <w:t>7.  合同授予</w:t>
      </w:r>
      <w:bookmarkEnd w:id="190"/>
      <w:bookmarkEnd w:id="191"/>
      <w:bookmarkEnd w:id="192"/>
    </w:p>
    <w:p w14:paraId="017C03CB">
      <w:pPr>
        <w:rPr>
          <w:rFonts w:hint="eastAsia" w:ascii="仿宋" w:hAnsi="仿宋" w:eastAsia="仿宋" w:cs="仿宋"/>
          <w:b/>
          <w:snapToGrid w:val="0"/>
          <w:szCs w:val="21"/>
        </w:rPr>
      </w:pPr>
      <w:bookmarkStart w:id="193" w:name="_Toc200513165"/>
      <w:bookmarkStart w:id="194" w:name="_Toc264976057"/>
      <w:r>
        <w:rPr>
          <w:rFonts w:hint="eastAsia" w:ascii="仿宋" w:hAnsi="仿宋" w:eastAsia="仿宋" w:cs="仿宋"/>
          <w:b/>
          <w:snapToGrid w:val="0"/>
          <w:szCs w:val="21"/>
        </w:rPr>
        <w:t>7.1  定标方式</w:t>
      </w:r>
      <w:bookmarkEnd w:id="193"/>
      <w:bookmarkEnd w:id="194"/>
    </w:p>
    <w:p w14:paraId="0445DB61">
      <w:pPr>
        <w:spacing w:line="360" w:lineRule="auto"/>
        <w:ind w:firstLine="480" w:firstLineChars="200"/>
        <w:rPr>
          <w:rFonts w:hint="eastAsia" w:ascii="仿宋" w:hAnsi="仿宋" w:eastAsia="仿宋" w:cs="仿宋"/>
          <w:szCs w:val="21"/>
        </w:rPr>
      </w:pPr>
      <w:bookmarkStart w:id="195" w:name="_Toc200513166"/>
      <w:bookmarkStart w:id="196" w:name="_Toc264976058"/>
      <w:r>
        <w:rPr>
          <w:rFonts w:hint="eastAsia" w:ascii="仿宋" w:hAnsi="仿宋" w:eastAsia="仿宋" w:cs="仿宋"/>
          <w:szCs w:val="21"/>
        </w:rPr>
        <w:t>国有资金占控股或者主导地位的依法必须进行招标的项目，比选人应当确定排名第一的中选候选人为中选人。排名第一的中选候选人放弃中选、因不可抗力不能履行合同、不按照比选文件要求提交履约保证金，或者被查实存在影响中标结果的违法行为等情形，不符合中标条件的，比选人可以按照评标委员会提出的中选候选人名单排序依次确定其他中选候选人为中选人，也可以重新招标。</w:t>
      </w:r>
    </w:p>
    <w:p w14:paraId="585FDC75">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评标委员会推荐中</w:t>
      </w:r>
      <w:r>
        <w:rPr>
          <w:rFonts w:hint="eastAsia" w:ascii="仿宋" w:hAnsi="仿宋" w:eastAsia="仿宋" w:cs="仿宋"/>
          <w:szCs w:val="21"/>
        </w:rPr>
        <w:t>选</w:t>
      </w:r>
      <w:r>
        <w:rPr>
          <w:rFonts w:hint="eastAsia" w:ascii="仿宋" w:hAnsi="仿宋" w:eastAsia="仿宋" w:cs="仿宋"/>
          <w:snapToGrid w:val="0"/>
          <w:kern w:val="0"/>
          <w:szCs w:val="21"/>
        </w:rPr>
        <w:t>候选人的人数见竞选人须知前附表。</w:t>
      </w:r>
    </w:p>
    <w:p w14:paraId="231A3B26">
      <w:pPr>
        <w:rPr>
          <w:rFonts w:hint="eastAsia" w:ascii="仿宋" w:hAnsi="仿宋" w:eastAsia="仿宋" w:cs="仿宋"/>
          <w:b/>
          <w:snapToGrid w:val="0"/>
          <w:szCs w:val="21"/>
        </w:rPr>
      </w:pPr>
      <w:r>
        <w:rPr>
          <w:rFonts w:hint="eastAsia" w:ascii="仿宋" w:hAnsi="仿宋" w:eastAsia="仿宋" w:cs="仿宋"/>
          <w:b/>
          <w:snapToGrid w:val="0"/>
          <w:szCs w:val="21"/>
        </w:rPr>
        <w:t xml:space="preserve">7.2  </w:t>
      </w:r>
      <w:bookmarkEnd w:id="195"/>
      <w:bookmarkEnd w:id="196"/>
      <w:bookmarkStart w:id="197" w:name="_Toc200513167"/>
      <w:bookmarkStart w:id="198" w:name="_Toc264976059"/>
      <w:r>
        <w:rPr>
          <w:rFonts w:hint="eastAsia" w:ascii="仿宋" w:hAnsi="仿宋" w:eastAsia="仿宋" w:cs="仿宋"/>
          <w:b/>
          <w:snapToGrid w:val="0"/>
          <w:szCs w:val="21"/>
        </w:rPr>
        <w:t>中标公示及中标通知</w:t>
      </w:r>
    </w:p>
    <w:p w14:paraId="4AD10946">
      <w:pPr>
        <w:autoSpaceDE w:val="0"/>
        <w:autoSpaceDN w:val="0"/>
        <w:adjustRightInd w:val="0"/>
        <w:snapToGrid w:val="0"/>
        <w:spacing w:line="360" w:lineRule="auto"/>
        <w:ind w:firstLine="480" w:firstLineChars="200"/>
        <w:rPr>
          <w:rFonts w:hint="eastAsia" w:ascii="仿宋" w:hAnsi="仿宋" w:eastAsia="仿宋" w:cs="仿宋"/>
          <w:szCs w:val="21"/>
        </w:rPr>
      </w:pPr>
      <w:r>
        <w:rPr>
          <w:rFonts w:hint="eastAsia" w:ascii="仿宋" w:hAnsi="仿宋" w:eastAsia="仿宋" w:cs="仿宋"/>
          <w:snapToGrid w:val="0"/>
          <w:kern w:val="0"/>
          <w:szCs w:val="21"/>
        </w:rPr>
        <w:t>比选人在收到评标报告之日起3日内公示中选候选人，公示期不得少于3个工作日</w:t>
      </w:r>
      <w:r>
        <w:rPr>
          <w:rFonts w:hint="eastAsia" w:ascii="仿宋" w:hAnsi="仿宋" w:eastAsia="仿宋" w:cs="仿宋"/>
          <w:szCs w:val="21"/>
        </w:rPr>
        <w:t>。</w:t>
      </w:r>
    </w:p>
    <w:p w14:paraId="183696B6">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在本章第 3.3 款规定的竞选有效期内，且未有竞选人的异议与投诉，比选人以书面形式向中选人发出中选通知书。</w:t>
      </w:r>
    </w:p>
    <w:p w14:paraId="47A226EB">
      <w:pPr>
        <w:rPr>
          <w:rFonts w:hint="eastAsia" w:ascii="仿宋" w:hAnsi="仿宋" w:eastAsia="仿宋" w:cs="仿宋"/>
          <w:b/>
          <w:snapToGrid w:val="0"/>
          <w:szCs w:val="21"/>
        </w:rPr>
      </w:pPr>
      <w:r>
        <w:rPr>
          <w:rFonts w:hint="eastAsia" w:ascii="仿宋" w:hAnsi="仿宋" w:eastAsia="仿宋" w:cs="仿宋"/>
          <w:b/>
          <w:snapToGrid w:val="0"/>
          <w:szCs w:val="21"/>
        </w:rPr>
        <w:t>7.3  履约担保</w:t>
      </w:r>
      <w:bookmarkEnd w:id="197"/>
      <w:bookmarkEnd w:id="198"/>
    </w:p>
    <w:p w14:paraId="06DA6AC0">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7.3.1  在签订合同前，中选人应按竞选人须知前附表规定的金额、担保形式向比选人提交履约担保。</w:t>
      </w:r>
    </w:p>
    <w:p w14:paraId="76E423C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7.3.2  中选人不能按本章第 7.3.1 项要求提交履约担保的，视为放弃中标，其竞选保证金不予退还，给比选人造成的损失超过竞选保证金数额的，中选人还应当对超过部分予以赔偿。</w:t>
      </w:r>
    </w:p>
    <w:p w14:paraId="49E6E38E">
      <w:pPr>
        <w:rPr>
          <w:rFonts w:hint="eastAsia" w:ascii="仿宋" w:hAnsi="仿宋" w:eastAsia="仿宋" w:cs="仿宋"/>
          <w:b/>
          <w:snapToGrid w:val="0"/>
          <w:szCs w:val="21"/>
        </w:rPr>
      </w:pPr>
      <w:bookmarkStart w:id="199" w:name="_Toc264976060"/>
      <w:bookmarkStart w:id="200" w:name="_Toc200513168"/>
      <w:r>
        <w:rPr>
          <w:rFonts w:hint="eastAsia" w:ascii="仿宋" w:hAnsi="仿宋" w:eastAsia="仿宋" w:cs="仿宋"/>
          <w:b/>
          <w:snapToGrid w:val="0"/>
          <w:szCs w:val="21"/>
        </w:rPr>
        <w:t>7.4  签订合同</w:t>
      </w:r>
      <w:bookmarkEnd w:id="199"/>
      <w:bookmarkEnd w:id="200"/>
    </w:p>
    <w:p w14:paraId="5A512D07">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7.4.1 比选人和中选人应当自中标通知书发出之日起7个工作日内，根据比选文件和中选人的竞选文件订立书面合同。中选人无正当理由拒签合同的，比选人取消其中选资格，其竞选保证金不予退还；给比选人造成的损失超过竞选保证金数额的，中选人还应当对超过部分予以赔偿。</w:t>
      </w:r>
    </w:p>
    <w:p w14:paraId="54398F85">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7.4.2  发出中选通知书后，比选人无正当理由拒签合同的，比选人向中选人双倍退还竞选保证金；给中选人造成损失的，还应当赔偿损失。</w:t>
      </w:r>
    </w:p>
    <w:p w14:paraId="37795CA2">
      <w:pPr>
        <w:pStyle w:val="3"/>
        <w:rPr>
          <w:rFonts w:hint="eastAsia" w:ascii="仿宋" w:hAnsi="仿宋" w:eastAsia="仿宋" w:cs="仿宋"/>
          <w:b/>
          <w:bCs w:val="0"/>
          <w:snapToGrid w:val="0"/>
          <w:kern w:val="2"/>
          <w:sz w:val="24"/>
          <w:szCs w:val="21"/>
          <w:lang w:val="en-US" w:eastAsia="zh-CN" w:bidi="ar-SA"/>
        </w:rPr>
      </w:pPr>
      <w:bookmarkStart w:id="201" w:name="_Toc66460672"/>
      <w:bookmarkStart w:id="202" w:name="_Toc339360693"/>
      <w:bookmarkStart w:id="203" w:name="_Toc200513169"/>
      <w:r>
        <w:rPr>
          <w:rFonts w:hint="eastAsia" w:ascii="仿宋" w:hAnsi="仿宋" w:eastAsia="仿宋" w:cs="仿宋"/>
          <w:b/>
          <w:bCs w:val="0"/>
          <w:snapToGrid w:val="0"/>
          <w:kern w:val="2"/>
          <w:sz w:val="24"/>
          <w:szCs w:val="21"/>
          <w:lang w:val="en-US" w:eastAsia="zh-CN" w:bidi="ar-SA"/>
        </w:rPr>
        <w:t>8.  重新招标和不再</w:t>
      </w:r>
      <w:bookmarkEnd w:id="201"/>
      <w:bookmarkEnd w:id="202"/>
      <w:bookmarkEnd w:id="203"/>
      <w:r>
        <w:rPr>
          <w:rFonts w:hint="eastAsia" w:ascii="仿宋" w:hAnsi="仿宋" w:eastAsia="仿宋" w:cs="仿宋"/>
          <w:b/>
          <w:bCs w:val="0"/>
          <w:snapToGrid w:val="0"/>
          <w:kern w:val="2"/>
          <w:sz w:val="24"/>
          <w:szCs w:val="21"/>
          <w:lang w:val="en-US" w:eastAsia="zh-CN" w:bidi="ar-SA"/>
        </w:rPr>
        <w:t>招标</w:t>
      </w:r>
    </w:p>
    <w:p w14:paraId="3CD9818B">
      <w:pPr>
        <w:pStyle w:val="3"/>
        <w:rPr>
          <w:rFonts w:hint="eastAsia" w:ascii="仿宋" w:hAnsi="仿宋" w:eastAsia="仿宋" w:cs="仿宋"/>
          <w:snapToGrid w:val="0"/>
          <w:spacing w:val="0"/>
          <w:sz w:val="21"/>
          <w:szCs w:val="21"/>
        </w:rPr>
      </w:pPr>
      <w:bookmarkStart w:id="204" w:name="_Toc224103361"/>
      <w:bookmarkStart w:id="205" w:name="_Toc277082596"/>
      <w:bookmarkStart w:id="206" w:name="_Toc200513170"/>
      <w:bookmarkStart w:id="207" w:name="_Toc287620729"/>
      <w:bookmarkStart w:id="208" w:name="_Toc430530479"/>
      <w:bookmarkStart w:id="209" w:name="_Toc287607790"/>
      <w:bookmarkStart w:id="210" w:name="_Toc509218754"/>
      <w:bookmarkStart w:id="211" w:name="_Toc65184132"/>
      <w:bookmarkStart w:id="212" w:name="_Toc65101091"/>
      <w:bookmarkStart w:id="213" w:name="_Toc4647"/>
      <w:bookmarkStart w:id="214" w:name="_Toc200513172"/>
      <w:bookmarkStart w:id="215" w:name="_Toc339360694"/>
      <w:bookmarkStart w:id="216" w:name="_Toc66460673"/>
      <w:r>
        <w:rPr>
          <w:rFonts w:hint="eastAsia" w:ascii="仿宋" w:hAnsi="仿宋" w:eastAsia="仿宋" w:cs="仿宋"/>
          <w:snapToGrid w:val="0"/>
          <w:spacing w:val="0"/>
          <w:sz w:val="21"/>
          <w:szCs w:val="21"/>
        </w:rPr>
        <w:t>8.1  重新招标</w:t>
      </w:r>
      <w:bookmarkEnd w:id="204"/>
      <w:bookmarkEnd w:id="205"/>
      <w:bookmarkEnd w:id="206"/>
      <w:bookmarkEnd w:id="207"/>
      <w:bookmarkEnd w:id="208"/>
      <w:bookmarkEnd w:id="209"/>
      <w:bookmarkEnd w:id="210"/>
      <w:bookmarkEnd w:id="211"/>
      <w:bookmarkEnd w:id="212"/>
      <w:bookmarkEnd w:id="213"/>
    </w:p>
    <w:p w14:paraId="4BDF2958">
      <w:pPr>
        <w:autoSpaceDE w:val="0"/>
        <w:autoSpaceDN w:val="0"/>
        <w:adjustRightInd w:val="0"/>
        <w:snapToGrid w:val="0"/>
        <w:spacing w:line="360" w:lineRule="auto"/>
        <w:ind w:left="410" w:leftChars="171"/>
        <w:rPr>
          <w:rFonts w:hint="eastAsia" w:ascii="仿宋" w:hAnsi="仿宋" w:eastAsia="仿宋" w:cs="仿宋"/>
          <w:snapToGrid w:val="0"/>
          <w:kern w:val="0"/>
          <w:szCs w:val="21"/>
        </w:rPr>
      </w:pPr>
      <w:r>
        <w:rPr>
          <w:rFonts w:hint="eastAsia" w:ascii="仿宋" w:hAnsi="仿宋" w:eastAsia="仿宋" w:cs="仿宋"/>
          <w:snapToGrid w:val="0"/>
          <w:kern w:val="0"/>
          <w:szCs w:val="21"/>
        </w:rPr>
        <w:t>有下列情形之一的，比选人将重新比选：</w:t>
      </w:r>
    </w:p>
    <w:p w14:paraId="0E442FB1">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（1）投标截止时间止，竞选人少于 3 个的；</w:t>
      </w:r>
    </w:p>
    <w:p w14:paraId="6CC72DFC">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（2）经评标委员会评审后否决所有投标的；</w:t>
      </w:r>
    </w:p>
    <w:p w14:paraId="7248B81F">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3）经评标委员会评审后部分投标被否决，导致有效竞选人不足三个的，评标委员会应当否决所有投标。但是有效竞选人的经济、技术等指标仍然具有市场竞争力，能够满足招标文件要求的，评标委员会可以继续评标并确定中标候选人；</w:t>
      </w:r>
    </w:p>
    <w:p w14:paraId="4403EB72">
      <w:pPr>
        <w:autoSpaceDE w:val="0"/>
        <w:autoSpaceDN w:val="0"/>
        <w:adjustRightInd w:val="0"/>
        <w:snapToGrid w:val="0"/>
        <w:spacing w:line="360" w:lineRule="auto"/>
        <w:ind w:firstLine="480" w:firstLineChars="200"/>
        <w:rPr>
          <w:rFonts w:hint="eastAsia" w:ascii="仿宋" w:hAnsi="仿宋" w:eastAsia="仿宋" w:cs="仿宋"/>
          <w:snapToGrid w:val="0"/>
          <w:kern w:val="0"/>
          <w:szCs w:val="21"/>
        </w:rPr>
      </w:pPr>
      <w:r>
        <w:rPr>
          <w:rFonts w:hint="eastAsia" w:ascii="仿宋" w:hAnsi="仿宋" w:eastAsia="仿宋" w:cs="仿宋"/>
          <w:snapToGrid w:val="0"/>
          <w:kern w:val="0"/>
          <w:szCs w:val="21"/>
        </w:rPr>
        <w:t>（4）法律法规规定的其他情形。</w:t>
      </w:r>
    </w:p>
    <w:p w14:paraId="46A8F354">
      <w:pPr>
        <w:pStyle w:val="3"/>
        <w:rPr>
          <w:rFonts w:hint="eastAsia" w:ascii="仿宋" w:hAnsi="仿宋" w:eastAsia="仿宋" w:cs="仿宋"/>
          <w:b/>
          <w:bCs w:val="0"/>
          <w:snapToGrid w:val="0"/>
          <w:kern w:val="2"/>
          <w:sz w:val="24"/>
          <w:szCs w:val="21"/>
          <w:lang w:val="en-US" w:eastAsia="zh-CN" w:bidi="ar-SA"/>
        </w:rPr>
      </w:pPr>
      <w:bookmarkStart w:id="217" w:name="_Toc430530480"/>
      <w:bookmarkStart w:id="218" w:name="_Toc509218755"/>
      <w:bookmarkStart w:id="219" w:name="_Toc287620730"/>
      <w:bookmarkStart w:id="220" w:name="_Toc65184133"/>
      <w:bookmarkStart w:id="221" w:name="_Toc32210"/>
      <w:bookmarkStart w:id="222" w:name="_Toc277082597"/>
      <w:bookmarkStart w:id="223" w:name="_Toc287607791"/>
      <w:bookmarkStart w:id="224" w:name="_Toc65101092"/>
      <w:bookmarkStart w:id="225" w:name="_Toc224103362"/>
      <w:bookmarkStart w:id="226" w:name="_Toc200513171"/>
      <w:r>
        <w:rPr>
          <w:rFonts w:hint="eastAsia" w:ascii="仿宋" w:hAnsi="仿宋" w:eastAsia="仿宋" w:cs="仿宋"/>
          <w:b/>
          <w:bCs w:val="0"/>
          <w:snapToGrid w:val="0"/>
          <w:kern w:val="2"/>
          <w:sz w:val="24"/>
          <w:szCs w:val="21"/>
          <w:lang w:val="en-US" w:eastAsia="zh-CN" w:bidi="ar-SA"/>
        </w:rPr>
        <w:t>8.2  二次招标和不再招标</w:t>
      </w:r>
      <w:bookmarkEnd w:id="217"/>
      <w:bookmarkEnd w:id="218"/>
      <w:bookmarkEnd w:id="219"/>
      <w:bookmarkEnd w:id="220"/>
      <w:bookmarkEnd w:id="221"/>
      <w:bookmarkEnd w:id="222"/>
      <w:bookmarkEnd w:id="223"/>
      <w:bookmarkEnd w:id="224"/>
      <w:bookmarkEnd w:id="225"/>
      <w:bookmarkEnd w:id="226"/>
    </w:p>
    <w:p w14:paraId="4DD340BD">
      <w:pPr>
        <w:autoSpaceDE w:val="0"/>
        <w:autoSpaceDN w:val="0"/>
        <w:adjustRightInd w:val="0"/>
        <w:snapToGrid w:val="0"/>
        <w:spacing w:line="360" w:lineRule="auto"/>
        <w:ind w:firstLine="420"/>
        <w:rPr>
          <w:rFonts w:hint="eastAsia" w:ascii="仿宋" w:hAnsi="仿宋" w:eastAsia="仿宋" w:cs="仿宋"/>
          <w:snapToGrid w:val="0"/>
          <w:kern w:val="0"/>
          <w:szCs w:val="21"/>
        </w:rPr>
      </w:pPr>
      <w:r>
        <w:rPr>
          <w:rFonts w:hint="eastAsia" w:ascii="仿宋" w:hAnsi="仿宋" w:eastAsia="仿宋" w:cs="仿宋"/>
          <w:snapToGrid w:val="0"/>
          <w:kern w:val="0"/>
          <w:szCs w:val="21"/>
        </w:rPr>
        <w:t>重新招标的竞选人仍然少于三个的，按照招标投标法律法规规定的程序开标和评标。重新招标经评审有有效竞选人的，应当依法确定中标候选人；无有效竞选人的，可以不再进行招标，但是按照国家有关规定需要履行审批、核准、备案手续的依法必须进行招标的项目，应当报原项目投资主管部门审批、核准、备案。</w:t>
      </w:r>
    </w:p>
    <w:p w14:paraId="341F2D01">
      <w:pPr>
        <w:pStyle w:val="3"/>
        <w:rPr>
          <w:rFonts w:hint="eastAsia" w:ascii="仿宋" w:hAnsi="仿宋" w:eastAsia="仿宋" w:cs="仿宋"/>
          <w:b/>
          <w:bCs w:val="0"/>
          <w:snapToGrid w:val="0"/>
          <w:kern w:val="2"/>
          <w:sz w:val="24"/>
          <w:szCs w:val="21"/>
          <w:lang w:val="en-US" w:eastAsia="zh-CN" w:bidi="ar-SA"/>
        </w:rPr>
      </w:pPr>
      <w:r>
        <w:rPr>
          <w:rFonts w:hint="eastAsia" w:ascii="仿宋" w:hAnsi="仿宋" w:eastAsia="仿宋" w:cs="仿宋"/>
          <w:b/>
          <w:bCs w:val="0"/>
          <w:snapToGrid w:val="0"/>
          <w:kern w:val="2"/>
          <w:sz w:val="24"/>
          <w:szCs w:val="21"/>
          <w:lang w:val="en-US" w:eastAsia="zh-CN" w:bidi="ar-SA"/>
        </w:rPr>
        <w:t>9.  纪律和监督</w:t>
      </w:r>
      <w:bookmarkEnd w:id="214"/>
      <w:bookmarkEnd w:id="215"/>
      <w:bookmarkEnd w:id="216"/>
    </w:p>
    <w:p w14:paraId="26133761">
      <w:pPr>
        <w:rPr>
          <w:rFonts w:hint="eastAsia" w:ascii="仿宋" w:hAnsi="仿宋" w:eastAsia="仿宋" w:cs="仿宋"/>
          <w:b/>
          <w:snapToGrid w:val="0"/>
          <w:szCs w:val="21"/>
        </w:rPr>
      </w:pPr>
      <w:bookmarkStart w:id="227" w:name="_Toc200513173"/>
      <w:bookmarkStart w:id="228" w:name="_Toc264976065"/>
      <w:r>
        <w:rPr>
          <w:rFonts w:hint="eastAsia" w:ascii="仿宋" w:hAnsi="仿宋" w:eastAsia="仿宋" w:cs="仿宋"/>
          <w:b/>
          <w:snapToGrid w:val="0"/>
          <w:szCs w:val="21"/>
        </w:rPr>
        <w:t>9.1  对比选人的纪律要求</w:t>
      </w:r>
      <w:bookmarkEnd w:id="227"/>
      <w:bookmarkEnd w:id="228"/>
    </w:p>
    <w:p w14:paraId="711FB9AF">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比选人不得泄漏比选竞选活动中应当保密的情况和资料，不得与竞选人串通损害国家利 益、社会公共利益或者他人合法权益。</w:t>
      </w:r>
    </w:p>
    <w:p w14:paraId="2E75EBFF">
      <w:pPr>
        <w:rPr>
          <w:rFonts w:hint="eastAsia" w:ascii="仿宋" w:hAnsi="仿宋" w:eastAsia="仿宋" w:cs="仿宋"/>
          <w:b/>
          <w:snapToGrid w:val="0"/>
          <w:szCs w:val="21"/>
        </w:rPr>
      </w:pPr>
      <w:bookmarkStart w:id="229" w:name="_Toc264976066"/>
      <w:bookmarkStart w:id="230" w:name="_Toc200513174"/>
      <w:r>
        <w:rPr>
          <w:rFonts w:hint="eastAsia" w:ascii="仿宋" w:hAnsi="仿宋" w:eastAsia="仿宋" w:cs="仿宋"/>
          <w:b/>
          <w:snapToGrid w:val="0"/>
          <w:szCs w:val="21"/>
        </w:rPr>
        <w:t>9.2  对竞选人的纪律要求</w:t>
      </w:r>
      <w:bookmarkEnd w:id="229"/>
      <w:bookmarkEnd w:id="230"/>
    </w:p>
    <w:p w14:paraId="7FCAFD1B">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竞选人不得相互串通竞选或者与比选人串通竞选，不得向比选人或者评标委员会成员行 贿谋取中标，不得以他人名义竞选或者以其他方式弄虚作假骗取中标；竞选人不得以任何方 式干扰、影响评标工作。</w:t>
      </w:r>
    </w:p>
    <w:p w14:paraId="169FDF51">
      <w:pPr>
        <w:rPr>
          <w:rFonts w:hint="eastAsia" w:ascii="仿宋" w:hAnsi="仿宋" w:eastAsia="仿宋" w:cs="仿宋"/>
          <w:b/>
          <w:snapToGrid w:val="0"/>
          <w:szCs w:val="21"/>
        </w:rPr>
      </w:pPr>
      <w:bookmarkStart w:id="231" w:name="_Toc200513175"/>
      <w:bookmarkStart w:id="232" w:name="_Toc264976067"/>
      <w:r>
        <w:rPr>
          <w:rFonts w:hint="eastAsia" w:ascii="仿宋" w:hAnsi="仿宋" w:eastAsia="仿宋" w:cs="仿宋"/>
          <w:b/>
          <w:snapToGrid w:val="0"/>
          <w:szCs w:val="21"/>
        </w:rPr>
        <w:t>9.3  对评标委员会成员的纪律要求</w:t>
      </w:r>
      <w:bookmarkEnd w:id="231"/>
      <w:bookmarkEnd w:id="232"/>
    </w:p>
    <w:p w14:paraId="3FE47353">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评标委员会成员不得收受他人的财物或者其他好处，不得向他人透漏对竞选文件的评审 和比较、中标候选人的推荐情况以及评标有关的其他情况。在评标活动中，评标委员会成员不得擅离职守，影响评标程序正常进行，不得使用第三章“评标办法”没有规定的评审因素和标准进行评标。</w:t>
      </w:r>
    </w:p>
    <w:p w14:paraId="0EED3E25">
      <w:pPr>
        <w:rPr>
          <w:rFonts w:hint="eastAsia" w:ascii="仿宋" w:hAnsi="仿宋" w:eastAsia="仿宋" w:cs="仿宋"/>
          <w:b/>
          <w:snapToGrid w:val="0"/>
          <w:szCs w:val="21"/>
        </w:rPr>
      </w:pPr>
      <w:bookmarkStart w:id="233" w:name="_Toc200513176"/>
      <w:bookmarkStart w:id="234" w:name="_Toc264976068"/>
      <w:r>
        <w:rPr>
          <w:rFonts w:hint="eastAsia" w:ascii="仿宋" w:hAnsi="仿宋" w:eastAsia="仿宋" w:cs="仿宋"/>
          <w:b/>
          <w:snapToGrid w:val="0"/>
          <w:szCs w:val="21"/>
        </w:rPr>
        <w:t>9.4  对与评标活动有关的工作人员的纪律要求</w:t>
      </w:r>
      <w:bookmarkEnd w:id="233"/>
      <w:bookmarkEnd w:id="234"/>
    </w:p>
    <w:p w14:paraId="5D613DD4">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与评标活动有关的工作人员不得收受他人的财物或者其他好处，不得向他人透漏对竞选 文件的评审和比较、中标候选人的推荐情况以及评标有关的其他情况。在评标活动中，与评标活动有关的工作人员不得擅离职守，影响评标程序正常进行。</w:t>
      </w:r>
    </w:p>
    <w:p w14:paraId="180BDF07">
      <w:pPr>
        <w:rPr>
          <w:rFonts w:hint="eastAsia" w:ascii="仿宋" w:hAnsi="仿宋" w:eastAsia="仿宋" w:cs="仿宋"/>
          <w:b/>
          <w:snapToGrid w:val="0"/>
          <w:szCs w:val="21"/>
        </w:rPr>
      </w:pPr>
      <w:bookmarkStart w:id="235" w:name="_Toc264976069"/>
      <w:bookmarkStart w:id="236" w:name="_Toc200513177"/>
      <w:r>
        <w:rPr>
          <w:rFonts w:hint="eastAsia" w:ascii="仿宋" w:hAnsi="仿宋" w:eastAsia="仿宋" w:cs="仿宋"/>
          <w:b/>
          <w:snapToGrid w:val="0"/>
          <w:szCs w:val="21"/>
        </w:rPr>
        <w:t>9.5  投诉</w:t>
      </w:r>
      <w:bookmarkEnd w:id="235"/>
      <w:bookmarkEnd w:id="236"/>
    </w:p>
    <w:p w14:paraId="2BFCB882">
      <w:pPr>
        <w:autoSpaceDE w:val="0"/>
        <w:autoSpaceDN w:val="0"/>
        <w:adjustRightInd w:val="0"/>
        <w:snapToGrid w:val="0"/>
        <w:spacing w:line="360" w:lineRule="auto"/>
        <w:ind w:firstLine="408" w:firstLineChars="170"/>
        <w:jc w:val="left"/>
        <w:rPr>
          <w:rFonts w:hint="eastAsia" w:ascii="仿宋" w:hAnsi="仿宋" w:eastAsia="仿宋" w:cs="仿宋"/>
          <w:snapToGrid w:val="0"/>
          <w:kern w:val="0"/>
          <w:szCs w:val="21"/>
        </w:rPr>
      </w:pPr>
      <w:r>
        <w:rPr>
          <w:rFonts w:hint="eastAsia" w:ascii="仿宋" w:hAnsi="仿宋" w:eastAsia="仿宋" w:cs="仿宋"/>
          <w:snapToGrid w:val="0"/>
          <w:kern w:val="0"/>
          <w:szCs w:val="21"/>
        </w:rPr>
        <w:t>竞选人和其他利害关系人认为本次比选活动违反法律、法规和规章规定的，有权向有关行政监督部门投诉。</w:t>
      </w:r>
    </w:p>
    <w:p w14:paraId="06951A8C">
      <w:pPr>
        <w:pStyle w:val="3"/>
        <w:rPr>
          <w:rFonts w:hint="eastAsia" w:ascii="仿宋" w:hAnsi="仿宋" w:eastAsia="仿宋" w:cs="仿宋"/>
          <w:b/>
          <w:bCs w:val="0"/>
          <w:snapToGrid w:val="0"/>
          <w:kern w:val="2"/>
          <w:sz w:val="24"/>
          <w:szCs w:val="21"/>
          <w:lang w:val="en-US" w:eastAsia="zh-CN" w:bidi="ar-SA"/>
        </w:rPr>
      </w:pPr>
      <w:bookmarkStart w:id="237" w:name="_Toc66460674"/>
      <w:bookmarkStart w:id="238" w:name="_Toc339360695"/>
      <w:bookmarkStart w:id="239" w:name="_Toc200513178"/>
      <w:r>
        <w:rPr>
          <w:rFonts w:hint="eastAsia" w:ascii="仿宋" w:hAnsi="仿宋" w:eastAsia="仿宋" w:cs="仿宋"/>
          <w:b/>
          <w:bCs w:val="0"/>
          <w:snapToGrid w:val="0"/>
          <w:kern w:val="2"/>
          <w:sz w:val="24"/>
          <w:szCs w:val="21"/>
          <w:lang w:val="en-US" w:eastAsia="zh-CN" w:bidi="ar-SA"/>
        </w:rPr>
        <w:t>10.  需要补充的其他内容</w:t>
      </w:r>
      <w:bookmarkEnd w:id="237"/>
      <w:bookmarkEnd w:id="238"/>
      <w:bookmarkEnd w:id="239"/>
    </w:p>
    <w:p w14:paraId="08720CA3">
      <w:pPr>
        <w:ind w:left="0" w:leftChars="0" w:firstLine="0" w:firstLineChars="0"/>
        <w:rPr>
          <w:rFonts w:hint="eastAsia" w:ascii="仿宋" w:hAnsi="仿宋" w:eastAsia="仿宋" w:cs="仿宋"/>
          <w:b/>
          <w:bCs/>
          <w:color w:val="000000" w:themeColor="text1"/>
          <w:sz w:val="36"/>
          <w:szCs w:val="36"/>
          <w:highlight w:val="none"/>
          <w14:textFill>
            <w14:solidFill>
              <w14:schemeClr w14:val="tx1"/>
            </w14:solidFill>
          </w14:textFill>
        </w:rPr>
      </w:pPr>
      <w:r>
        <w:rPr>
          <w:rFonts w:hint="eastAsia" w:ascii="仿宋" w:hAnsi="仿宋" w:eastAsia="仿宋" w:cs="仿宋"/>
          <w:snapToGrid w:val="0"/>
          <w:kern w:val="0"/>
          <w:szCs w:val="21"/>
        </w:rPr>
        <w:t>需要补充的其他内容：见竞选人须知前附表。</w:t>
      </w:r>
    </w:p>
    <w:p w14:paraId="40DE7F1F">
      <w:pPr>
        <w:rPr>
          <w:rFonts w:hint="eastAsia" w:ascii="仿宋" w:hAnsi="仿宋" w:eastAsia="仿宋" w:cs="仿宋"/>
          <w:b/>
          <w:bCs/>
          <w:color w:val="000000" w:themeColor="text1"/>
          <w:sz w:val="36"/>
          <w:szCs w:val="36"/>
          <w:highlight w:val="none"/>
          <w14:textFill>
            <w14:solidFill>
              <w14:schemeClr w14:val="tx1"/>
            </w14:solidFill>
          </w14:textFill>
        </w:rPr>
      </w:pPr>
      <w:r>
        <w:rPr>
          <w:rFonts w:hint="eastAsia" w:ascii="仿宋" w:hAnsi="仿宋" w:eastAsia="仿宋" w:cs="仿宋"/>
          <w:b/>
          <w:bCs/>
          <w:color w:val="000000" w:themeColor="text1"/>
          <w:sz w:val="36"/>
          <w:szCs w:val="36"/>
          <w:highlight w:val="none"/>
          <w14:textFill>
            <w14:solidFill>
              <w14:schemeClr w14:val="tx1"/>
            </w14:solidFill>
          </w14:textFill>
        </w:rPr>
        <w:br w:type="page"/>
      </w:r>
    </w:p>
    <w:p w14:paraId="11888214">
      <w:pPr>
        <w:pStyle w:val="2"/>
        <w:spacing w:before="0" w:after="0" w:line="360" w:lineRule="auto"/>
        <w:jc w:val="center"/>
        <w:outlineLvl w:val="0"/>
        <w:rPr>
          <w:rFonts w:hint="eastAsia" w:ascii="仿宋" w:hAnsi="仿宋" w:eastAsia="仿宋" w:cs="仿宋"/>
          <w:b/>
          <w:sz w:val="36"/>
          <w:szCs w:val="30"/>
        </w:rPr>
      </w:pPr>
      <w:r>
        <w:rPr>
          <w:rFonts w:hint="eastAsia" w:ascii="仿宋" w:hAnsi="仿宋" w:eastAsia="仿宋" w:cs="仿宋"/>
          <w:b/>
          <w:bCs/>
          <w:color w:val="000000" w:themeColor="text1"/>
          <w:sz w:val="36"/>
          <w:szCs w:val="36"/>
          <w:highlight w:val="none"/>
          <w14:textFill>
            <w14:solidFill>
              <w14:schemeClr w14:val="tx1"/>
            </w14:solidFill>
          </w14:textFill>
        </w:rPr>
        <w:t>第三篇  项目</w:t>
      </w:r>
      <w:r>
        <w:rPr>
          <w:rFonts w:hint="eastAsia" w:ascii="仿宋" w:hAnsi="仿宋" w:eastAsia="仿宋" w:cs="仿宋"/>
          <w:b/>
          <w:bCs/>
          <w:color w:val="000000" w:themeColor="text1"/>
          <w:sz w:val="36"/>
          <w:szCs w:val="36"/>
          <w:highlight w:val="none"/>
          <w:lang w:val="en-US" w:eastAsia="zh-CN"/>
          <w14:textFill>
            <w14:solidFill>
              <w14:schemeClr w14:val="tx1"/>
            </w14:solidFill>
          </w14:textFill>
        </w:rPr>
        <w:t>商务</w:t>
      </w:r>
      <w:r>
        <w:rPr>
          <w:rFonts w:hint="eastAsia" w:ascii="仿宋" w:hAnsi="仿宋" w:eastAsia="仿宋" w:cs="仿宋"/>
          <w:b/>
          <w:bCs/>
          <w:color w:val="000000" w:themeColor="text1"/>
          <w:sz w:val="36"/>
          <w:szCs w:val="36"/>
          <w:highlight w:val="none"/>
          <w14:textFill>
            <w14:solidFill>
              <w14:schemeClr w14:val="tx1"/>
            </w14:solidFill>
          </w14:textFill>
        </w:rPr>
        <w:t>需求</w:t>
      </w:r>
      <w:bookmarkEnd w:id="112"/>
    </w:p>
    <w:p w14:paraId="4AFA12EA">
      <w:pPr>
        <w:pStyle w:val="3"/>
        <w:spacing w:line="360" w:lineRule="auto"/>
        <w:ind w:firstLine="482" w:firstLineChars="200"/>
        <w:outlineLvl w:val="0"/>
        <w:rPr>
          <w:rFonts w:hint="eastAsia" w:ascii="仿宋" w:hAnsi="仿宋" w:eastAsia="仿宋" w:cs="仿宋"/>
          <w:b/>
          <w:bCs/>
          <w:color w:val="000000" w:themeColor="text1"/>
          <w:sz w:val="24"/>
          <w:highlight w:val="none"/>
          <w14:textFill>
            <w14:solidFill>
              <w14:schemeClr w14:val="tx1"/>
            </w14:solidFill>
          </w14:textFill>
        </w:rPr>
      </w:pPr>
      <w:bookmarkStart w:id="240" w:name="_Toc106034633"/>
      <w:bookmarkStart w:id="241" w:name="_Toc13555"/>
      <w:bookmarkStart w:id="242" w:name="_Toc12935"/>
      <w:bookmarkStart w:id="243" w:name="_Toc65660342"/>
      <w:bookmarkStart w:id="244" w:name="_Toc5631"/>
      <w:r>
        <w:rPr>
          <w:rFonts w:hint="eastAsia" w:ascii="仿宋" w:hAnsi="仿宋" w:eastAsia="仿宋" w:cs="仿宋"/>
          <w:b/>
          <w:bCs/>
          <w:color w:val="000000" w:themeColor="text1"/>
          <w:sz w:val="24"/>
          <w:highlight w:val="none"/>
          <w14:textFill>
            <w14:solidFill>
              <w14:schemeClr w14:val="tx1"/>
            </w14:solidFill>
          </w14:textFill>
        </w:rPr>
        <w:t>一、</w:t>
      </w:r>
      <w:r>
        <w:rPr>
          <w:rFonts w:hint="eastAsia" w:ascii="仿宋" w:hAnsi="仿宋" w:eastAsia="仿宋" w:cs="仿宋"/>
          <w:b/>
          <w:bCs/>
          <w:color w:val="000000" w:themeColor="text1"/>
          <w:sz w:val="24"/>
          <w:highlight w:val="none"/>
          <w:lang w:eastAsia="zh-CN"/>
          <w14:textFill>
            <w14:solidFill>
              <w14:schemeClr w14:val="tx1"/>
            </w14:solidFill>
          </w14:textFill>
        </w:rPr>
        <w:t>项目工期</w:t>
      </w:r>
      <w:r>
        <w:rPr>
          <w:rFonts w:hint="eastAsia" w:ascii="仿宋" w:hAnsi="仿宋" w:eastAsia="仿宋" w:cs="仿宋"/>
          <w:b/>
          <w:bCs/>
          <w:color w:val="000000" w:themeColor="text1"/>
          <w:sz w:val="24"/>
          <w:highlight w:val="none"/>
          <w14:textFill>
            <w14:solidFill>
              <w14:schemeClr w14:val="tx1"/>
            </w14:solidFill>
          </w14:textFill>
        </w:rPr>
        <w:t>、地点及验收方式</w:t>
      </w:r>
      <w:bookmarkEnd w:id="240"/>
      <w:bookmarkEnd w:id="241"/>
      <w:bookmarkEnd w:id="242"/>
      <w:bookmarkEnd w:id="243"/>
      <w:bookmarkEnd w:id="244"/>
    </w:p>
    <w:p w14:paraId="566271D9">
      <w:pPr>
        <w:numPr>
          <w:ilvl w:val="0"/>
          <w:numId w:val="0"/>
        </w:num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（一）项目工期： 50 日历天，</w:t>
      </w:r>
      <w:r>
        <w:rPr>
          <w:rFonts w:hint="eastAsia" w:ascii="仿宋" w:hAnsi="仿宋" w:eastAsia="仿宋" w:cs="仿宋"/>
          <w:color w:val="000000"/>
          <w:sz w:val="24"/>
          <w:highlight w:val="none"/>
          <w:lang w:val="en-US" w:eastAsia="zh-CN"/>
        </w:rPr>
        <w:t>其中学生放学后不能施工。</w:t>
      </w:r>
      <w:r>
        <w:rPr>
          <w:rFonts w:hint="eastAsia" w:ascii="仿宋" w:hAnsi="仿宋" w:eastAsia="仿宋" w:cs="仿宋"/>
          <w:snapToGrid w:val="0"/>
          <w:kern w:val="0"/>
          <w:szCs w:val="21"/>
          <w:highlight w:val="none"/>
        </w:rPr>
        <w:t>缺陷责任期</w:t>
      </w:r>
      <w:r>
        <w:rPr>
          <w:rFonts w:hint="eastAsia" w:ascii="仿宋" w:hAnsi="仿宋" w:eastAsia="仿宋" w:cs="仿宋"/>
          <w:snapToGrid w:val="0"/>
          <w:kern w:val="0"/>
          <w:szCs w:val="21"/>
          <w:highlight w:val="none"/>
          <w:u w:val="single"/>
        </w:rPr>
        <w:t xml:space="preserve"> </w:t>
      </w:r>
      <w:r>
        <w:rPr>
          <w:rFonts w:hint="eastAsia" w:ascii="仿宋" w:hAnsi="仿宋" w:eastAsia="仿宋" w:cs="仿宋"/>
          <w:snapToGrid w:val="0"/>
          <w:kern w:val="0"/>
          <w:szCs w:val="21"/>
          <w:highlight w:val="none"/>
          <w:u w:val="single"/>
          <w:lang w:val="en-US" w:eastAsia="zh-CN"/>
        </w:rPr>
        <w:t>1</w:t>
      </w:r>
      <w:r>
        <w:rPr>
          <w:rFonts w:hint="eastAsia" w:ascii="仿宋" w:hAnsi="仿宋" w:eastAsia="仿宋" w:cs="仿宋"/>
          <w:snapToGrid w:val="0"/>
          <w:kern w:val="0"/>
          <w:szCs w:val="21"/>
          <w:highlight w:val="none"/>
          <w:u w:val="single"/>
        </w:rPr>
        <w:t xml:space="preserve">2 </w:t>
      </w:r>
      <w:r>
        <w:rPr>
          <w:rFonts w:hint="eastAsia" w:ascii="仿宋" w:hAnsi="仿宋" w:eastAsia="仿宋" w:cs="仿宋"/>
          <w:snapToGrid w:val="0"/>
          <w:kern w:val="0"/>
          <w:szCs w:val="21"/>
          <w:highlight w:val="none"/>
        </w:rPr>
        <w:t>个月。</w:t>
      </w:r>
    </w:p>
    <w:p w14:paraId="5E706A42">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（二）项目地点：</w:t>
      </w:r>
      <w:r>
        <w:rPr>
          <w:rFonts w:hint="eastAsia" w:ascii="仿宋" w:hAnsi="仿宋" w:eastAsia="仿宋" w:cs="仿宋"/>
          <w:color w:val="000000" w:themeColor="text1"/>
          <w:highlight w:val="none"/>
          <w:lang w:eastAsia="zh-CN"/>
          <w14:textFill>
            <w14:solidFill>
              <w14:schemeClr w14:val="tx1"/>
            </w14:solidFill>
          </w14:textFill>
        </w:rPr>
        <w:t>重庆市荣昌区职业教育中心</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w:t>
      </w:r>
    </w:p>
    <w:p w14:paraId="00B96CD0">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（三）验收方式</w:t>
      </w:r>
    </w:p>
    <w:p w14:paraId="47F21ECB">
      <w:pPr>
        <w:pStyle w:val="3"/>
        <w:spacing w:line="360" w:lineRule="auto"/>
        <w:ind w:firstLine="480" w:firstLineChars="200"/>
        <w:outlineLvl w:val="0"/>
        <w:rPr>
          <w:rFonts w:hint="eastAsia" w:ascii="仿宋" w:hAnsi="仿宋" w:eastAsia="仿宋" w:cs="仿宋"/>
          <w:sz w:val="24"/>
          <w:szCs w:val="24"/>
          <w:highlight w:val="none"/>
          <w:lang w:val="en-US" w:eastAsia="zh-CN"/>
        </w:rPr>
      </w:pPr>
      <w:bookmarkStart w:id="245" w:name="_Toc135838036"/>
      <w:bookmarkStart w:id="246" w:name="_Toc13109"/>
      <w:r>
        <w:rPr>
          <w:rFonts w:hint="eastAsia" w:ascii="仿宋" w:hAnsi="仿宋" w:eastAsia="仿宋" w:cs="仿宋"/>
          <w:b w:val="0"/>
          <w:bCs w:val="0"/>
          <w:color w:val="000000" w:themeColor="text1"/>
          <w:kern w:val="2"/>
          <w:sz w:val="24"/>
          <w:szCs w:val="24"/>
          <w:highlight w:val="none"/>
          <w:lang w:val="en-US" w:eastAsia="zh-CN" w:bidi="ar-SA"/>
          <w14:textFill>
            <w14:solidFill>
              <w14:schemeClr w14:val="tx1"/>
            </w14:solidFill>
          </w14:textFill>
        </w:rPr>
        <w:t>比选人组织相关人员对工程进行据实验收，符合验收要求。如竞选人未达到国家、行业标准及设计要求和招标文件规定要求，比选人拒绝验收。造成的损失均由竞选人承担一切责任，并赔偿比选人造成的损失。</w:t>
      </w:r>
    </w:p>
    <w:p w14:paraId="276FD8FD">
      <w:pPr>
        <w:pStyle w:val="3"/>
        <w:spacing w:line="360" w:lineRule="auto"/>
        <w:ind w:firstLine="482" w:firstLineChars="200"/>
        <w:outlineLvl w:val="0"/>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二、质量保证及售后服务</w:t>
      </w:r>
      <w:bookmarkEnd w:id="245"/>
      <w:bookmarkEnd w:id="246"/>
    </w:p>
    <w:p w14:paraId="4C3FBAAF">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一）材料质量总体要求：所供相关材料必须货真价实，符合环保节能要求，假冒伪劣产品不得参与比选；所供材料的各项手续、文件必须真实完整有效；其他材料各项技术参数、质量指标必须符合国家技术质量监督机构及有关管理部门和行业的规定和标准，主要技术数据和性能要详细描述，满足比选文件全部要求。</w:t>
      </w:r>
    </w:p>
    <w:p w14:paraId="356C325A">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（二）质保期</w:t>
      </w:r>
    </w:p>
    <w:p w14:paraId="4D737901">
      <w:pPr>
        <w:numPr>
          <w:ilvl w:val="0"/>
          <w:numId w:val="0"/>
        </w:num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1、工程质量保修期限：竣工验收合格之日起1年。</w:t>
      </w:r>
    </w:p>
    <w:p w14:paraId="263F2294">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2、保修期内，所有施工质量缺陷的维护及维修（非人为损坏）均为免费，所有施工质量缺陷维修均为现场服务。</w:t>
      </w:r>
    </w:p>
    <w:p w14:paraId="5B9AD90A">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3、保修期外，比选人需要继续由原成交竞选人提供售后服务的，成交竞选人应以优惠价格提供售后服务。</w:t>
      </w:r>
      <w:bookmarkStart w:id="247" w:name="_Toc106034636"/>
      <w:bookmarkStart w:id="248" w:name="_Toc65660345"/>
      <w:bookmarkStart w:id="249" w:name="_Toc9192"/>
      <w:bookmarkStart w:id="250" w:name="_Toc7562"/>
    </w:p>
    <w:bookmarkEnd w:id="247"/>
    <w:bookmarkEnd w:id="248"/>
    <w:bookmarkEnd w:id="249"/>
    <w:bookmarkEnd w:id="250"/>
    <w:p w14:paraId="0CA0FB7E">
      <w:pPr>
        <w:keepNext w:val="0"/>
        <w:keepLines w:val="0"/>
        <w:pageBreakBefore w:val="0"/>
        <w:widowControl/>
        <w:numPr>
          <w:ilvl w:val="0"/>
          <w:numId w:val="0"/>
        </w:numPr>
        <w:kinsoku/>
        <w:wordWrap/>
        <w:overflowPunct/>
        <w:topLinePunct w:val="0"/>
        <w:autoSpaceDE/>
        <w:autoSpaceDN/>
        <w:bidi w:val="0"/>
        <w:adjustRightInd/>
        <w:spacing w:line="400" w:lineRule="exact"/>
        <w:ind w:firstLine="482" w:firstLineChars="200"/>
        <w:jc w:val="left"/>
        <w:textAlignment w:val="auto"/>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pPr>
      <w:bookmarkStart w:id="251" w:name="_Toc135838039"/>
      <w:bookmarkStart w:id="252" w:name="_Toc31662"/>
      <w:bookmarkStart w:id="253" w:name="_Toc106034786"/>
      <w:bookmarkStart w:id="254" w:name="_Toc3786"/>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三、知识产权</w:t>
      </w:r>
      <w:bookmarkEnd w:id="251"/>
      <w:bookmarkEnd w:id="252"/>
      <w:bookmarkEnd w:id="253"/>
      <w:bookmarkEnd w:id="254"/>
    </w:p>
    <w:p w14:paraId="596B4CF1">
      <w:pPr>
        <w:numPr>
          <w:ilvl w:val="0"/>
          <w:numId w:val="0"/>
        </w:numPr>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比选人在中华人民共和国境内使用成交竞选人提供的货物及服务时免受第三方提出的侵犯其专利权或其它知识产权的起诉。如果第三方提出侵权指控，成交竞选人应承担由此而引起的一切法律责任和费用。</w:t>
      </w:r>
    </w:p>
    <w:p w14:paraId="7A0ED31C">
      <w:pPr>
        <w:pStyle w:val="3"/>
        <w:pageBreakBefore w:val="0"/>
        <w:numPr>
          <w:ilvl w:val="0"/>
          <w:numId w:val="0"/>
        </w:numPr>
        <w:wordWrap/>
        <w:topLinePunct w:val="0"/>
        <w:bidi w:val="0"/>
        <w:spacing w:before="0" w:beforeLines="0" w:after="0" w:afterLines="0" w:line="400" w:lineRule="exact"/>
        <w:ind w:firstLine="482" w:firstLineChars="200"/>
        <w:rPr>
          <w:rFonts w:hint="eastAsia" w:ascii="仿宋" w:hAnsi="仿宋" w:eastAsia="仿宋" w:cs="仿宋"/>
          <w:sz w:val="24"/>
          <w:szCs w:val="24"/>
        </w:rPr>
      </w:pPr>
      <w:bookmarkStart w:id="255" w:name="_Toc31659"/>
      <w:bookmarkStart w:id="256" w:name="_Toc135838040"/>
      <w:bookmarkStart w:id="257" w:name="_Toc21248"/>
      <w:bookmarkStart w:id="258" w:name="_Toc23902"/>
      <w:bookmarkStart w:id="259" w:name="_Toc13823"/>
      <w:bookmarkStart w:id="260" w:name="_Toc65660348"/>
      <w:bookmarkStart w:id="261" w:name="_Toc106034788"/>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四、其他</w:t>
      </w:r>
      <w:bookmarkEnd w:id="255"/>
      <w:bookmarkEnd w:id="256"/>
      <w:bookmarkEnd w:id="257"/>
      <w:bookmarkEnd w:id="258"/>
      <w:bookmarkEnd w:id="259"/>
      <w:bookmarkEnd w:id="260"/>
      <w:bookmarkEnd w:id="261"/>
    </w:p>
    <w:p w14:paraId="396F6AAC">
      <w:pPr>
        <w:spacing w:line="360" w:lineRule="auto"/>
        <w:ind w:firstLine="480" w:firstLineChars="200"/>
        <w:jc w:val="left"/>
        <w:rPr>
          <w:rFonts w:hint="eastAsia" w:ascii="仿宋" w:hAnsi="仿宋" w:eastAsia="仿宋" w:cs="仿宋"/>
          <w:highlight w:val="none"/>
          <w:lang w:val="en-US" w:eastAsia="zh-CN"/>
        </w:rPr>
      </w:pPr>
      <w:r>
        <w:rPr>
          <w:rFonts w:hint="eastAsia" w:ascii="仿宋" w:hAnsi="仿宋" w:eastAsia="仿宋" w:cs="仿宋"/>
          <w:color w:val="auto"/>
          <w:kern w:val="2"/>
          <w:sz w:val="24"/>
          <w:szCs w:val="24"/>
          <w:highlight w:val="none"/>
          <w:lang w:val="en-US" w:eastAsia="zh-CN" w:bidi="ar-SA"/>
        </w:rPr>
        <w:t>1.竞选人拒不执行监理或比选人的书面指令，每发生一次处以1000元的违约金，累计达到二次，将视为竞选人严重违约，比选人有权终止合同，勒令退场，并由竞选人赔偿由此造成的损失；</w:t>
      </w:r>
    </w:p>
    <w:p w14:paraId="1F2BBF75">
      <w:pPr>
        <w:spacing w:line="360" w:lineRule="auto"/>
        <w:ind w:firstLine="480" w:firstLineChars="20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2.由于竞选人原因，造成项目连续停工超过10天，比选人有权终止施工合同。比选人将仅对已完合格工程量的50%支付工程清算价款；</w:t>
      </w:r>
    </w:p>
    <w:p w14:paraId="6A073C46">
      <w:pPr>
        <w:spacing w:line="360" w:lineRule="auto"/>
        <w:ind w:firstLine="480" w:firstLineChars="20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3.因承包人原因造成工期延误，逾期竣工违约金的计算方法为：承包人向发包人支付违约金3000元/日；</w:t>
      </w:r>
    </w:p>
    <w:p w14:paraId="01B5AD29">
      <w:pPr>
        <w:spacing w:line="360" w:lineRule="auto"/>
        <w:ind w:firstLine="480" w:firstLineChars="20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4.其他未尽事宜由成交竞选人和比选人双方在比选合同中详细约定。</w:t>
      </w:r>
    </w:p>
    <w:p w14:paraId="1277B963">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6F38AD55">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2C3EEE1D">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3BC93FCF">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01F1E59E">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5C1FB8E0">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091733A2">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1BAD335F">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1362F10B">
      <w:pPr>
        <w:rPr>
          <w:rFonts w:hint="eastAsia" w:ascii="仿宋" w:hAnsi="仿宋" w:eastAsia="仿宋" w:cs="仿宋"/>
          <w:b/>
          <w:kern w:val="0"/>
          <w:sz w:val="32"/>
          <w:szCs w:val="32"/>
        </w:rPr>
      </w:pPr>
      <w:bookmarkStart w:id="262" w:name="_Toc339360696"/>
      <w:bookmarkStart w:id="263" w:name="_Toc66460675"/>
      <w:r>
        <w:rPr>
          <w:rFonts w:hint="eastAsia" w:ascii="仿宋" w:hAnsi="仿宋" w:eastAsia="仿宋" w:cs="仿宋"/>
          <w:b/>
          <w:kern w:val="0"/>
          <w:sz w:val="32"/>
          <w:szCs w:val="32"/>
        </w:rPr>
        <w:br w:type="page"/>
      </w:r>
    </w:p>
    <w:p w14:paraId="69C87450">
      <w:pPr>
        <w:pageBreakBefore w:val="0"/>
        <w:kinsoku/>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z w:val="28"/>
          <w:szCs w:val="22"/>
          <w:highlight w:val="none"/>
        </w:rPr>
      </w:pPr>
      <w:r>
        <w:rPr>
          <w:rFonts w:hint="eastAsia" w:ascii="仿宋" w:hAnsi="仿宋" w:eastAsia="仿宋" w:cs="仿宋"/>
          <w:b/>
          <w:kern w:val="0"/>
          <w:sz w:val="32"/>
          <w:szCs w:val="32"/>
        </w:rPr>
        <w:t>第</w:t>
      </w:r>
      <w:r>
        <w:rPr>
          <w:rFonts w:hint="eastAsia" w:ascii="仿宋" w:hAnsi="仿宋" w:eastAsia="仿宋" w:cs="仿宋"/>
          <w:b/>
          <w:kern w:val="0"/>
          <w:sz w:val="32"/>
          <w:szCs w:val="32"/>
          <w:lang w:val="en-US" w:eastAsia="zh-CN"/>
        </w:rPr>
        <w:t>四篇</w:t>
      </w:r>
      <w:r>
        <w:rPr>
          <w:rFonts w:hint="eastAsia" w:ascii="仿宋" w:hAnsi="仿宋" w:eastAsia="仿宋" w:cs="仿宋"/>
          <w:b/>
          <w:kern w:val="0"/>
          <w:sz w:val="32"/>
          <w:szCs w:val="32"/>
        </w:rPr>
        <w:t xml:space="preserve">  </w:t>
      </w:r>
      <w:bookmarkStart w:id="264" w:name="_Toc269194815"/>
      <w:r>
        <w:rPr>
          <w:rFonts w:hint="eastAsia" w:ascii="仿宋" w:hAnsi="仿宋" w:eastAsia="仿宋" w:cs="仿宋"/>
          <w:b/>
          <w:kern w:val="0"/>
          <w:sz w:val="32"/>
          <w:szCs w:val="32"/>
        </w:rPr>
        <w:t>评标办法</w:t>
      </w:r>
      <w:bookmarkEnd w:id="262"/>
      <w:bookmarkEnd w:id="264"/>
      <w:r>
        <w:rPr>
          <w:rFonts w:hint="eastAsia" w:ascii="仿宋" w:hAnsi="仿宋" w:eastAsia="仿宋" w:cs="仿宋"/>
          <w:b/>
          <w:kern w:val="0"/>
          <w:sz w:val="32"/>
          <w:szCs w:val="32"/>
        </w:rPr>
        <w:t>（经评审的最低投标价法）</w:t>
      </w:r>
      <w:bookmarkEnd w:id="263"/>
    </w:p>
    <w:p w14:paraId="09C9219A">
      <w:pPr>
        <w:spacing w:line="360" w:lineRule="auto"/>
        <w:ind w:left="0" w:leftChars="0" w:firstLine="0" w:firstLineChars="0"/>
        <w:jc w:val="left"/>
        <w:rPr>
          <w:rStyle w:val="48"/>
          <w:rFonts w:hint="eastAsia" w:ascii="仿宋" w:hAnsi="仿宋" w:eastAsia="仿宋" w:cs="仿宋"/>
          <w:b/>
          <w:bCs/>
          <w:sz w:val="36"/>
          <w:szCs w:val="36"/>
          <w:highlight w:val="none"/>
          <w:lang w:val="en-US" w:eastAsia="zh-CN"/>
        </w:rPr>
      </w:pPr>
      <w:bookmarkStart w:id="265" w:name="_Toc32239"/>
      <w:bookmarkStart w:id="266" w:name="_Toc10747"/>
    </w:p>
    <w:p w14:paraId="38CD911A">
      <w:pPr>
        <w:pStyle w:val="3"/>
        <w:jc w:val="center"/>
        <w:rPr>
          <w:rFonts w:hint="eastAsia" w:ascii="仿宋" w:hAnsi="仿宋" w:eastAsia="仿宋" w:cs="仿宋"/>
          <w:sz w:val="24"/>
          <w:szCs w:val="24"/>
        </w:rPr>
      </w:pPr>
      <w:bookmarkStart w:id="267" w:name="_Toc263326725"/>
      <w:bookmarkStart w:id="268" w:name="_Toc325315194"/>
      <w:bookmarkStart w:id="269" w:name="_Toc241059760"/>
      <w:bookmarkStart w:id="270" w:name="_Toc263151112"/>
      <w:bookmarkStart w:id="271" w:name="_Toc66460676"/>
      <w:bookmarkStart w:id="272" w:name="_Toc256581161"/>
      <w:r>
        <w:rPr>
          <w:rFonts w:hint="eastAsia" w:ascii="仿宋" w:hAnsi="仿宋" w:eastAsia="仿宋" w:cs="仿宋"/>
          <w:sz w:val="24"/>
          <w:szCs w:val="24"/>
        </w:rPr>
        <w:t>评标办法前附表</w:t>
      </w:r>
      <w:bookmarkEnd w:id="267"/>
      <w:bookmarkEnd w:id="268"/>
      <w:bookmarkEnd w:id="269"/>
      <w:bookmarkEnd w:id="270"/>
      <w:bookmarkEnd w:id="271"/>
      <w:bookmarkEnd w:id="272"/>
    </w:p>
    <w:p w14:paraId="1F546129">
      <w:pPr>
        <w:spacing w:line="400" w:lineRule="exact"/>
        <w:ind w:firstLine="486" w:firstLineChars="196"/>
        <w:rPr>
          <w:rFonts w:hint="eastAsia" w:ascii="仿宋" w:hAnsi="仿宋" w:eastAsia="仿宋" w:cs="仿宋"/>
          <w:spacing w:val="4"/>
          <w:kern w:val="0"/>
          <w:szCs w:val="21"/>
        </w:rPr>
      </w:pPr>
      <w:bookmarkStart w:id="273" w:name="_Toc13210726"/>
      <w:r>
        <w:rPr>
          <w:rFonts w:hint="eastAsia" w:ascii="仿宋" w:hAnsi="仿宋" w:eastAsia="仿宋" w:cs="仿宋"/>
          <w:spacing w:val="4"/>
          <w:kern w:val="0"/>
          <w:szCs w:val="21"/>
        </w:rPr>
        <w:t>评标办法前附表中的评审内容必须和竞选人须知前附表中的对应内容一致，若竞选人须知前附表中未作要求的内容，不得列入评标办法前附表作为评定依据。</w:t>
      </w:r>
      <w:bookmarkEnd w:id="273"/>
    </w:p>
    <w:tbl>
      <w:tblPr>
        <w:tblStyle w:val="24"/>
        <w:tblW w:w="96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3"/>
        <w:gridCol w:w="1560"/>
        <w:gridCol w:w="2267"/>
        <w:gridCol w:w="4615"/>
      </w:tblGrid>
      <w:tr w14:paraId="55F7E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1243" w:type="dxa"/>
            <w:tcBorders>
              <w:right w:val="single" w:color="auto" w:sz="4" w:space="0"/>
            </w:tcBorders>
            <w:noWrap w:val="0"/>
            <w:vAlign w:val="center"/>
          </w:tcPr>
          <w:p w14:paraId="5DD1D2C3">
            <w:pPr>
              <w:spacing w:line="400" w:lineRule="exact"/>
              <w:ind w:left="0" w:leftChars="0"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条款号</w:t>
            </w:r>
          </w:p>
        </w:tc>
        <w:tc>
          <w:tcPr>
            <w:tcW w:w="1560" w:type="dxa"/>
            <w:tcBorders>
              <w:left w:val="single" w:color="auto" w:sz="4" w:space="0"/>
            </w:tcBorders>
            <w:noWrap w:val="0"/>
            <w:vAlign w:val="center"/>
          </w:tcPr>
          <w:p w14:paraId="2D00857C">
            <w:pPr>
              <w:spacing w:line="400" w:lineRule="exact"/>
              <w:ind w:left="0" w:leftChars="0"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评审因素</w:t>
            </w:r>
          </w:p>
        </w:tc>
        <w:tc>
          <w:tcPr>
            <w:tcW w:w="6882" w:type="dxa"/>
            <w:gridSpan w:val="2"/>
            <w:noWrap w:val="0"/>
            <w:vAlign w:val="center"/>
          </w:tcPr>
          <w:p w14:paraId="731D3D37">
            <w:pPr>
              <w:spacing w:line="400" w:lineRule="exact"/>
              <w:jc w:val="center"/>
              <w:rPr>
                <w:rFonts w:hint="eastAsia" w:ascii="仿宋" w:hAnsi="仿宋" w:eastAsia="仿宋" w:cs="仿宋"/>
                <w:b/>
                <w:kern w:val="0"/>
                <w:sz w:val="24"/>
                <w:szCs w:val="24"/>
              </w:rPr>
            </w:pPr>
            <w:r>
              <w:rPr>
                <w:rFonts w:hint="eastAsia" w:ascii="仿宋" w:hAnsi="仿宋" w:eastAsia="仿宋" w:cs="仿宋"/>
                <w:b/>
                <w:kern w:val="0"/>
                <w:sz w:val="24"/>
                <w:szCs w:val="24"/>
              </w:rPr>
              <w:t>评审标准</w:t>
            </w:r>
          </w:p>
        </w:tc>
      </w:tr>
      <w:tr w14:paraId="39E07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tcBorders>
              <w:right w:val="single" w:color="auto" w:sz="4" w:space="0"/>
            </w:tcBorders>
            <w:noWrap w:val="0"/>
            <w:vAlign w:val="center"/>
          </w:tcPr>
          <w:p w14:paraId="7CEB927C">
            <w:pPr>
              <w:pStyle w:val="51"/>
              <w:spacing w:line="240" w:lineRule="auto"/>
              <w:ind w:left="0" w:leftChars="0" w:firstLine="0" w:firstLineChars="0"/>
              <w:rPr>
                <w:rFonts w:hint="eastAsia" w:ascii="仿宋" w:hAnsi="仿宋" w:eastAsia="仿宋" w:cs="仿宋"/>
                <w:sz w:val="24"/>
                <w:szCs w:val="24"/>
              </w:rPr>
            </w:pPr>
            <w:r>
              <w:rPr>
                <w:rFonts w:hint="eastAsia" w:ascii="仿宋" w:hAnsi="仿宋" w:eastAsia="仿宋" w:cs="仿宋"/>
                <w:sz w:val="24"/>
                <w:szCs w:val="24"/>
              </w:rPr>
              <w:t>1</w:t>
            </w:r>
          </w:p>
        </w:tc>
        <w:tc>
          <w:tcPr>
            <w:tcW w:w="1560" w:type="dxa"/>
            <w:tcBorders>
              <w:left w:val="single" w:color="auto" w:sz="4" w:space="0"/>
            </w:tcBorders>
            <w:noWrap w:val="0"/>
            <w:vAlign w:val="center"/>
          </w:tcPr>
          <w:p w14:paraId="2DC40EA3">
            <w:pPr>
              <w:pStyle w:val="51"/>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评标办法</w:t>
            </w:r>
          </w:p>
        </w:tc>
        <w:tc>
          <w:tcPr>
            <w:tcW w:w="6882" w:type="dxa"/>
            <w:gridSpan w:val="2"/>
            <w:noWrap w:val="0"/>
            <w:vAlign w:val="center"/>
          </w:tcPr>
          <w:p w14:paraId="1CF55656">
            <w:pPr>
              <w:spacing w:line="400" w:lineRule="exact"/>
              <w:ind w:firstLine="496" w:firstLineChars="200"/>
              <w:rPr>
                <w:rFonts w:hint="eastAsia" w:ascii="仿宋" w:hAnsi="仿宋" w:eastAsia="仿宋" w:cs="仿宋"/>
                <w:spacing w:val="4"/>
                <w:kern w:val="0"/>
                <w:sz w:val="24"/>
                <w:szCs w:val="24"/>
              </w:rPr>
            </w:pPr>
            <w:r>
              <w:rPr>
                <w:rFonts w:hint="eastAsia" w:ascii="仿宋" w:hAnsi="仿宋" w:eastAsia="仿宋" w:cs="仿宋"/>
                <w:spacing w:val="4"/>
                <w:kern w:val="0"/>
                <w:sz w:val="24"/>
                <w:szCs w:val="24"/>
              </w:rPr>
              <w:t xml:space="preserve">本次评标采用经评审的最低投标价法，评标委员会按照本章第2.1款进行报价排序，按照本章第2.2款进行符合性审查，符合性审查合格的竞选人中按报价由低到高推荐中标候选人。若出现竞选人投标报价相同的，由评标委员会按照 </w:t>
            </w:r>
            <w:r>
              <w:rPr>
                <w:rFonts w:hint="eastAsia" w:ascii="仿宋" w:hAnsi="仿宋" w:eastAsia="仿宋" w:cs="仿宋"/>
                <w:spacing w:val="4"/>
                <w:kern w:val="0"/>
                <w:sz w:val="24"/>
                <w:szCs w:val="24"/>
                <w:u w:val="single"/>
              </w:rPr>
              <w:t>单位资质高的优先原则排序，若资质等级相同的，按照在资格审查资料中提供的财务审计报告及财务报表所显示的2</w:t>
            </w:r>
            <w:r>
              <w:rPr>
                <w:rFonts w:hint="eastAsia" w:ascii="仿宋" w:hAnsi="仿宋" w:eastAsia="仿宋" w:cs="仿宋"/>
                <w:spacing w:val="4"/>
                <w:kern w:val="0"/>
                <w:sz w:val="24"/>
                <w:szCs w:val="24"/>
                <w:u w:val="single"/>
                <w:lang w:val="en-US" w:eastAsia="zh-CN"/>
              </w:rPr>
              <w:t>0</w:t>
            </w:r>
            <w:r>
              <w:rPr>
                <w:rFonts w:hint="eastAsia" w:ascii="仿宋" w:hAnsi="仿宋" w:eastAsia="仿宋" w:cs="仿宋"/>
                <w:spacing w:val="4"/>
                <w:kern w:val="0"/>
                <w:sz w:val="24"/>
                <w:szCs w:val="24"/>
                <w:u w:val="single"/>
              </w:rPr>
              <w:t xml:space="preserve">23年度营业收入由高到低 </w:t>
            </w:r>
            <w:r>
              <w:rPr>
                <w:rFonts w:hint="eastAsia" w:ascii="仿宋" w:hAnsi="仿宋" w:eastAsia="仿宋" w:cs="仿宋"/>
                <w:spacing w:val="4"/>
                <w:kern w:val="0"/>
                <w:sz w:val="24"/>
                <w:szCs w:val="24"/>
              </w:rPr>
              <w:t>原则排序。</w:t>
            </w:r>
          </w:p>
        </w:tc>
      </w:tr>
      <w:tr w14:paraId="0B9BD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tcBorders>
              <w:right w:val="single" w:color="auto" w:sz="4" w:space="0"/>
            </w:tcBorders>
            <w:noWrap w:val="0"/>
            <w:vAlign w:val="center"/>
          </w:tcPr>
          <w:p w14:paraId="67882511">
            <w:pPr>
              <w:spacing w:line="240" w:lineRule="auto"/>
              <w:ind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2.1</w:t>
            </w:r>
          </w:p>
        </w:tc>
        <w:tc>
          <w:tcPr>
            <w:tcW w:w="1560" w:type="dxa"/>
            <w:tcBorders>
              <w:left w:val="single" w:color="auto" w:sz="4" w:space="0"/>
              <w:right w:val="single" w:color="auto" w:sz="4" w:space="0"/>
            </w:tcBorders>
            <w:noWrap w:val="0"/>
            <w:vAlign w:val="center"/>
          </w:tcPr>
          <w:p w14:paraId="548C3715">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报价顺序</w:t>
            </w:r>
          </w:p>
        </w:tc>
        <w:tc>
          <w:tcPr>
            <w:tcW w:w="6882" w:type="dxa"/>
            <w:gridSpan w:val="2"/>
            <w:tcBorders>
              <w:left w:val="single" w:color="auto" w:sz="4" w:space="0"/>
            </w:tcBorders>
            <w:noWrap w:val="0"/>
            <w:vAlign w:val="center"/>
          </w:tcPr>
          <w:p w14:paraId="6F236AD7">
            <w:pPr>
              <w:spacing w:line="400" w:lineRule="exact"/>
              <w:ind w:left="0" w:leftChars="0" w:firstLine="480" w:firstLineChars="200"/>
              <w:jc w:val="both"/>
              <w:rPr>
                <w:rFonts w:hint="eastAsia" w:ascii="仿宋" w:hAnsi="仿宋" w:eastAsia="仿宋" w:cs="仿宋"/>
                <w:kern w:val="0"/>
                <w:sz w:val="24"/>
                <w:szCs w:val="24"/>
              </w:rPr>
            </w:pPr>
            <w:r>
              <w:rPr>
                <w:rFonts w:hint="eastAsia" w:ascii="仿宋" w:hAnsi="仿宋" w:eastAsia="仿宋" w:cs="仿宋"/>
                <w:kern w:val="0"/>
                <w:sz w:val="24"/>
                <w:szCs w:val="24"/>
              </w:rPr>
              <w:t>对报价不高于最高限价的所有竞选人的竞选文件，按照报价由低到高的顺序排列。</w:t>
            </w:r>
          </w:p>
        </w:tc>
      </w:tr>
      <w:tr w14:paraId="326FA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trPr>
        <w:tc>
          <w:tcPr>
            <w:tcW w:w="1243" w:type="dxa"/>
            <w:tcBorders>
              <w:right w:val="single" w:color="auto" w:sz="4" w:space="0"/>
            </w:tcBorders>
            <w:noWrap w:val="0"/>
            <w:vAlign w:val="center"/>
          </w:tcPr>
          <w:p w14:paraId="7518D9BA">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2.2</w:t>
            </w:r>
          </w:p>
        </w:tc>
        <w:tc>
          <w:tcPr>
            <w:tcW w:w="1560" w:type="dxa"/>
            <w:tcBorders>
              <w:left w:val="single" w:color="auto" w:sz="4" w:space="0"/>
              <w:right w:val="single" w:color="auto" w:sz="4" w:space="0"/>
            </w:tcBorders>
            <w:noWrap w:val="0"/>
            <w:vAlign w:val="center"/>
          </w:tcPr>
          <w:p w14:paraId="62FE2334">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符合性审查</w:t>
            </w:r>
          </w:p>
        </w:tc>
        <w:tc>
          <w:tcPr>
            <w:tcW w:w="6882" w:type="dxa"/>
            <w:gridSpan w:val="2"/>
            <w:tcBorders>
              <w:left w:val="single" w:color="auto" w:sz="4" w:space="0"/>
            </w:tcBorders>
            <w:noWrap w:val="0"/>
            <w:vAlign w:val="center"/>
          </w:tcPr>
          <w:p w14:paraId="7EBC9881">
            <w:pPr>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rPr>
              <w:t>取报价排序前5名（若实际竞选人数量小于 5 名，</w:t>
            </w:r>
            <w:r>
              <w:rPr>
                <w:rFonts w:hint="eastAsia" w:ascii="仿宋" w:hAnsi="仿宋" w:eastAsia="仿宋" w:cs="仿宋"/>
                <w:spacing w:val="4"/>
                <w:kern w:val="0"/>
                <w:sz w:val="24"/>
                <w:szCs w:val="24"/>
              </w:rPr>
              <w:t>则全部纳入）进行符合性审查。符合性审查内容：资格评审、形式评审、</w:t>
            </w:r>
            <w:r>
              <w:rPr>
                <w:rFonts w:hint="eastAsia" w:ascii="仿宋" w:hAnsi="仿宋" w:eastAsia="仿宋" w:cs="仿宋"/>
                <w:spacing w:val="4"/>
                <w:kern w:val="0"/>
                <w:sz w:val="24"/>
                <w:szCs w:val="24"/>
                <w:lang w:eastAsia="zh-CN"/>
              </w:rPr>
              <w:t>竞选</w:t>
            </w:r>
            <w:r>
              <w:rPr>
                <w:rFonts w:hint="eastAsia" w:ascii="仿宋" w:hAnsi="仿宋" w:eastAsia="仿宋" w:cs="仿宋"/>
                <w:spacing w:val="4"/>
                <w:kern w:val="0"/>
                <w:sz w:val="24"/>
                <w:szCs w:val="24"/>
              </w:rPr>
              <w:t>性评审。符合性审查</w:t>
            </w:r>
            <w:r>
              <w:rPr>
                <w:rFonts w:hint="eastAsia" w:ascii="仿宋" w:hAnsi="仿宋" w:eastAsia="仿宋" w:cs="仿宋"/>
                <w:kern w:val="0"/>
                <w:sz w:val="24"/>
                <w:szCs w:val="24"/>
              </w:rPr>
              <w:t>合格的竞选人中，报价最低的成为第一中标候选人，报价次低的成为第二中标候选人，依次类推。</w:t>
            </w:r>
          </w:p>
        </w:tc>
      </w:tr>
      <w:tr w14:paraId="0EDD5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243" w:type="dxa"/>
            <w:vMerge w:val="restart"/>
            <w:tcBorders>
              <w:right w:val="single" w:color="auto" w:sz="4" w:space="0"/>
            </w:tcBorders>
            <w:noWrap w:val="0"/>
            <w:vAlign w:val="center"/>
          </w:tcPr>
          <w:p w14:paraId="4ED5FE12">
            <w:pPr>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2.2.1</w:t>
            </w:r>
          </w:p>
        </w:tc>
        <w:tc>
          <w:tcPr>
            <w:tcW w:w="1560" w:type="dxa"/>
            <w:vMerge w:val="restart"/>
            <w:tcBorders>
              <w:left w:val="single" w:color="auto" w:sz="4" w:space="0"/>
              <w:right w:val="single" w:color="auto" w:sz="4" w:space="0"/>
            </w:tcBorders>
            <w:noWrap w:val="0"/>
            <w:vAlign w:val="center"/>
          </w:tcPr>
          <w:p w14:paraId="620903D9">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资格评审</w:t>
            </w:r>
            <w:r>
              <w:rPr>
                <w:rFonts w:hint="eastAsia" w:ascii="仿宋" w:hAnsi="仿宋" w:eastAsia="仿宋" w:cs="仿宋"/>
                <w:kern w:val="0"/>
                <w:sz w:val="24"/>
                <w:szCs w:val="24"/>
                <w:lang w:val="en-US" w:eastAsia="zh-CN"/>
              </w:rPr>
              <w:t>标</w:t>
            </w:r>
            <w:r>
              <w:rPr>
                <w:rFonts w:hint="eastAsia" w:ascii="仿宋" w:hAnsi="仿宋" w:eastAsia="仿宋" w:cs="仿宋"/>
                <w:kern w:val="0"/>
                <w:sz w:val="24"/>
                <w:szCs w:val="24"/>
              </w:rPr>
              <w:t>准</w:t>
            </w:r>
          </w:p>
        </w:tc>
        <w:tc>
          <w:tcPr>
            <w:tcW w:w="2267" w:type="dxa"/>
            <w:tcBorders>
              <w:top w:val="single" w:color="auto" w:sz="4" w:space="0"/>
              <w:left w:val="single" w:color="auto" w:sz="4" w:space="0"/>
              <w:right w:val="single" w:color="auto" w:sz="4" w:space="0"/>
            </w:tcBorders>
            <w:noWrap w:val="0"/>
            <w:vAlign w:val="center"/>
          </w:tcPr>
          <w:p w14:paraId="24A0B07A">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营业执照</w:t>
            </w:r>
          </w:p>
        </w:tc>
        <w:tc>
          <w:tcPr>
            <w:tcW w:w="4615" w:type="dxa"/>
            <w:tcBorders>
              <w:top w:val="single" w:color="auto" w:sz="4" w:space="0"/>
              <w:left w:val="single" w:color="auto" w:sz="4" w:space="0"/>
            </w:tcBorders>
            <w:noWrap w:val="0"/>
            <w:vAlign w:val="center"/>
          </w:tcPr>
          <w:p w14:paraId="33713F4C">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0A819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243" w:type="dxa"/>
            <w:vMerge w:val="continue"/>
            <w:tcBorders>
              <w:right w:val="single" w:color="auto" w:sz="4" w:space="0"/>
            </w:tcBorders>
            <w:noWrap w:val="0"/>
            <w:vAlign w:val="center"/>
          </w:tcPr>
          <w:p w14:paraId="55918462">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059891EA">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72D31B6D">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安全生产条件</w:t>
            </w:r>
          </w:p>
        </w:tc>
        <w:tc>
          <w:tcPr>
            <w:tcW w:w="4615" w:type="dxa"/>
            <w:tcBorders>
              <w:top w:val="single" w:color="auto" w:sz="4" w:space="0"/>
              <w:left w:val="single" w:color="auto" w:sz="4" w:space="0"/>
            </w:tcBorders>
            <w:noWrap w:val="0"/>
            <w:vAlign w:val="center"/>
          </w:tcPr>
          <w:p w14:paraId="3E71595E">
            <w:pPr>
              <w:snapToGrid w:val="0"/>
              <w:spacing w:after="78" w:afterLines="25"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1BA48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1243" w:type="dxa"/>
            <w:vMerge w:val="continue"/>
            <w:tcBorders>
              <w:right w:val="single" w:color="auto" w:sz="4" w:space="0"/>
            </w:tcBorders>
            <w:noWrap w:val="0"/>
            <w:vAlign w:val="center"/>
          </w:tcPr>
          <w:p w14:paraId="05F2D299">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4A403FF0">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2E59C349">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资质条件</w:t>
            </w:r>
          </w:p>
        </w:tc>
        <w:tc>
          <w:tcPr>
            <w:tcW w:w="4615" w:type="dxa"/>
            <w:tcBorders>
              <w:top w:val="single" w:color="auto" w:sz="4" w:space="0"/>
              <w:left w:val="single" w:color="auto" w:sz="4" w:space="0"/>
            </w:tcBorders>
            <w:noWrap w:val="0"/>
            <w:vAlign w:val="center"/>
          </w:tcPr>
          <w:p w14:paraId="7D83105B">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1A659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243" w:type="dxa"/>
            <w:vMerge w:val="continue"/>
            <w:tcBorders>
              <w:right w:val="single" w:color="auto" w:sz="4" w:space="0"/>
            </w:tcBorders>
            <w:noWrap w:val="0"/>
            <w:vAlign w:val="center"/>
          </w:tcPr>
          <w:p w14:paraId="06BF2164">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0193C557">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5BFC429E">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财务要求</w:t>
            </w:r>
          </w:p>
        </w:tc>
        <w:tc>
          <w:tcPr>
            <w:tcW w:w="4615" w:type="dxa"/>
            <w:tcBorders>
              <w:top w:val="single" w:color="auto" w:sz="4" w:space="0"/>
              <w:left w:val="single" w:color="auto" w:sz="4" w:space="0"/>
            </w:tcBorders>
            <w:noWrap w:val="0"/>
            <w:vAlign w:val="center"/>
          </w:tcPr>
          <w:p w14:paraId="74DC2CBE">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7C21E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243" w:type="dxa"/>
            <w:vMerge w:val="continue"/>
            <w:tcBorders>
              <w:right w:val="single" w:color="auto" w:sz="4" w:space="0"/>
            </w:tcBorders>
            <w:noWrap w:val="0"/>
            <w:vAlign w:val="center"/>
          </w:tcPr>
          <w:p w14:paraId="5D8A83A8">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1CEAE5FE">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12286FA5">
            <w:pPr>
              <w:snapToGrid w:val="0"/>
              <w:spacing w:after="78" w:afterLines="25"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sz w:val="24"/>
                <w:szCs w:val="24"/>
              </w:rPr>
              <w:t>投标截止日投标资格情况</w:t>
            </w:r>
          </w:p>
        </w:tc>
        <w:tc>
          <w:tcPr>
            <w:tcW w:w="4615" w:type="dxa"/>
            <w:tcBorders>
              <w:top w:val="single" w:color="auto" w:sz="4" w:space="0"/>
              <w:left w:val="single" w:color="auto" w:sz="4" w:space="0"/>
            </w:tcBorders>
            <w:noWrap w:val="0"/>
            <w:vAlign w:val="center"/>
          </w:tcPr>
          <w:p w14:paraId="0717C42A">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4925F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243" w:type="dxa"/>
            <w:vMerge w:val="continue"/>
            <w:tcBorders>
              <w:right w:val="single" w:color="auto" w:sz="4" w:space="0"/>
            </w:tcBorders>
            <w:noWrap w:val="0"/>
            <w:vAlign w:val="center"/>
          </w:tcPr>
          <w:p w14:paraId="0182F4FD">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01C6E14F">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64DB9617">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项目经理资格</w:t>
            </w:r>
          </w:p>
        </w:tc>
        <w:tc>
          <w:tcPr>
            <w:tcW w:w="4615" w:type="dxa"/>
            <w:tcBorders>
              <w:top w:val="single" w:color="auto" w:sz="4" w:space="0"/>
              <w:left w:val="single" w:color="auto" w:sz="4" w:space="0"/>
            </w:tcBorders>
            <w:noWrap w:val="0"/>
            <w:vAlign w:val="center"/>
          </w:tcPr>
          <w:p w14:paraId="455F2F47">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符合第二章“竞选人须知”第1.4.1项规定。</w:t>
            </w:r>
          </w:p>
        </w:tc>
      </w:tr>
      <w:tr w14:paraId="2FC02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243" w:type="dxa"/>
            <w:vMerge w:val="continue"/>
            <w:tcBorders>
              <w:right w:val="single" w:color="auto" w:sz="4" w:space="0"/>
            </w:tcBorders>
            <w:noWrap w:val="0"/>
            <w:vAlign w:val="center"/>
          </w:tcPr>
          <w:p w14:paraId="2BFC4022">
            <w:pPr>
              <w:spacing w:line="400" w:lineRule="exact"/>
              <w:jc w:val="center"/>
              <w:rPr>
                <w:rFonts w:hint="eastAsia" w:ascii="仿宋" w:hAnsi="仿宋" w:eastAsia="仿宋" w:cs="仿宋"/>
                <w:sz w:val="24"/>
                <w:szCs w:val="24"/>
              </w:rPr>
            </w:pPr>
          </w:p>
        </w:tc>
        <w:tc>
          <w:tcPr>
            <w:tcW w:w="1560" w:type="dxa"/>
            <w:vMerge w:val="continue"/>
            <w:tcBorders>
              <w:left w:val="single" w:color="auto" w:sz="4" w:space="0"/>
              <w:right w:val="single" w:color="auto" w:sz="4" w:space="0"/>
            </w:tcBorders>
            <w:noWrap w:val="0"/>
            <w:vAlign w:val="center"/>
          </w:tcPr>
          <w:p w14:paraId="2596BC79">
            <w:pPr>
              <w:spacing w:line="400" w:lineRule="exact"/>
              <w:jc w:val="center"/>
              <w:rPr>
                <w:rFonts w:hint="eastAsia" w:ascii="仿宋" w:hAnsi="仿宋" w:eastAsia="仿宋" w:cs="仿宋"/>
                <w:kern w:val="0"/>
                <w:sz w:val="24"/>
                <w:szCs w:val="24"/>
              </w:rPr>
            </w:pPr>
          </w:p>
        </w:tc>
        <w:tc>
          <w:tcPr>
            <w:tcW w:w="2267" w:type="dxa"/>
            <w:tcBorders>
              <w:top w:val="single" w:color="auto" w:sz="4" w:space="0"/>
              <w:left w:val="single" w:color="auto" w:sz="4" w:space="0"/>
              <w:right w:val="single" w:color="auto" w:sz="4" w:space="0"/>
            </w:tcBorders>
            <w:noWrap w:val="0"/>
            <w:vAlign w:val="center"/>
          </w:tcPr>
          <w:p w14:paraId="40F7E414">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其他要求</w:t>
            </w:r>
          </w:p>
        </w:tc>
        <w:tc>
          <w:tcPr>
            <w:tcW w:w="4615" w:type="dxa"/>
            <w:tcBorders>
              <w:top w:val="single" w:color="auto" w:sz="4" w:space="0"/>
              <w:left w:val="single" w:color="auto" w:sz="4" w:space="0"/>
            </w:tcBorders>
            <w:noWrap w:val="0"/>
            <w:vAlign w:val="center"/>
          </w:tcPr>
          <w:p w14:paraId="7125095F">
            <w:pPr>
              <w:snapToGrid w:val="0"/>
              <w:spacing w:line="400" w:lineRule="exact"/>
              <w:ind w:firstLine="480" w:firstLineChars="200"/>
              <w:rPr>
                <w:rFonts w:hint="eastAsia" w:ascii="仿宋" w:hAnsi="仿宋" w:eastAsia="仿宋" w:cs="仿宋"/>
                <w:kern w:val="0"/>
                <w:sz w:val="24"/>
                <w:szCs w:val="24"/>
                <w:u w:val="single"/>
              </w:rPr>
            </w:pPr>
            <w:r>
              <w:rPr>
                <w:rFonts w:hint="eastAsia" w:ascii="仿宋" w:hAnsi="仿宋" w:eastAsia="仿宋" w:cs="仿宋"/>
                <w:kern w:val="0"/>
                <w:sz w:val="24"/>
                <w:szCs w:val="24"/>
              </w:rPr>
              <w:t>符合第二章“竞选人须知”第1.4.1项规定。</w:t>
            </w:r>
          </w:p>
        </w:tc>
      </w:tr>
      <w:tr w14:paraId="26684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restart"/>
            <w:tcBorders>
              <w:right w:val="single" w:color="auto" w:sz="4" w:space="0"/>
            </w:tcBorders>
            <w:noWrap w:val="0"/>
            <w:vAlign w:val="center"/>
          </w:tcPr>
          <w:p w14:paraId="093CC13B">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2.2.2</w:t>
            </w:r>
          </w:p>
        </w:tc>
        <w:tc>
          <w:tcPr>
            <w:tcW w:w="1560" w:type="dxa"/>
            <w:vMerge w:val="restart"/>
            <w:tcBorders>
              <w:left w:val="single" w:color="auto" w:sz="4" w:space="0"/>
            </w:tcBorders>
            <w:noWrap w:val="0"/>
            <w:vAlign w:val="center"/>
          </w:tcPr>
          <w:p w14:paraId="19D1B6CD">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形式评审标准</w:t>
            </w:r>
          </w:p>
        </w:tc>
        <w:tc>
          <w:tcPr>
            <w:tcW w:w="2267" w:type="dxa"/>
            <w:tcBorders>
              <w:right w:val="single" w:color="auto" w:sz="4" w:space="0"/>
            </w:tcBorders>
            <w:noWrap w:val="0"/>
            <w:vAlign w:val="center"/>
          </w:tcPr>
          <w:p w14:paraId="1378D971">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竞选人名称</w:t>
            </w:r>
          </w:p>
        </w:tc>
        <w:tc>
          <w:tcPr>
            <w:tcW w:w="4615" w:type="dxa"/>
            <w:tcBorders>
              <w:left w:val="single" w:color="auto" w:sz="4" w:space="0"/>
            </w:tcBorders>
            <w:noWrap w:val="0"/>
            <w:vAlign w:val="center"/>
          </w:tcPr>
          <w:p w14:paraId="6F7C7EA2">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与营业执照、资质证书、安全生产许可证一致。</w:t>
            </w:r>
          </w:p>
        </w:tc>
      </w:tr>
      <w:tr w14:paraId="45A2B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6FEB757D">
            <w:pPr>
              <w:spacing w:line="400" w:lineRule="exact"/>
              <w:jc w:val="center"/>
              <w:rPr>
                <w:rFonts w:hint="eastAsia" w:ascii="仿宋" w:hAnsi="仿宋" w:eastAsia="仿宋" w:cs="仿宋"/>
                <w:b/>
                <w:kern w:val="0"/>
                <w:sz w:val="24"/>
                <w:szCs w:val="24"/>
              </w:rPr>
            </w:pPr>
          </w:p>
        </w:tc>
        <w:tc>
          <w:tcPr>
            <w:tcW w:w="1560" w:type="dxa"/>
            <w:vMerge w:val="continue"/>
            <w:tcBorders>
              <w:left w:val="single" w:color="auto" w:sz="4" w:space="0"/>
            </w:tcBorders>
            <w:noWrap w:val="0"/>
            <w:vAlign w:val="center"/>
          </w:tcPr>
          <w:p w14:paraId="59D40E3F">
            <w:pPr>
              <w:spacing w:line="400" w:lineRule="exact"/>
              <w:jc w:val="center"/>
              <w:rPr>
                <w:rFonts w:hint="eastAsia" w:ascii="仿宋" w:hAnsi="仿宋" w:eastAsia="仿宋" w:cs="仿宋"/>
                <w:b/>
                <w:kern w:val="0"/>
                <w:sz w:val="24"/>
                <w:szCs w:val="24"/>
              </w:rPr>
            </w:pPr>
          </w:p>
        </w:tc>
        <w:tc>
          <w:tcPr>
            <w:tcW w:w="2267" w:type="dxa"/>
            <w:tcBorders>
              <w:right w:val="single" w:color="auto" w:sz="4" w:space="0"/>
            </w:tcBorders>
            <w:noWrap w:val="0"/>
            <w:vAlign w:val="center"/>
          </w:tcPr>
          <w:p w14:paraId="6ED2EDBE">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竞选函签字盖章</w:t>
            </w:r>
          </w:p>
        </w:tc>
        <w:tc>
          <w:tcPr>
            <w:tcW w:w="4615" w:type="dxa"/>
            <w:tcBorders>
              <w:left w:val="single" w:color="auto" w:sz="4" w:space="0"/>
            </w:tcBorders>
            <w:noWrap w:val="0"/>
            <w:vAlign w:val="center"/>
          </w:tcPr>
          <w:p w14:paraId="4D2AB0C1">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有法定代表人或其委托代理人签字（或盖章）、加盖单位章。</w:t>
            </w:r>
          </w:p>
        </w:tc>
      </w:tr>
      <w:tr w14:paraId="63963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1243" w:type="dxa"/>
            <w:vMerge w:val="continue"/>
            <w:tcBorders>
              <w:right w:val="single" w:color="auto" w:sz="4" w:space="0"/>
            </w:tcBorders>
            <w:noWrap w:val="0"/>
            <w:vAlign w:val="center"/>
          </w:tcPr>
          <w:p w14:paraId="794FB7E3">
            <w:pPr>
              <w:spacing w:line="400" w:lineRule="exact"/>
              <w:jc w:val="center"/>
              <w:rPr>
                <w:rFonts w:hint="eastAsia" w:ascii="仿宋" w:hAnsi="仿宋" w:eastAsia="仿宋" w:cs="仿宋"/>
                <w:b/>
                <w:kern w:val="0"/>
                <w:sz w:val="24"/>
                <w:szCs w:val="24"/>
              </w:rPr>
            </w:pPr>
          </w:p>
        </w:tc>
        <w:tc>
          <w:tcPr>
            <w:tcW w:w="1560" w:type="dxa"/>
            <w:vMerge w:val="continue"/>
            <w:tcBorders>
              <w:left w:val="single" w:color="auto" w:sz="4" w:space="0"/>
            </w:tcBorders>
            <w:noWrap w:val="0"/>
            <w:vAlign w:val="center"/>
          </w:tcPr>
          <w:p w14:paraId="3B6DD28E">
            <w:pPr>
              <w:spacing w:line="400" w:lineRule="exact"/>
              <w:jc w:val="center"/>
              <w:rPr>
                <w:rFonts w:hint="eastAsia" w:ascii="仿宋" w:hAnsi="仿宋" w:eastAsia="仿宋" w:cs="仿宋"/>
                <w:b/>
                <w:kern w:val="0"/>
                <w:sz w:val="24"/>
                <w:szCs w:val="24"/>
              </w:rPr>
            </w:pPr>
          </w:p>
        </w:tc>
        <w:tc>
          <w:tcPr>
            <w:tcW w:w="2267" w:type="dxa"/>
            <w:tcBorders>
              <w:right w:val="single" w:color="auto" w:sz="4" w:space="0"/>
            </w:tcBorders>
            <w:noWrap w:val="0"/>
            <w:vAlign w:val="center"/>
          </w:tcPr>
          <w:p w14:paraId="22E91613">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竞选文件格式</w:t>
            </w:r>
          </w:p>
        </w:tc>
        <w:tc>
          <w:tcPr>
            <w:tcW w:w="4615" w:type="dxa"/>
            <w:tcBorders>
              <w:left w:val="single" w:color="auto" w:sz="4" w:space="0"/>
            </w:tcBorders>
            <w:noWrap w:val="0"/>
            <w:vAlign w:val="center"/>
          </w:tcPr>
          <w:p w14:paraId="312BE0F2">
            <w:pPr>
              <w:snapToGrid w:val="0"/>
              <w:spacing w:line="400" w:lineRule="exact"/>
              <w:ind w:firstLine="434" w:firstLineChars="181"/>
              <w:rPr>
                <w:rFonts w:hint="eastAsia" w:ascii="仿宋" w:hAnsi="仿宋" w:eastAsia="仿宋" w:cs="仿宋"/>
                <w:kern w:val="0"/>
                <w:sz w:val="24"/>
                <w:szCs w:val="24"/>
              </w:rPr>
            </w:pPr>
            <w:r>
              <w:rPr>
                <w:rFonts w:hint="eastAsia" w:ascii="仿宋" w:hAnsi="仿宋" w:eastAsia="仿宋" w:cs="仿宋"/>
                <w:kern w:val="0"/>
                <w:sz w:val="24"/>
                <w:szCs w:val="24"/>
              </w:rPr>
              <w:t>符合</w:t>
            </w:r>
            <w:r>
              <w:rPr>
                <w:rFonts w:hint="eastAsia" w:ascii="仿宋" w:hAnsi="仿宋" w:eastAsia="仿宋" w:cs="仿宋"/>
                <w:kern w:val="0"/>
                <w:sz w:val="24"/>
                <w:szCs w:val="24"/>
                <w:lang w:eastAsia="zh-CN"/>
              </w:rPr>
              <w:t>第七篇</w:t>
            </w:r>
            <w:r>
              <w:rPr>
                <w:rFonts w:hint="eastAsia" w:ascii="仿宋" w:hAnsi="仿宋" w:eastAsia="仿宋" w:cs="仿宋"/>
                <w:kern w:val="0"/>
                <w:sz w:val="24"/>
                <w:szCs w:val="24"/>
              </w:rPr>
              <w:t>“竞选文件格式”的要求。</w:t>
            </w:r>
          </w:p>
        </w:tc>
      </w:tr>
      <w:tr w14:paraId="11F42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ED49D93">
            <w:pPr>
              <w:spacing w:line="400" w:lineRule="exact"/>
              <w:jc w:val="center"/>
              <w:rPr>
                <w:rFonts w:hint="eastAsia" w:ascii="仿宋" w:hAnsi="仿宋" w:eastAsia="仿宋" w:cs="仿宋"/>
                <w:b/>
                <w:kern w:val="0"/>
                <w:sz w:val="24"/>
                <w:szCs w:val="24"/>
              </w:rPr>
            </w:pPr>
          </w:p>
        </w:tc>
        <w:tc>
          <w:tcPr>
            <w:tcW w:w="1560" w:type="dxa"/>
            <w:vMerge w:val="continue"/>
            <w:tcBorders>
              <w:left w:val="single" w:color="auto" w:sz="4" w:space="0"/>
            </w:tcBorders>
            <w:noWrap w:val="0"/>
            <w:vAlign w:val="center"/>
          </w:tcPr>
          <w:p w14:paraId="52A8B408">
            <w:pPr>
              <w:spacing w:line="400" w:lineRule="exact"/>
              <w:jc w:val="center"/>
              <w:rPr>
                <w:rFonts w:hint="eastAsia" w:ascii="仿宋" w:hAnsi="仿宋" w:eastAsia="仿宋" w:cs="仿宋"/>
                <w:b/>
                <w:kern w:val="0"/>
                <w:sz w:val="24"/>
                <w:szCs w:val="24"/>
              </w:rPr>
            </w:pPr>
          </w:p>
        </w:tc>
        <w:tc>
          <w:tcPr>
            <w:tcW w:w="2267" w:type="dxa"/>
            <w:tcBorders>
              <w:right w:val="single" w:color="auto" w:sz="4" w:space="0"/>
            </w:tcBorders>
            <w:noWrap w:val="0"/>
            <w:vAlign w:val="center"/>
          </w:tcPr>
          <w:p w14:paraId="1B1AA986">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报价唯一</w:t>
            </w:r>
          </w:p>
        </w:tc>
        <w:tc>
          <w:tcPr>
            <w:tcW w:w="4615" w:type="dxa"/>
            <w:tcBorders>
              <w:left w:val="single" w:color="auto" w:sz="4" w:space="0"/>
            </w:tcBorders>
            <w:noWrap w:val="0"/>
            <w:vAlign w:val="center"/>
          </w:tcPr>
          <w:p w14:paraId="48F4C8A4">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只能有一个有效报价。在招标文件没有规定的情况下，不得提交选择性报价。</w:t>
            </w:r>
          </w:p>
        </w:tc>
      </w:tr>
      <w:tr w14:paraId="3FBD58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302EE31B">
            <w:pPr>
              <w:spacing w:line="400" w:lineRule="exact"/>
              <w:jc w:val="center"/>
              <w:rPr>
                <w:rFonts w:hint="eastAsia" w:ascii="仿宋" w:hAnsi="仿宋" w:eastAsia="仿宋" w:cs="仿宋"/>
                <w:b/>
                <w:kern w:val="0"/>
                <w:sz w:val="24"/>
                <w:szCs w:val="24"/>
              </w:rPr>
            </w:pPr>
          </w:p>
        </w:tc>
        <w:tc>
          <w:tcPr>
            <w:tcW w:w="1560" w:type="dxa"/>
            <w:vMerge w:val="continue"/>
            <w:tcBorders>
              <w:left w:val="single" w:color="auto" w:sz="4" w:space="0"/>
            </w:tcBorders>
            <w:noWrap w:val="0"/>
            <w:vAlign w:val="center"/>
          </w:tcPr>
          <w:p w14:paraId="4C7ABB78">
            <w:pPr>
              <w:spacing w:line="400" w:lineRule="exact"/>
              <w:jc w:val="center"/>
              <w:rPr>
                <w:rFonts w:hint="eastAsia" w:ascii="仿宋" w:hAnsi="仿宋" w:eastAsia="仿宋" w:cs="仿宋"/>
                <w:b/>
                <w:kern w:val="0"/>
                <w:sz w:val="24"/>
                <w:szCs w:val="24"/>
              </w:rPr>
            </w:pPr>
          </w:p>
        </w:tc>
        <w:tc>
          <w:tcPr>
            <w:tcW w:w="2267" w:type="dxa"/>
            <w:tcBorders>
              <w:right w:val="single" w:color="auto" w:sz="4" w:space="0"/>
            </w:tcBorders>
            <w:noWrap w:val="0"/>
            <w:vAlign w:val="center"/>
          </w:tcPr>
          <w:p w14:paraId="7198CE2F">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竞选文件的签署</w:t>
            </w:r>
          </w:p>
        </w:tc>
        <w:tc>
          <w:tcPr>
            <w:tcW w:w="4615" w:type="dxa"/>
            <w:tcBorders>
              <w:left w:val="single" w:color="auto" w:sz="4" w:space="0"/>
            </w:tcBorders>
            <w:noWrap w:val="0"/>
            <w:vAlign w:val="center"/>
          </w:tcPr>
          <w:p w14:paraId="38C79071">
            <w:pPr>
              <w:autoSpaceDE w:val="0"/>
              <w:autoSpaceDN w:val="0"/>
              <w:adjustRightInd w:val="0"/>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竞选文件上法定代表人或其委托代理人的签字（或盖章）齐全。</w:t>
            </w:r>
          </w:p>
        </w:tc>
      </w:tr>
      <w:tr w14:paraId="70AFC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7A048367">
            <w:pPr>
              <w:spacing w:line="400" w:lineRule="exact"/>
              <w:jc w:val="center"/>
              <w:rPr>
                <w:rFonts w:hint="eastAsia" w:ascii="仿宋" w:hAnsi="仿宋" w:eastAsia="仿宋" w:cs="仿宋"/>
                <w:b/>
                <w:kern w:val="0"/>
                <w:sz w:val="24"/>
                <w:szCs w:val="24"/>
              </w:rPr>
            </w:pPr>
          </w:p>
        </w:tc>
        <w:tc>
          <w:tcPr>
            <w:tcW w:w="1560" w:type="dxa"/>
            <w:vMerge w:val="continue"/>
            <w:tcBorders>
              <w:left w:val="single" w:color="auto" w:sz="4" w:space="0"/>
            </w:tcBorders>
            <w:noWrap w:val="0"/>
            <w:vAlign w:val="center"/>
          </w:tcPr>
          <w:p w14:paraId="71E957ED">
            <w:pPr>
              <w:spacing w:line="400" w:lineRule="exact"/>
              <w:jc w:val="center"/>
              <w:rPr>
                <w:rFonts w:hint="eastAsia" w:ascii="仿宋" w:hAnsi="仿宋" w:eastAsia="仿宋" w:cs="仿宋"/>
                <w:b/>
                <w:kern w:val="0"/>
                <w:sz w:val="24"/>
                <w:szCs w:val="24"/>
              </w:rPr>
            </w:pPr>
          </w:p>
        </w:tc>
        <w:tc>
          <w:tcPr>
            <w:tcW w:w="2267" w:type="dxa"/>
            <w:tcBorders>
              <w:right w:val="single" w:color="auto" w:sz="4" w:space="0"/>
            </w:tcBorders>
            <w:noWrap w:val="0"/>
            <w:vAlign w:val="center"/>
          </w:tcPr>
          <w:p w14:paraId="3D0F7D27">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委托代理人</w:t>
            </w:r>
          </w:p>
        </w:tc>
        <w:tc>
          <w:tcPr>
            <w:tcW w:w="4615" w:type="dxa"/>
            <w:tcBorders>
              <w:left w:val="single" w:color="auto" w:sz="4" w:space="0"/>
            </w:tcBorders>
            <w:noWrap w:val="0"/>
            <w:vAlign w:val="center"/>
          </w:tcPr>
          <w:p w14:paraId="14C998EA">
            <w:pPr>
              <w:snapToGrid w:val="0"/>
              <w:spacing w:after="78" w:afterLines="25"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竞选人法定代表人的委托代理人有法定代表人签署的授权委托书和养老保险。</w:t>
            </w:r>
          </w:p>
        </w:tc>
      </w:tr>
      <w:tr w14:paraId="5C3A7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restart"/>
            <w:tcBorders>
              <w:right w:val="single" w:color="auto" w:sz="4" w:space="0"/>
            </w:tcBorders>
            <w:noWrap w:val="0"/>
            <w:vAlign w:val="center"/>
          </w:tcPr>
          <w:p w14:paraId="34F0638C">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2.2.3</w:t>
            </w:r>
          </w:p>
        </w:tc>
        <w:tc>
          <w:tcPr>
            <w:tcW w:w="1560" w:type="dxa"/>
            <w:vMerge w:val="restart"/>
            <w:tcBorders>
              <w:left w:val="single" w:color="auto" w:sz="4" w:space="0"/>
            </w:tcBorders>
            <w:noWrap w:val="0"/>
            <w:vAlign w:val="center"/>
          </w:tcPr>
          <w:p w14:paraId="7DC8E807">
            <w:pPr>
              <w:spacing w:line="400" w:lineRule="exact"/>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lang w:eastAsia="zh-CN"/>
              </w:rPr>
              <w:t>竞选</w:t>
            </w:r>
            <w:r>
              <w:rPr>
                <w:rFonts w:hint="eastAsia" w:ascii="仿宋" w:hAnsi="仿宋" w:eastAsia="仿宋" w:cs="仿宋"/>
                <w:kern w:val="0"/>
                <w:sz w:val="24"/>
                <w:szCs w:val="24"/>
              </w:rPr>
              <w:t>性评审标准</w:t>
            </w:r>
          </w:p>
        </w:tc>
        <w:tc>
          <w:tcPr>
            <w:tcW w:w="2267" w:type="dxa"/>
            <w:tcBorders>
              <w:right w:val="single" w:color="auto" w:sz="4" w:space="0"/>
            </w:tcBorders>
            <w:noWrap w:val="0"/>
            <w:vAlign w:val="center"/>
          </w:tcPr>
          <w:p w14:paraId="37AFA814">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竞选总报价</w:t>
            </w:r>
          </w:p>
        </w:tc>
        <w:tc>
          <w:tcPr>
            <w:tcW w:w="4615" w:type="dxa"/>
            <w:tcBorders>
              <w:left w:val="single" w:color="auto" w:sz="4" w:space="0"/>
            </w:tcBorders>
            <w:noWrap w:val="0"/>
            <w:vAlign w:val="center"/>
          </w:tcPr>
          <w:p w14:paraId="52D735B6">
            <w:pPr>
              <w:autoSpaceDE w:val="0"/>
              <w:autoSpaceDN w:val="0"/>
              <w:adjustRightInd w:val="0"/>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1.竞选总报价必须与已标价工程量清单总报价一致。</w:t>
            </w:r>
          </w:p>
          <w:p w14:paraId="73AFB69E">
            <w:pPr>
              <w:autoSpaceDE w:val="0"/>
              <w:autoSpaceDN w:val="0"/>
              <w:adjustRightInd w:val="0"/>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2.竞选报价不得高于比选人公布的竞选报价最高限价。</w:t>
            </w:r>
          </w:p>
          <w:p w14:paraId="6A519731">
            <w:pPr>
              <w:autoSpaceDE w:val="0"/>
              <w:autoSpaceDN w:val="0"/>
              <w:adjustRightInd w:val="0"/>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3.竞选总报价低于最高限价85%的，竞选人应在编制竞选文件时，在竞选函部分中递交低价风险担保提交承诺书。承诺书格式详见</w:t>
            </w:r>
            <w:r>
              <w:rPr>
                <w:rFonts w:hint="eastAsia" w:ascii="仿宋" w:hAnsi="仿宋" w:eastAsia="仿宋" w:cs="仿宋"/>
                <w:kern w:val="0"/>
                <w:sz w:val="24"/>
                <w:szCs w:val="24"/>
                <w:lang w:eastAsia="zh-CN"/>
              </w:rPr>
              <w:t>第七篇</w:t>
            </w:r>
            <w:r>
              <w:rPr>
                <w:rFonts w:hint="eastAsia" w:ascii="仿宋" w:hAnsi="仿宋" w:eastAsia="仿宋" w:cs="仿宋"/>
                <w:kern w:val="0"/>
                <w:sz w:val="24"/>
                <w:szCs w:val="24"/>
              </w:rPr>
              <w:t>竞选文件格式。</w:t>
            </w:r>
          </w:p>
          <w:p w14:paraId="578B3B47">
            <w:pPr>
              <w:spacing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4.竞选总报价低于最高限价85%的，评标委员会应当结合竞选人提供的工程量清单及相关书面说明、证明材料对其报价进行评审，并对其是否低于成本价作出认定。竞选人不能合理说明或者没有提供相关证明材料的，评标委员会可以认定该竞选人以低于成本报价竞标，否决其投标。</w:t>
            </w:r>
          </w:p>
        </w:tc>
      </w:tr>
      <w:tr w14:paraId="5F120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182CC26">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4F4A9BB7">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1DF96E4F">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暂定金额（暂列金）</w:t>
            </w:r>
          </w:p>
        </w:tc>
        <w:tc>
          <w:tcPr>
            <w:tcW w:w="4615" w:type="dxa"/>
            <w:tcBorders>
              <w:left w:val="single" w:color="auto" w:sz="4" w:space="0"/>
            </w:tcBorders>
            <w:noWrap w:val="0"/>
            <w:vAlign w:val="center"/>
          </w:tcPr>
          <w:p w14:paraId="595BEAEA">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暂列金额、暂估价、安全文明施工费等暂定金额必须按照竞争性比选文件给定的金额填报。</w:t>
            </w:r>
          </w:p>
        </w:tc>
      </w:tr>
      <w:tr w14:paraId="6F9E6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4F1AB3D5">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0D2AA471">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28A40CCE">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竞选内容</w:t>
            </w:r>
          </w:p>
        </w:tc>
        <w:tc>
          <w:tcPr>
            <w:tcW w:w="4615" w:type="dxa"/>
            <w:tcBorders>
              <w:left w:val="single" w:color="auto" w:sz="4" w:space="0"/>
            </w:tcBorders>
            <w:noWrap w:val="0"/>
            <w:vAlign w:val="center"/>
          </w:tcPr>
          <w:p w14:paraId="1F6911DA">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符合第二章“竞选人须知”第1.3.1项规定</w:t>
            </w:r>
          </w:p>
        </w:tc>
      </w:tr>
      <w:tr w14:paraId="15CAF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0D25DF4">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1C3F2428">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35CD2F9A">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工期</w:t>
            </w:r>
          </w:p>
        </w:tc>
        <w:tc>
          <w:tcPr>
            <w:tcW w:w="4615" w:type="dxa"/>
            <w:tcBorders>
              <w:left w:val="single" w:color="auto" w:sz="4" w:space="0"/>
            </w:tcBorders>
            <w:noWrap w:val="0"/>
            <w:vAlign w:val="center"/>
          </w:tcPr>
          <w:p w14:paraId="79DB3DF9">
            <w:pPr>
              <w:snapToGrid w:val="0"/>
              <w:spacing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符合第二章“竞选人须知”第1.3.2项规定</w:t>
            </w:r>
          </w:p>
        </w:tc>
      </w:tr>
      <w:tr w14:paraId="791AB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32304CD">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6AC78E82">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52633AEC">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工程质量</w:t>
            </w:r>
          </w:p>
        </w:tc>
        <w:tc>
          <w:tcPr>
            <w:tcW w:w="4615" w:type="dxa"/>
            <w:tcBorders>
              <w:left w:val="single" w:color="auto" w:sz="4" w:space="0"/>
            </w:tcBorders>
            <w:noWrap w:val="0"/>
            <w:vAlign w:val="center"/>
          </w:tcPr>
          <w:p w14:paraId="5F818324">
            <w:pPr>
              <w:snapToGrid w:val="0"/>
              <w:spacing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符合第二章“竞选人须知”第1.3.3项规定</w:t>
            </w:r>
          </w:p>
        </w:tc>
      </w:tr>
      <w:tr w14:paraId="430CD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5480A6B8">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0D0FA978">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6794FC5B">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竞选有效期</w:t>
            </w:r>
          </w:p>
        </w:tc>
        <w:tc>
          <w:tcPr>
            <w:tcW w:w="4615" w:type="dxa"/>
            <w:tcBorders>
              <w:left w:val="single" w:color="auto" w:sz="4" w:space="0"/>
            </w:tcBorders>
            <w:noWrap w:val="0"/>
            <w:vAlign w:val="center"/>
          </w:tcPr>
          <w:p w14:paraId="788B08C0">
            <w:pPr>
              <w:snapToGrid w:val="0"/>
              <w:spacing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符合第二章“竞选人须知”第3.3.1项规定</w:t>
            </w:r>
          </w:p>
        </w:tc>
      </w:tr>
      <w:tr w14:paraId="3D731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29E901B9">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6284550B">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2A7D65D5">
            <w:pPr>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竞选保证金</w:t>
            </w:r>
          </w:p>
        </w:tc>
        <w:tc>
          <w:tcPr>
            <w:tcW w:w="4615" w:type="dxa"/>
            <w:tcBorders>
              <w:left w:val="single" w:color="auto" w:sz="4" w:space="0"/>
            </w:tcBorders>
            <w:noWrap w:val="0"/>
            <w:vAlign w:val="center"/>
          </w:tcPr>
          <w:p w14:paraId="2A8C725D">
            <w:pPr>
              <w:tabs>
                <w:tab w:val="left" w:pos="611"/>
                <w:tab w:val="left" w:pos="669"/>
              </w:tabs>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符合第二章“竞选人须知前附表”第3.4项规定。</w:t>
            </w:r>
          </w:p>
        </w:tc>
      </w:tr>
      <w:tr w14:paraId="32D42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2D3DB3F5">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2D99843E">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7FEB5188">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权利义务</w:t>
            </w:r>
          </w:p>
        </w:tc>
        <w:tc>
          <w:tcPr>
            <w:tcW w:w="4615" w:type="dxa"/>
            <w:tcBorders>
              <w:left w:val="single" w:color="auto" w:sz="4" w:space="0"/>
            </w:tcBorders>
            <w:noWrap w:val="0"/>
            <w:vAlign w:val="center"/>
          </w:tcPr>
          <w:p w14:paraId="2C247FBF">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符合第四章“合同条款及格式”规定，竞选文件不应附有比选人不能接受的条件。</w:t>
            </w:r>
          </w:p>
        </w:tc>
      </w:tr>
      <w:tr w14:paraId="607E5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2F9ECD49">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6134A750">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1520F7E4">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已标价工程量清单及组价文件</w:t>
            </w:r>
          </w:p>
        </w:tc>
        <w:tc>
          <w:tcPr>
            <w:tcW w:w="4615" w:type="dxa"/>
            <w:tcBorders>
              <w:left w:val="single" w:color="auto" w:sz="4" w:space="0"/>
            </w:tcBorders>
            <w:noWrap w:val="0"/>
            <w:vAlign w:val="center"/>
          </w:tcPr>
          <w:p w14:paraId="51D59A3F">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1.竞选人应当按招标工程量清单填报价格。项目编码、项目名称、项目特征、计量单位、工程量应当与招标工程量清单一致。</w:t>
            </w:r>
          </w:p>
          <w:p w14:paraId="2C58A1ED">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2.每项清单综合单价报价不得高于每项清单综合单价最高限价。</w:t>
            </w:r>
          </w:p>
          <w:p w14:paraId="7298CCDD">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3.竞选人承诺满足以下内容：</w:t>
            </w:r>
          </w:p>
          <w:p w14:paraId="3E570AA1">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（1）按照第五章“工程量清单”给出的范围及数量进行报价。</w:t>
            </w:r>
          </w:p>
          <w:p w14:paraId="231C5836">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（2）比选文件中规定工程量清单不允许修改的内容不得修改。</w:t>
            </w:r>
          </w:p>
          <w:p w14:paraId="60C7387B">
            <w:pPr>
              <w:snapToGrid w:val="0"/>
              <w:spacing w:after="31" w:afterLines="10"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（3）竞选总报价不高于比选人公布的竞选总报价最高限价。</w:t>
            </w:r>
          </w:p>
          <w:p w14:paraId="4A618384">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sz w:val="24"/>
                <w:szCs w:val="24"/>
              </w:rPr>
              <w:t>（4）各清单子目单价不高于比选人公布的各清单子目单价最高限价的。</w:t>
            </w:r>
          </w:p>
        </w:tc>
      </w:tr>
      <w:tr w14:paraId="0EA00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0BDED01">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04C86DE8">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030E5024">
            <w:pPr>
              <w:snapToGrid w:val="0"/>
              <w:spacing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竞选报价算术错误修正</w:t>
            </w:r>
          </w:p>
        </w:tc>
        <w:tc>
          <w:tcPr>
            <w:tcW w:w="4615" w:type="dxa"/>
            <w:tcBorders>
              <w:left w:val="single" w:color="auto" w:sz="4" w:space="0"/>
            </w:tcBorders>
            <w:noWrap w:val="0"/>
            <w:vAlign w:val="center"/>
          </w:tcPr>
          <w:p w14:paraId="54920A7B">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符合第三章3.评标程序第3.1项规定。</w:t>
            </w:r>
          </w:p>
        </w:tc>
      </w:tr>
      <w:tr w14:paraId="21529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3D879FC0">
            <w:pPr>
              <w:spacing w:line="400" w:lineRule="exact"/>
              <w:jc w:val="center"/>
              <w:rPr>
                <w:rFonts w:hint="eastAsia" w:ascii="仿宋" w:hAnsi="仿宋" w:eastAsia="仿宋" w:cs="仿宋"/>
                <w:kern w:val="0"/>
                <w:sz w:val="24"/>
                <w:szCs w:val="24"/>
              </w:rPr>
            </w:pPr>
          </w:p>
        </w:tc>
        <w:tc>
          <w:tcPr>
            <w:tcW w:w="1560" w:type="dxa"/>
            <w:vMerge w:val="continue"/>
            <w:tcBorders>
              <w:left w:val="single" w:color="auto" w:sz="4" w:space="0"/>
            </w:tcBorders>
            <w:noWrap w:val="0"/>
            <w:vAlign w:val="center"/>
          </w:tcPr>
          <w:p w14:paraId="4627D10B">
            <w:pPr>
              <w:spacing w:line="400" w:lineRule="exact"/>
              <w:jc w:val="center"/>
              <w:rPr>
                <w:rFonts w:hint="eastAsia" w:ascii="仿宋" w:hAnsi="仿宋" w:eastAsia="仿宋" w:cs="仿宋"/>
                <w:kern w:val="0"/>
                <w:sz w:val="24"/>
                <w:szCs w:val="24"/>
              </w:rPr>
            </w:pPr>
          </w:p>
        </w:tc>
        <w:tc>
          <w:tcPr>
            <w:tcW w:w="2267" w:type="dxa"/>
            <w:tcBorders>
              <w:right w:val="single" w:color="auto" w:sz="4" w:space="0"/>
            </w:tcBorders>
            <w:noWrap w:val="0"/>
            <w:vAlign w:val="center"/>
          </w:tcPr>
          <w:p w14:paraId="6BCAC571">
            <w:pPr>
              <w:snapToGrid w:val="0"/>
              <w:spacing w:line="40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实质性要求</w:t>
            </w:r>
          </w:p>
        </w:tc>
        <w:tc>
          <w:tcPr>
            <w:tcW w:w="4615" w:type="dxa"/>
            <w:tcBorders>
              <w:left w:val="single" w:color="auto" w:sz="4" w:space="0"/>
            </w:tcBorders>
            <w:noWrap w:val="0"/>
            <w:vAlign w:val="center"/>
          </w:tcPr>
          <w:p w14:paraId="62759F12">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符合第二章“竞选人须知”第1.4.2项规定。</w:t>
            </w:r>
          </w:p>
          <w:p w14:paraId="7788B086">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本次投标不得有串通投标、弄虚作假等其他违反招投标相关法律、法规行为。</w:t>
            </w:r>
          </w:p>
          <w:p w14:paraId="6FB3579E">
            <w:pPr>
              <w:snapToGrid w:val="0"/>
              <w:spacing w:after="31" w:afterLines="10"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按评标委员会要求澄清、说明或补正。</w:t>
            </w:r>
          </w:p>
        </w:tc>
      </w:tr>
      <w:tr w14:paraId="14D50E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trPr>
        <w:tc>
          <w:tcPr>
            <w:tcW w:w="1243" w:type="dxa"/>
            <w:tcBorders>
              <w:right w:val="single" w:color="auto" w:sz="4" w:space="0"/>
            </w:tcBorders>
            <w:noWrap w:val="0"/>
            <w:vAlign w:val="center"/>
          </w:tcPr>
          <w:p w14:paraId="549C12D3">
            <w:pPr>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3</w:t>
            </w:r>
          </w:p>
        </w:tc>
        <w:tc>
          <w:tcPr>
            <w:tcW w:w="1560" w:type="dxa"/>
            <w:tcBorders>
              <w:left w:val="single" w:color="auto" w:sz="4" w:space="0"/>
              <w:right w:val="single" w:color="auto" w:sz="4" w:space="0"/>
            </w:tcBorders>
            <w:noWrap w:val="0"/>
            <w:vAlign w:val="center"/>
          </w:tcPr>
          <w:p w14:paraId="3D8A4FA4">
            <w:pPr>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评标程序</w:t>
            </w:r>
          </w:p>
        </w:tc>
        <w:tc>
          <w:tcPr>
            <w:tcW w:w="6882" w:type="dxa"/>
            <w:gridSpan w:val="2"/>
            <w:tcBorders>
              <w:left w:val="single" w:color="auto" w:sz="4" w:space="0"/>
            </w:tcBorders>
            <w:noWrap w:val="0"/>
            <w:vAlign w:val="center"/>
          </w:tcPr>
          <w:p w14:paraId="721BF5EE">
            <w:pPr>
              <w:spacing w:after="31" w:afterLines="10"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1.对报价不高于最高限价的所有竞选人的竞选文件，按照报价由低到高的顺序排序。</w:t>
            </w:r>
          </w:p>
          <w:p w14:paraId="76E4F123">
            <w:pPr>
              <w:spacing w:after="31" w:afterLines="10" w:line="400" w:lineRule="exact"/>
              <w:ind w:firstLine="480" w:firstLineChars="200"/>
              <w:jc w:val="left"/>
              <w:rPr>
                <w:rFonts w:hint="eastAsia" w:ascii="仿宋" w:hAnsi="仿宋" w:eastAsia="仿宋" w:cs="仿宋"/>
                <w:i/>
                <w:kern w:val="0"/>
                <w:sz w:val="24"/>
                <w:szCs w:val="24"/>
              </w:rPr>
            </w:pPr>
            <w:r>
              <w:rPr>
                <w:rFonts w:hint="eastAsia" w:ascii="仿宋" w:hAnsi="仿宋" w:eastAsia="仿宋" w:cs="仿宋"/>
                <w:kern w:val="0"/>
                <w:sz w:val="24"/>
                <w:szCs w:val="24"/>
              </w:rPr>
              <w:t>2.取报价排序前 5 名（若实际竞选人数量小于</w:t>
            </w:r>
            <w:r>
              <w:rPr>
                <w:rFonts w:hint="eastAsia" w:ascii="仿宋" w:hAnsi="仿宋" w:eastAsia="仿宋" w:cs="仿宋"/>
                <w:sz w:val="24"/>
                <w:szCs w:val="24"/>
              </w:rPr>
              <w:t>5</w:t>
            </w:r>
            <w:r>
              <w:rPr>
                <w:rFonts w:hint="eastAsia" w:ascii="仿宋" w:hAnsi="仿宋" w:eastAsia="仿宋" w:cs="仿宋"/>
                <w:kern w:val="0"/>
                <w:sz w:val="24"/>
                <w:szCs w:val="24"/>
              </w:rPr>
              <w:t xml:space="preserve"> 名，</w:t>
            </w:r>
            <w:r>
              <w:rPr>
                <w:rFonts w:hint="eastAsia" w:ascii="仿宋" w:hAnsi="仿宋" w:eastAsia="仿宋" w:cs="仿宋"/>
                <w:spacing w:val="4"/>
                <w:kern w:val="0"/>
                <w:sz w:val="24"/>
                <w:szCs w:val="24"/>
              </w:rPr>
              <w:t>则全部纳入）进行符合性审查。符合性审查内容：资格评审、形式评审、</w:t>
            </w:r>
            <w:r>
              <w:rPr>
                <w:rFonts w:hint="eastAsia" w:ascii="仿宋" w:hAnsi="仿宋" w:eastAsia="仿宋" w:cs="仿宋"/>
                <w:spacing w:val="4"/>
                <w:kern w:val="0"/>
                <w:sz w:val="24"/>
                <w:szCs w:val="24"/>
                <w:lang w:eastAsia="zh-CN"/>
              </w:rPr>
              <w:t>竞选</w:t>
            </w:r>
            <w:r>
              <w:rPr>
                <w:rFonts w:hint="eastAsia" w:ascii="仿宋" w:hAnsi="仿宋" w:eastAsia="仿宋" w:cs="仿宋"/>
                <w:spacing w:val="4"/>
                <w:kern w:val="0"/>
                <w:sz w:val="24"/>
                <w:szCs w:val="24"/>
              </w:rPr>
              <w:t>性评审。符合性审查</w:t>
            </w:r>
            <w:r>
              <w:rPr>
                <w:rFonts w:hint="eastAsia" w:ascii="仿宋" w:hAnsi="仿宋" w:eastAsia="仿宋" w:cs="仿宋"/>
                <w:kern w:val="0"/>
                <w:sz w:val="24"/>
                <w:szCs w:val="24"/>
              </w:rPr>
              <w:t>合格的竞选人中，报价最低的成为第一中标候选人，报价次低的成为第二中标候选人，依次类推。</w:t>
            </w:r>
          </w:p>
          <w:p w14:paraId="576517CC">
            <w:pPr>
              <w:spacing w:after="31" w:afterLines="10"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3.</w:t>
            </w:r>
            <w:r>
              <w:rPr>
                <w:rFonts w:hint="eastAsia" w:ascii="仿宋" w:hAnsi="仿宋" w:eastAsia="仿宋" w:cs="仿宋"/>
                <w:spacing w:val="4"/>
                <w:kern w:val="0"/>
                <w:sz w:val="24"/>
                <w:szCs w:val="24"/>
              </w:rPr>
              <w:t>若上述程序未能评出三名中标候选人</w:t>
            </w:r>
            <w:r>
              <w:rPr>
                <w:rFonts w:hint="eastAsia" w:ascii="仿宋" w:hAnsi="仿宋" w:eastAsia="仿宋" w:cs="仿宋"/>
                <w:kern w:val="0"/>
                <w:sz w:val="24"/>
                <w:szCs w:val="24"/>
              </w:rPr>
              <w:t>，则评标委员会对剩余竞选文件继续按上述第2条进行评审，直至评出三名中标候选人，或者评审完所有竞选文件。</w:t>
            </w:r>
          </w:p>
          <w:p w14:paraId="7BAA3D4B">
            <w:pPr>
              <w:spacing w:after="31" w:afterLines="10"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4.</w:t>
            </w:r>
            <w:r>
              <w:rPr>
                <w:rFonts w:hint="eastAsia" w:ascii="仿宋" w:hAnsi="仿宋" w:eastAsia="仿宋" w:cs="仿宋"/>
                <w:sz w:val="24"/>
                <w:szCs w:val="24"/>
              </w:rPr>
              <w:t xml:space="preserve"> </w:t>
            </w:r>
            <w:r>
              <w:rPr>
                <w:rFonts w:hint="eastAsia" w:ascii="仿宋" w:hAnsi="仿宋" w:eastAsia="仿宋" w:cs="仿宋"/>
                <w:kern w:val="0"/>
                <w:sz w:val="24"/>
                <w:szCs w:val="24"/>
              </w:rPr>
              <w:t>因评标委员会作否决竞选处理，导致有效竞选人不足三个的，评标委员会应当否决所有竞选。但是有效竞选人的经济、技术等指标仍然具有市场竞争力，并满足招标文件要求的，评标委员会可以继续评标并确定中标候选人。</w:t>
            </w:r>
          </w:p>
          <w:p w14:paraId="160DF53C">
            <w:pPr>
              <w:spacing w:after="31" w:afterLines="10" w:line="4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注：若出现竞选人竞选报价相同的，</w:t>
            </w:r>
            <w:r>
              <w:rPr>
                <w:rFonts w:hint="eastAsia" w:ascii="仿宋" w:hAnsi="仿宋" w:eastAsia="仿宋" w:cs="仿宋"/>
                <w:spacing w:val="4"/>
                <w:kern w:val="0"/>
                <w:sz w:val="24"/>
                <w:szCs w:val="24"/>
              </w:rPr>
              <w:t xml:space="preserve">由评标委员会按照 </w:t>
            </w:r>
            <w:r>
              <w:rPr>
                <w:rFonts w:hint="eastAsia" w:ascii="仿宋" w:hAnsi="仿宋" w:eastAsia="仿宋" w:cs="仿宋"/>
                <w:spacing w:val="4"/>
                <w:kern w:val="0"/>
                <w:sz w:val="24"/>
                <w:szCs w:val="24"/>
                <w:u w:val="single"/>
              </w:rPr>
              <w:t xml:space="preserve">单位资质高的优先原则排序，若资质等级相同的，按照在资格审查资料中提供的财务审计报告及财务报表所显示的2023年度营业收入由高到低 </w:t>
            </w:r>
            <w:r>
              <w:rPr>
                <w:rFonts w:hint="eastAsia" w:ascii="仿宋" w:hAnsi="仿宋" w:eastAsia="仿宋" w:cs="仿宋"/>
                <w:spacing w:val="4"/>
                <w:kern w:val="0"/>
                <w:sz w:val="24"/>
                <w:szCs w:val="24"/>
              </w:rPr>
              <w:t>原则排序。</w:t>
            </w:r>
          </w:p>
        </w:tc>
      </w:tr>
      <w:tr w14:paraId="2F3F8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1243" w:type="dxa"/>
            <w:tcBorders>
              <w:right w:val="single" w:color="auto" w:sz="4" w:space="0"/>
            </w:tcBorders>
            <w:noWrap w:val="0"/>
            <w:vAlign w:val="center"/>
          </w:tcPr>
          <w:p w14:paraId="1710BDB4">
            <w:pPr>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3.4</w:t>
            </w:r>
          </w:p>
        </w:tc>
        <w:tc>
          <w:tcPr>
            <w:tcW w:w="1560" w:type="dxa"/>
            <w:tcBorders>
              <w:left w:val="single" w:color="auto" w:sz="4" w:space="0"/>
              <w:right w:val="single" w:color="auto" w:sz="4" w:space="0"/>
            </w:tcBorders>
            <w:noWrap w:val="0"/>
            <w:vAlign w:val="center"/>
          </w:tcPr>
          <w:p w14:paraId="5022FF3A">
            <w:pPr>
              <w:spacing w:line="400" w:lineRule="exact"/>
              <w:ind w:left="0" w:leftChars="0" w:firstLine="0" w:firstLineChars="0"/>
              <w:jc w:val="both"/>
              <w:rPr>
                <w:rFonts w:hint="eastAsia" w:ascii="仿宋" w:hAnsi="仿宋" w:eastAsia="仿宋" w:cs="仿宋"/>
                <w:sz w:val="24"/>
                <w:szCs w:val="24"/>
              </w:rPr>
            </w:pPr>
            <w:r>
              <w:rPr>
                <w:rFonts w:hint="eastAsia" w:ascii="仿宋" w:hAnsi="仿宋" w:eastAsia="仿宋" w:cs="仿宋"/>
                <w:sz w:val="24"/>
                <w:szCs w:val="24"/>
              </w:rPr>
              <w:t>评标结果</w:t>
            </w:r>
          </w:p>
        </w:tc>
        <w:tc>
          <w:tcPr>
            <w:tcW w:w="6882" w:type="dxa"/>
            <w:gridSpan w:val="2"/>
            <w:tcBorders>
              <w:left w:val="single" w:color="auto" w:sz="4" w:space="0"/>
            </w:tcBorders>
            <w:noWrap w:val="0"/>
            <w:vAlign w:val="center"/>
          </w:tcPr>
          <w:p w14:paraId="509CA9E3">
            <w:pPr>
              <w:autoSpaceDE w:val="0"/>
              <w:autoSpaceDN w:val="0"/>
              <w:adjustRightInd w:val="0"/>
              <w:snapToGrid w:val="0"/>
              <w:spacing w:line="400" w:lineRule="exact"/>
              <w:ind w:firstLine="420"/>
              <w:jc w:val="left"/>
              <w:rPr>
                <w:rFonts w:hint="eastAsia" w:ascii="仿宋" w:hAnsi="仿宋" w:eastAsia="仿宋" w:cs="仿宋"/>
                <w:kern w:val="0"/>
                <w:sz w:val="24"/>
                <w:szCs w:val="24"/>
              </w:rPr>
            </w:pPr>
            <w:r>
              <w:rPr>
                <w:rFonts w:hint="eastAsia" w:ascii="仿宋" w:hAnsi="仿宋" w:eastAsia="仿宋" w:cs="仿宋"/>
                <w:kern w:val="0"/>
                <w:sz w:val="24"/>
                <w:szCs w:val="24"/>
              </w:rPr>
              <w:t>3.</w:t>
            </w:r>
            <w:r>
              <w:rPr>
                <w:rFonts w:hint="eastAsia" w:ascii="仿宋" w:hAnsi="仿宋" w:eastAsia="仿宋" w:cs="仿宋"/>
                <w:spacing w:val="-1"/>
                <w:kern w:val="0"/>
                <w:sz w:val="24"/>
                <w:szCs w:val="24"/>
              </w:rPr>
              <w:t>4</w:t>
            </w:r>
            <w:r>
              <w:rPr>
                <w:rFonts w:hint="eastAsia" w:ascii="仿宋" w:hAnsi="仿宋" w:eastAsia="仿宋" w:cs="仿宋"/>
                <w:kern w:val="0"/>
                <w:sz w:val="24"/>
                <w:szCs w:val="24"/>
              </w:rPr>
              <w:t>.1 除第二章“竞选人须知”前</w:t>
            </w:r>
            <w:r>
              <w:rPr>
                <w:rFonts w:hint="eastAsia" w:ascii="仿宋" w:hAnsi="仿宋" w:eastAsia="仿宋" w:cs="仿宋"/>
                <w:spacing w:val="1"/>
                <w:kern w:val="0"/>
                <w:sz w:val="24"/>
                <w:szCs w:val="24"/>
              </w:rPr>
              <w:t>附</w:t>
            </w:r>
            <w:r>
              <w:rPr>
                <w:rFonts w:hint="eastAsia" w:ascii="仿宋" w:hAnsi="仿宋" w:eastAsia="仿宋" w:cs="仿宋"/>
                <w:kern w:val="0"/>
                <w:sz w:val="24"/>
                <w:szCs w:val="24"/>
              </w:rPr>
              <w:t>表授权直</w:t>
            </w:r>
            <w:r>
              <w:rPr>
                <w:rFonts w:hint="eastAsia" w:ascii="仿宋" w:hAnsi="仿宋" w:eastAsia="仿宋" w:cs="仿宋"/>
                <w:spacing w:val="1"/>
                <w:kern w:val="0"/>
                <w:sz w:val="24"/>
                <w:szCs w:val="24"/>
              </w:rPr>
              <w:t>接</w:t>
            </w:r>
            <w:r>
              <w:rPr>
                <w:rFonts w:hint="eastAsia" w:ascii="仿宋" w:hAnsi="仿宋" w:eastAsia="仿宋" w:cs="仿宋"/>
                <w:kern w:val="0"/>
                <w:sz w:val="24"/>
                <w:szCs w:val="24"/>
              </w:rPr>
              <w:t>确定中标</w:t>
            </w:r>
            <w:r>
              <w:rPr>
                <w:rFonts w:hint="eastAsia" w:ascii="仿宋" w:hAnsi="仿宋" w:eastAsia="仿宋" w:cs="仿宋"/>
                <w:spacing w:val="1"/>
                <w:kern w:val="0"/>
                <w:sz w:val="24"/>
                <w:szCs w:val="24"/>
              </w:rPr>
              <w:t>人</w:t>
            </w:r>
            <w:r>
              <w:rPr>
                <w:rFonts w:hint="eastAsia" w:ascii="仿宋" w:hAnsi="仿宋" w:eastAsia="仿宋" w:cs="仿宋"/>
                <w:kern w:val="0"/>
                <w:sz w:val="24"/>
                <w:szCs w:val="24"/>
              </w:rPr>
              <w:t>外，评标</w:t>
            </w:r>
            <w:r>
              <w:rPr>
                <w:rFonts w:hint="eastAsia" w:ascii="仿宋" w:hAnsi="仿宋" w:eastAsia="仿宋" w:cs="仿宋"/>
                <w:spacing w:val="1"/>
                <w:kern w:val="0"/>
                <w:sz w:val="24"/>
                <w:szCs w:val="24"/>
              </w:rPr>
              <w:t>委</w:t>
            </w:r>
            <w:r>
              <w:rPr>
                <w:rFonts w:hint="eastAsia" w:ascii="仿宋" w:hAnsi="仿宋" w:eastAsia="仿宋" w:cs="仿宋"/>
                <w:kern w:val="0"/>
                <w:sz w:val="24"/>
                <w:szCs w:val="24"/>
              </w:rPr>
              <w:t>员会按经评审的最低竞选价法推荐中标候选人。</w:t>
            </w:r>
          </w:p>
          <w:p w14:paraId="72534BB8">
            <w:pPr>
              <w:spacing w:line="400" w:lineRule="exact"/>
              <w:ind w:firstLine="484" w:firstLineChars="200"/>
              <w:rPr>
                <w:rFonts w:hint="eastAsia" w:ascii="仿宋" w:hAnsi="仿宋" w:eastAsia="仿宋" w:cs="仿宋"/>
                <w:sz w:val="24"/>
                <w:szCs w:val="24"/>
              </w:rPr>
            </w:pPr>
            <w:r>
              <w:rPr>
                <w:rFonts w:hint="eastAsia" w:ascii="仿宋" w:hAnsi="仿宋" w:eastAsia="仿宋" w:cs="仿宋"/>
                <w:spacing w:val="1"/>
                <w:kern w:val="0"/>
                <w:sz w:val="24"/>
                <w:szCs w:val="24"/>
              </w:rPr>
              <w:t>3</w:t>
            </w:r>
            <w:r>
              <w:rPr>
                <w:rFonts w:hint="eastAsia" w:ascii="仿宋" w:hAnsi="仿宋" w:eastAsia="仿宋" w:cs="仿宋"/>
                <w:kern w:val="0"/>
                <w:sz w:val="24"/>
                <w:szCs w:val="24"/>
              </w:rPr>
              <w:t>.4.2 评标</w:t>
            </w:r>
            <w:r>
              <w:rPr>
                <w:rFonts w:hint="eastAsia" w:ascii="仿宋" w:hAnsi="仿宋" w:eastAsia="仿宋" w:cs="仿宋"/>
                <w:spacing w:val="-1"/>
                <w:kern w:val="0"/>
                <w:sz w:val="24"/>
                <w:szCs w:val="24"/>
              </w:rPr>
              <w:t>委</w:t>
            </w:r>
            <w:r>
              <w:rPr>
                <w:rFonts w:hint="eastAsia" w:ascii="仿宋" w:hAnsi="仿宋" w:eastAsia="仿宋" w:cs="仿宋"/>
                <w:kern w:val="0"/>
                <w:sz w:val="24"/>
                <w:szCs w:val="24"/>
              </w:rPr>
              <w:t>员会完成评标后，应当向比选人提交书面评标报告。</w:t>
            </w:r>
          </w:p>
        </w:tc>
      </w:tr>
    </w:tbl>
    <w:p w14:paraId="69008006">
      <w:pPr>
        <w:rPr>
          <w:rFonts w:hint="eastAsia" w:ascii="仿宋" w:hAnsi="仿宋" w:eastAsia="仿宋" w:cs="仿宋"/>
        </w:rPr>
      </w:pPr>
    </w:p>
    <w:p w14:paraId="34DB9530">
      <w:pPr>
        <w:pStyle w:val="4"/>
        <w:spacing w:before="0" w:line="360" w:lineRule="auto"/>
        <w:rPr>
          <w:rFonts w:hint="eastAsia" w:ascii="仿宋" w:hAnsi="仿宋" w:eastAsia="仿宋" w:cs="仿宋"/>
          <w:sz w:val="21"/>
          <w:szCs w:val="21"/>
        </w:rPr>
      </w:pPr>
      <w:bookmarkStart w:id="274" w:name="_Toc19247"/>
      <w:bookmarkStart w:id="275" w:name="_Toc10907"/>
      <w:bookmarkStart w:id="276" w:name="_Toc2941"/>
      <w:bookmarkStart w:id="277" w:name="_Toc22190"/>
      <w:bookmarkStart w:id="278" w:name="_Toc27983289"/>
      <w:bookmarkStart w:id="279" w:name="_Toc66460677"/>
      <w:bookmarkStart w:id="280" w:name="_Toc14475"/>
      <w:bookmarkStart w:id="281" w:name="_Toc5469"/>
      <w:bookmarkStart w:id="282" w:name="_Toc27527"/>
      <w:r>
        <w:rPr>
          <w:rFonts w:hint="eastAsia" w:ascii="仿宋" w:hAnsi="仿宋" w:eastAsia="仿宋" w:cs="仿宋"/>
          <w:sz w:val="21"/>
          <w:szCs w:val="21"/>
        </w:rPr>
        <w:t>1.  评标方法</w:t>
      </w:r>
      <w:bookmarkEnd w:id="274"/>
      <w:bookmarkEnd w:id="275"/>
      <w:bookmarkEnd w:id="276"/>
      <w:bookmarkEnd w:id="277"/>
      <w:bookmarkEnd w:id="278"/>
      <w:bookmarkEnd w:id="279"/>
      <w:bookmarkEnd w:id="280"/>
      <w:bookmarkEnd w:id="281"/>
      <w:bookmarkEnd w:id="282"/>
    </w:p>
    <w:p w14:paraId="236D8CA7">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本次评标采用经评审的最低投标价法，评标委员会按照本章第2.1款进行报价排序，按照本章第2.2款进行符合性审查，符合性审查合格的竞选人中按报价由低到高推荐中标候选人。若出现竞选人投标报价相同的，以评标办法前附表约定的原则确定排序。</w:t>
      </w:r>
    </w:p>
    <w:p w14:paraId="5654B643">
      <w:pPr>
        <w:pStyle w:val="4"/>
        <w:spacing w:before="0" w:line="360" w:lineRule="auto"/>
        <w:rPr>
          <w:rFonts w:hint="eastAsia" w:ascii="仿宋" w:hAnsi="仿宋" w:eastAsia="仿宋" w:cs="仿宋"/>
          <w:sz w:val="21"/>
          <w:szCs w:val="21"/>
        </w:rPr>
      </w:pPr>
      <w:bookmarkStart w:id="283" w:name="_Toc2521"/>
      <w:bookmarkStart w:id="284" w:name="_Toc24688"/>
      <w:bookmarkStart w:id="285" w:name="_Toc3308"/>
      <w:bookmarkStart w:id="286" w:name="_Toc28816"/>
      <w:bookmarkStart w:id="287" w:name="_Toc66460678"/>
      <w:bookmarkStart w:id="288" w:name="_Toc27983290"/>
      <w:bookmarkStart w:id="289" w:name="_Toc22226"/>
      <w:bookmarkStart w:id="290" w:name="_Toc25540"/>
      <w:bookmarkStart w:id="291" w:name="_Toc20862"/>
      <w:r>
        <w:rPr>
          <w:rFonts w:hint="eastAsia" w:ascii="仿宋" w:hAnsi="仿宋" w:eastAsia="仿宋" w:cs="仿宋"/>
          <w:sz w:val="21"/>
          <w:szCs w:val="21"/>
        </w:rPr>
        <w:t>2.  评审标准</w:t>
      </w:r>
      <w:bookmarkEnd w:id="283"/>
      <w:bookmarkEnd w:id="284"/>
      <w:bookmarkEnd w:id="285"/>
      <w:bookmarkEnd w:id="286"/>
      <w:bookmarkEnd w:id="287"/>
      <w:bookmarkEnd w:id="288"/>
      <w:bookmarkEnd w:id="289"/>
      <w:bookmarkEnd w:id="290"/>
      <w:bookmarkEnd w:id="291"/>
    </w:p>
    <w:p w14:paraId="2004827E">
      <w:pPr>
        <w:pStyle w:val="4"/>
        <w:spacing w:before="0" w:line="360" w:lineRule="auto"/>
        <w:rPr>
          <w:rFonts w:hint="eastAsia" w:ascii="仿宋" w:hAnsi="仿宋" w:eastAsia="仿宋" w:cs="仿宋"/>
          <w:sz w:val="21"/>
          <w:szCs w:val="21"/>
        </w:rPr>
      </w:pPr>
      <w:bookmarkStart w:id="292" w:name="_Toc28139"/>
      <w:bookmarkStart w:id="293" w:name="_Toc9950"/>
      <w:bookmarkStart w:id="294" w:name="_Toc17162"/>
      <w:bookmarkStart w:id="295" w:name="_Toc66460679"/>
      <w:bookmarkStart w:id="296" w:name="_Toc27983291"/>
      <w:bookmarkStart w:id="297" w:name="_Toc3103"/>
      <w:bookmarkStart w:id="298" w:name="_Toc14754"/>
      <w:bookmarkStart w:id="299" w:name="_Toc9426"/>
      <w:r>
        <w:rPr>
          <w:rFonts w:hint="eastAsia" w:ascii="仿宋" w:hAnsi="仿宋" w:eastAsia="仿宋" w:cs="仿宋"/>
          <w:sz w:val="21"/>
          <w:szCs w:val="21"/>
        </w:rPr>
        <w:t>2.1报价排序</w:t>
      </w:r>
      <w:bookmarkEnd w:id="292"/>
      <w:bookmarkEnd w:id="293"/>
      <w:bookmarkEnd w:id="294"/>
      <w:bookmarkEnd w:id="295"/>
      <w:bookmarkEnd w:id="296"/>
      <w:bookmarkEnd w:id="297"/>
      <w:bookmarkEnd w:id="298"/>
      <w:bookmarkEnd w:id="299"/>
    </w:p>
    <w:p w14:paraId="3DE5D6FB">
      <w:pPr>
        <w:autoSpaceDE w:val="0"/>
        <w:autoSpaceDN w:val="0"/>
        <w:adjustRightInd w:val="0"/>
        <w:snapToGrid w:val="0"/>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见评标办法前附表。</w:t>
      </w:r>
    </w:p>
    <w:p w14:paraId="796902C3">
      <w:pPr>
        <w:pStyle w:val="4"/>
        <w:spacing w:before="0" w:line="360" w:lineRule="auto"/>
        <w:rPr>
          <w:rFonts w:hint="eastAsia" w:ascii="仿宋" w:hAnsi="仿宋" w:eastAsia="仿宋" w:cs="仿宋"/>
          <w:sz w:val="21"/>
          <w:szCs w:val="21"/>
        </w:rPr>
      </w:pPr>
      <w:bookmarkStart w:id="300" w:name="_Toc66460680"/>
      <w:bookmarkStart w:id="301" w:name="_Toc8533"/>
      <w:bookmarkStart w:id="302" w:name="_Toc27983292"/>
      <w:bookmarkStart w:id="303" w:name="_Toc15467"/>
      <w:bookmarkStart w:id="304" w:name="_Toc28927"/>
      <w:bookmarkStart w:id="305" w:name="_Toc4734"/>
      <w:bookmarkStart w:id="306" w:name="_Toc22959"/>
      <w:bookmarkStart w:id="307" w:name="_Toc18850"/>
      <w:bookmarkStart w:id="308" w:name="_Toc7122"/>
      <w:r>
        <w:rPr>
          <w:rFonts w:hint="eastAsia" w:ascii="仿宋" w:hAnsi="仿宋" w:eastAsia="仿宋" w:cs="仿宋"/>
          <w:sz w:val="21"/>
          <w:szCs w:val="21"/>
        </w:rPr>
        <w:t>2.2符合性审查</w:t>
      </w:r>
      <w:bookmarkEnd w:id="300"/>
      <w:bookmarkEnd w:id="301"/>
      <w:bookmarkEnd w:id="302"/>
      <w:bookmarkEnd w:id="303"/>
      <w:bookmarkEnd w:id="304"/>
      <w:bookmarkEnd w:id="305"/>
      <w:bookmarkEnd w:id="306"/>
      <w:bookmarkEnd w:id="307"/>
      <w:bookmarkEnd w:id="308"/>
    </w:p>
    <w:p w14:paraId="67898FC1">
      <w:pPr>
        <w:autoSpaceDE w:val="0"/>
        <w:autoSpaceDN w:val="0"/>
        <w:adjustRightInd w:val="0"/>
        <w:snapToGrid w:val="0"/>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取报价排序前 5 名（若实际竞选人数量小于5名，</w:t>
      </w:r>
      <w:r>
        <w:rPr>
          <w:rFonts w:hint="eastAsia" w:ascii="仿宋" w:hAnsi="仿宋" w:eastAsia="仿宋" w:cs="仿宋"/>
          <w:spacing w:val="4"/>
          <w:kern w:val="0"/>
          <w:szCs w:val="21"/>
        </w:rPr>
        <w:t>则全部纳入）进行符合性审查。符合性审查内容：资格评审、形式评审、</w:t>
      </w:r>
      <w:r>
        <w:rPr>
          <w:rFonts w:hint="eastAsia" w:ascii="仿宋" w:hAnsi="仿宋" w:eastAsia="仿宋" w:cs="仿宋"/>
          <w:spacing w:val="4"/>
          <w:kern w:val="0"/>
          <w:szCs w:val="21"/>
          <w:lang w:eastAsia="zh-CN"/>
        </w:rPr>
        <w:t>竞选</w:t>
      </w:r>
      <w:r>
        <w:rPr>
          <w:rFonts w:hint="eastAsia" w:ascii="仿宋" w:hAnsi="仿宋" w:eastAsia="仿宋" w:cs="仿宋"/>
          <w:spacing w:val="4"/>
          <w:kern w:val="0"/>
          <w:szCs w:val="21"/>
        </w:rPr>
        <w:t>性评审。</w:t>
      </w:r>
    </w:p>
    <w:p w14:paraId="1B361D4E">
      <w:pPr>
        <w:autoSpaceDE w:val="0"/>
        <w:autoSpaceDN w:val="0"/>
        <w:adjustRightInd w:val="0"/>
        <w:snapToGrid w:val="0"/>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2.2.1  资格评审标准：见评标办法前附表。</w:t>
      </w:r>
    </w:p>
    <w:p w14:paraId="551B59D9">
      <w:pPr>
        <w:autoSpaceDE w:val="0"/>
        <w:autoSpaceDN w:val="0"/>
        <w:adjustRightInd w:val="0"/>
        <w:snapToGrid w:val="0"/>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2.2.2  形式评审标准：见评标办法前附表。</w:t>
      </w:r>
    </w:p>
    <w:p w14:paraId="30621665">
      <w:pPr>
        <w:autoSpaceDE w:val="0"/>
        <w:autoSpaceDN w:val="0"/>
        <w:adjustRightInd w:val="0"/>
        <w:snapToGrid w:val="0"/>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 xml:space="preserve">2.2.3  </w:t>
      </w:r>
      <w:r>
        <w:rPr>
          <w:rFonts w:hint="eastAsia" w:ascii="仿宋" w:hAnsi="仿宋" w:eastAsia="仿宋" w:cs="仿宋"/>
          <w:szCs w:val="21"/>
          <w:lang w:eastAsia="zh-CN"/>
        </w:rPr>
        <w:t>竞选</w:t>
      </w:r>
      <w:r>
        <w:rPr>
          <w:rFonts w:hint="eastAsia" w:ascii="仿宋" w:hAnsi="仿宋" w:eastAsia="仿宋" w:cs="仿宋"/>
          <w:szCs w:val="21"/>
        </w:rPr>
        <w:t>性评审标准：见评标办法前附表。</w:t>
      </w:r>
    </w:p>
    <w:p w14:paraId="458B8D7E">
      <w:pPr>
        <w:pStyle w:val="4"/>
        <w:spacing w:before="0" w:line="360" w:lineRule="auto"/>
        <w:rPr>
          <w:rFonts w:hint="eastAsia" w:ascii="仿宋" w:hAnsi="仿宋" w:eastAsia="仿宋" w:cs="仿宋"/>
          <w:sz w:val="21"/>
          <w:szCs w:val="21"/>
        </w:rPr>
      </w:pPr>
      <w:bookmarkStart w:id="309" w:name="_Toc66460681"/>
      <w:bookmarkStart w:id="310" w:name="_Toc4010"/>
      <w:bookmarkStart w:id="311" w:name="_Toc23606"/>
      <w:bookmarkStart w:id="312" w:name="_Toc27983293"/>
      <w:bookmarkStart w:id="313" w:name="_Toc23594"/>
      <w:bookmarkStart w:id="314" w:name="_Toc3232"/>
      <w:bookmarkStart w:id="315" w:name="_Toc6839"/>
      <w:bookmarkStart w:id="316" w:name="_Toc28"/>
      <w:bookmarkStart w:id="317" w:name="_Toc26284"/>
      <w:r>
        <w:rPr>
          <w:rFonts w:hint="eastAsia" w:ascii="仿宋" w:hAnsi="仿宋" w:eastAsia="仿宋" w:cs="仿宋"/>
          <w:sz w:val="21"/>
          <w:szCs w:val="21"/>
        </w:rPr>
        <w:t>3.  评标程序</w:t>
      </w:r>
      <w:bookmarkEnd w:id="309"/>
      <w:bookmarkEnd w:id="310"/>
      <w:bookmarkEnd w:id="311"/>
      <w:bookmarkEnd w:id="312"/>
      <w:bookmarkEnd w:id="313"/>
      <w:bookmarkEnd w:id="314"/>
      <w:bookmarkEnd w:id="315"/>
      <w:bookmarkEnd w:id="316"/>
      <w:bookmarkEnd w:id="317"/>
    </w:p>
    <w:p w14:paraId="7B7A5378">
      <w:pPr>
        <w:pStyle w:val="4"/>
        <w:spacing w:before="0" w:line="360" w:lineRule="auto"/>
        <w:rPr>
          <w:rFonts w:hint="eastAsia" w:ascii="仿宋" w:hAnsi="仿宋" w:eastAsia="仿宋" w:cs="仿宋"/>
          <w:sz w:val="21"/>
          <w:szCs w:val="21"/>
        </w:rPr>
      </w:pPr>
      <w:bookmarkStart w:id="318" w:name="_Toc66460682"/>
      <w:bookmarkStart w:id="319" w:name="_Toc27976"/>
      <w:bookmarkStart w:id="320" w:name="_Toc16812"/>
      <w:bookmarkStart w:id="321" w:name="_Toc6149"/>
      <w:bookmarkStart w:id="322" w:name="_Toc19898"/>
      <w:bookmarkStart w:id="323" w:name="_Toc27983294"/>
      <w:bookmarkStart w:id="324" w:name="_Toc30265"/>
      <w:bookmarkStart w:id="325" w:name="_Toc15742"/>
      <w:bookmarkStart w:id="326" w:name="_Toc14201"/>
      <w:r>
        <w:rPr>
          <w:rFonts w:hint="eastAsia" w:ascii="仿宋" w:hAnsi="仿宋" w:eastAsia="仿宋" w:cs="仿宋"/>
          <w:sz w:val="21"/>
          <w:szCs w:val="21"/>
        </w:rPr>
        <w:t>3.1报价排序</w:t>
      </w:r>
      <w:bookmarkEnd w:id="318"/>
      <w:bookmarkEnd w:id="319"/>
      <w:bookmarkEnd w:id="320"/>
      <w:bookmarkEnd w:id="321"/>
      <w:bookmarkEnd w:id="322"/>
      <w:bookmarkEnd w:id="323"/>
      <w:bookmarkEnd w:id="324"/>
      <w:bookmarkEnd w:id="325"/>
      <w:bookmarkEnd w:id="326"/>
    </w:p>
    <w:p w14:paraId="73EF6784">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对报价不高于最高限价的所有竞选人的竞选文件，按照报价由低到高的顺序排序。</w:t>
      </w:r>
    </w:p>
    <w:p w14:paraId="763BAB9D">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当竞选报价有算术错误时，评标委员会按以下原则对竞选报价进行修正，修正的价格经竞选人书面确认后具有约束力，修正原则如下：</w:t>
      </w:r>
    </w:p>
    <w:p w14:paraId="1A04AACD">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①竞选文件中的大写金额与小写金额不一致的，以大写金额为准；</w:t>
      </w:r>
    </w:p>
    <w:p w14:paraId="41D575B0">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②总价金额与依据单价计算出的结果不一致的，以单价金额为准修正总价（但单价金额小数点有明显错误的除外）；单价金额小数点有明显错误的，以总价为准，对单价予以修正；</w:t>
      </w:r>
    </w:p>
    <w:p w14:paraId="13702507">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③招标文件规定的其他关于修正的要求。</w:t>
      </w:r>
    </w:p>
    <w:p w14:paraId="039F5AAB">
      <w:pPr>
        <w:pStyle w:val="4"/>
        <w:spacing w:before="0" w:line="360" w:lineRule="auto"/>
        <w:rPr>
          <w:rFonts w:hint="eastAsia" w:ascii="仿宋" w:hAnsi="仿宋" w:eastAsia="仿宋" w:cs="仿宋"/>
          <w:sz w:val="21"/>
          <w:szCs w:val="21"/>
        </w:rPr>
      </w:pPr>
      <w:bookmarkStart w:id="327" w:name="_Toc27983295"/>
      <w:bookmarkStart w:id="328" w:name="_Toc12894"/>
      <w:bookmarkStart w:id="329" w:name="_Toc22958"/>
      <w:bookmarkStart w:id="330" w:name="_Toc66460683"/>
      <w:bookmarkStart w:id="331" w:name="_Toc5110"/>
      <w:bookmarkStart w:id="332" w:name="_Toc14576"/>
      <w:bookmarkStart w:id="333" w:name="_Toc1682"/>
      <w:bookmarkStart w:id="334" w:name="_Toc7004"/>
      <w:bookmarkStart w:id="335" w:name="_Toc20974"/>
      <w:r>
        <w:rPr>
          <w:rFonts w:hint="eastAsia" w:ascii="仿宋" w:hAnsi="仿宋" w:eastAsia="仿宋" w:cs="仿宋"/>
          <w:sz w:val="21"/>
          <w:szCs w:val="21"/>
        </w:rPr>
        <w:t>3.2符合性审查</w:t>
      </w:r>
      <w:bookmarkEnd w:id="327"/>
      <w:bookmarkEnd w:id="328"/>
      <w:bookmarkEnd w:id="329"/>
      <w:bookmarkEnd w:id="330"/>
      <w:bookmarkEnd w:id="331"/>
      <w:bookmarkEnd w:id="332"/>
      <w:bookmarkEnd w:id="333"/>
      <w:bookmarkEnd w:id="334"/>
      <w:bookmarkEnd w:id="335"/>
    </w:p>
    <w:p w14:paraId="546CAD4D">
      <w:pPr>
        <w:spacing w:line="360" w:lineRule="auto"/>
        <w:ind w:firstLine="472" w:firstLineChars="197"/>
        <w:rPr>
          <w:rFonts w:hint="eastAsia" w:ascii="仿宋" w:hAnsi="仿宋" w:eastAsia="仿宋" w:cs="仿宋"/>
          <w:szCs w:val="21"/>
        </w:rPr>
      </w:pPr>
      <w:r>
        <w:rPr>
          <w:rFonts w:hint="eastAsia" w:ascii="仿宋" w:hAnsi="仿宋" w:eastAsia="仿宋" w:cs="仿宋"/>
          <w:szCs w:val="21"/>
        </w:rPr>
        <w:t>3.2.1评标委员会依据本章第2.2 款规定的标准对竞选文件进行符合性审查。符合性审查顺序：资格评审、形式评审、</w:t>
      </w:r>
      <w:r>
        <w:rPr>
          <w:rFonts w:hint="eastAsia" w:ascii="仿宋" w:hAnsi="仿宋" w:eastAsia="仿宋" w:cs="仿宋"/>
          <w:szCs w:val="21"/>
          <w:lang w:eastAsia="zh-CN"/>
        </w:rPr>
        <w:t>竞选</w:t>
      </w:r>
      <w:r>
        <w:rPr>
          <w:rFonts w:hint="eastAsia" w:ascii="仿宋" w:hAnsi="仿宋" w:eastAsia="仿宋" w:cs="仿宋"/>
          <w:szCs w:val="21"/>
        </w:rPr>
        <w:t>性评审。</w:t>
      </w:r>
    </w:p>
    <w:p w14:paraId="45BD9220">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3.2.2 竞选人有以下情形之一的，其竞选文件将被否决：</w:t>
      </w:r>
    </w:p>
    <w:p w14:paraId="1441BB6A">
      <w:pPr>
        <w:spacing w:line="360" w:lineRule="auto"/>
        <w:ind w:firstLine="463" w:firstLineChars="193"/>
        <w:rPr>
          <w:rFonts w:hint="eastAsia" w:ascii="仿宋" w:hAnsi="仿宋" w:eastAsia="仿宋" w:cs="仿宋"/>
          <w:szCs w:val="21"/>
        </w:rPr>
      </w:pPr>
      <w:r>
        <w:rPr>
          <w:rFonts w:hint="eastAsia" w:ascii="仿宋" w:hAnsi="仿宋" w:eastAsia="仿宋" w:cs="仿宋"/>
          <w:szCs w:val="21"/>
        </w:rPr>
        <w:t>（1）第二章“竞选人须知”第1.4.3 项规定的任何一种情形的；</w:t>
      </w:r>
    </w:p>
    <w:p w14:paraId="2C5F1D0B">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（2）串通投标或弄虚作假或有其他违法行为的。</w:t>
      </w:r>
    </w:p>
    <w:p w14:paraId="674F6E91">
      <w:pPr>
        <w:pStyle w:val="4"/>
        <w:spacing w:before="0" w:line="360" w:lineRule="auto"/>
        <w:rPr>
          <w:rFonts w:hint="eastAsia" w:ascii="仿宋" w:hAnsi="仿宋" w:eastAsia="仿宋" w:cs="仿宋"/>
          <w:sz w:val="21"/>
          <w:szCs w:val="21"/>
        </w:rPr>
      </w:pPr>
      <w:bookmarkStart w:id="336" w:name="_Toc24050"/>
      <w:bookmarkStart w:id="337" w:name="_Toc29034"/>
      <w:bookmarkStart w:id="338" w:name="_Toc11114"/>
      <w:bookmarkStart w:id="339" w:name="_Toc20384"/>
      <w:bookmarkStart w:id="340" w:name="_Toc66460684"/>
      <w:bookmarkStart w:id="341" w:name="_Toc27983296"/>
      <w:bookmarkStart w:id="342" w:name="_Toc3463"/>
      <w:bookmarkStart w:id="343" w:name="_Toc8646"/>
      <w:bookmarkStart w:id="344" w:name="_Toc19487"/>
      <w:r>
        <w:rPr>
          <w:rFonts w:hint="eastAsia" w:ascii="仿宋" w:hAnsi="仿宋" w:eastAsia="仿宋" w:cs="仿宋"/>
          <w:sz w:val="21"/>
          <w:szCs w:val="21"/>
        </w:rPr>
        <w:t xml:space="preserve">3.3 </w:t>
      </w:r>
      <w:r>
        <w:rPr>
          <w:rFonts w:hint="eastAsia" w:ascii="仿宋" w:hAnsi="仿宋" w:eastAsia="仿宋" w:cs="仿宋"/>
          <w:sz w:val="21"/>
          <w:szCs w:val="21"/>
          <w:lang w:eastAsia="zh-CN"/>
        </w:rPr>
        <w:t>竞选文件</w:t>
      </w:r>
      <w:r>
        <w:rPr>
          <w:rFonts w:hint="eastAsia" w:ascii="仿宋" w:hAnsi="仿宋" w:eastAsia="仿宋" w:cs="仿宋"/>
          <w:sz w:val="21"/>
          <w:szCs w:val="21"/>
        </w:rPr>
        <w:t>的澄清和补正</w:t>
      </w:r>
      <w:bookmarkEnd w:id="336"/>
      <w:bookmarkEnd w:id="337"/>
      <w:bookmarkEnd w:id="338"/>
      <w:bookmarkEnd w:id="339"/>
      <w:bookmarkEnd w:id="340"/>
      <w:bookmarkEnd w:id="341"/>
      <w:bookmarkEnd w:id="342"/>
      <w:bookmarkEnd w:id="343"/>
      <w:bookmarkEnd w:id="344"/>
    </w:p>
    <w:p w14:paraId="5C3FC275">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3.3.1 在评标过程中，评标委员会可以书面形式要求竞选人对所提交竞选文件中不明确的内容进行书面澄清或说明，或者对细微偏差进行补正。评标委员会不接受竞选人主动提出的澄清、说明或补正。</w:t>
      </w:r>
    </w:p>
    <w:p w14:paraId="41166D50">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3.3.2 澄清、说明和补正不得改变竞选文件的实质性内容（算术性错误修正的除外）。竞选人的书面澄清、说明和补正属于竞选文件的组成部分。</w:t>
      </w:r>
    </w:p>
    <w:p w14:paraId="77EAF0AA">
      <w:pPr>
        <w:spacing w:line="360" w:lineRule="auto"/>
        <w:ind w:firstLine="480" w:firstLineChars="200"/>
        <w:rPr>
          <w:rFonts w:hint="eastAsia" w:ascii="仿宋" w:hAnsi="仿宋" w:eastAsia="仿宋" w:cs="仿宋"/>
          <w:szCs w:val="21"/>
        </w:rPr>
      </w:pPr>
      <w:r>
        <w:rPr>
          <w:rFonts w:hint="eastAsia" w:ascii="仿宋" w:hAnsi="仿宋" w:eastAsia="仿宋" w:cs="仿宋"/>
          <w:szCs w:val="21"/>
        </w:rPr>
        <w:t>3.3.3 评标委员会对竞选人提交的澄清、说明或补正有疑问的，可以要求竞选人进一步澄清、说明或补正，直至满足评标委员会的要求。</w:t>
      </w:r>
    </w:p>
    <w:p w14:paraId="53DEDF07">
      <w:pPr>
        <w:pStyle w:val="4"/>
        <w:spacing w:before="0" w:line="360" w:lineRule="auto"/>
        <w:rPr>
          <w:rFonts w:hint="eastAsia" w:ascii="仿宋" w:hAnsi="仿宋" w:eastAsia="仿宋" w:cs="仿宋"/>
          <w:sz w:val="21"/>
          <w:szCs w:val="21"/>
        </w:rPr>
      </w:pPr>
      <w:bookmarkStart w:id="345" w:name="_Toc484465184"/>
      <w:bookmarkStart w:id="346" w:name="_Toc7266"/>
      <w:bookmarkStart w:id="347" w:name="_Toc8615"/>
      <w:bookmarkStart w:id="348" w:name="_Toc12146"/>
      <w:bookmarkStart w:id="349" w:name="_Toc5618"/>
      <w:bookmarkStart w:id="350" w:name="_Toc27983297"/>
      <w:bookmarkStart w:id="351" w:name="_Toc8583"/>
      <w:bookmarkStart w:id="352" w:name="_Toc66460685"/>
      <w:bookmarkStart w:id="353" w:name="_Toc16192"/>
      <w:bookmarkStart w:id="354" w:name="_Toc31941"/>
      <w:bookmarkStart w:id="355" w:name="_Toc479262406"/>
      <w:r>
        <w:rPr>
          <w:rFonts w:hint="eastAsia" w:ascii="仿宋" w:hAnsi="仿宋" w:eastAsia="仿宋" w:cs="仿宋"/>
          <w:sz w:val="21"/>
          <w:szCs w:val="21"/>
        </w:rPr>
        <w:t>3.4 评标结果</w:t>
      </w:r>
      <w:bookmarkEnd w:id="345"/>
      <w:bookmarkEnd w:id="346"/>
      <w:bookmarkEnd w:id="347"/>
      <w:bookmarkEnd w:id="348"/>
      <w:bookmarkEnd w:id="349"/>
      <w:bookmarkEnd w:id="350"/>
      <w:bookmarkEnd w:id="351"/>
      <w:bookmarkEnd w:id="352"/>
      <w:bookmarkEnd w:id="353"/>
      <w:bookmarkEnd w:id="354"/>
      <w:bookmarkEnd w:id="355"/>
    </w:p>
    <w:p w14:paraId="449E33E9">
      <w:pPr>
        <w:autoSpaceDE w:val="0"/>
        <w:autoSpaceDN w:val="0"/>
        <w:adjustRightInd w:val="0"/>
        <w:spacing w:line="360" w:lineRule="auto"/>
        <w:ind w:firstLine="480" w:firstLineChars="200"/>
        <w:jc w:val="left"/>
        <w:rPr>
          <w:rFonts w:hint="eastAsia" w:ascii="仿宋" w:hAnsi="仿宋" w:eastAsia="仿宋" w:cs="仿宋"/>
          <w:kern w:val="0"/>
          <w:szCs w:val="21"/>
        </w:rPr>
      </w:pPr>
      <w:r>
        <w:rPr>
          <w:rFonts w:hint="eastAsia" w:ascii="仿宋" w:hAnsi="仿宋" w:eastAsia="仿宋" w:cs="仿宋"/>
          <w:szCs w:val="21"/>
        </w:rPr>
        <w:t>3.4.1除第二章“竞选人须知”前附表授权直接确定中标人外，评标委员会按经评审的最低投标价法推荐中标候选人。</w:t>
      </w:r>
    </w:p>
    <w:p w14:paraId="0CFB412C">
      <w:pPr>
        <w:spacing w:line="360" w:lineRule="auto"/>
        <w:ind w:firstLine="480" w:firstLineChars="200"/>
        <w:jc w:val="left"/>
        <w:rPr>
          <w:rFonts w:hint="eastAsia" w:ascii="仿宋" w:hAnsi="仿宋" w:eastAsia="仿宋" w:cs="仿宋"/>
          <w:szCs w:val="21"/>
        </w:rPr>
      </w:pPr>
      <w:r>
        <w:rPr>
          <w:rFonts w:hint="eastAsia" w:ascii="仿宋" w:hAnsi="仿宋" w:eastAsia="仿宋" w:cs="仿宋"/>
          <w:szCs w:val="21"/>
        </w:rPr>
        <w:t>3.4.2 评标委员会完成评标后，应当向比选人提交书面评标报告和中标候选人名单。</w:t>
      </w:r>
    </w:p>
    <w:p w14:paraId="48099732">
      <w:pPr>
        <w:autoSpaceDE w:val="0"/>
        <w:autoSpaceDN w:val="0"/>
        <w:adjustRightInd w:val="0"/>
        <w:snapToGrid w:val="0"/>
        <w:spacing w:line="360" w:lineRule="auto"/>
        <w:jc w:val="left"/>
        <w:rPr>
          <w:rFonts w:hint="eastAsia" w:ascii="仿宋" w:hAnsi="仿宋" w:eastAsia="仿宋" w:cs="仿宋"/>
          <w:b/>
          <w:kern w:val="0"/>
          <w:sz w:val="24"/>
        </w:rPr>
      </w:pPr>
    </w:p>
    <w:p w14:paraId="68305933">
      <w:pPr>
        <w:autoSpaceDE w:val="0"/>
        <w:autoSpaceDN w:val="0"/>
        <w:adjustRightInd w:val="0"/>
        <w:snapToGrid w:val="0"/>
        <w:spacing w:line="360" w:lineRule="auto"/>
        <w:jc w:val="left"/>
        <w:rPr>
          <w:rFonts w:hint="eastAsia" w:ascii="仿宋" w:hAnsi="仿宋" w:eastAsia="仿宋" w:cs="仿宋"/>
          <w:b/>
          <w:kern w:val="0"/>
          <w:sz w:val="24"/>
        </w:rPr>
      </w:pPr>
    </w:p>
    <w:p w14:paraId="185C82C2">
      <w:pPr>
        <w:pStyle w:val="16"/>
        <w:spacing w:line="360" w:lineRule="auto"/>
        <w:ind w:left="0" w:leftChars="0" w:firstLine="0" w:firstLineChars="0"/>
        <w:jc w:val="both"/>
        <w:rPr>
          <w:rFonts w:hint="eastAsia" w:ascii="仿宋" w:hAnsi="仿宋" w:eastAsia="仿宋" w:cs="仿宋"/>
          <w:b/>
          <w:sz w:val="28"/>
          <w:szCs w:val="28"/>
          <w:u w:val="none"/>
          <w:lang w:eastAsia="zh-CN"/>
        </w:rPr>
      </w:pPr>
    </w:p>
    <w:p w14:paraId="43301DD5">
      <w:pPr>
        <w:pStyle w:val="16"/>
        <w:spacing w:line="360" w:lineRule="auto"/>
        <w:jc w:val="both"/>
        <w:rPr>
          <w:rFonts w:hint="eastAsia" w:ascii="仿宋" w:hAnsi="仿宋" w:eastAsia="仿宋" w:cs="仿宋"/>
          <w:b/>
          <w:sz w:val="28"/>
          <w:szCs w:val="28"/>
          <w:u w:val="none"/>
          <w:lang w:eastAsia="zh-CN"/>
        </w:rPr>
      </w:pPr>
      <w:r>
        <w:rPr>
          <w:rFonts w:hint="eastAsia" w:ascii="仿宋" w:hAnsi="仿宋" w:eastAsia="仿宋" w:cs="仿宋"/>
          <w:b/>
          <w:sz w:val="28"/>
          <w:szCs w:val="28"/>
          <w:u w:val="none"/>
          <w:lang w:eastAsia="zh-CN"/>
        </w:rPr>
        <w:t>附件A：经评审的最低投标价法否决投标情况一览表</w:t>
      </w:r>
    </w:p>
    <w:p w14:paraId="443DAB60">
      <w:pPr>
        <w:pStyle w:val="16"/>
        <w:spacing w:line="360" w:lineRule="auto"/>
        <w:ind w:firstLine="420" w:firstLineChars="200"/>
        <w:jc w:val="both"/>
        <w:rPr>
          <w:rFonts w:hint="eastAsia" w:ascii="仿宋" w:hAnsi="仿宋" w:eastAsia="仿宋" w:cs="仿宋"/>
          <w:sz w:val="24"/>
          <w:lang w:eastAsia="zh-CN"/>
        </w:rPr>
      </w:pPr>
      <w:r>
        <w:rPr>
          <w:rFonts w:hint="eastAsia" w:ascii="仿宋" w:hAnsi="仿宋" w:eastAsia="仿宋" w:cs="仿宋"/>
          <w:sz w:val="21"/>
          <w:szCs w:val="21"/>
          <w:u w:val="none"/>
          <w:lang w:eastAsia="zh-CN"/>
        </w:rPr>
        <w:t>一览表中竞选人有下列情形之一的，其投标作否决投标处理，否决投标条件之外的评标委员会不得判为重大偏差。</w:t>
      </w:r>
    </w:p>
    <w:tbl>
      <w:tblPr>
        <w:tblStyle w:val="24"/>
        <w:tblW w:w="946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237"/>
        <w:gridCol w:w="1899"/>
        <w:gridCol w:w="6333"/>
      </w:tblGrid>
      <w:tr w14:paraId="51BA1F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noWrap w:val="0"/>
            <w:vAlign w:val="center"/>
          </w:tcPr>
          <w:p w14:paraId="31283DB1">
            <w:pPr>
              <w:spacing w:line="400" w:lineRule="exact"/>
              <w:jc w:val="center"/>
              <w:rPr>
                <w:rFonts w:hint="eastAsia" w:ascii="仿宋" w:hAnsi="仿宋" w:eastAsia="仿宋" w:cs="仿宋"/>
                <w:b/>
                <w:szCs w:val="21"/>
              </w:rPr>
            </w:pPr>
            <w:r>
              <w:rPr>
                <w:rFonts w:hint="eastAsia" w:ascii="仿宋" w:hAnsi="仿宋" w:eastAsia="仿宋" w:cs="仿宋"/>
                <w:b/>
                <w:szCs w:val="21"/>
              </w:rPr>
              <w:t>章节号</w:t>
            </w:r>
          </w:p>
        </w:tc>
        <w:tc>
          <w:tcPr>
            <w:tcW w:w="1899" w:type="dxa"/>
            <w:noWrap w:val="0"/>
            <w:vAlign w:val="center"/>
          </w:tcPr>
          <w:p w14:paraId="74253920">
            <w:pPr>
              <w:spacing w:line="400" w:lineRule="exact"/>
              <w:jc w:val="center"/>
              <w:rPr>
                <w:rFonts w:hint="eastAsia" w:ascii="仿宋" w:hAnsi="仿宋" w:eastAsia="仿宋" w:cs="仿宋"/>
                <w:b/>
                <w:szCs w:val="21"/>
              </w:rPr>
            </w:pPr>
            <w:r>
              <w:rPr>
                <w:rFonts w:hint="eastAsia" w:ascii="仿宋" w:hAnsi="仿宋" w:eastAsia="仿宋" w:cs="仿宋"/>
                <w:b/>
                <w:szCs w:val="21"/>
              </w:rPr>
              <w:t>条款名称</w:t>
            </w:r>
          </w:p>
        </w:tc>
        <w:tc>
          <w:tcPr>
            <w:tcW w:w="6333" w:type="dxa"/>
            <w:noWrap w:val="0"/>
            <w:vAlign w:val="center"/>
          </w:tcPr>
          <w:p w14:paraId="48187CAB">
            <w:pPr>
              <w:spacing w:line="400" w:lineRule="exact"/>
              <w:jc w:val="center"/>
              <w:rPr>
                <w:rFonts w:hint="eastAsia" w:ascii="仿宋" w:hAnsi="仿宋" w:eastAsia="仿宋" w:cs="仿宋"/>
                <w:b/>
                <w:szCs w:val="21"/>
              </w:rPr>
            </w:pPr>
            <w:r>
              <w:rPr>
                <w:rFonts w:hint="eastAsia" w:ascii="仿宋" w:hAnsi="仿宋" w:eastAsia="仿宋" w:cs="仿宋"/>
                <w:b/>
                <w:szCs w:val="21"/>
              </w:rPr>
              <w:t>否决投标条件</w:t>
            </w:r>
          </w:p>
        </w:tc>
      </w:tr>
      <w:tr w14:paraId="3360BF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300" w:hRule="atLeast"/>
          <w:tblHeader/>
          <w:jc w:val="center"/>
        </w:trPr>
        <w:tc>
          <w:tcPr>
            <w:tcW w:w="1237" w:type="dxa"/>
            <w:vMerge w:val="restart"/>
            <w:noWrap w:val="0"/>
            <w:vAlign w:val="center"/>
          </w:tcPr>
          <w:p w14:paraId="7DEDC368">
            <w:pPr>
              <w:spacing w:line="400" w:lineRule="exact"/>
              <w:ind w:left="0" w:leftChars="0" w:firstLine="0" w:firstLineChars="0"/>
              <w:jc w:val="both"/>
              <w:rPr>
                <w:rFonts w:hint="eastAsia" w:ascii="仿宋" w:hAnsi="仿宋" w:eastAsia="仿宋" w:cs="仿宋"/>
                <w:szCs w:val="21"/>
              </w:rPr>
            </w:pPr>
            <w:r>
              <w:rPr>
                <w:rFonts w:hint="eastAsia" w:ascii="仿宋" w:hAnsi="仿宋" w:eastAsia="仿宋" w:cs="仿宋"/>
                <w:szCs w:val="21"/>
              </w:rPr>
              <w:t>第三章</w:t>
            </w:r>
          </w:p>
        </w:tc>
        <w:tc>
          <w:tcPr>
            <w:tcW w:w="1899" w:type="dxa"/>
            <w:vMerge w:val="restart"/>
            <w:noWrap w:val="0"/>
            <w:vAlign w:val="center"/>
          </w:tcPr>
          <w:p w14:paraId="356A6B30">
            <w:pPr>
              <w:spacing w:line="400" w:lineRule="exact"/>
              <w:ind w:left="0" w:leftChars="0" w:firstLine="0" w:firstLineChars="0"/>
              <w:jc w:val="both"/>
              <w:rPr>
                <w:rFonts w:hint="eastAsia" w:ascii="仿宋" w:hAnsi="仿宋" w:eastAsia="仿宋" w:cs="仿宋"/>
                <w:szCs w:val="21"/>
              </w:rPr>
            </w:pPr>
            <w:r>
              <w:rPr>
                <w:rFonts w:hint="eastAsia" w:ascii="仿宋" w:hAnsi="仿宋" w:eastAsia="仿宋" w:cs="仿宋"/>
                <w:szCs w:val="21"/>
              </w:rPr>
              <w:t>资格评审</w:t>
            </w:r>
          </w:p>
        </w:tc>
        <w:tc>
          <w:tcPr>
            <w:tcW w:w="6333" w:type="dxa"/>
            <w:noWrap w:val="0"/>
            <w:vAlign w:val="center"/>
          </w:tcPr>
          <w:p w14:paraId="00FCDBE0">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A-1竞选人的资质条件、营业执照及安全生产条件须满足竞选人须知前附表第1.4.1项第1条的要求，否则由评标委员会作否决投标处理。</w:t>
            </w:r>
          </w:p>
        </w:tc>
      </w:tr>
      <w:tr w14:paraId="1548C97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6A0B1439">
            <w:pPr>
              <w:spacing w:line="400" w:lineRule="exact"/>
              <w:jc w:val="center"/>
              <w:rPr>
                <w:rFonts w:hint="eastAsia" w:ascii="仿宋" w:hAnsi="仿宋" w:eastAsia="仿宋" w:cs="仿宋"/>
                <w:szCs w:val="21"/>
              </w:rPr>
            </w:pPr>
          </w:p>
        </w:tc>
        <w:tc>
          <w:tcPr>
            <w:tcW w:w="1899" w:type="dxa"/>
            <w:vMerge w:val="continue"/>
            <w:noWrap w:val="0"/>
            <w:vAlign w:val="center"/>
          </w:tcPr>
          <w:p w14:paraId="2308CF71">
            <w:pPr>
              <w:spacing w:line="400" w:lineRule="exact"/>
              <w:jc w:val="center"/>
              <w:rPr>
                <w:rFonts w:hint="eastAsia" w:ascii="仿宋" w:hAnsi="仿宋" w:eastAsia="仿宋" w:cs="仿宋"/>
                <w:szCs w:val="21"/>
              </w:rPr>
            </w:pPr>
          </w:p>
        </w:tc>
        <w:tc>
          <w:tcPr>
            <w:tcW w:w="6333" w:type="dxa"/>
            <w:noWrap w:val="0"/>
            <w:vAlign w:val="center"/>
          </w:tcPr>
          <w:p w14:paraId="5AEBBAE2">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A-2竞选人的财务须满足竞选人须知前附表第1.4.1项第2条的要求，否则由评标委员会作否决投标处理（如有）。</w:t>
            </w:r>
          </w:p>
        </w:tc>
      </w:tr>
      <w:tr w14:paraId="20659E1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5ECF3E70">
            <w:pPr>
              <w:spacing w:line="400" w:lineRule="exact"/>
              <w:jc w:val="center"/>
              <w:rPr>
                <w:rFonts w:hint="eastAsia" w:ascii="仿宋" w:hAnsi="仿宋" w:eastAsia="仿宋" w:cs="仿宋"/>
                <w:szCs w:val="21"/>
              </w:rPr>
            </w:pPr>
          </w:p>
        </w:tc>
        <w:tc>
          <w:tcPr>
            <w:tcW w:w="1899" w:type="dxa"/>
            <w:vMerge w:val="continue"/>
            <w:noWrap w:val="0"/>
            <w:vAlign w:val="center"/>
          </w:tcPr>
          <w:p w14:paraId="2343248B">
            <w:pPr>
              <w:spacing w:line="400" w:lineRule="exact"/>
              <w:jc w:val="center"/>
              <w:rPr>
                <w:rFonts w:hint="eastAsia" w:ascii="仿宋" w:hAnsi="仿宋" w:eastAsia="仿宋" w:cs="仿宋"/>
                <w:szCs w:val="21"/>
              </w:rPr>
            </w:pPr>
          </w:p>
        </w:tc>
        <w:tc>
          <w:tcPr>
            <w:tcW w:w="6333" w:type="dxa"/>
            <w:noWrap w:val="0"/>
            <w:vAlign w:val="center"/>
          </w:tcPr>
          <w:p w14:paraId="09B0642B">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A-3竞选人的业绩须满足竞选人须知前附表第1.4.1项第3条的要求，否则由评标委员会作否决投标处理（如有）。</w:t>
            </w:r>
          </w:p>
        </w:tc>
      </w:tr>
      <w:tr w14:paraId="7856E95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4D0E9108">
            <w:pPr>
              <w:spacing w:line="400" w:lineRule="exact"/>
              <w:jc w:val="center"/>
              <w:rPr>
                <w:rFonts w:hint="eastAsia" w:ascii="仿宋" w:hAnsi="仿宋" w:eastAsia="仿宋" w:cs="仿宋"/>
                <w:szCs w:val="21"/>
              </w:rPr>
            </w:pPr>
          </w:p>
        </w:tc>
        <w:tc>
          <w:tcPr>
            <w:tcW w:w="1899" w:type="dxa"/>
            <w:vMerge w:val="continue"/>
            <w:noWrap w:val="0"/>
            <w:vAlign w:val="center"/>
          </w:tcPr>
          <w:p w14:paraId="7E83DE77">
            <w:pPr>
              <w:spacing w:line="400" w:lineRule="exact"/>
              <w:jc w:val="center"/>
              <w:rPr>
                <w:rFonts w:hint="eastAsia" w:ascii="仿宋" w:hAnsi="仿宋" w:eastAsia="仿宋" w:cs="仿宋"/>
                <w:szCs w:val="21"/>
              </w:rPr>
            </w:pPr>
          </w:p>
        </w:tc>
        <w:tc>
          <w:tcPr>
            <w:tcW w:w="6333" w:type="dxa"/>
            <w:noWrap w:val="0"/>
            <w:vAlign w:val="center"/>
          </w:tcPr>
          <w:p w14:paraId="30FBAACA">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A-4竞选人的投标截止日投标资格情况须满足竞选人须知前附表1.4.1项第4条的要求，否则由评标委员会作否决投标处理。</w:t>
            </w:r>
          </w:p>
        </w:tc>
      </w:tr>
      <w:tr w14:paraId="10F55BB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27BE98F9">
            <w:pPr>
              <w:spacing w:line="400" w:lineRule="exact"/>
              <w:jc w:val="center"/>
              <w:rPr>
                <w:rFonts w:hint="eastAsia" w:ascii="仿宋" w:hAnsi="仿宋" w:eastAsia="仿宋" w:cs="仿宋"/>
                <w:szCs w:val="21"/>
              </w:rPr>
            </w:pPr>
          </w:p>
        </w:tc>
        <w:tc>
          <w:tcPr>
            <w:tcW w:w="1899" w:type="dxa"/>
            <w:vMerge w:val="continue"/>
            <w:noWrap w:val="0"/>
            <w:vAlign w:val="center"/>
          </w:tcPr>
          <w:p w14:paraId="6F84FCC1">
            <w:pPr>
              <w:spacing w:line="400" w:lineRule="exact"/>
              <w:jc w:val="center"/>
              <w:rPr>
                <w:rFonts w:hint="eastAsia" w:ascii="仿宋" w:hAnsi="仿宋" w:eastAsia="仿宋" w:cs="仿宋"/>
                <w:szCs w:val="21"/>
              </w:rPr>
            </w:pPr>
          </w:p>
        </w:tc>
        <w:tc>
          <w:tcPr>
            <w:tcW w:w="6333" w:type="dxa"/>
            <w:noWrap w:val="0"/>
            <w:vAlign w:val="center"/>
          </w:tcPr>
          <w:p w14:paraId="64BDD598">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A-5竞选人的项目经理资格须满足竞选人须知前附表第1.4.1项第5条的要求，否则由评标委员会作否决投标处理。</w:t>
            </w:r>
          </w:p>
        </w:tc>
      </w:tr>
      <w:tr w14:paraId="4353EAB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50389E81">
            <w:pPr>
              <w:spacing w:line="400" w:lineRule="exact"/>
              <w:jc w:val="center"/>
              <w:rPr>
                <w:rFonts w:hint="eastAsia" w:ascii="仿宋" w:hAnsi="仿宋" w:eastAsia="仿宋" w:cs="仿宋"/>
                <w:szCs w:val="21"/>
              </w:rPr>
            </w:pPr>
          </w:p>
        </w:tc>
        <w:tc>
          <w:tcPr>
            <w:tcW w:w="1899" w:type="dxa"/>
            <w:vMerge w:val="continue"/>
            <w:noWrap w:val="0"/>
            <w:vAlign w:val="center"/>
          </w:tcPr>
          <w:p w14:paraId="294727A8">
            <w:pPr>
              <w:spacing w:line="400" w:lineRule="exact"/>
              <w:jc w:val="center"/>
              <w:rPr>
                <w:rFonts w:hint="eastAsia" w:ascii="仿宋" w:hAnsi="仿宋" w:eastAsia="仿宋" w:cs="仿宋"/>
                <w:szCs w:val="21"/>
              </w:rPr>
            </w:pPr>
          </w:p>
        </w:tc>
        <w:tc>
          <w:tcPr>
            <w:tcW w:w="6333" w:type="dxa"/>
            <w:noWrap w:val="0"/>
            <w:vAlign w:val="center"/>
          </w:tcPr>
          <w:p w14:paraId="27BDA5E6">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A-6竞选人的其他要求须满足竞选人须知前附表第1.4.1项第6条的要求，否则由评标委员会作否决竞选处理。</w:t>
            </w:r>
          </w:p>
        </w:tc>
      </w:tr>
      <w:tr w14:paraId="61784F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F45DEC1">
            <w:pPr>
              <w:spacing w:line="400" w:lineRule="exact"/>
              <w:jc w:val="center"/>
              <w:rPr>
                <w:rFonts w:hint="eastAsia" w:ascii="仿宋" w:hAnsi="仿宋" w:eastAsia="仿宋" w:cs="仿宋"/>
                <w:szCs w:val="21"/>
              </w:rPr>
            </w:pPr>
          </w:p>
        </w:tc>
        <w:tc>
          <w:tcPr>
            <w:tcW w:w="1899" w:type="dxa"/>
            <w:vMerge w:val="restart"/>
            <w:noWrap w:val="0"/>
            <w:vAlign w:val="center"/>
          </w:tcPr>
          <w:p w14:paraId="26BCC63F">
            <w:pPr>
              <w:spacing w:line="400" w:lineRule="exact"/>
              <w:ind w:left="0" w:leftChars="0" w:firstLine="0" w:firstLineChars="0"/>
              <w:jc w:val="both"/>
              <w:rPr>
                <w:rFonts w:hint="eastAsia" w:ascii="仿宋" w:hAnsi="仿宋" w:eastAsia="仿宋" w:cs="仿宋"/>
                <w:szCs w:val="21"/>
              </w:rPr>
            </w:pPr>
            <w:r>
              <w:rPr>
                <w:rFonts w:hint="eastAsia" w:ascii="仿宋" w:hAnsi="仿宋" w:eastAsia="仿宋" w:cs="仿宋"/>
                <w:szCs w:val="21"/>
              </w:rPr>
              <w:t>形式评审</w:t>
            </w:r>
          </w:p>
        </w:tc>
        <w:tc>
          <w:tcPr>
            <w:tcW w:w="6333" w:type="dxa"/>
            <w:noWrap w:val="0"/>
            <w:vAlign w:val="top"/>
          </w:tcPr>
          <w:p w14:paraId="69D65F99">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A-7竞选人名称必须与营业执照、资质证书、安全生产许可证一致，依法变更名称的应提交相应证明材料，否则由评标委员会作否决竞选处理。</w:t>
            </w:r>
          </w:p>
        </w:tc>
      </w:tr>
      <w:tr w14:paraId="1FB4CC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3E9C046">
            <w:pPr>
              <w:spacing w:line="400" w:lineRule="exact"/>
              <w:jc w:val="center"/>
              <w:rPr>
                <w:rFonts w:hint="eastAsia" w:ascii="仿宋" w:hAnsi="仿宋" w:eastAsia="仿宋" w:cs="仿宋"/>
                <w:szCs w:val="21"/>
              </w:rPr>
            </w:pPr>
          </w:p>
        </w:tc>
        <w:tc>
          <w:tcPr>
            <w:tcW w:w="1899" w:type="dxa"/>
            <w:vMerge w:val="continue"/>
            <w:noWrap w:val="0"/>
            <w:vAlign w:val="center"/>
          </w:tcPr>
          <w:p w14:paraId="6256DA70">
            <w:pPr>
              <w:spacing w:line="400" w:lineRule="exact"/>
              <w:jc w:val="center"/>
              <w:rPr>
                <w:rFonts w:hint="eastAsia" w:ascii="仿宋" w:hAnsi="仿宋" w:eastAsia="仿宋" w:cs="仿宋"/>
                <w:szCs w:val="21"/>
              </w:rPr>
            </w:pPr>
          </w:p>
        </w:tc>
        <w:tc>
          <w:tcPr>
            <w:tcW w:w="6333" w:type="dxa"/>
            <w:noWrap w:val="0"/>
            <w:vAlign w:val="top"/>
          </w:tcPr>
          <w:p w14:paraId="243F9121">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A-8竞选函格式规定签字、盖章的位置有法定代表人或其委托代理人签字（或盖章）、加盖单位法人章，否则由评标委员会作否决竞选处理。</w:t>
            </w:r>
          </w:p>
        </w:tc>
      </w:tr>
      <w:tr w14:paraId="4EA3B8D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4761F0C">
            <w:pPr>
              <w:spacing w:line="400" w:lineRule="exact"/>
              <w:jc w:val="center"/>
              <w:rPr>
                <w:rFonts w:hint="eastAsia" w:ascii="仿宋" w:hAnsi="仿宋" w:eastAsia="仿宋" w:cs="仿宋"/>
                <w:szCs w:val="21"/>
              </w:rPr>
            </w:pPr>
          </w:p>
        </w:tc>
        <w:tc>
          <w:tcPr>
            <w:tcW w:w="1899" w:type="dxa"/>
            <w:vMerge w:val="continue"/>
            <w:noWrap w:val="0"/>
            <w:vAlign w:val="center"/>
          </w:tcPr>
          <w:p w14:paraId="21595835">
            <w:pPr>
              <w:spacing w:line="400" w:lineRule="exact"/>
              <w:jc w:val="center"/>
              <w:rPr>
                <w:rFonts w:hint="eastAsia" w:ascii="仿宋" w:hAnsi="仿宋" w:eastAsia="仿宋" w:cs="仿宋"/>
                <w:szCs w:val="21"/>
              </w:rPr>
            </w:pPr>
          </w:p>
        </w:tc>
        <w:tc>
          <w:tcPr>
            <w:tcW w:w="6333" w:type="dxa"/>
            <w:noWrap w:val="0"/>
            <w:vAlign w:val="top"/>
          </w:tcPr>
          <w:p w14:paraId="5E8B5386">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A-9竞选文件格式符合第二章“竞选人须知”第3.7款的要求，否则由评标委员会作否决竞选处理。</w:t>
            </w:r>
          </w:p>
          <w:p w14:paraId="1FA5480B">
            <w:pPr>
              <w:spacing w:line="400" w:lineRule="exact"/>
              <w:ind w:firstLine="480" w:firstLineChars="200"/>
              <w:rPr>
                <w:rFonts w:hint="eastAsia" w:ascii="仿宋" w:hAnsi="仿宋" w:eastAsia="仿宋" w:cs="仿宋"/>
                <w:szCs w:val="21"/>
              </w:rPr>
            </w:pPr>
            <w:r>
              <w:rPr>
                <w:rFonts w:hint="eastAsia" w:ascii="仿宋" w:hAnsi="仿宋" w:eastAsia="仿宋" w:cs="仿宋"/>
                <w:kern w:val="0"/>
                <w:szCs w:val="21"/>
              </w:rPr>
              <w:t>编制竞选文件时不得对</w:t>
            </w:r>
            <w:r>
              <w:rPr>
                <w:rFonts w:hint="eastAsia" w:ascii="仿宋" w:hAnsi="仿宋" w:eastAsia="仿宋" w:cs="仿宋"/>
                <w:kern w:val="0"/>
                <w:szCs w:val="21"/>
                <w:lang w:eastAsia="zh-CN"/>
              </w:rPr>
              <w:t>第七篇</w:t>
            </w:r>
            <w:r>
              <w:rPr>
                <w:rFonts w:hint="eastAsia" w:ascii="仿宋" w:hAnsi="仿宋" w:eastAsia="仿宋" w:cs="仿宋"/>
                <w:kern w:val="0"/>
                <w:szCs w:val="21"/>
              </w:rPr>
              <w:t>“竞选文件格式”的相应要素作实质性修改，否则由评标委员会作否决竞选处理。</w:t>
            </w:r>
          </w:p>
        </w:tc>
      </w:tr>
      <w:tr w14:paraId="6B35018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E7BDD4B">
            <w:pPr>
              <w:spacing w:line="400" w:lineRule="exact"/>
              <w:jc w:val="center"/>
              <w:rPr>
                <w:rFonts w:hint="eastAsia" w:ascii="仿宋" w:hAnsi="仿宋" w:eastAsia="仿宋" w:cs="仿宋"/>
                <w:szCs w:val="21"/>
              </w:rPr>
            </w:pPr>
          </w:p>
        </w:tc>
        <w:tc>
          <w:tcPr>
            <w:tcW w:w="1899" w:type="dxa"/>
            <w:vMerge w:val="continue"/>
            <w:noWrap w:val="0"/>
            <w:vAlign w:val="center"/>
          </w:tcPr>
          <w:p w14:paraId="2C180806">
            <w:pPr>
              <w:spacing w:line="400" w:lineRule="exact"/>
              <w:jc w:val="center"/>
              <w:rPr>
                <w:rFonts w:hint="eastAsia" w:ascii="仿宋" w:hAnsi="仿宋" w:eastAsia="仿宋" w:cs="仿宋"/>
                <w:szCs w:val="21"/>
              </w:rPr>
            </w:pPr>
          </w:p>
        </w:tc>
        <w:tc>
          <w:tcPr>
            <w:tcW w:w="6333" w:type="dxa"/>
            <w:noWrap w:val="0"/>
            <w:vAlign w:val="top"/>
          </w:tcPr>
          <w:p w14:paraId="070941B2">
            <w:pPr>
              <w:autoSpaceDE w:val="0"/>
              <w:autoSpaceDN w:val="0"/>
              <w:adjustRightInd w:val="0"/>
              <w:snapToGrid w:val="0"/>
              <w:spacing w:line="400" w:lineRule="exact"/>
              <w:ind w:firstLine="480" w:firstLineChars="200"/>
              <w:rPr>
                <w:rFonts w:hint="eastAsia" w:ascii="仿宋" w:hAnsi="仿宋" w:eastAsia="仿宋" w:cs="仿宋"/>
                <w:i/>
                <w:szCs w:val="21"/>
              </w:rPr>
            </w:pPr>
            <w:r>
              <w:rPr>
                <w:rFonts w:hint="eastAsia" w:ascii="仿宋" w:hAnsi="仿宋" w:eastAsia="仿宋" w:cs="仿宋"/>
                <w:szCs w:val="21"/>
              </w:rPr>
              <w:t>A-10竞选文件份数符合第二章“竞选人须知”第3.7.4项的规定，</w:t>
            </w:r>
            <w:r>
              <w:rPr>
                <w:rFonts w:hint="eastAsia" w:ascii="仿宋" w:hAnsi="仿宋" w:eastAsia="仿宋" w:cs="仿宋"/>
                <w:kern w:val="0"/>
                <w:szCs w:val="21"/>
              </w:rPr>
              <w:t>否则由评标委员会作否决竞选处理。</w:t>
            </w:r>
          </w:p>
        </w:tc>
      </w:tr>
      <w:tr w14:paraId="7264CEE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0DD8AD6">
            <w:pPr>
              <w:spacing w:line="400" w:lineRule="exact"/>
              <w:jc w:val="center"/>
              <w:rPr>
                <w:rFonts w:hint="eastAsia" w:ascii="仿宋" w:hAnsi="仿宋" w:eastAsia="仿宋" w:cs="仿宋"/>
                <w:szCs w:val="21"/>
              </w:rPr>
            </w:pPr>
          </w:p>
        </w:tc>
        <w:tc>
          <w:tcPr>
            <w:tcW w:w="1899" w:type="dxa"/>
            <w:vMerge w:val="continue"/>
            <w:noWrap w:val="0"/>
            <w:vAlign w:val="center"/>
          </w:tcPr>
          <w:p w14:paraId="791BC62A">
            <w:pPr>
              <w:spacing w:line="400" w:lineRule="exact"/>
              <w:jc w:val="center"/>
              <w:rPr>
                <w:rFonts w:hint="eastAsia" w:ascii="仿宋" w:hAnsi="仿宋" w:eastAsia="仿宋" w:cs="仿宋"/>
                <w:szCs w:val="21"/>
              </w:rPr>
            </w:pPr>
          </w:p>
        </w:tc>
        <w:tc>
          <w:tcPr>
            <w:tcW w:w="6333" w:type="dxa"/>
            <w:noWrap w:val="0"/>
            <w:vAlign w:val="top"/>
          </w:tcPr>
          <w:p w14:paraId="4256BA31">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A-11只能有一个有效报价。在招标文件没有规定的情况下，不得提交选择性报价，否则由评标委员会作否决竞选处理。</w:t>
            </w:r>
          </w:p>
        </w:tc>
      </w:tr>
      <w:tr w14:paraId="4B69BD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64592C8">
            <w:pPr>
              <w:spacing w:line="400" w:lineRule="exact"/>
              <w:jc w:val="center"/>
              <w:rPr>
                <w:rFonts w:hint="eastAsia" w:ascii="仿宋" w:hAnsi="仿宋" w:eastAsia="仿宋" w:cs="仿宋"/>
                <w:szCs w:val="21"/>
              </w:rPr>
            </w:pPr>
          </w:p>
        </w:tc>
        <w:tc>
          <w:tcPr>
            <w:tcW w:w="1899" w:type="dxa"/>
            <w:vMerge w:val="continue"/>
            <w:noWrap w:val="0"/>
            <w:vAlign w:val="center"/>
          </w:tcPr>
          <w:p w14:paraId="16F0ED6E">
            <w:pPr>
              <w:spacing w:line="400" w:lineRule="exact"/>
              <w:jc w:val="center"/>
              <w:rPr>
                <w:rFonts w:hint="eastAsia" w:ascii="仿宋" w:hAnsi="仿宋" w:eastAsia="仿宋" w:cs="仿宋"/>
                <w:szCs w:val="21"/>
              </w:rPr>
            </w:pPr>
          </w:p>
        </w:tc>
        <w:tc>
          <w:tcPr>
            <w:tcW w:w="6333" w:type="dxa"/>
            <w:noWrap w:val="0"/>
            <w:vAlign w:val="top"/>
          </w:tcPr>
          <w:p w14:paraId="2F173456">
            <w:pPr>
              <w:autoSpaceDE w:val="0"/>
              <w:autoSpaceDN w:val="0"/>
              <w:adjustRightInd w:val="0"/>
              <w:snapToGrid w:val="0"/>
              <w:spacing w:line="400" w:lineRule="exact"/>
              <w:ind w:firstLine="480" w:firstLineChars="200"/>
              <w:rPr>
                <w:rFonts w:hint="eastAsia" w:ascii="仿宋" w:hAnsi="仿宋" w:eastAsia="仿宋" w:cs="仿宋"/>
                <w:szCs w:val="21"/>
              </w:rPr>
            </w:pPr>
            <w:r>
              <w:rPr>
                <w:rFonts w:hint="eastAsia" w:ascii="仿宋" w:hAnsi="仿宋" w:eastAsia="仿宋" w:cs="仿宋"/>
                <w:szCs w:val="21"/>
              </w:rPr>
              <w:t>A-12</w:t>
            </w:r>
            <w:r>
              <w:rPr>
                <w:rFonts w:hint="eastAsia" w:ascii="仿宋" w:hAnsi="仿宋" w:eastAsia="仿宋" w:cs="仿宋"/>
                <w:kern w:val="0"/>
                <w:lang w:eastAsia="zh-CN"/>
              </w:rPr>
              <w:t>第七篇</w:t>
            </w:r>
            <w:r>
              <w:rPr>
                <w:rFonts w:hint="eastAsia" w:ascii="仿宋" w:hAnsi="仿宋" w:eastAsia="仿宋" w:cs="仿宋"/>
                <w:kern w:val="0"/>
              </w:rPr>
              <w:t xml:space="preserve"> 竞选文件格式要求法定代表人或其委托代理人签字（或盖章）的须齐全</w:t>
            </w:r>
            <w:r>
              <w:rPr>
                <w:rFonts w:hint="eastAsia" w:ascii="仿宋" w:hAnsi="仿宋" w:eastAsia="仿宋" w:cs="仿宋"/>
                <w:szCs w:val="21"/>
              </w:rPr>
              <w:t>，否则由评标委员会作否决竞选处理。</w:t>
            </w:r>
          </w:p>
        </w:tc>
      </w:tr>
      <w:tr w14:paraId="352CDA9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278F61F">
            <w:pPr>
              <w:spacing w:line="400" w:lineRule="exact"/>
              <w:jc w:val="center"/>
              <w:rPr>
                <w:rFonts w:hint="eastAsia" w:ascii="仿宋" w:hAnsi="仿宋" w:eastAsia="仿宋" w:cs="仿宋"/>
                <w:szCs w:val="21"/>
              </w:rPr>
            </w:pPr>
          </w:p>
        </w:tc>
        <w:tc>
          <w:tcPr>
            <w:tcW w:w="1899" w:type="dxa"/>
            <w:vMerge w:val="continue"/>
            <w:noWrap w:val="0"/>
            <w:vAlign w:val="center"/>
          </w:tcPr>
          <w:p w14:paraId="69D075B7">
            <w:pPr>
              <w:spacing w:line="400" w:lineRule="exact"/>
              <w:jc w:val="center"/>
              <w:rPr>
                <w:rFonts w:hint="eastAsia" w:ascii="仿宋" w:hAnsi="仿宋" w:eastAsia="仿宋" w:cs="仿宋"/>
                <w:szCs w:val="21"/>
              </w:rPr>
            </w:pPr>
          </w:p>
        </w:tc>
        <w:tc>
          <w:tcPr>
            <w:tcW w:w="6333" w:type="dxa"/>
            <w:noWrap w:val="0"/>
            <w:vAlign w:val="top"/>
          </w:tcPr>
          <w:p w14:paraId="1978DE5D">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A-13竞选人法定代表人的委托代理人有法定代表人签署的授权委托书和竞选人为其缴纳的养老保险证明材料，否则由评标委员会作否决竞选处理。</w:t>
            </w:r>
          </w:p>
        </w:tc>
      </w:tr>
      <w:tr w14:paraId="789883F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7C88688">
            <w:pPr>
              <w:spacing w:line="400" w:lineRule="exact"/>
              <w:jc w:val="center"/>
              <w:rPr>
                <w:rFonts w:hint="eastAsia" w:ascii="仿宋" w:hAnsi="仿宋" w:eastAsia="仿宋" w:cs="仿宋"/>
                <w:szCs w:val="21"/>
              </w:rPr>
            </w:pPr>
          </w:p>
        </w:tc>
        <w:tc>
          <w:tcPr>
            <w:tcW w:w="1899" w:type="dxa"/>
            <w:vMerge w:val="restart"/>
            <w:noWrap w:val="0"/>
            <w:vAlign w:val="center"/>
          </w:tcPr>
          <w:p w14:paraId="45AF517F">
            <w:pPr>
              <w:spacing w:line="400" w:lineRule="exact"/>
              <w:ind w:left="0" w:leftChars="0" w:firstLine="0" w:firstLineChars="0"/>
              <w:jc w:val="both"/>
              <w:rPr>
                <w:rFonts w:hint="eastAsia" w:ascii="仿宋" w:hAnsi="仿宋" w:eastAsia="仿宋" w:cs="仿宋"/>
                <w:szCs w:val="21"/>
              </w:rPr>
            </w:pPr>
            <w:r>
              <w:rPr>
                <w:rFonts w:hint="eastAsia" w:ascii="仿宋" w:hAnsi="仿宋" w:eastAsia="仿宋" w:cs="仿宋"/>
                <w:szCs w:val="21"/>
                <w:lang w:eastAsia="zh-CN"/>
              </w:rPr>
              <w:t>竞选</w:t>
            </w:r>
            <w:r>
              <w:rPr>
                <w:rFonts w:hint="eastAsia" w:ascii="仿宋" w:hAnsi="仿宋" w:eastAsia="仿宋" w:cs="仿宋"/>
                <w:szCs w:val="21"/>
              </w:rPr>
              <w:t>性评审</w:t>
            </w:r>
          </w:p>
        </w:tc>
        <w:tc>
          <w:tcPr>
            <w:tcW w:w="6333" w:type="dxa"/>
            <w:noWrap w:val="0"/>
            <w:vAlign w:val="center"/>
          </w:tcPr>
          <w:p w14:paraId="3F47101D">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A-14竞选总报价必须与已标价工程量清单总报价一致，否则由评标委员会作否决竞选处理。</w:t>
            </w:r>
          </w:p>
        </w:tc>
      </w:tr>
      <w:tr w14:paraId="56B3721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D68904C">
            <w:pPr>
              <w:spacing w:line="400" w:lineRule="exact"/>
              <w:jc w:val="center"/>
              <w:rPr>
                <w:rFonts w:hint="eastAsia" w:ascii="仿宋" w:hAnsi="仿宋" w:eastAsia="仿宋" w:cs="仿宋"/>
                <w:szCs w:val="21"/>
              </w:rPr>
            </w:pPr>
          </w:p>
        </w:tc>
        <w:tc>
          <w:tcPr>
            <w:tcW w:w="1899" w:type="dxa"/>
            <w:vMerge w:val="continue"/>
            <w:noWrap w:val="0"/>
            <w:vAlign w:val="center"/>
          </w:tcPr>
          <w:p w14:paraId="36E673C5">
            <w:pPr>
              <w:spacing w:line="400" w:lineRule="exact"/>
              <w:jc w:val="center"/>
              <w:rPr>
                <w:rFonts w:hint="eastAsia" w:ascii="仿宋" w:hAnsi="仿宋" w:eastAsia="仿宋" w:cs="仿宋"/>
                <w:szCs w:val="21"/>
              </w:rPr>
            </w:pPr>
          </w:p>
        </w:tc>
        <w:tc>
          <w:tcPr>
            <w:tcW w:w="6333" w:type="dxa"/>
            <w:noWrap w:val="0"/>
            <w:vAlign w:val="center"/>
          </w:tcPr>
          <w:p w14:paraId="2EF5B9B2">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A-15竞选总报价不得高于比选人公布的竞选总报价最高限价，否则由评标委员会作否决竞选处理。</w:t>
            </w:r>
          </w:p>
        </w:tc>
      </w:tr>
      <w:tr w14:paraId="0D35C88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52E5428">
            <w:pPr>
              <w:spacing w:line="400" w:lineRule="exact"/>
              <w:jc w:val="center"/>
              <w:rPr>
                <w:rFonts w:hint="eastAsia" w:ascii="仿宋" w:hAnsi="仿宋" w:eastAsia="仿宋" w:cs="仿宋"/>
                <w:szCs w:val="21"/>
              </w:rPr>
            </w:pPr>
          </w:p>
        </w:tc>
        <w:tc>
          <w:tcPr>
            <w:tcW w:w="1899" w:type="dxa"/>
            <w:vMerge w:val="continue"/>
            <w:noWrap w:val="0"/>
            <w:vAlign w:val="center"/>
          </w:tcPr>
          <w:p w14:paraId="621DFD50">
            <w:pPr>
              <w:spacing w:line="400" w:lineRule="exact"/>
              <w:jc w:val="center"/>
              <w:rPr>
                <w:rFonts w:hint="eastAsia" w:ascii="仿宋" w:hAnsi="仿宋" w:eastAsia="仿宋" w:cs="仿宋"/>
                <w:szCs w:val="21"/>
              </w:rPr>
            </w:pPr>
          </w:p>
        </w:tc>
        <w:tc>
          <w:tcPr>
            <w:tcW w:w="6333" w:type="dxa"/>
            <w:noWrap w:val="0"/>
            <w:vAlign w:val="center"/>
          </w:tcPr>
          <w:p w14:paraId="2399C36A">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A-16竞选总报价低于最高限价85%的，竞选人应在编制竞选文件时，在竞选函部分中递交低价风险担保缴纳承诺书。承诺书格式详见</w:t>
            </w:r>
            <w:r>
              <w:rPr>
                <w:rFonts w:hint="eastAsia" w:ascii="仿宋" w:hAnsi="仿宋" w:eastAsia="仿宋" w:cs="仿宋"/>
                <w:szCs w:val="21"/>
                <w:lang w:eastAsia="zh-CN"/>
              </w:rPr>
              <w:t>第七篇</w:t>
            </w:r>
            <w:r>
              <w:rPr>
                <w:rFonts w:hint="eastAsia" w:ascii="仿宋" w:hAnsi="仿宋" w:eastAsia="仿宋" w:cs="仿宋"/>
                <w:szCs w:val="21"/>
              </w:rPr>
              <w:t>竞选文件格式，否则由评标委员会作否决竞选处理。</w:t>
            </w:r>
          </w:p>
        </w:tc>
      </w:tr>
      <w:tr w14:paraId="46A84E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2A7D3C8">
            <w:pPr>
              <w:spacing w:line="400" w:lineRule="exact"/>
              <w:jc w:val="center"/>
              <w:rPr>
                <w:rFonts w:hint="eastAsia" w:ascii="仿宋" w:hAnsi="仿宋" w:eastAsia="仿宋" w:cs="仿宋"/>
                <w:szCs w:val="21"/>
              </w:rPr>
            </w:pPr>
          </w:p>
        </w:tc>
        <w:tc>
          <w:tcPr>
            <w:tcW w:w="1899" w:type="dxa"/>
            <w:vMerge w:val="continue"/>
            <w:noWrap w:val="0"/>
            <w:vAlign w:val="center"/>
          </w:tcPr>
          <w:p w14:paraId="16A701ED">
            <w:pPr>
              <w:spacing w:line="400" w:lineRule="exact"/>
              <w:jc w:val="center"/>
              <w:rPr>
                <w:rFonts w:hint="eastAsia" w:ascii="仿宋" w:hAnsi="仿宋" w:eastAsia="仿宋" w:cs="仿宋"/>
                <w:szCs w:val="21"/>
              </w:rPr>
            </w:pPr>
          </w:p>
        </w:tc>
        <w:tc>
          <w:tcPr>
            <w:tcW w:w="6333" w:type="dxa"/>
            <w:noWrap w:val="0"/>
            <w:vAlign w:val="center"/>
          </w:tcPr>
          <w:p w14:paraId="7A4CB8F5">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A-17暂列金额、暂估价、安全文明施工费等暂定金额必须按照招标文件给定的金额填报，否则由评标委员会作否决竞选处理。</w:t>
            </w:r>
          </w:p>
        </w:tc>
      </w:tr>
      <w:tr w14:paraId="710A65A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C866A53">
            <w:pPr>
              <w:spacing w:line="400" w:lineRule="exact"/>
              <w:jc w:val="center"/>
              <w:rPr>
                <w:rFonts w:hint="eastAsia" w:ascii="仿宋" w:hAnsi="仿宋" w:eastAsia="仿宋" w:cs="仿宋"/>
                <w:szCs w:val="21"/>
              </w:rPr>
            </w:pPr>
          </w:p>
        </w:tc>
        <w:tc>
          <w:tcPr>
            <w:tcW w:w="1899" w:type="dxa"/>
            <w:vMerge w:val="continue"/>
            <w:noWrap w:val="0"/>
            <w:vAlign w:val="center"/>
          </w:tcPr>
          <w:p w14:paraId="14F442AF">
            <w:pPr>
              <w:spacing w:line="400" w:lineRule="exact"/>
              <w:jc w:val="center"/>
              <w:rPr>
                <w:rFonts w:hint="eastAsia" w:ascii="仿宋" w:hAnsi="仿宋" w:eastAsia="仿宋" w:cs="仿宋"/>
                <w:szCs w:val="21"/>
              </w:rPr>
            </w:pPr>
          </w:p>
        </w:tc>
        <w:tc>
          <w:tcPr>
            <w:tcW w:w="6333" w:type="dxa"/>
            <w:noWrap w:val="0"/>
            <w:vAlign w:val="center"/>
          </w:tcPr>
          <w:p w14:paraId="119353C8">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A-18竞选内容符合第二章“竞选人须知”第1.3.1项规定，否则由评标委员会作否决竞选处理。</w:t>
            </w:r>
          </w:p>
        </w:tc>
      </w:tr>
      <w:tr w14:paraId="6756E42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C389AEF">
            <w:pPr>
              <w:spacing w:line="400" w:lineRule="exact"/>
              <w:jc w:val="center"/>
              <w:rPr>
                <w:rFonts w:hint="eastAsia" w:ascii="仿宋" w:hAnsi="仿宋" w:eastAsia="仿宋" w:cs="仿宋"/>
                <w:szCs w:val="21"/>
              </w:rPr>
            </w:pPr>
          </w:p>
        </w:tc>
        <w:tc>
          <w:tcPr>
            <w:tcW w:w="1899" w:type="dxa"/>
            <w:vMerge w:val="continue"/>
            <w:noWrap w:val="0"/>
            <w:vAlign w:val="center"/>
          </w:tcPr>
          <w:p w14:paraId="4891B70B">
            <w:pPr>
              <w:spacing w:line="400" w:lineRule="exact"/>
              <w:jc w:val="center"/>
              <w:rPr>
                <w:rFonts w:hint="eastAsia" w:ascii="仿宋" w:hAnsi="仿宋" w:eastAsia="仿宋" w:cs="仿宋"/>
                <w:szCs w:val="21"/>
              </w:rPr>
            </w:pPr>
          </w:p>
        </w:tc>
        <w:tc>
          <w:tcPr>
            <w:tcW w:w="6333" w:type="dxa"/>
            <w:noWrap w:val="0"/>
            <w:vAlign w:val="center"/>
          </w:tcPr>
          <w:p w14:paraId="510710C5">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A-19工期符合第二章“竞选人须知”第1.3.2项规定，否则由评标委员会作否决竞选处理。</w:t>
            </w:r>
          </w:p>
        </w:tc>
      </w:tr>
      <w:tr w14:paraId="6101FF7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6EDEBFD">
            <w:pPr>
              <w:spacing w:line="400" w:lineRule="exact"/>
              <w:jc w:val="center"/>
              <w:rPr>
                <w:rFonts w:hint="eastAsia" w:ascii="仿宋" w:hAnsi="仿宋" w:eastAsia="仿宋" w:cs="仿宋"/>
                <w:szCs w:val="21"/>
              </w:rPr>
            </w:pPr>
          </w:p>
        </w:tc>
        <w:tc>
          <w:tcPr>
            <w:tcW w:w="1899" w:type="dxa"/>
            <w:vMerge w:val="continue"/>
            <w:noWrap w:val="0"/>
            <w:vAlign w:val="center"/>
          </w:tcPr>
          <w:p w14:paraId="5CCE5B38">
            <w:pPr>
              <w:spacing w:line="400" w:lineRule="exact"/>
              <w:jc w:val="center"/>
              <w:rPr>
                <w:rFonts w:hint="eastAsia" w:ascii="仿宋" w:hAnsi="仿宋" w:eastAsia="仿宋" w:cs="仿宋"/>
                <w:szCs w:val="21"/>
              </w:rPr>
            </w:pPr>
          </w:p>
        </w:tc>
        <w:tc>
          <w:tcPr>
            <w:tcW w:w="6333" w:type="dxa"/>
            <w:noWrap w:val="0"/>
            <w:vAlign w:val="center"/>
          </w:tcPr>
          <w:p w14:paraId="217F5460">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A-20工程质量符合第二章“竞选人须知”第1.3.3项规定，否则由评标委员会作否决竞选处理。</w:t>
            </w:r>
          </w:p>
        </w:tc>
      </w:tr>
      <w:tr w14:paraId="6D51436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7932C99">
            <w:pPr>
              <w:spacing w:line="400" w:lineRule="exact"/>
              <w:jc w:val="center"/>
              <w:rPr>
                <w:rFonts w:hint="eastAsia" w:ascii="仿宋" w:hAnsi="仿宋" w:eastAsia="仿宋" w:cs="仿宋"/>
                <w:szCs w:val="21"/>
              </w:rPr>
            </w:pPr>
          </w:p>
        </w:tc>
        <w:tc>
          <w:tcPr>
            <w:tcW w:w="1899" w:type="dxa"/>
            <w:vMerge w:val="continue"/>
            <w:noWrap w:val="0"/>
            <w:vAlign w:val="center"/>
          </w:tcPr>
          <w:p w14:paraId="46838157">
            <w:pPr>
              <w:spacing w:line="400" w:lineRule="exact"/>
              <w:jc w:val="center"/>
              <w:rPr>
                <w:rFonts w:hint="eastAsia" w:ascii="仿宋" w:hAnsi="仿宋" w:eastAsia="仿宋" w:cs="仿宋"/>
                <w:szCs w:val="21"/>
              </w:rPr>
            </w:pPr>
          </w:p>
        </w:tc>
        <w:tc>
          <w:tcPr>
            <w:tcW w:w="6333" w:type="dxa"/>
            <w:noWrap w:val="0"/>
            <w:vAlign w:val="center"/>
          </w:tcPr>
          <w:p w14:paraId="2D8B21C8">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A-21竞选有效期符合第二章“竞选人须知”第3.3.1项规定，否则由评标委员会作否决竞选处理。</w:t>
            </w:r>
          </w:p>
        </w:tc>
      </w:tr>
      <w:tr w14:paraId="476598A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6C00E807">
            <w:pPr>
              <w:spacing w:line="400" w:lineRule="exact"/>
              <w:jc w:val="center"/>
              <w:rPr>
                <w:rFonts w:hint="eastAsia" w:ascii="仿宋" w:hAnsi="仿宋" w:eastAsia="仿宋" w:cs="仿宋"/>
                <w:szCs w:val="21"/>
              </w:rPr>
            </w:pPr>
          </w:p>
        </w:tc>
        <w:tc>
          <w:tcPr>
            <w:tcW w:w="1899" w:type="dxa"/>
            <w:vMerge w:val="continue"/>
            <w:noWrap w:val="0"/>
            <w:vAlign w:val="center"/>
          </w:tcPr>
          <w:p w14:paraId="3D56D65D">
            <w:pPr>
              <w:spacing w:line="400" w:lineRule="exact"/>
              <w:jc w:val="center"/>
              <w:rPr>
                <w:rFonts w:hint="eastAsia" w:ascii="仿宋" w:hAnsi="仿宋" w:eastAsia="仿宋" w:cs="仿宋"/>
                <w:szCs w:val="21"/>
              </w:rPr>
            </w:pPr>
          </w:p>
        </w:tc>
        <w:tc>
          <w:tcPr>
            <w:tcW w:w="6333" w:type="dxa"/>
            <w:noWrap w:val="0"/>
            <w:vAlign w:val="center"/>
          </w:tcPr>
          <w:p w14:paraId="4E149341">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A-22竞选人应按竞选人须知前附表第3.4款的规定递交竞选保证金，并作为其竞选文件的组成部分，否则由评标委员会作否决竞选处理。</w:t>
            </w:r>
          </w:p>
        </w:tc>
      </w:tr>
      <w:tr w14:paraId="63D37F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EEB3010">
            <w:pPr>
              <w:spacing w:line="400" w:lineRule="exact"/>
              <w:jc w:val="center"/>
              <w:rPr>
                <w:rFonts w:hint="eastAsia" w:ascii="仿宋" w:hAnsi="仿宋" w:eastAsia="仿宋" w:cs="仿宋"/>
                <w:szCs w:val="21"/>
              </w:rPr>
            </w:pPr>
          </w:p>
        </w:tc>
        <w:tc>
          <w:tcPr>
            <w:tcW w:w="1899" w:type="dxa"/>
            <w:vMerge w:val="continue"/>
            <w:noWrap w:val="0"/>
            <w:vAlign w:val="center"/>
          </w:tcPr>
          <w:p w14:paraId="5157818C">
            <w:pPr>
              <w:spacing w:line="400" w:lineRule="exact"/>
              <w:jc w:val="center"/>
              <w:rPr>
                <w:rFonts w:hint="eastAsia" w:ascii="仿宋" w:hAnsi="仿宋" w:eastAsia="仿宋" w:cs="仿宋"/>
                <w:szCs w:val="21"/>
              </w:rPr>
            </w:pPr>
          </w:p>
        </w:tc>
        <w:tc>
          <w:tcPr>
            <w:tcW w:w="6333" w:type="dxa"/>
            <w:noWrap w:val="0"/>
            <w:vAlign w:val="center"/>
          </w:tcPr>
          <w:p w14:paraId="1678EF03">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A-23符合第四章“合同条款及格式”规定，竞选文件不应附有比选人不能接受的条件，否则由评标委员会作否决竞选处理。（由竞选人承诺，承诺书格式详见</w:t>
            </w:r>
            <w:r>
              <w:rPr>
                <w:rFonts w:hint="eastAsia" w:ascii="仿宋" w:hAnsi="仿宋" w:eastAsia="仿宋" w:cs="仿宋"/>
                <w:szCs w:val="21"/>
                <w:lang w:eastAsia="zh-CN"/>
              </w:rPr>
              <w:t>第七篇</w:t>
            </w:r>
            <w:r>
              <w:rPr>
                <w:rFonts w:hint="eastAsia" w:ascii="仿宋" w:hAnsi="仿宋" w:eastAsia="仿宋" w:cs="仿宋"/>
                <w:szCs w:val="21"/>
              </w:rPr>
              <w:t>竞选文件格式。）</w:t>
            </w:r>
          </w:p>
        </w:tc>
      </w:tr>
      <w:tr w14:paraId="1FF683C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0F0AE60">
            <w:pPr>
              <w:spacing w:line="400" w:lineRule="exact"/>
              <w:jc w:val="center"/>
              <w:rPr>
                <w:rFonts w:hint="eastAsia" w:ascii="仿宋" w:hAnsi="仿宋" w:eastAsia="仿宋" w:cs="仿宋"/>
                <w:szCs w:val="21"/>
              </w:rPr>
            </w:pPr>
          </w:p>
        </w:tc>
        <w:tc>
          <w:tcPr>
            <w:tcW w:w="1899" w:type="dxa"/>
            <w:vMerge w:val="continue"/>
            <w:noWrap w:val="0"/>
            <w:vAlign w:val="center"/>
          </w:tcPr>
          <w:p w14:paraId="4A6D34AF">
            <w:pPr>
              <w:spacing w:line="400" w:lineRule="exact"/>
              <w:jc w:val="center"/>
              <w:rPr>
                <w:rFonts w:hint="eastAsia" w:ascii="仿宋" w:hAnsi="仿宋" w:eastAsia="仿宋" w:cs="仿宋"/>
                <w:szCs w:val="21"/>
              </w:rPr>
            </w:pPr>
          </w:p>
        </w:tc>
        <w:tc>
          <w:tcPr>
            <w:tcW w:w="6333" w:type="dxa"/>
            <w:noWrap w:val="0"/>
            <w:vAlign w:val="center"/>
          </w:tcPr>
          <w:p w14:paraId="194ECE43">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A-24符合第七章“技术标准和要求”规定。否则由评标委员会作否决竞选处理（如有）。（由竞选人承诺，承诺书格式详见</w:t>
            </w:r>
            <w:r>
              <w:rPr>
                <w:rFonts w:hint="eastAsia" w:ascii="仿宋" w:hAnsi="仿宋" w:eastAsia="仿宋" w:cs="仿宋"/>
                <w:szCs w:val="21"/>
                <w:lang w:eastAsia="zh-CN"/>
              </w:rPr>
              <w:t>第七篇</w:t>
            </w:r>
            <w:r>
              <w:rPr>
                <w:rFonts w:hint="eastAsia" w:ascii="仿宋" w:hAnsi="仿宋" w:eastAsia="仿宋" w:cs="仿宋"/>
                <w:szCs w:val="21"/>
              </w:rPr>
              <w:t>竞选文件格式。）</w:t>
            </w:r>
          </w:p>
        </w:tc>
      </w:tr>
      <w:tr w14:paraId="127DA43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62DDB128">
            <w:pPr>
              <w:spacing w:line="400" w:lineRule="exact"/>
              <w:jc w:val="center"/>
              <w:rPr>
                <w:rFonts w:hint="eastAsia" w:ascii="仿宋" w:hAnsi="仿宋" w:eastAsia="仿宋" w:cs="仿宋"/>
                <w:szCs w:val="21"/>
              </w:rPr>
            </w:pPr>
          </w:p>
        </w:tc>
        <w:tc>
          <w:tcPr>
            <w:tcW w:w="1899" w:type="dxa"/>
            <w:vMerge w:val="continue"/>
            <w:noWrap w:val="0"/>
            <w:vAlign w:val="center"/>
          </w:tcPr>
          <w:p w14:paraId="59B096FB">
            <w:pPr>
              <w:spacing w:line="400" w:lineRule="exact"/>
              <w:jc w:val="center"/>
              <w:rPr>
                <w:rFonts w:hint="eastAsia" w:ascii="仿宋" w:hAnsi="仿宋" w:eastAsia="仿宋" w:cs="仿宋"/>
                <w:szCs w:val="21"/>
              </w:rPr>
            </w:pPr>
          </w:p>
        </w:tc>
        <w:tc>
          <w:tcPr>
            <w:tcW w:w="6333" w:type="dxa"/>
            <w:noWrap w:val="0"/>
            <w:vAlign w:val="center"/>
          </w:tcPr>
          <w:p w14:paraId="11746257">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A-25竞选人提供的关于已标价工程量清单的承诺符合招标文件的要求，否则由评标委员会作否决竞选处理。</w:t>
            </w:r>
          </w:p>
        </w:tc>
      </w:tr>
      <w:tr w14:paraId="319706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39CD05B">
            <w:pPr>
              <w:spacing w:line="400" w:lineRule="exact"/>
              <w:jc w:val="center"/>
              <w:rPr>
                <w:rFonts w:hint="eastAsia" w:ascii="仿宋" w:hAnsi="仿宋" w:eastAsia="仿宋" w:cs="仿宋"/>
                <w:szCs w:val="21"/>
              </w:rPr>
            </w:pPr>
          </w:p>
        </w:tc>
        <w:tc>
          <w:tcPr>
            <w:tcW w:w="1899" w:type="dxa"/>
            <w:vMerge w:val="continue"/>
            <w:noWrap w:val="0"/>
            <w:vAlign w:val="center"/>
          </w:tcPr>
          <w:p w14:paraId="20DE3CF8">
            <w:pPr>
              <w:spacing w:line="400" w:lineRule="exact"/>
              <w:jc w:val="center"/>
              <w:rPr>
                <w:rFonts w:hint="eastAsia" w:ascii="仿宋" w:hAnsi="仿宋" w:eastAsia="仿宋" w:cs="仿宋"/>
                <w:szCs w:val="21"/>
              </w:rPr>
            </w:pPr>
          </w:p>
        </w:tc>
        <w:tc>
          <w:tcPr>
            <w:tcW w:w="6333" w:type="dxa"/>
            <w:noWrap w:val="0"/>
            <w:vAlign w:val="center"/>
          </w:tcPr>
          <w:p w14:paraId="0DF04194">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A-26竞选报价有算术错误的，按照第三章“评标办法”第3.2.3项规定执行，否则由评标委员会作否决竞选处理。</w:t>
            </w:r>
          </w:p>
        </w:tc>
      </w:tr>
      <w:tr w14:paraId="7C8DC95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3DB594D">
            <w:pPr>
              <w:spacing w:line="400" w:lineRule="exact"/>
              <w:jc w:val="center"/>
              <w:rPr>
                <w:rFonts w:hint="eastAsia" w:ascii="仿宋" w:hAnsi="仿宋" w:eastAsia="仿宋" w:cs="仿宋"/>
                <w:szCs w:val="21"/>
              </w:rPr>
            </w:pPr>
          </w:p>
        </w:tc>
        <w:tc>
          <w:tcPr>
            <w:tcW w:w="1899" w:type="dxa"/>
            <w:vMerge w:val="continue"/>
            <w:noWrap w:val="0"/>
            <w:vAlign w:val="center"/>
          </w:tcPr>
          <w:p w14:paraId="156F84E7">
            <w:pPr>
              <w:spacing w:line="400" w:lineRule="exact"/>
              <w:jc w:val="center"/>
              <w:rPr>
                <w:rFonts w:hint="eastAsia" w:ascii="仿宋" w:hAnsi="仿宋" w:eastAsia="仿宋" w:cs="仿宋"/>
                <w:szCs w:val="21"/>
              </w:rPr>
            </w:pPr>
          </w:p>
        </w:tc>
        <w:tc>
          <w:tcPr>
            <w:tcW w:w="6333" w:type="dxa"/>
            <w:noWrap w:val="0"/>
            <w:vAlign w:val="center"/>
          </w:tcPr>
          <w:p w14:paraId="6A9E0BBB">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A-27竞选人有以下情形之一的，其竞选文件由评标委员会作否决竞选处理：</w:t>
            </w:r>
          </w:p>
          <w:p w14:paraId="33309687">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1.第二章“竞选人须知”第1.4.3项、第1.9.1项、第11.4项、第11.5项规定的任何一种情形的；</w:t>
            </w:r>
          </w:p>
          <w:p w14:paraId="0B2AFF9B">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2.本次竞选有串通竞选、弄虚作假等违反招竞选相关法律、法规的行为的；</w:t>
            </w:r>
          </w:p>
          <w:p w14:paraId="35D6D109">
            <w:pPr>
              <w:spacing w:line="400" w:lineRule="exact"/>
              <w:ind w:firstLine="480" w:firstLineChars="200"/>
              <w:rPr>
                <w:rFonts w:hint="eastAsia" w:ascii="仿宋" w:hAnsi="仿宋" w:eastAsia="仿宋" w:cs="仿宋"/>
                <w:szCs w:val="21"/>
              </w:rPr>
            </w:pPr>
            <w:r>
              <w:rPr>
                <w:rFonts w:hint="eastAsia" w:ascii="仿宋" w:hAnsi="仿宋" w:eastAsia="仿宋" w:cs="仿宋"/>
                <w:szCs w:val="21"/>
              </w:rPr>
              <w:t>3.拒绝按评标委员会要求澄清、说明或补正的。</w:t>
            </w:r>
          </w:p>
        </w:tc>
      </w:tr>
      <w:tr w14:paraId="6311D5B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noWrap w:val="0"/>
            <w:vAlign w:val="center"/>
          </w:tcPr>
          <w:p w14:paraId="5E82E486">
            <w:pPr>
              <w:spacing w:line="400" w:lineRule="exact"/>
              <w:ind w:left="0" w:leftChars="0" w:firstLine="0" w:firstLineChars="0"/>
              <w:jc w:val="both"/>
              <w:rPr>
                <w:rFonts w:hint="eastAsia" w:ascii="仿宋" w:hAnsi="仿宋" w:eastAsia="仿宋" w:cs="仿宋"/>
                <w:szCs w:val="21"/>
              </w:rPr>
            </w:pPr>
            <w:r>
              <w:rPr>
                <w:rFonts w:hint="eastAsia" w:ascii="仿宋" w:hAnsi="仿宋" w:eastAsia="仿宋" w:cs="仿宋"/>
                <w:szCs w:val="21"/>
              </w:rPr>
              <w:t>其他</w:t>
            </w:r>
          </w:p>
        </w:tc>
        <w:tc>
          <w:tcPr>
            <w:tcW w:w="1899" w:type="dxa"/>
            <w:noWrap w:val="0"/>
            <w:vAlign w:val="center"/>
          </w:tcPr>
          <w:p w14:paraId="2C09DF97">
            <w:pPr>
              <w:spacing w:line="400" w:lineRule="exact"/>
              <w:jc w:val="center"/>
              <w:rPr>
                <w:rFonts w:hint="eastAsia" w:ascii="仿宋" w:hAnsi="仿宋" w:eastAsia="仿宋" w:cs="仿宋"/>
                <w:szCs w:val="21"/>
              </w:rPr>
            </w:pPr>
          </w:p>
        </w:tc>
        <w:tc>
          <w:tcPr>
            <w:tcW w:w="6333" w:type="dxa"/>
            <w:noWrap w:val="0"/>
            <w:vAlign w:val="top"/>
          </w:tcPr>
          <w:p w14:paraId="6A25F27E">
            <w:pPr>
              <w:spacing w:line="400" w:lineRule="exact"/>
              <w:ind w:firstLine="480" w:firstLineChars="200"/>
              <w:rPr>
                <w:rFonts w:hint="eastAsia" w:ascii="仿宋" w:hAnsi="仿宋" w:eastAsia="仿宋" w:cs="仿宋"/>
                <w:i/>
                <w:szCs w:val="21"/>
              </w:rPr>
            </w:pPr>
            <w:r>
              <w:rPr>
                <w:rFonts w:hint="eastAsia" w:ascii="仿宋" w:hAnsi="仿宋" w:eastAsia="仿宋" w:cs="仿宋"/>
                <w:i/>
                <w:szCs w:val="21"/>
              </w:rPr>
              <w:t>/</w:t>
            </w:r>
          </w:p>
        </w:tc>
      </w:tr>
      <w:bookmarkEnd w:id="265"/>
      <w:bookmarkEnd w:id="266"/>
    </w:tbl>
    <w:p w14:paraId="1AAE771A">
      <w:pPr>
        <w:pageBreakBefore w:val="0"/>
        <w:kinsoku/>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color w:val="auto"/>
          <w:sz w:val="28"/>
          <w:szCs w:val="22"/>
          <w:highlight w:val="none"/>
        </w:rPr>
      </w:pPr>
    </w:p>
    <w:p w14:paraId="23F7CA45">
      <w:pPr>
        <w:pageBreakBefore w:val="0"/>
        <w:kinsoku/>
        <w:overflowPunct/>
        <w:topLinePunct w:val="0"/>
        <w:autoSpaceDE/>
        <w:autoSpaceDN/>
        <w:bidi w:val="0"/>
        <w:adjustRightInd/>
        <w:snapToGrid/>
        <w:spacing w:line="400" w:lineRule="exact"/>
        <w:ind w:left="0" w:leftChars="0" w:firstLine="562" w:firstLineChars="200"/>
        <w:textAlignment w:val="auto"/>
        <w:rPr>
          <w:rFonts w:hint="eastAsia" w:ascii="仿宋" w:hAnsi="仿宋" w:eastAsia="仿宋" w:cs="仿宋"/>
          <w:b/>
          <w:bCs/>
          <w:color w:val="auto"/>
          <w:sz w:val="28"/>
          <w:szCs w:val="22"/>
          <w:highlight w:val="none"/>
        </w:rPr>
      </w:pPr>
    </w:p>
    <w:p w14:paraId="4C3730C8">
      <w:pPr>
        <w:pStyle w:val="4"/>
        <w:rPr>
          <w:rFonts w:hint="eastAsia" w:ascii="仿宋" w:hAnsi="仿宋" w:eastAsia="仿宋" w:cs="仿宋"/>
          <w:b/>
          <w:bCs/>
          <w:color w:val="auto"/>
          <w:sz w:val="28"/>
          <w:szCs w:val="22"/>
          <w:highlight w:val="none"/>
        </w:rPr>
      </w:pPr>
    </w:p>
    <w:p w14:paraId="2F26052F">
      <w:pPr>
        <w:rPr>
          <w:rFonts w:hint="eastAsia" w:ascii="仿宋" w:hAnsi="仿宋" w:eastAsia="仿宋" w:cs="仿宋"/>
          <w:b/>
          <w:bCs/>
          <w:color w:val="auto"/>
          <w:sz w:val="28"/>
          <w:szCs w:val="22"/>
          <w:highlight w:val="none"/>
        </w:rPr>
      </w:pPr>
    </w:p>
    <w:p w14:paraId="1D7EA7F2">
      <w:pPr>
        <w:pStyle w:val="4"/>
        <w:rPr>
          <w:rFonts w:hint="eastAsia" w:ascii="仿宋" w:hAnsi="仿宋" w:eastAsia="仿宋" w:cs="仿宋"/>
          <w:b/>
          <w:bCs/>
          <w:color w:val="auto"/>
          <w:sz w:val="28"/>
          <w:szCs w:val="22"/>
          <w:highlight w:val="none"/>
        </w:rPr>
      </w:pPr>
    </w:p>
    <w:p w14:paraId="14F53E2B">
      <w:pPr>
        <w:rPr>
          <w:rFonts w:hint="eastAsia" w:ascii="仿宋" w:hAnsi="仿宋" w:eastAsia="仿宋" w:cs="仿宋"/>
          <w:b/>
          <w:bCs/>
          <w:color w:val="auto"/>
          <w:sz w:val="28"/>
          <w:szCs w:val="22"/>
          <w:highlight w:val="none"/>
        </w:rPr>
      </w:pPr>
    </w:p>
    <w:p w14:paraId="480A5ACC">
      <w:pPr>
        <w:pStyle w:val="4"/>
        <w:rPr>
          <w:rFonts w:hint="eastAsia" w:ascii="仿宋" w:hAnsi="仿宋" w:eastAsia="仿宋" w:cs="仿宋"/>
          <w:b/>
          <w:bCs/>
          <w:color w:val="auto"/>
          <w:sz w:val="28"/>
          <w:szCs w:val="22"/>
          <w:highlight w:val="none"/>
        </w:rPr>
      </w:pPr>
    </w:p>
    <w:p w14:paraId="7EC682FE">
      <w:pPr>
        <w:rPr>
          <w:rFonts w:hint="eastAsia" w:ascii="仿宋" w:hAnsi="仿宋" w:eastAsia="仿宋" w:cs="仿宋"/>
          <w:b/>
          <w:bCs/>
          <w:color w:val="auto"/>
          <w:sz w:val="28"/>
          <w:szCs w:val="22"/>
          <w:highlight w:val="none"/>
        </w:rPr>
      </w:pPr>
    </w:p>
    <w:p w14:paraId="5BF7BBC0">
      <w:pPr>
        <w:rPr>
          <w:rFonts w:hint="eastAsia" w:ascii="仿宋" w:hAnsi="仿宋" w:eastAsia="仿宋" w:cs="仿宋"/>
          <w:b/>
          <w:bCs/>
          <w:color w:val="auto"/>
          <w:sz w:val="28"/>
          <w:szCs w:val="22"/>
          <w:highlight w:val="none"/>
        </w:rPr>
      </w:pPr>
    </w:p>
    <w:p w14:paraId="2362CEC7">
      <w:pPr>
        <w:rPr>
          <w:rFonts w:hint="eastAsia" w:ascii="仿宋" w:hAnsi="仿宋" w:eastAsia="仿宋" w:cs="仿宋"/>
          <w:b/>
          <w:bCs/>
          <w:color w:val="auto"/>
          <w:sz w:val="28"/>
          <w:szCs w:val="22"/>
          <w:highlight w:val="none"/>
        </w:rPr>
      </w:pPr>
    </w:p>
    <w:p w14:paraId="5FEC0DC6">
      <w:pPr>
        <w:rPr>
          <w:rFonts w:hint="eastAsia" w:ascii="仿宋" w:hAnsi="仿宋" w:eastAsia="仿宋" w:cs="仿宋"/>
          <w:b/>
          <w:bCs/>
          <w:color w:val="auto"/>
          <w:sz w:val="28"/>
          <w:szCs w:val="22"/>
          <w:highlight w:val="none"/>
        </w:rPr>
      </w:pPr>
    </w:p>
    <w:p w14:paraId="23588E9E">
      <w:pPr>
        <w:rPr>
          <w:rFonts w:hint="eastAsia" w:ascii="仿宋" w:hAnsi="仿宋" w:eastAsia="仿宋" w:cs="仿宋"/>
          <w:b/>
          <w:bCs/>
          <w:color w:val="auto"/>
          <w:sz w:val="28"/>
          <w:szCs w:val="22"/>
          <w:highlight w:val="none"/>
        </w:rPr>
      </w:pPr>
    </w:p>
    <w:p w14:paraId="56A16CCF">
      <w:pPr>
        <w:rPr>
          <w:rFonts w:hint="eastAsia" w:ascii="仿宋" w:hAnsi="仿宋" w:eastAsia="仿宋" w:cs="仿宋"/>
          <w:b/>
          <w:bCs/>
          <w:color w:val="auto"/>
          <w:sz w:val="28"/>
          <w:szCs w:val="22"/>
          <w:highlight w:val="none"/>
        </w:rPr>
      </w:pPr>
    </w:p>
    <w:p w14:paraId="1343B5C3">
      <w:pPr>
        <w:rPr>
          <w:rFonts w:hint="eastAsia" w:ascii="仿宋" w:hAnsi="仿宋" w:eastAsia="仿宋" w:cs="仿宋"/>
          <w:b/>
          <w:bCs/>
          <w:color w:val="auto"/>
          <w:sz w:val="28"/>
          <w:szCs w:val="22"/>
          <w:highlight w:val="none"/>
        </w:rPr>
      </w:pPr>
    </w:p>
    <w:p w14:paraId="41FF4CCC">
      <w:pPr>
        <w:rPr>
          <w:rFonts w:hint="eastAsia" w:ascii="仿宋" w:hAnsi="仿宋" w:eastAsia="仿宋" w:cs="仿宋"/>
          <w:b/>
          <w:bCs/>
          <w:color w:val="auto"/>
          <w:sz w:val="28"/>
          <w:szCs w:val="22"/>
          <w:highlight w:val="none"/>
        </w:rPr>
      </w:pPr>
    </w:p>
    <w:p w14:paraId="0429E862">
      <w:pPr>
        <w:pStyle w:val="4"/>
        <w:rPr>
          <w:rFonts w:hint="eastAsia" w:ascii="仿宋" w:hAnsi="仿宋" w:eastAsia="仿宋" w:cs="仿宋"/>
          <w:b/>
          <w:bCs/>
          <w:color w:val="auto"/>
          <w:sz w:val="28"/>
          <w:szCs w:val="22"/>
          <w:highlight w:val="none"/>
        </w:rPr>
      </w:pPr>
    </w:p>
    <w:p w14:paraId="51D2A5B1">
      <w:pPr>
        <w:rPr>
          <w:rFonts w:hint="eastAsia" w:ascii="仿宋" w:hAnsi="仿宋" w:eastAsia="仿宋" w:cs="仿宋"/>
          <w:b/>
          <w:bCs/>
          <w:color w:val="auto"/>
          <w:sz w:val="28"/>
          <w:szCs w:val="22"/>
          <w:highlight w:val="none"/>
        </w:rPr>
      </w:pPr>
    </w:p>
    <w:p w14:paraId="002BB283">
      <w:pPr>
        <w:pStyle w:val="4"/>
        <w:rPr>
          <w:rFonts w:hint="eastAsia" w:ascii="仿宋" w:hAnsi="仿宋" w:eastAsia="仿宋" w:cs="仿宋"/>
          <w:b/>
          <w:bCs/>
          <w:color w:val="auto"/>
          <w:sz w:val="28"/>
          <w:szCs w:val="22"/>
          <w:highlight w:val="none"/>
        </w:rPr>
      </w:pPr>
    </w:p>
    <w:p w14:paraId="35E7D3DD">
      <w:pPr>
        <w:rPr>
          <w:rFonts w:hint="eastAsia" w:ascii="仿宋" w:hAnsi="仿宋" w:eastAsia="仿宋" w:cs="仿宋"/>
        </w:rPr>
      </w:pPr>
    </w:p>
    <w:p w14:paraId="39BB2C81">
      <w:pPr>
        <w:rPr>
          <w:rFonts w:hint="eastAsia" w:ascii="仿宋" w:hAnsi="仿宋" w:eastAsia="仿宋" w:cs="仿宋"/>
          <w:b/>
          <w:bCs/>
          <w:color w:val="auto"/>
          <w:sz w:val="28"/>
          <w:szCs w:val="22"/>
          <w:highlight w:val="none"/>
        </w:rPr>
      </w:pPr>
    </w:p>
    <w:p w14:paraId="6BC248EA">
      <w:pPr>
        <w:rPr>
          <w:rFonts w:hint="eastAsia" w:ascii="仿宋" w:hAnsi="仿宋" w:eastAsia="仿宋" w:cs="仿宋"/>
          <w:b/>
          <w:bCs/>
          <w:color w:val="auto"/>
          <w:sz w:val="28"/>
          <w:szCs w:val="22"/>
          <w:highlight w:val="none"/>
        </w:rPr>
      </w:pPr>
    </w:p>
    <w:p w14:paraId="08B8F7A4">
      <w:pPr>
        <w:pStyle w:val="2"/>
        <w:tabs>
          <w:tab w:val="left" w:pos="3360"/>
        </w:tabs>
        <w:spacing w:before="0" w:beforeLines="0" w:after="0" w:afterLines="0" w:line="360" w:lineRule="auto"/>
        <w:rPr>
          <w:rFonts w:hint="eastAsia" w:ascii="仿宋" w:hAnsi="仿宋" w:eastAsia="仿宋" w:cs="仿宋"/>
          <w:sz w:val="36"/>
          <w:szCs w:val="30"/>
          <w:highlight w:val="none"/>
        </w:rPr>
      </w:pPr>
    </w:p>
    <w:p w14:paraId="167B7C87">
      <w:pPr>
        <w:pageBreakBefore w:val="0"/>
        <w:kinsoku/>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b/>
          <w:bCs/>
          <w:color w:val="auto"/>
          <w:sz w:val="28"/>
          <w:szCs w:val="22"/>
          <w:highlight w:val="none"/>
        </w:rPr>
      </w:pPr>
    </w:p>
    <w:p w14:paraId="04750753">
      <w:pPr>
        <w:pStyle w:val="2"/>
        <w:tabs>
          <w:tab w:val="left" w:pos="3360"/>
        </w:tabs>
        <w:spacing w:before="0" w:beforeLines="0" w:after="0" w:afterLines="0" w:line="360" w:lineRule="auto"/>
        <w:rPr>
          <w:rFonts w:hint="eastAsia" w:ascii="仿宋" w:hAnsi="仿宋" w:eastAsia="仿宋" w:cs="仿宋"/>
          <w:b/>
          <w:bCs/>
          <w:sz w:val="36"/>
          <w:szCs w:val="36"/>
          <w:highlight w:val="none"/>
        </w:rPr>
      </w:pPr>
      <w:bookmarkStart w:id="356" w:name="_Toc66460688"/>
    </w:p>
    <w:p w14:paraId="4330057F">
      <w:pPr>
        <w:pStyle w:val="2"/>
        <w:tabs>
          <w:tab w:val="left" w:pos="3360"/>
        </w:tabs>
        <w:spacing w:before="0" w:beforeLines="0" w:after="0" w:afterLines="0" w:line="360" w:lineRule="auto"/>
        <w:ind w:left="0" w:leftChars="0" w:firstLine="0" w:firstLineChars="0"/>
        <w:jc w:val="center"/>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第五</w:t>
      </w:r>
      <w:r>
        <w:rPr>
          <w:rFonts w:hint="eastAsia" w:ascii="仿宋" w:hAnsi="仿宋" w:eastAsia="仿宋" w:cs="仿宋"/>
          <w:b/>
          <w:bCs/>
          <w:sz w:val="36"/>
          <w:szCs w:val="36"/>
          <w:highlight w:val="none"/>
          <w:lang w:val="en-US" w:eastAsia="zh-CN"/>
        </w:rPr>
        <w:t>篇</w:t>
      </w:r>
      <w:r>
        <w:rPr>
          <w:rFonts w:hint="eastAsia" w:ascii="仿宋" w:hAnsi="仿宋" w:eastAsia="仿宋" w:cs="仿宋"/>
          <w:b/>
          <w:bCs/>
          <w:sz w:val="36"/>
          <w:szCs w:val="36"/>
          <w:highlight w:val="none"/>
        </w:rPr>
        <w:t>　工程量清单</w:t>
      </w:r>
      <w:bookmarkEnd w:id="356"/>
    </w:p>
    <w:p w14:paraId="2763045D">
      <w:pPr>
        <w:pageBreakBefore w:val="0"/>
        <w:kinsoku/>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z w:val="28"/>
          <w:szCs w:val="22"/>
          <w:highlight w:val="none"/>
        </w:rPr>
      </w:pPr>
    </w:p>
    <w:p w14:paraId="3DDF8F81">
      <w:pPr>
        <w:pageBreakBefore w:val="0"/>
        <w:kinsoku/>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z w:val="28"/>
          <w:szCs w:val="22"/>
          <w:highlight w:val="none"/>
        </w:rPr>
      </w:pPr>
      <w:r>
        <w:rPr>
          <w:rFonts w:hint="eastAsia" w:ascii="仿宋" w:hAnsi="仿宋" w:eastAsia="仿宋" w:cs="仿宋"/>
          <w:b/>
          <w:bCs/>
          <w:color w:val="auto"/>
          <w:sz w:val="28"/>
          <w:szCs w:val="22"/>
          <w:highlight w:val="none"/>
        </w:rPr>
        <w:t>在“荣昌教育（http://www.rcqjy.com/）”</w:t>
      </w:r>
      <w:r>
        <w:rPr>
          <w:rFonts w:hint="eastAsia" w:ascii="仿宋" w:hAnsi="仿宋" w:eastAsia="仿宋" w:cs="仿宋"/>
          <w:b/>
          <w:bCs/>
          <w:color w:val="auto"/>
          <w:sz w:val="28"/>
          <w:szCs w:val="22"/>
          <w:highlight w:val="none"/>
          <w:lang w:eastAsia="zh-CN"/>
        </w:rPr>
        <w:t>、“行采家平台（http://www.gec123.com）”</w:t>
      </w:r>
      <w:r>
        <w:rPr>
          <w:rFonts w:hint="eastAsia" w:ascii="仿宋" w:hAnsi="仿宋" w:eastAsia="仿宋" w:cs="仿宋"/>
          <w:b/>
          <w:bCs/>
          <w:color w:val="auto"/>
          <w:sz w:val="28"/>
          <w:szCs w:val="22"/>
          <w:highlight w:val="none"/>
        </w:rPr>
        <w:t>下载。</w:t>
      </w:r>
    </w:p>
    <w:bookmarkEnd w:id="22"/>
    <w:bookmarkEnd w:id="65"/>
    <w:p w14:paraId="4EC71F74">
      <w:pPr>
        <w:rPr>
          <w:rFonts w:hint="eastAsia" w:ascii="仿宋" w:hAnsi="仿宋" w:eastAsia="仿宋" w:cs="仿宋"/>
          <w:b/>
          <w:bCs/>
          <w:sz w:val="36"/>
          <w:szCs w:val="36"/>
          <w:highlight w:val="none"/>
        </w:rPr>
      </w:pPr>
      <w:bookmarkStart w:id="357" w:name="_Toc11641055"/>
      <w:bookmarkStart w:id="358" w:name="_Toc12789059"/>
      <w:bookmarkStart w:id="359" w:name="_Toc5752"/>
      <w:bookmarkStart w:id="360" w:name="_Toc65660365"/>
      <w:bookmarkStart w:id="361" w:name="_Toc14861"/>
      <w:bookmarkStart w:id="362" w:name="_Toc10599"/>
      <w:bookmarkStart w:id="363" w:name="_Toc106034806"/>
      <w:bookmarkStart w:id="364" w:name="_Toc7450"/>
      <w:bookmarkStart w:id="365" w:name="_Toc28162"/>
      <w:bookmarkStart w:id="366" w:name="_Toc25242"/>
      <w:bookmarkStart w:id="367" w:name="_Toc17038"/>
      <w:bookmarkStart w:id="368" w:name="_Toc499495121"/>
      <w:bookmarkStart w:id="369" w:name="_Toc474603958"/>
      <w:bookmarkStart w:id="370" w:name="_Toc4152"/>
      <w:r>
        <w:rPr>
          <w:rFonts w:hint="eastAsia" w:ascii="仿宋" w:hAnsi="仿宋" w:eastAsia="仿宋" w:cs="仿宋"/>
          <w:b/>
          <w:bCs/>
          <w:sz w:val="36"/>
          <w:szCs w:val="36"/>
          <w:highlight w:val="none"/>
        </w:rPr>
        <w:br w:type="page"/>
      </w:r>
    </w:p>
    <w:p w14:paraId="549B7157">
      <w:pPr>
        <w:pStyle w:val="2"/>
        <w:tabs>
          <w:tab w:val="left" w:pos="3360"/>
        </w:tabs>
        <w:spacing w:before="0" w:beforeLines="0" w:after="0" w:afterLines="0" w:line="360" w:lineRule="auto"/>
        <w:ind w:left="0" w:leftChars="0" w:firstLine="0" w:firstLineChars="0"/>
        <w:jc w:val="both"/>
        <w:rPr>
          <w:rFonts w:hint="eastAsia" w:ascii="仿宋" w:hAnsi="仿宋" w:eastAsia="仿宋" w:cs="仿宋"/>
          <w:b/>
          <w:bCs/>
          <w:sz w:val="36"/>
          <w:szCs w:val="36"/>
          <w:highlight w:val="none"/>
        </w:rPr>
      </w:pPr>
    </w:p>
    <w:p w14:paraId="4A670208">
      <w:pPr>
        <w:pStyle w:val="2"/>
        <w:tabs>
          <w:tab w:val="left" w:pos="3360"/>
        </w:tabs>
        <w:spacing w:before="0" w:beforeLines="0" w:after="0" w:afterLines="0" w:line="360" w:lineRule="auto"/>
        <w:rPr>
          <w:rFonts w:hint="eastAsia" w:ascii="仿宋" w:hAnsi="仿宋" w:eastAsia="仿宋" w:cs="仿宋"/>
          <w:sz w:val="36"/>
          <w:szCs w:val="30"/>
          <w:highlight w:val="none"/>
        </w:rPr>
      </w:pPr>
      <w:r>
        <w:rPr>
          <w:rFonts w:hint="eastAsia" w:ascii="仿宋" w:hAnsi="仿宋" w:eastAsia="仿宋" w:cs="仿宋"/>
          <w:b/>
          <w:bCs/>
          <w:sz w:val="36"/>
          <w:szCs w:val="36"/>
          <w:highlight w:val="none"/>
        </w:rPr>
        <w:t xml:space="preserve">第六篇  </w:t>
      </w:r>
      <w:bookmarkEnd w:id="357"/>
      <w:bookmarkEnd w:id="358"/>
      <w:r>
        <w:rPr>
          <w:rFonts w:hint="eastAsia" w:ascii="仿宋" w:hAnsi="仿宋" w:eastAsia="仿宋" w:cs="仿宋"/>
          <w:b/>
          <w:bCs/>
          <w:sz w:val="36"/>
          <w:szCs w:val="36"/>
          <w:highlight w:val="none"/>
        </w:rPr>
        <w:t>合同草案条款</w:t>
      </w:r>
      <w:bookmarkEnd w:id="359"/>
      <w:bookmarkEnd w:id="360"/>
      <w:bookmarkEnd w:id="361"/>
      <w:bookmarkEnd w:id="362"/>
      <w:bookmarkEnd w:id="363"/>
      <w:bookmarkEnd w:id="364"/>
      <w:bookmarkEnd w:id="365"/>
    </w:p>
    <w:p w14:paraId="6D631B0E">
      <w:pPr>
        <w:spacing w:line="360" w:lineRule="auto"/>
        <w:rPr>
          <w:rFonts w:hint="eastAsia" w:ascii="仿宋" w:hAnsi="仿宋" w:eastAsia="仿宋" w:cs="仿宋"/>
          <w:b/>
          <w:bCs/>
          <w:sz w:val="36"/>
          <w:szCs w:val="36"/>
          <w:highlight w:val="none"/>
        </w:rPr>
      </w:pPr>
      <w:bookmarkStart w:id="371" w:name="_Hlt41879464"/>
      <w:bookmarkEnd w:id="371"/>
      <w:r>
        <w:rPr>
          <w:rFonts w:hint="eastAsia" w:ascii="仿宋" w:hAnsi="仿宋" w:eastAsia="仿宋" w:cs="仿宋"/>
          <w:color w:val="auto"/>
          <w:sz w:val="24"/>
          <w:szCs w:val="24"/>
          <w:highlight w:val="none"/>
        </w:rPr>
        <w:t>（</w:t>
      </w:r>
      <w:r>
        <w:rPr>
          <w:rFonts w:hint="eastAsia" w:ascii="仿宋" w:hAnsi="仿宋" w:eastAsia="仿宋" w:cs="仿宋"/>
          <w:bCs/>
          <w:color w:val="auto"/>
          <w:sz w:val="22"/>
          <w:szCs w:val="22"/>
          <w:highlight w:val="none"/>
          <w:lang w:eastAsia="zh-CN"/>
        </w:rPr>
        <w:t>比选人</w:t>
      </w:r>
      <w:r>
        <w:rPr>
          <w:rFonts w:hint="eastAsia" w:ascii="仿宋" w:hAnsi="仿宋" w:eastAsia="仿宋" w:cs="仿宋"/>
          <w:bCs/>
          <w:color w:val="auto"/>
          <w:sz w:val="22"/>
          <w:szCs w:val="22"/>
          <w:highlight w:val="none"/>
        </w:rPr>
        <w:t>与成交</w:t>
      </w:r>
      <w:r>
        <w:rPr>
          <w:rFonts w:hint="eastAsia" w:ascii="仿宋" w:hAnsi="仿宋" w:eastAsia="仿宋" w:cs="仿宋"/>
          <w:bCs/>
          <w:color w:val="auto"/>
          <w:sz w:val="22"/>
          <w:szCs w:val="22"/>
          <w:highlight w:val="none"/>
          <w:lang w:eastAsia="zh-CN"/>
        </w:rPr>
        <w:t>竞选人</w:t>
      </w:r>
      <w:r>
        <w:rPr>
          <w:rFonts w:hint="eastAsia" w:ascii="仿宋" w:hAnsi="仿宋" w:eastAsia="仿宋" w:cs="仿宋"/>
          <w:bCs/>
          <w:color w:val="auto"/>
          <w:sz w:val="22"/>
          <w:szCs w:val="22"/>
          <w:highlight w:val="none"/>
        </w:rPr>
        <w:t>根据双方协商后自行编写</w:t>
      </w:r>
      <w:r>
        <w:rPr>
          <w:rFonts w:hint="eastAsia" w:ascii="仿宋" w:hAnsi="仿宋" w:eastAsia="仿宋" w:cs="仿宋"/>
          <w:bCs/>
          <w:color w:val="auto"/>
          <w:sz w:val="22"/>
          <w:szCs w:val="22"/>
          <w:highlight w:val="none"/>
          <w:lang w:eastAsia="zh-CN"/>
        </w:rPr>
        <w:t>比选</w:t>
      </w:r>
      <w:r>
        <w:rPr>
          <w:rFonts w:hint="eastAsia" w:ascii="仿宋" w:hAnsi="仿宋" w:eastAsia="仿宋" w:cs="仿宋"/>
          <w:bCs/>
          <w:color w:val="auto"/>
          <w:sz w:val="22"/>
          <w:szCs w:val="22"/>
          <w:highlight w:val="none"/>
        </w:rPr>
        <w:t>合同，但不得违背</w:t>
      </w:r>
      <w:r>
        <w:rPr>
          <w:rFonts w:hint="eastAsia" w:ascii="仿宋" w:hAnsi="仿宋" w:eastAsia="仿宋" w:cs="仿宋"/>
          <w:bCs/>
          <w:color w:val="auto"/>
          <w:sz w:val="22"/>
          <w:szCs w:val="22"/>
          <w:highlight w:val="none"/>
          <w:lang w:eastAsia="zh-CN"/>
        </w:rPr>
        <w:t>比选</w:t>
      </w:r>
      <w:r>
        <w:rPr>
          <w:rFonts w:hint="eastAsia" w:ascii="仿宋" w:hAnsi="仿宋" w:eastAsia="仿宋" w:cs="仿宋"/>
          <w:bCs/>
          <w:color w:val="auto"/>
          <w:sz w:val="22"/>
          <w:szCs w:val="22"/>
          <w:highlight w:val="none"/>
        </w:rPr>
        <w:t>文件的实质性要求</w:t>
      </w:r>
      <w:r>
        <w:rPr>
          <w:rFonts w:hint="eastAsia" w:ascii="仿宋" w:hAnsi="仿宋" w:eastAsia="仿宋" w:cs="仿宋"/>
          <w:color w:val="auto"/>
          <w:sz w:val="24"/>
          <w:szCs w:val="24"/>
          <w:highlight w:val="none"/>
        </w:rPr>
        <w:t>）</w:t>
      </w:r>
    </w:p>
    <w:p w14:paraId="625F3165">
      <w:pPr>
        <w:pStyle w:val="3"/>
        <w:spacing w:before="65" w:after="65"/>
        <w:ind w:firstLine="422"/>
        <w:rPr>
          <w:rFonts w:hint="eastAsia" w:ascii="仿宋" w:hAnsi="仿宋" w:eastAsia="仿宋" w:cs="仿宋"/>
          <w:color w:val="auto"/>
          <w:szCs w:val="28"/>
          <w:highlight w:val="none"/>
        </w:rPr>
      </w:pPr>
    </w:p>
    <w:p w14:paraId="7706CDD0">
      <w:pPr>
        <w:rPr>
          <w:rFonts w:hint="eastAsia" w:ascii="仿宋" w:hAnsi="仿宋" w:eastAsia="仿宋" w:cs="仿宋"/>
          <w:color w:val="auto"/>
          <w:szCs w:val="28"/>
          <w:highlight w:val="none"/>
        </w:rPr>
      </w:pPr>
    </w:p>
    <w:p w14:paraId="3A413780">
      <w:pPr>
        <w:rPr>
          <w:rFonts w:hint="eastAsia" w:ascii="仿宋" w:hAnsi="仿宋" w:eastAsia="仿宋" w:cs="仿宋"/>
          <w:color w:val="auto"/>
          <w:szCs w:val="28"/>
          <w:highlight w:val="none"/>
        </w:rPr>
      </w:pPr>
    </w:p>
    <w:p w14:paraId="251CA7C7">
      <w:pPr>
        <w:rPr>
          <w:rFonts w:hint="eastAsia" w:ascii="仿宋" w:hAnsi="仿宋" w:eastAsia="仿宋" w:cs="仿宋"/>
          <w:color w:val="auto"/>
          <w:szCs w:val="28"/>
          <w:highlight w:val="none"/>
        </w:rPr>
      </w:pPr>
    </w:p>
    <w:p w14:paraId="45FA4792">
      <w:pPr>
        <w:rPr>
          <w:rFonts w:hint="eastAsia" w:ascii="仿宋" w:hAnsi="仿宋" w:eastAsia="仿宋" w:cs="仿宋"/>
          <w:color w:val="auto"/>
          <w:szCs w:val="28"/>
          <w:highlight w:val="none"/>
        </w:rPr>
      </w:pPr>
    </w:p>
    <w:p w14:paraId="78ABEC7D">
      <w:pPr>
        <w:rPr>
          <w:rFonts w:hint="eastAsia" w:ascii="仿宋" w:hAnsi="仿宋" w:eastAsia="仿宋" w:cs="仿宋"/>
          <w:color w:val="auto"/>
          <w:szCs w:val="28"/>
          <w:highlight w:val="none"/>
        </w:rPr>
      </w:pPr>
    </w:p>
    <w:p w14:paraId="4BCD223B">
      <w:pPr>
        <w:rPr>
          <w:rFonts w:hint="eastAsia" w:ascii="仿宋" w:hAnsi="仿宋" w:eastAsia="仿宋" w:cs="仿宋"/>
          <w:color w:val="auto"/>
          <w:szCs w:val="28"/>
          <w:highlight w:val="none"/>
        </w:rPr>
      </w:pPr>
    </w:p>
    <w:p w14:paraId="5DEED22C">
      <w:pPr>
        <w:rPr>
          <w:rFonts w:hint="eastAsia" w:ascii="仿宋" w:hAnsi="仿宋" w:eastAsia="仿宋" w:cs="仿宋"/>
          <w:color w:val="auto"/>
          <w:szCs w:val="28"/>
          <w:highlight w:val="none"/>
        </w:rPr>
      </w:pPr>
    </w:p>
    <w:p w14:paraId="342C7BF0">
      <w:pPr>
        <w:rPr>
          <w:rFonts w:hint="eastAsia" w:ascii="仿宋" w:hAnsi="仿宋" w:eastAsia="仿宋" w:cs="仿宋"/>
          <w:color w:val="auto"/>
          <w:szCs w:val="28"/>
          <w:highlight w:val="none"/>
        </w:rPr>
      </w:pPr>
    </w:p>
    <w:p w14:paraId="19743EE9">
      <w:pPr>
        <w:rPr>
          <w:rFonts w:hint="eastAsia" w:ascii="仿宋" w:hAnsi="仿宋" w:eastAsia="仿宋" w:cs="仿宋"/>
          <w:color w:val="auto"/>
          <w:szCs w:val="28"/>
          <w:highlight w:val="none"/>
        </w:rPr>
      </w:pPr>
    </w:p>
    <w:p w14:paraId="14FA7874">
      <w:pPr>
        <w:rPr>
          <w:rFonts w:hint="eastAsia" w:ascii="仿宋" w:hAnsi="仿宋" w:eastAsia="仿宋" w:cs="仿宋"/>
          <w:color w:val="auto"/>
          <w:szCs w:val="28"/>
          <w:highlight w:val="none"/>
        </w:rPr>
      </w:pPr>
    </w:p>
    <w:p w14:paraId="560B620C">
      <w:pPr>
        <w:rPr>
          <w:rFonts w:hint="eastAsia" w:ascii="仿宋" w:hAnsi="仿宋" w:eastAsia="仿宋" w:cs="仿宋"/>
          <w:color w:val="auto"/>
          <w:szCs w:val="28"/>
          <w:highlight w:val="none"/>
        </w:rPr>
      </w:pPr>
    </w:p>
    <w:p w14:paraId="55F0CDC0">
      <w:pPr>
        <w:rPr>
          <w:rFonts w:hint="eastAsia" w:ascii="仿宋" w:hAnsi="仿宋" w:eastAsia="仿宋" w:cs="仿宋"/>
          <w:color w:val="auto"/>
          <w:szCs w:val="28"/>
          <w:highlight w:val="none"/>
        </w:rPr>
      </w:pPr>
    </w:p>
    <w:p w14:paraId="733E382A">
      <w:pPr>
        <w:rPr>
          <w:rFonts w:hint="eastAsia" w:ascii="仿宋" w:hAnsi="仿宋" w:eastAsia="仿宋" w:cs="仿宋"/>
          <w:color w:val="auto"/>
          <w:szCs w:val="28"/>
          <w:highlight w:val="none"/>
        </w:rPr>
      </w:pPr>
    </w:p>
    <w:p w14:paraId="1C1710B5">
      <w:pPr>
        <w:rPr>
          <w:rFonts w:hint="eastAsia" w:ascii="仿宋" w:hAnsi="仿宋" w:eastAsia="仿宋" w:cs="仿宋"/>
          <w:color w:val="auto"/>
          <w:szCs w:val="28"/>
          <w:highlight w:val="none"/>
        </w:rPr>
      </w:pPr>
    </w:p>
    <w:p w14:paraId="4645DA26">
      <w:pPr>
        <w:rPr>
          <w:rFonts w:hint="eastAsia" w:ascii="仿宋" w:hAnsi="仿宋" w:eastAsia="仿宋" w:cs="仿宋"/>
          <w:color w:val="auto"/>
          <w:szCs w:val="28"/>
          <w:highlight w:val="none"/>
        </w:rPr>
      </w:pPr>
    </w:p>
    <w:p w14:paraId="4AA5E151">
      <w:pPr>
        <w:rPr>
          <w:rFonts w:hint="eastAsia" w:ascii="仿宋" w:hAnsi="仿宋" w:eastAsia="仿宋" w:cs="仿宋"/>
          <w:color w:val="auto"/>
          <w:szCs w:val="28"/>
          <w:highlight w:val="none"/>
        </w:rPr>
      </w:pPr>
    </w:p>
    <w:p w14:paraId="3F4D244E">
      <w:pPr>
        <w:rPr>
          <w:rFonts w:hint="eastAsia" w:ascii="仿宋" w:hAnsi="仿宋" w:eastAsia="仿宋" w:cs="仿宋"/>
          <w:color w:val="auto"/>
          <w:szCs w:val="28"/>
          <w:highlight w:val="none"/>
        </w:rPr>
      </w:pPr>
    </w:p>
    <w:p w14:paraId="2CCC2D7B">
      <w:pPr>
        <w:rPr>
          <w:rFonts w:hint="eastAsia" w:ascii="仿宋" w:hAnsi="仿宋" w:eastAsia="仿宋" w:cs="仿宋"/>
          <w:color w:val="auto"/>
          <w:szCs w:val="28"/>
          <w:highlight w:val="none"/>
        </w:rPr>
      </w:pPr>
    </w:p>
    <w:p w14:paraId="2546F6A4">
      <w:pPr>
        <w:rPr>
          <w:rFonts w:hint="eastAsia" w:ascii="仿宋" w:hAnsi="仿宋" w:eastAsia="仿宋" w:cs="仿宋"/>
          <w:color w:val="auto"/>
          <w:szCs w:val="28"/>
          <w:highlight w:val="none"/>
        </w:rPr>
      </w:pPr>
    </w:p>
    <w:p w14:paraId="683ADD2A">
      <w:pPr>
        <w:rPr>
          <w:rFonts w:hint="eastAsia" w:ascii="仿宋" w:hAnsi="仿宋" w:eastAsia="仿宋" w:cs="仿宋"/>
          <w:color w:val="auto"/>
          <w:szCs w:val="28"/>
          <w:highlight w:val="none"/>
        </w:rPr>
      </w:pPr>
    </w:p>
    <w:p w14:paraId="112DBC9E">
      <w:pPr>
        <w:rPr>
          <w:rFonts w:hint="eastAsia" w:ascii="仿宋" w:hAnsi="仿宋" w:eastAsia="仿宋" w:cs="仿宋"/>
          <w:color w:val="auto"/>
          <w:szCs w:val="28"/>
          <w:highlight w:val="none"/>
        </w:rPr>
      </w:pPr>
    </w:p>
    <w:p w14:paraId="645B4C5E">
      <w:pPr>
        <w:rPr>
          <w:rFonts w:hint="eastAsia" w:ascii="仿宋" w:hAnsi="仿宋" w:eastAsia="仿宋" w:cs="仿宋"/>
          <w:color w:val="auto"/>
          <w:szCs w:val="28"/>
          <w:highlight w:val="none"/>
        </w:rPr>
      </w:pPr>
    </w:p>
    <w:p w14:paraId="79C83464">
      <w:pPr>
        <w:rPr>
          <w:rFonts w:hint="eastAsia" w:ascii="仿宋" w:hAnsi="仿宋" w:eastAsia="仿宋" w:cs="仿宋"/>
          <w:color w:val="auto"/>
          <w:szCs w:val="28"/>
          <w:highlight w:val="none"/>
        </w:rPr>
      </w:pPr>
    </w:p>
    <w:p w14:paraId="7FC21826">
      <w:pPr>
        <w:rPr>
          <w:rFonts w:hint="eastAsia" w:ascii="仿宋" w:hAnsi="仿宋" w:eastAsia="仿宋" w:cs="仿宋"/>
          <w:color w:val="auto"/>
          <w:szCs w:val="28"/>
          <w:highlight w:val="none"/>
        </w:rPr>
      </w:pPr>
    </w:p>
    <w:p w14:paraId="07A3CC07">
      <w:pPr>
        <w:rPr>
          <w:rFonts w:hint="eastAsia" w:ascii="仿宋" w:hAnsi="仿宋" w:eastAsia="仿宋" w:cs="仿宋"/>
          <w:color w:val="auto"/>
          <w:szCs w:val="28"/>
          <w:highlight w:val="none"/>
        </w:rPr>
      </w:pPr>
    </w:p>
    <w:p w14:paraId="2AECA349">
      <w:pPr>
        <w:rPr>
          <w:rFonts w:hint="eastAsia" w:ascii="仿宋" w:hAnsi="仿宋" w:eastAsia="仿宋" w:cs="仿宋"/>
          <w:color w:val="auto"/>
          <w:szCs w:val="28"/>
          <w:highlight w:val="none"/>
        </w:rPr>
      </w:pPr>
    </w:p>
    <w:p w14:paraId="216CDBC8">
      <w:pPr>
        <w:rPr>
          <w:rFonts w:hint="eastAsia" w:ascii="仿宋" w:hAnsi="仿宋" w:eastAsia="仿宋" w:cs="仿宋"/>
          <w:color w:val="auto"/>
          <w:szCs w:val="28"/>
          <w:highlight w:val="none"/>
        </w:rPr>
      </w:pPr>
    </w:p>
    <w:p w14:paraId="0C03011D">
      <w:pPr>
        <w:rPr>
          <w:rFonts w:hint="eastAsia" w:ascii="仿宋" w:hAnsi="仿宋" w:eastAsia="仿宋" w:cs="仿宋"/>
          <w:color w:val="auto"/>
          <w:szCs w:val="28"/>
          <w:highlight w:val="none"/>
        </w:rPr>
      </w:pPr>
    </w:p>
    <w:p w14:paraId="31799C1B">
      <w:pPr>
        <w:rPr>
          <w:rFonts w:hint="eastAsia" w:ascii="仿宋" w:hAnsi="仿宋" w:eastAsia="仿宋" w:cs="仿宋"/>
          <w:color w:val="auto"/>
          <w:szCs w:val="28"/>
          <w:highlight w:val="none"/>
        </w:rPr>
      </w:pPr>
    </w:p>
    <w:p w14:paraId="6FC0DD37">
      <w:pPr>
        <w:rPr>
          <w:rFonts w:hint="eastAsia" w:ascii="仿宋" w:hAnsi="仿宋" w:eastAsia="仿宋" w:cs="仿宋"/>
          <w:color w:val="auto"/>
          <w:szCs w:val="28"/>
          <w:highlight w:val="none"/>
        </w:rPr>
      </w:pPr>
    </w:p>
    <w:p w14:paraId="44BC9A3C">
      <w:pPr>
        <w:rPr>
          <w:rFonts w:hint="eastAsia" w:ascii="仿宋" w:hAnsi="仿宋" w:eastAsia="仿宋" w:cs="仿宋"/>
          <w:color w:val="auto"/>
          <w:szCs w:val="28"/>
          <w:highlight w:val="none"/>
        </w:rPr>
      </w:pPr>
    </w:p>
    <w:p w14:paraId="409D76D4">
      <w:pPr>
        <w:rPr>
          <w:rFonts w:hint="eastAsia" w:ascii="仿宋" w:hAnsi="仿宋" w:eastAsia="仿宋" w:cs="仿宋"/>
          <w:color w:val="auto"/>
          <w:szCs w:val="28"/>
          <w:highlight w:val="none"/>
        </w:rPr>
      </w:pPr>
    </w:p>
    <w:p w14:paraId="6106F189">
      <w:pPr>
        <w:rPr>
          <w:rFonts w:hint="eastAsia" w:ascii="仿宋" w:hAnsi="仿宋" w:eastAsia="仿宋" w:cs="仿宋"/>
          <w:color w:val="auto"/>
          <w:szCs w:val="28"/>
          <w:highlight w:val="none"/>
        </w:rPr>
      </w:pPr>
    </w:p>
    <w:p w14:paraId="4360070F">
      <w:pPr>
        <w:ind w:left="0" w:leftChars="0" w:firstLine="0" w:firstLineChars="0"/>
        <w:rPr>
          <w:rFonts w:hint="eastAsia" w:ascii="仿宋" w:hAnsi="仿宋" w:eastAsia="仿宋" w:cs="仿宋"/>
          <w:color w:val="auto"/>
          <w:szCs w:val="28"/>
          <w:highlight w:val="none"/>
        </w:rPr>
      </w:pPr>
    </w:p>
    <w:p w14:paraId="399BB21B">
      <w:pPr>
        <w:ind w:left="0" w:leftChars="0" w:firstLine="0" w:firstLineChars="0"/>
        <w:rPr>
          <w:rFonts w:hint="eastAsia" w:ascii="仿宋" w:hAnsi="仿宋" w:eastAsia="仿宋" w:cs="仿宋"/>
          <w:color w:val="auto"/>
          <w:szCs w:val="28"/>
          <w:highlight w:val="none"/>
        </w:rPr>
      </w:pPr>
    </w:p>
    <w:p w14:paraId="471409FE">
      <w:pPr>
        <w:pStyle w:val="2"/>
        <w:tabs>
          <w:tab w:val="left" w:pos="3360"/>
        </w:tabs>
        <w:spacing w:before="0" w:beforeLines="0" w:after="0" w:afterLines="0" w:line="360" w:lineRule="auto"/>
        <w:ind w:left="0" w:leftChars="0" w:firstLine="0" w:firstLineChars="0"/>
        <w:jc w:val="both"/>
        <w:rPr>
          <w:rFonts w:hint="eastAsia" w:ascii="仿宋" w:hAnsi="仿宋" w:eastAsia="仿宋" w:cs="仿宋"/>
          <w:b/>
          <w:bCs/>
          <w:sz w:val="36"/>
          <w:szCs w:val="36"/>
          <w:highlight w:val="none"/>
        </w:rPr>
      </w:pPr>
      <w:bookmarkStart w:id="372" w:name="_Toc7668"/>
    </w:p>
    <w:p w14:paraId="72E01EA1">
      <w:pPr>
        <w:pStyle w:val="2"/>
        <w:tabs>
          <w:tab w:val="left" w:pos="3360"/>
        </w:tabs>
        <w:spacing w:before="0" w:beforeLines="0" w:after="0" w:afterLines="0" w:line="360" w:lineRule="auto"/>
        <w:ind w:left="0" w:leftChars="0" w:firstLine="0" w:firstLineChars="0"/>
        <w:jc w:val="center"/>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 xml:space="preserve">第七篇  </w:t>
      </w:r>
      <w:r>
        <w:rPr>
          <w:rFonts w:hint="eastAsia" w:ascii="仿宋" w:hAnsi="仿宋" w:eastAsia="仿宋" w:cs="仿宋"/>
          <w:b/>
          <w:bCs/>
          <w:sz w:val="36"/>
          <w:szCs w:val="36"/>
          <w:highlight w:val="none"/>
          <w:lang w:eastAsia="zh-CN"/>
        </w:rPr>
        <w:t>竞选</w:t>
      </w:r>
      <w:r>
        <w:rPr>
          <w:rFonts w:hint="eastAsia" w:ascii="仿宋" w:hAnsi="仿宋" w:eastAsia="仿宋" w:cs="仿宋"/>
          <w:b/>
          <w:bCs/>
          <w:sz w:val="36"/>
          <w:szCs w:val="36"/>
          <w:highlight w:val="none"/>
        </w:rPr>
        <w:t>文件格式要求</w:t>
      </w:r>
      <w:bookmarkEnd w:id="372"/>
    </w:p>
    <w:p w14:paraId="2A0AE317">
      <w:pPr>
        <w:spacing w:line="360" w:lineRule="auto"/>
        <w:outlineLvl w:val="0"/>
        <w:rPr>
          <w:rFonts w:hint="eastAsia" w:ascii="仿宋" w:hAnsi="仿宋" w:eastAsia="仿宋" w:cs="仿宋"/>
          <w:sz w:val="24"/>
          <w:szCs w:val="24"/>
          <w:highlight w:val="none"/>
          <w:bdr w:val="single" w:color="auto" w:sz="4" w:space="0"/>
        </w:rPr>
        <w:sectPr>
          <w:footerReference r:id="rId8" w:type="default"/>
          <w:pgSz w:w="11907" w:h="16840"/>
          <w:pgMar w:top="1134" w:right="1134" w:bottom="1134" w:left="1134" w:header="851" w:footer="992" w:gutter="0"/>
          <w:pgNumType w:fmt="numberInDash" w:start="1"/>
          <w:cols w:space="720" w:num="1"/>
          <w:docGrid w:linePitch="380" w:charSpace="-5735"/>
        </w:sectPr>
      </w:pPr>
    </w:p>
    <w:p w14:paraId="567165EB">
      <w:pPr>
        <w:pStyle w:val="3"/>
        <w:spacing w:before="65" w:after="65"/>
        <w:ind w:left="0" w:leftChars="0" w:firstLine="0" w:firstLineChars="0"/>
        <w:rPr>
          <w:rFonts w:hint="eastAsia" w:ascii="仿宋" w:hAnsi="仿宋" w:eastAsia="仿宋" w:cs="仿宋"/>
          <w:color w:val="auto"/>
          <w:szCs w:val="28"/>
          <w:highlight w:val="none"/>
        </w:rPr>
      </w:pPr>
    </w:p>
    <w:p w14:paraId="076D23CD">
      <w:pPr>
        <w:pStyle w:val="3"/>
        <w:spacing w:before="65" w:after="65"/>
        <w:ind w:firstLine="422"/>
        <w:rPr>
          <w:rFonts w:hint="eastAsia" w:ascii="仿宋" w:hAnsi="仿宋" w:eastAsia="仿宋" w:cs="仿宋"/>
          <w:color w:val="auto"/>
          <w:szCs w:val="28"/>
          <w:highlight w:val="none"/>
        </w:rPr>
      </w:pPr>
      <w:r>
        <w:rPr>
          <w:rFonts w:hint="eastAsia" w:ascii="仿宋" w:hAnsi="仿宋" w:eastAsia="仿宋" w:cs="仿宋"/>
          <w:color w:val="auto"/>
          <w:highlight w:val="none"/>
          <w:lang w:eastAsia="zh-CN"/>
        </w:rPr>
        <w:t>竞选人</w:t>
      </w:r>
      <w:r>
        <w:rPr>
          <w:rFonts w:hint="eastAsia" w:ascii="仿宋" w:hAnsi="仿宋" w:eastAsia="仿宋" w:cs="仿宋"/>
          <w:color w:val="auto"/>
          <w:szCs w:val="28"/>
          <w:highlight w:val="none"/>
        </w:rPr>
        <w:t>编制</w:t>
      </w:r>
      <w:r>
        <w:rPr>
          <w:rFonts w:hint="eastAsia" w:ascii="仿宋" w:hAnsi="仿宋" w:eastAsia="仿宋" w:cs="仿宋"/>
          <w:color w:val="auto"/>
          <w:szCs w:val="28"/>
          <w:highlight w:val="none"/>
          <w:lang w:eastAsia="zh-CN"/>
        </w:rPr>
        <w:t>竞选</w:t>
      </w:r>
      <w:r>
        <w:rPr>
          <w:rFonts w:hint="eastAsia" w:ascii="仿宋" w:hAnsi="仿宋" w:eastAsia="仿宋" w:cs="仿宋"/>
          <w:color w:val="auto"/>
          <w:szCs w:val="28"/>
          <w:highlight w:val="none"/>
        </w:rPr>
        <w:t>文件要求</w:t>
      </w:r>
      <w:bookmarkEnd w:id="366"/>
      <w:bookmarkEnd w:id="367"/>
    </w:p>
    <w:p w14:paraId="0B6E505A">
      <w:pPr>
        <w:ind w:firstLine="480"/>
        <w:rPr>
          <w:rFonts w:hint="eastAsia" w:ascii="仿宋" w:hAnsi="仿宋" w:eastAsia="仿宋" w:cs="仿宋"/>
          <w:color w:val="auto"/>
          <w:highlight w:val="none"/>
        </w:rPr>
      </w:pPr>
    </w:p>
    <w:bookmarkEnd w:id="368"/>
    <w:bookmarkEnd w:id="369"/>
    <w:p w14:paraId="61F501D7">
      <w:pPr>
        <w:spacing w:line="360" w:lineRule="auto"/>
        <w:ind w:left="480" w:leftChars="200" w:firstLine="562"/>
        <w:rPr>
          <w:rFonts w:hint="eastAsia" w:ascii="仿宋" w:hAnsi="仿宋" w:eastAsia="仿宋" w:cs="仿宋"/>
          <w:b/>
          <w:bCs/>
          <w:color w:val="auto"/>
          <w:sz w:val="28"/>
          <w:szCs w:val="28"/>
          <w:highlight w:val="none"/>
        </w:rPr>
      </w:pPr>
      <w:bookmarkStart w:id="373" w:name="_Toc17074"/>
    </w:p>
    <w:p w14:paraId="18DE7B4B">
      <w:pPr>
        <w:spacing w:line="360" w:lineRule="auto"/>
        <w:ind w:left="480" w:leftChars="200" w:firstLine="562"/>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项目名称：</w:t>
      </w:r>
    </w:p>
    <w:p w14:paraId="5FFE9C49">
      <w:pPr>
        <w:spacing w:line="360" w:lineRule="auto"/>
        <w:rPr>
          <w:rFonts w:hint="eastAsia" w:ascii="仿宋" w:hAnsi="仿宋" w:eastAsia="仿宋" w:cs="仿宋"/>
          <w:b/>
          <w:bCs/>
          <w:color w:val="auto"/>
          <w:sz w:val="28"/>
          <w:szCs w:val="28"/>
          <w:highlight w:val="none"/>
        </w:rPr>
      </w:pPr>
    </w:p>
    <w:p w14:paraId="7B12945C">
      <w:pPr>
        <w:spacing w:line="360" w:lineRule="auto"/>
        <w:ind w:firstLine="480"/>
        <w:rPr>
          <w:rFonts w:hint="eastAsia" w:ascii="仿宋" w:hAnsi="仿宋" w:eastAsia="仿宋" w:cs="仿宋"/>
          <w:color w:val="auto"/>
          <w:highlight w:val="none"/>
        </w:rPr>
      </w:pPr>
    </w:p>
    <w:p w14:paraId="7FB0C74D">
      <w:pPr>
        <w:spacing w:line="600" w:lineRule="auto"/>
        <w:ind w:firstLine="0" w:firstLineChars="0"/>
        <w:jc w:val="center"/>
        <w:rPr>
          <w:rFonts w:hint="eastAsia" w:ascii="仿宋" w:hAnsi="仿宋" w:eastAsia="仿宋" w:cs="仿宋"/>
          <w:b/>
          <w:bCs/>
          <w:color w:val="auto"/>
          <w:sz w:val="50"/>
          <w:szCs w:val="50"/>
          <w:highlight w:val="none"/>
        </w:rPr>
      </w:pPr>
      <w:r>
        <w:rPr>
          <w:rFonts w:hint="eastAsia" w:ascii="仿宋" w:hAnsi="仿宋" w:eastAsia="仿宋" w:cs="仿宋"/>
          <w:b/>
          <w:bCs/>
          <w:color w:val="auto"/>
          <w:sz w:val="50"/>
          <w:szCs w:val="50"/>
          <w:highlight w:val="none"/>
        </w:rPr>
        <w:t>(正本/副本)</w:t>
      </w:r>
    </w:p>
    <w:p w14:paraId="6223EA0E">
      <w:pPr>
        <w:spacing w:line="240" w:lineRule="auto"/>
        <w:ind w:firstLine="0" w:firstLineChars="0"/>
        <w:jc w:val="center"/>
        <w:rPr>
          <w:rFonts w:hint="eastAsia" w:ascii="仿宋" w:hAnsi="仿宋" w:eastAsia="仿宋" w:cs="仿宋"/>
          <w:b/>
          <w:bCs/>
          <w:color w:val="auto"/>
          <w:sz w:val="96"/>
          <w:szCs w:val="96"/>
          <w:highlight w:val="none"/>
        </w:rPr>
      </w:pPr>
      <w:r>
        <w:rPr>
          <w:rFonts w:hint="eastAsia" w:ascii="仿宋" w:hAnsi="仿宋" w:eastAsia="仿宋" w:cs="仿宋"/>
          <w:b/>
          <w:bCs/>
          <w:color w:val="auto"/>
          <w:sz w:val="96"/>
          <w:szCs w:val="96"/>
          <w:highlight w:val="none"/>
        </w:rPr>
        <w:t>响</w:t>
      </w:r>
    </w:p>
    <w:p w14:paraId="281EC0BE">
      <w:pPr>
        <w:spacing w:line="240" w:lineRule="auto"/>
        <w:ind w:firstLine="0" w:firstLineChars="0"/>
        <w:jc w:val="center"/>
        <w:rPr>
          <w:rFonts w:hint="eastAsia" w:ascii="仿宋" w:hAnsi="仿宋" w:eastAsia="仿宋" w:cs="仿宋"/>
          <w:b/>
          <w:bCs/>
          <w:color w:val="auto"/>
          <w:sz w:val="96"/>
          <w:szCs w:val="96"/>
          <w:highlight w:val="none"/>
        </w:rPr>
      </w:pPr>
      <w:r>
        <w:rPr>
          <w:rFonts w:hint="eastAsia" w:ascii="仿宋" w:hAnsi="仿宋" w:eastAsia="仿宋" w:cs="仿宋"/>
          <w:b/>
          <w:bCs/>
          <w:color w:val="auto"/>
          <w:sz w:val="96"/>
          <w:szCs w:val="96"/>
          <w:highlight w:val="none"/>
        </w:rPr>
        <w:t>应</w:t>
      </w:r>
    </w:p>
    <w:p w14:paraId="22CEB905">
      <w:pPr>
        <w:spacing w:line="240" w:lineRule="auto"/>
        <w:ind w:firstLine="0" w:firstLineChars="0"/>
        <w:jc w:val="center"/>
        <w:rPr>
          <w:rFonts w:hint="eastAsia" w:ascii="仿宋" w:hAnsi="仿宋" w:eastAsia="仿宋" w:cs="仿宋"/>
          <w:b/>
          <w:bCs/>
          <w:color w:val="auto"/>
          <w:sz w:val="96"/>
          <w:szCs w:val="96"/>
          <w:highlight w:val="none"/>
        </w:rPr>
      </w:pPr>
      <w:r>
        <w:rPr>
          <w:rFonts w:hint="eastAsia" w:ascii="仿宋" w:hAnsi="仿宋" w:eastAsia="仿宋" w:cs="仿宋"/>
          <w:b/>
          <w:bCs/>
          <w:color w:val="auto"/>
          <w:sz w:val="96"/>
          <w:szCs w:val="96"/>
          <w:highlight w:val="none"/>
        </w:rPr>
        <w:t>文</w:t>
      </w:r>
    </w:p>
    <w:p w14:paraId="2B54FB1E">
      <w:pPr>
        <w:spacing w:line="240" w:lineRule="auto"/>
        <w:ind w:firstLine="0" w:firstLineChars="0"/>
        <w:jc w:val="center"/>
        <w:rPr>
          <w:rFonts w:hint="eastAsia" w:ascii="仿宋" w:hAnsi="仿宋" w:eastAsia="仿宋" w:cs="仿宋"/>
          <w:b/>
          <w:bCs/>
          <w:color w:val="auto"/>
          <w:sz w:val="96"/>
          <w:szCs w:val="96"/>
          <w:highlight w:val="none"/>
        </w:rPr>
      </w:pPr>
      <w:r>
        <w:rPr>
          <w:rFonts w:hint="eastAsia" w:ascii="仿宋" w:hAnsi="仿宋" w:eastAsia="仿宋" w:cs="仿宋"/>
          <w:b/>
          <w:bCs/>
          <w:color w:val="auto"/>
          <w:sz w:val="96"/>
          <w:szCs w:val="96"/>
          <w:highlight w:val="none"/>
        </w:rPr>
        <w:t>件</w:t>
      </w:r>
    </w:p>
    <w:p w14:paraId="107486E4">
      <w:pPr>
        <w:spacing w:line="360" w:lineRule="auto"/>
        <w:ind w:firstLine="0" w:firstLineChars="0"/>
        <w:jc w:val="center"/>
        <w:rPr>
          <w:rFonts w:hint="eastAsia" w:ascii="仿宋" w:hAnsi="仿宋" w:eastAsia="仿宋" w:cs="仿宋"/>
          <w:b/>
          <w:bCs/>
          <w:color w:val="auto"/>
          <w:sz w:val="28"/>
          <w:szCs w:val="28"/>
          <w:highlight w:val="none"/>
          <w:lang w:eastAsia="zh-CN"/>
        </w:rPr>
      </w:pPr>
    </w:p>
    <w:p w14:paraId="68E55012">
      <w:pPr>
        <w:spacing w:line="360" w:lineRule="auto"/>
        <w:ind w:firstLine="0" w:firstLineChars="0"/>
        <w:jc w:val="both"/>
        <w:rPr>
          <w:rFonts w:hint="eastAsia" w:ascii="仿宋" w:hAnsi="仿宋" w:eastAsia="仿宋" w:cs="仿宋"/>
          <w:b/>
          <w:bCs/>
          <w:color w:val="auto"/>
          <w:sz w:val="28"/>
          <w:szCs w:val="28"/>
          <w:highlight w:val="none"/>
          <w:lang w:val="en-US" w:eastAsia="zh-CN"/>
        </w:rPr>
      </w:pPr>
    </w:p>
    <w:p w14:paraId="17C1AF9E">
      <w:pPr>
        <w:spacing w:line="360" w:lineRule="auto"/>
        <w:ind w:firstLine="0" w:firstLineChars="0"/>
        <w:jc w:val="both"/>
        <w:rPr>
          <w:rFonts w:hint="eastAsia" w:ascii="仿宋" w:hAnsi="仿宋" w:eastAsia="仿宋" w:cs="仿宋"/>
          <w:b/>
          <w:bCs/>
          <w:color w:val="auto"/>
          <w:sz w:val="28"/>
          <w:szCs w:val="28"/>
          <w:highlight w:val="none"/>
        </w:rPr>
      </w:pPr>
    </w:p>
    <w:p w14:paraId="18CC3139">
      <w:pPr>
        <w:spacing w:line="360" w:lineRule="auto"/>
        <w:ind w:left="1200" w:leftChars="500" w:firstLine="0" w:firstLineChars="0"/>
        <w:jc w:val="both"/>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eastAsia="zh-CN"/>
        </w:rPr>
        <w:t>竞选人</w:t>
      </w:r>
      <w:r>
        <w:rPr>
          <w:rFonts w:hint="eastAsia" w:ascii="仿宋" w:hAnsi="仿宋" w:eastAsia="仿宋" w:cs="仿宋"/>
          <w:b/>
          <w:bCs/>
          <w:color w:val="auto"/>
          <w:sz w:val="28"/>
          <w:szCs w:val="28"/>
          <w:highlight w:val="none"/>
        </w:rPr>
        <w:t>名称：</w:t>
      </w:r>
    </w:p>
    <w:p w14:paraId="6AC0FB8E">
      <w:pPr>
        <w:spacing w:line="360" w:lineRule="auto"/>
        <w:ind w:left="1200" w:leftChars="500" w:firstLine="0" w:firstLineChars="0"/>
        <w:jc w:val="both"/>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eastAsia="zh-CN"/>
        </w:rPr>
        <w:t>竞选人</w:t>
      </w:r>
      <w:r>
        <w:rPr>
          <w:rFonts w:hint="eastAsia" w:ascii="仿宋" w:hAnsi="仿宋" w:eastAsia="仿宋" w:cs="仿宋"/>
          <w:b/>
          <w:bCs/>
          <w:color w:val="auto"/>
          <w:sz w:val="28"/>
          <w:szCs w:val="28"/>
          <w:highlight w:val="none"/>
        </w:rPr>
        <w:t>地址：</w:t>
      </w:r>
    </w:p>
    <w:p w14:paraId="0FBA7063">
      <w:pPr>
        <w:spacing w:line="360" w:lineRule="auto"/>
        <w:ind w:left="1200" w:leftChars="500" w:firstLine="0" w:firstLineChars="0"/>
        <w:jc w:val="both"/>
        <w:rPr>
          <w:rFonts w:hint="eastAsia" w:ascii="仿宋" w:hAnsi="仿宋" w:eastAsia="仿宋" w:cs="仿宋"/>
          <w:b/>
          <w:color w:val="auto"/>
          <w:szCs w:val="28"/>
          <w:highlight w:val="none"/>
        </w:rPr>
      </w:pPr>
      <w:r>
        <w:rPr>
          <w:rFonts w:hint="eastAsia" w:ascii="仿宋" w:hAnsi="仿宋" w:eastAsia="仿宋" w:cs="仿宋"/>
          <w:b/>
          <w:bCs/>
          <w:color w:val="auto"/>
          <w:sz w:val="28"/>
          <w:szCs w:val="28"/>
          <w:highlight w:val="none"/>
        </w:rPr>
        <w:t>投标日期：</w:t>
      </w:r>
    </w:p>
    <w:p w14:paraId="15841EFF">
      <w:pPr>
        <w:rPr>
          <w:rFonts w:hint="eastAsia" w:ascii="仿宋" w:hAnsi="仿宋" w:eastAsia="仿宋" w:cs="仿宋"/>
          <w:b/>
          <w:kern w:val="0"/>
          <w:sz w:val="32"/>
          <w:szCs w:val="32"/>
        </w:rPr>
      </w:pPr>
      <w:r>
        <w:rPr>
          <w:rFonts w:hint="eastAsia" w:ascii="仿宋" w:hAnsi="仿宋" w:eastAsia="仿宋" w:cs="仿宋"/>
          <w:b/>
          <w:kern w:val="0"/>
          <w:sz w:val="32"/>
          <w:szCs w:val="32"/>
        </w:rPr>
        <w:br w:type="page"/>
      </w:r>
    </w:p>
    <w:p w14:paraId="3696DDE3">
      <w:pPr>
        <w:autoSpaceDE w:val="0"/>
        <w:autoSpaceDN w:val="0"/>
        <w:adjustRightInd w:val="0"/>
        <w:snapToGrid w:val="0"/>
        <w:spacing w:line="360" w:lineRule="auto"/>
        <w:jc w:val="center"/>
        <w:rPr>
          <w:rFonts w:hint="eastAsia" w:ascii="仿宋" w:hAnsi="仿宋" w:eastAsia="仿宋" w:cs="仿宋"/>
          <w:b/>
          <w:kern w:val="0"/>
          <w:sz w:val="32"/>
          <w:szCs w:val="32"/>
        </w:rPr>
      </w:pPr>
      <w:r>
        <w:rPr>
          <w:rFonts w:hint="eastAsia" w:ascii="仿宋" w:hAnsi="仿宋" w:eastAsia="仿宋" w:cs="仿宋"/>
          <w:b/>
          <w:kern w:val="0"/>
          <w:sz w:val="32"/>
          <w:szCs w:val="32"/>
        </w:rPr>
        <w:t>目     录</w:t>
      </w:r>
    </w:p>
    <w:p w14:paraId="45F320CD">
      <w:pPr>
        <w:autoSpaceDE w:val="0"/>
        <w:autoSpaceDN w:val="0"/>
        <w:adjustRightInd w:val="0"/>
        <w:snapToGrid w:val="0"/>
        <w:spacing w:line="360" w:lineRule="auto"/>
        <w:jc w:val="left"/>
        <w:rPr>
          <w:rFonts w:hint="eastAsia" w:ascii="仿宋" w:hAnsi="仿宋" w:eastAsia="仿宋" w:cs="仿宋"/>
          <w:kern w:val="0"/>
          <w:sz w:val="24"/>
          <w:szCs w:val="21"/>
        </w:rPr>
      </w:pPr>
    </w:p>
    <w:p w14:paraId="3A1E6497">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一、经济部分</w:t>
      </w:r>
    </w:p>
    <w:p w14:paraId="513C516E">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（一）报价函</w:t>
      </w:r>
    </w:p>
    <w:p w14:paraId="252247A3">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（二）</w:t>
      </w:r>
      <w:r>
        <w:rPr>
          <w:rFonts w:hint="eastAsia" w:ascii="仿宋" w:hAnsi="仿宋" w:eastAsia="仿宋" w:cs="仿宋"/>
          <w:sz w:val="24"/>
          <w:szCs w:val="24"/>
          <w:highlight w:val="none"/>
          <w:lang w:val="en-US" w:eastAsia="zh-CN"/>
        </w:rPr>
        <w:t>分项报价表明细</w:t>
      </w:r>
    </w:p>
    <w:p w14:paraId="68EC038D">
      <w:pPr>
        <w:autoSpaceDE w:val="0"/>
        <w:autoSpaceDN w:val="0"/>
        <w:adjustRightInd w:val="0"/>
        <w:spacing w:line="360" w:lineRule="auto"/>
        <w:ind w:right="-20"/>
        <w:jc w:val="left"/>
        <w:rPr>
          <w:rFonts w:hint="eastAsia" w:ascii="仿宋" w:hAnsi="仿宋" w:eastAsia="仿宋" w:cs="仿宋"/>
          <w:kern w:val="0"/>
          <w:sz w:val="24"/>
        </w:rPr>
      </w:pPr>
      <w:r>
        <w:rPr>
          <w:rFonts w:hint="eastAsia" w:ascii="仿宋" w:hAnsi="仿宋" w:eastAsia="仿宋" w:cs="仿宋"/>
          <w:kern w:val="0"/>
          <w:sz w:val="24"/>
        </w:rPr>
        <w:t>（</w:t>
      </w:r>
      <w:r>
        <w:rPr>
          <w:rFonts w:hint="eastAsia" w:ascii="仿宋" w:hAnsi="仿宋" w:eastAsia="仿宋" w:cs="仿宋"/>
          <w:kern w:val="0"/>
          <w:sz w:val="24"/>
          <w:lang w:val="en-US" w:eastAsia="zh-CN"/>
        </w:rPr>
        <w:t>三</w:t>
      </w:r>
      <w:r>
        <w:rPr>
          <w:rFonts w:hint="eastAsia" w:ascii="仿宋" w:hAnsi="仿宋" w:eastAsia="仿宋" w:cs="仿宋"/>
          <w:kern w:val="0"/>
          <w:sz w:val="24"/>
        </w:rPr>
        <w:t>）低价风险担保缴纳承诺书</w:t>
      </w:r>
    </w:p>
    <w:p w14:paraId="56598F94">
      <w:pPr>
        <w:snapToGrid w:val="0"/>
        <w:spacing w:line="500" w:lineRule="exact"/>
        <w:rPr>
          <w:rFonts w:hint="eastAsia" w:ascii="仿宋" w:hAnsi="仿宋" w:eastAsia="仿宋" w:cs="仿宋"/>
          <w:sz w:val="24"/>
          <w:szCs w:val="24"/>
          <w:highlight w:val="none"/>
          <w:lang w:val="en-US" w:eastAsia="zh-CN"/>
        </w:rPr>
      </w:pPr>
      <w:r>
        <w:rPr>
          <w:rFonts w:hint="eastAsia" w:ascii="仿宋" w:hAnsi="仿宋" w:eastAsia="仿宋" w:cs="仿宋"/>
          <w:kern w:val="0"/>
          <w:sz w:val="24"/>
        </w:rPr>
        <w:t>（</w:t>
      </w:r>
      <w:r>
        <w:rPr>
          <w:rFonts w:hint="eastAsia" w:ascii="仿宋" w:hAnsi="仿宋" w:eastAsia="仿宋" w:cs="仿宋"/>
          <w:kern w:val="0"/>
          <w:sz w:val="24"/>
          <w:lang w:val="en-US" w:eastAsia="zh-CN"/>
        </w:rPr>
        <w:t>四</w:t>
      </w:r>
      <w:r>
        <w:rPr>
          <w:rFonts w:hint="eastAsia" w:ascii="仿宋" w:hAnsi="仿宋" w:eastAsia="仿宋" w:cs="仿宋"/>
          <w:kern w:val="0"/>
          <w:sz w:val="24"/>
        </w:rPr>
        <w:t>）投标总报价低于最高限价 85%的书面说明及相关证明材料（如有）</w:t>
      </w:r>
    </w:p>
    <w:p w14:paraId="68F2D496">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二、技术（质量）部分</w:t>
      </w:r>
    </w:p>
    <w:p w14:paraId="788607E5">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（一）技术（质量）</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偏离表</w:t>
      </w:r>
    </w:p>
    <w:p w14:paraId="6E5C5B93">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（二）其他资料（格式自定）</w:t>
      </w:r>
    </w:p>
    <w:p w14:paraId="15F2E550">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三、商务部分</w:t>
      </w:r>
    </w:p>
    <w:p w14:paraId="1D9E37E9">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（一）商务</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偏离表</w:t>
      </w:r>
    </w:p>
    <w:p w14:paraId="7B349ABE">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（二）其它优惠服务承诺（格式自定）</w:t>
      </w:r>
    </w:p>
    <w:p w14:paraId="66E9A378">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四、资格条件及其他</w:t>
      </w:r>
    </w:p>
    <w:p w14:paraId="005190BA">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（一）法人营业执照（副本）或事业单位法人证书（副本）或个体工商户营业执照或有效的自然人身份证明或社会团体法人登记证书</w:t>
      </w:r>
    </w:p>
    <w:p w14:paraId="486BE9BE">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（二）法定代表人身份证明书</w:t>
      </w:r>
    </w:p>
    <w:p w14:paraId="5CE87C4B">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（三）法定代表人授权委托书</w:t>
      </w:r>
    </w:p>
    <w:p w14:paraId="489EE38D">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（四）近年财务状况表</w:t>
      </w:r>
    </w:p>
    <w:p w14:paraId="677E93FF">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）基本资格条件承诺函</w:t>
      </w:r>
    </w:p>
    <w:p w14:paraId="02840A4A">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）特定资格条件证书或证明文件</w:t>
      </w:r>
    </w:p>
    <w:p w14:paraId="5100CDBB">
      <w:pPr>
        <w:spacing w:line="360" w:lineRule="auto"/>
        <w:ind w:firstLine="480" w:firstLineChars="200"/>
        <w:outlineLvl w:val="0"/>
        <w:rPr>
          <w:rFonts w:hint="eastAsia" w:ascii="仿宋" w:hAnsi="仿宋" w:eastAsia="仿宋" w:cs="仿宋"/>
          <w:sz w:val="24"/>
          <w:szCs w:val="24"/>
          <w:highlight w:val="none"/>
        </w:rPr>
      </w:pPr>
      <w:r>
        <w:rPr>
          <w:rFonts w:hint="eastAsia" w:ascii="仿宋" w:hAnsi="仿宋" w:eastAsia="仿宋" w:cs="仿宋"/>
          <w:sz w:val="24"/>
          <w:szCs w:val="24"/>
          <w:highlight w:val="none"/>
        </w:rPr>
        <w:t>五、其他资料</w:t>
      </w:r>
    </w:p>
    <w:p w14:paraId="535247CE">
      <w:pPr>
        <w:spacing w:line="312" w:lineRule="auto"/>
        <w:ind w:firstLine="0" w:firstLineChars="0"/>
        <w:rPr>
          <w:rFonts w:hint="eastAsia" w:ascii="仿宋" w:hAnsi="仿宋" w:eastAsia="仿宋" w:cs="仿宋"/>
          <w:b/>
          <w:color w:val="auto"/>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一</w:t>
      </w:r>
      <w:r>
        <w:rPr>
          <w:rFonts w:hint="eastAsia" w:ascii="仿宋" w:hAnsi="仿宋" w:eastAsia="仿宋" w:cs="仿宋"/>
          <w:sz w:val="24"/>
          <w:szCs w:val="24"/>
          <w:highlight w:val="none"/>
        </w:rPr>
        <w:t>）其他与项目有关的资料（自附）</w:t>
      </w:r>
      <w:r>
        <w:rPr>
          <w:rFonts w:hint="eastAsia" w:ascii="仿宋" w:hAnsi="仿宋" w:eastAsia="仿宋" w:cs="仿宋"/>
          <w:color w:val="auto"/>
          <w:highlight w:val="none"/>
        </w:rPr>
        <w:br w:type="page"/>
      </w:r>
    </w:p>
    <w:p w14:paraId="6C45F55E">
      <w:pPr>
        <w:tabs>
          <w:tab w:val="left" w:pos="6300"/>
        </w:tabs>
        <w:snapToGrid w:val="0"/>
        <w:spacing w:line="312" w:lineRule="auto"/>
        <w:ind w:firstLine="480"/>
        <w:rPr>
          <w:rFonts w:hint="eastAsia" w:ascii="仿宋" w:hAnsi="仿宋" w:eastAsia="仿宋" w:cs="仿宋"/>
          <w:bCs/>
          <w:color w:val="auto"/>
          <w:highlight w:val="none"/>
          <w:lang w:val="en-US" w:eastAsia="zh-CN"/>
        </w:rPr>
      </w:pPr>
      <w:r>
        <w:rPr>
          <w:rFonts w:hint="eastAsia" w:ascii="仿宋" w:hAnsi="仿宋" w:eastAsia="仿宋" w:cs="仿宋"/>
          <w:bCs/>
          <w:color w:val="auto"/>
          <w:highlight w:val="none"/>
          <w:lang w:val="en-US" w:eastAsia="zh-CN"/>
        </w:rPr>
        <w:t>一、经济部分</w:t>
      </w:r>
    </w:p>
    <w:p w14:paraId="778ABFDD">
      <w:pPr>
        <w:tabs>
          <w:tab w:val="left" w:pos="6300"/>
        </w:tabs>
        <w:snapToGrid w:val="0"/>
        <w:spacing w:line="312" w:lineRule="auto"/>
        <w:ind w:firstLine="480"/>
        <w:rPr>
          <w:rFonts w:hint="eastAsia" w:ascii="仿宋" w:hAnsi="仿宋" w:eastAsia="仿宋" w:cs="仿宋"/>
          <w:bCs/>
          <w:color w:val="auto"/>
          <w:highlight w:val="none"/>
        </w:rPr>
      </w:pPr>
      <w:r>
        <w:rPr>
          <w:rFonts w:hint="eastAsia" w:ascii="仿宋" w:hAnsi="仿宋" w:eastAsia="仿宋" w:cs="仿宋"/>
          <w:bCs/>
          <w:color w:val="auto"/>
          <w:highlight w:val="none"/>
        </w:rPr>
        <w:t>（一）报价函</w:t>
      </w:r>
    </w:p>
    <w:p w14:paraId="6B71FEF6">
      <w:pPr>
        <w:tabs>
          <w:tab w:val="left" w:pos="6300"/>
        </w:tabs>
        <w:snapToGrid w:val="0"/>
        <w:spacing w:line="360" w:lineRule="auto"/>
        <w:ind w:firstLine="482"/>
        <w:jc w:val="center"/>
        <w:outlineLvl w:val="0"/>
        <w:rPr>
          <w:rFonts w:hint="eastAsia" w:ascii="仿宋" w:hAnsi="仿宋" w:eastAsia="仿宋" w:cs="仿宋"/>
          <w:b/>
          <w:color w:val="auto"/>
          <w:szCs w:val="28"/>
          <w:highlight w:val="none"/>
        </w:rPr>
      </w:pPr>
      <w:r>
        <w:rPr>
          <w:rFonts w:hint="eastAsia" w:ascii="仿宋" w:hAnsi="仿宋" w:eastAsia="仿宋" w:cs="仿宋"/>
          <w:b/>
          <w:color w:val="auto"/>
          <w:szCs w:val="28"/>
          <w:highlight w:val="none"/>
        </w:rPr>
        <w:t>报价函</w:t>
      </w:r>
    </w:p>
    <w:p w14:paraId="64E3CAC8">
      <w:pPr>
        <w:tabs>
          <w:tab w:val="left" w:pos="6300"/>
        </w:tabs>
        <w:snapToGrid w:val="0"/>
        <w:spacing w:line="52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名称）：</w:t>
      </w:r>
    </w:p>
    <w:p w14:paraId="62A08D00">
      <w:pPr>
        <w:tabs>
          <w:tab w:val="left" w:pos="6300"/>
        </w:tabs>
        <w:snapToGrid w:val="0"/>
        <w:spacing w:line="52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我方收到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（项目名称）的</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文件，经详细研究，决定参加该项目的</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w:t>
      </w:r>
    </w:p>
    <w:p w14:paraId="25D73F09">
      <w:pPr>
        <w:tabs>
          <w:tab w:val="left" w:pos="6300"/>
        </w:tabs>
        <w:snapToGrid w:val="0"/>
        <w:spacing w:line="520" w:lineRule="exact"/>
        <w:ind w:left="470" w:leftChars="196" w:firstLine="0" w:firstLineChars="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sz w:val="24"/>
          <w:szCs w:val="24"/>
          <w:highlight w:val="none"/>
        </w:rPr>
        <w:t>愿意按照</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中的一切要求，提供本项目的</w:t>
      </w:r>
      <w:r>
        <w:rPr>
          <w:rFonts w:hint="eastAsia" w:ascii="仿宋" w:hAnsi="仿宋" w:eastAsia="仿宋" w:cs="仿宋"/>
          <w:color w:val="auto"/>
          <w:sz w:val="24"/>
          <w:szCs w:val="24"/>
          <w:highlight w:val="none"/>
          <w:lang w:val="en-US" w:eastAsia="zh-CN"/>
        </w:rPr>
        <w:t>项目</w:t>
      </w:r>
      <w:r>
        <w:rPr>
          <w:rFonts w:hint="eastAsia" w:ascii="仿宋" w:hAnsi="仿宋" w:eastAsia="仿宋" w:cs="仿宋"/>
          <w:color w:val="auto"/>
          <w:sz w:val="24"/>
          <w:szCs w:val="24"/>
          <w:highlight w:val="none"/>
          <w:lang w:eastAsia="zh-CN"/>
        </w:rPr>
        <w:t>施工</w:t>
      </w:r>
      <w:r>
        <w:rPr>
          <w:rFonts w:hint="eastAsia" w:ascii="仿宋" w:hAnsi="仿宋" w:eastAsia="仿宋" w:cs="仿宋"/>
          <w:color w:val="auto"/>
          <w:sz w:val="24"/>
          <w:szCs w:val="24"/>
          <w:highlight w:val="none"/>
        </w:rPr>
        <w:t>服务，报价为人民币</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大写</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none"/>
          <w:lang w:eastAsia="zh-CN"/>
        </w:rPr>
        <w:t>）</w:t>
      </w:r>
      <w:r>
        <w:rPr>
          <w:rFonts w:hint="eastAsia" w:ascii="仿宋" w:hAnsi="仿宋" w:eastAsia="仿宋" w:cs="仿宋"/>
          <w:color w:val="auto"/>
          <w:sz w:val="24"/>
          <w:szCs w:val="24"/>
          <w:highlight w:val="none"/>
          <w:lang w:eastAsia="zh-CN"/>
        </w:rPr>
        <w:t xml:space="preserve">（¥ </w:t>
      </w:r>
      <w:r>
        <w:rPr>
          <w:rFonts w:hint="eastAsia" w:ascii="仿宋" w:hAnsi="仿宋" w:eastAsia="仿宋" w:cs="仿宋"/>
          <w:color w:val="auto"/>
          <w:sz w:val="24"/>
          <w:szCs w:val="24"/>
          <w:highlight w:val="none"/>
          <w:u w:val="single"/>
          <w:lang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,（其中安全文明施工费</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w:t>
      </w:r>
    </w:p>
    <w:p w14:paraId="5B75F514">
      <w:pPr>
        <w:tabs>
          <w:tab w:val="left" w:pos="6300"/>
        </w:tabs>
        <w:snapToGrid w:val="0"/>
        <w:spacing w:line="520" w:lineRule="exact"/>
        <w:ind w:firstLine="480"/>
        <w:rPr>
          <w:rFonts w:hint="eastAsia" w:ascii="仿宋" w:hAnsi="仿宋" w:eastAsia="仿宋" w:cs="仿宋"/>
          <w:color w:val="auto"/>
          <w:szCs w:val="28"/>
          <w:highlight w:val="none"/>
        </w:rPr>
      </w:pPr>
      <w:r>
        <w:rPr>
          <w:rFonts w:hint="eastAsia" w:ascii="仿宋" w:hAnsi="仿宋" w:eastAsia="仿宋" w:cs="仿宋"/>
          <w:color w:val="auto"/>
          <w:szCs w:val="28"/>
          <w:highlight w:val="none"/>
        </w:rPr>
        <w:t>2、我方现提交的</w:t>
      </w:r>
      <w:r>
        <w:rPr>
          <w:rFonts w:hint="eastAsia" w:ascii="仿宋" w:hAnsi="仿宋" w:eastAsia="仿宋" w:cs="仿宋"/>
          <w:color w:val="auto"/>
          <w:szCs w:val="28"/>
          <w:highlight w:val="none"/>
          <w:lang w:eastAsia="zh-CN"/>
        </w:rPr>
        <w:t>竞选</w:t>
      </w:r>
      <w:r>
        <w:rPr>
          <w:rFonts w:hint="eastAsia" w:ascii="仿宋" w:hAnsi="仿宋" w:eastAsia="仿宋" w:cs="仿宋"/>
          <w:color w:val="auto"/>
          <w:szCs w:val="28"/>
          <w:highlight w:val="none"/>
        </w:rPr>
        <w:t>文件为：</w:t>
      </w:r>
      <w:r>
        <w:rPr>
          <w:rFonts w:hint="eastAsia" w:ascii="仿宋" w:hAnsi="仿宋" w:eastAsia="仿宋" w:cs="仿宋"/>
          <w:color w:val="auto"/>
          <w:szCs w:val="28"/>
          <w:highlight w:val="none"/>
          <w:lang w:eastAsia="zh-CN"/>
        </w:rPr>
        <w:t>竞选</w:t>
      </w:r>
      <w:r>
        <w:rPr>
          <w:rFonts w:hint="eastAsia" w:ascii="仿宋" w:hAnsi="仿宋" w:eastAsia="仿宋" w:cs="仿宋"/>
          <w:color w:val="auto"/>
          <w:szCs w:val="28"/>
          <w:highlight w:val="none"/>
        </w:rPr>
        <w:t>文件正本</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份，副本</w:t>
      </w:r>
      <w:r>
        <w:rPr>
          <w:rFonts w:hint="eastAsia" w:ascii="仿宋" w:hAnsi="仿宋" w:eastAsia="仿宋" w:cs="仿宋"/>
          <w:color w:val="auto"/>
          <w:szCs w:val="28"/>
          <w:highlight w:val="none"/>
          <w:u w:val="single"/>
        </w:rPr>
        <w:t xml:space="preserve">    </w:t>
      </w:r>
      <w:r>
        <w:rPr>
          <w:rFonts w:hint="eastAsia" w:ascii="仿宋" w:hAnsi="仿宋" w:eastAsia="仿宋" w:cs="仿宋"/>
          <w:color w:val="auto"/>
          <w:szCs w:val="28"/>
          <w:highlight w:val="none"/>
        </w:rPr>
        <w:t>份。</w:t>
      </w:r>
    </w:p>
    <w:p w14:paraId="060EBCF3">
      <w:pPr>
        <w:tabs>
          <w:tab w:val="left" w:pos="6300"/>
        </w:tabs>
        <w:snapToGrid w:val="0"/>
        <w:spacing w:line="520" w:lineRule="exact"/>
        <w:ind w:left="470" w:leftChars="196"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3、我方承诺：本次</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的有效期为90天。</w:t>
      </w:r>
    </w:p>
    <w:p w14:paraId="4E5F3D1E">
      <w:pPr>
        <w:tabs>
          <w:tab w:val="left" w:pos="6300"/>
        </w:tabs>
        <w:snapToGrid w:val="0"/>
        <w:spacing w:line="520" w:lineRule="exact"/>
        <w:ind w:left="470" w:leftChars="196"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4.我方完全理解和接受贵方</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的一切规定和要求及评审办法。</w:t>
      </w:r>
    </w:p>
    <w:p w14:paraId="6383207E">
      <w:pPr>
        <w:tabs>
          <w:tab w:val="left" w:pos="6300"/>
        </w:tabs>
        <w:snapToGrid w:val="0"/>
        <w:spacing w:line="520" w:lineRule="exact"/>
        <w:ind w:left="470" w:leftChars="196" w:firstLine="0" w:firstLineChars="0"/>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5.在整个</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过程中，我方若有违</w:t>
      </w:r>
      <w:r>
        <w:rPr>
          <w:rFonts w:hint="eastAsia" w:ascii="仿宋" w:hAnsi="仿宋" w:eastAsia="仿宋" w:cs="仿宋"/>
          <w:sz w:val="24"/>
          <w:szCs w:val="24"/>
          <w:highlight w:val="none"/>
        </w:rPr>
        <w:t>规行为，接受按照《中华人民共和国政府</w:t>
      </w:r>
      <w:r>
        <w:rPr>
          <w:rFonts w:hint="eastAsia" w:ascii="仿宋" w:hAnsi="仿宋" w:eastAsia="仿宋" w:cs="仿宋"/>
          <w:sz w:val="24"/>
          <w:szCs w:val="24"/>
          <w:highlight w:val="none"/>
          <w:lang w:eastAsia="zh-CN"/>
        </w:rPr>
        <w:t>比选</w:t>
      </w:r>
      <w:r>
        <w:rPr>
          <w:rFonts w:hint="eastAsia" w:ascii="仿宋" w:hAnsi="仿宋" w:eastAsia="仿宋" w:cs="仿宋"/>
          <w:sz w:val="24"/>
          <w:szCs w:val="24"/>
          <w:highlight w:val="none"/>
        </w:rPr>
        <w:t>法》和《</w:t>
      </w:r>
      <w:r>
        <w:rPr>
          <w:rFonts w:hint="eastAsia" w:ascii="仿宋" w:hAnsi="仿宋" w:eastAsia="仿宋" w:cs="仿宋"/>
          <w:sz w:val="24"/>
          <w:szCs w:val="24"/>
          <w:highlight w:val="none"/>
          <w:lang w:eastAsia="zh-CN"/>
        </w:rPr>
        <w:t>比选文件</w:t>
      </w:r>
      <w:r>
        <w:rPr>
          <w:rFonts w:hint="eastAsia" w:ascii="仿宋" w:hAnsi="仿宋" w:eastAsia="仿宋" w:cs="仿宋"/>
          <w:sz w:val="24"/>
          <w:szCs w:val="24"/>
          <w:highlight w:val="none"/>
        </w:rPr>
        <w:t>》之规定给予惩罚。</w:t>
      </w:r>
    </w:p>
    <w:p w14:paraId="1FB87BDA">
      <w:pPr>
        <w:tabs>
          <w:tab w:val="left" w:pos="6300"/>
        </w:tabs>
        <w:snapToGrid w:val="0"/>
        <w:spacing w:line="520" w:lineRule="exact"/>
        <w:ind w:left="470" w:leftChars="196" w:firstLine="0" w:firstLineChars="0"/>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6.我方若成为成交</w:t>
      </w:r>
      <w:r>
        <w:rPr>
          <w:rFonts w:hint="eastAsia" w:ascii="仿宋" w:hAnsi="仿宋" w:eastAsia="仿宋" w:cs="仿宋"/>
          <w:sz w:val="24"/>
          <w:szCs w:val="24"/>
          <w:highlight w:val="none"/>
          <w:lang w:eastAsia="zh-CN"/>
        </w:rPr>
        <w:t>竞选人</w:t>
      </w:r>
      <w:r>
        <w:rPr>
          <w:rFonts w:hint="eastAsia" w:ascii="仿宋" w:hAnsi="仿宋" w:eastAsia="仿宋" w:cs="仿宋"/>
          <w:sz w:val="24"/>
          <w:szCs w:val="24"/>
          <w:highlight w:val="none"/>
        </w:rPr>
        <w:t>，将按照最终报价结果签订合同，并且严格履行合同义务。本承</w:t>
      </w:r>
      <w:r>
        <w:rPr>
          <w:rFonts w:hint="eastAsia" w:ascii="仿宋" w:hAnsi="仿宋" w:eastAsia="仿宋" w:cs="仿宋"/>
          <w:color w:val="auto"/>
          <w:sz w:val="24"/>
          <w:szCs w:val="24"/>
          <w:highlight w:val="none"/>
        </w:rPr>
        <w:t>诺函将成为合同不可分割的一部分，与合同具有同等的法律效力。</w:t>
      </w:r>
    </w:p>
    <w:p w14:paraId="3B5E0CFC">
      <w:pPr>
        <w:tabs>
          <w:tab w:val="left" w:pos="6300"/>
        </w:tabs>
        <w:snapToGrid w:val="0"/>
        <w:spacing w:line="520" w:lineRule="exact"/>
        <w:ind w:left="470" w:leftChars="196"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7.我方同意按</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规定，交纳</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要求的保证金。如果我方成为成交</w:t>
      </w:r>
      <w:r>
        <w:rPr>
          <w:rFonts w:hint="eastAsia" w:ascii="仿宋" w:hAnsi="仿宋" w:eastAsia="仿宋" w:cs="仿宋"/>
          <w:color w:val="auto"/>
          <w:sz w:val="24"/>
          <w:szCs w:val="24"/>
          <w:highlight w:val="none"/>
          <w:lang w:eastAsia="zh-CN"/>
        </w:rPr>
        <w:t>竞选人</w:t>
      </w:r>
      <w:r>
        <w:rPr>
          <w:rFonts w:hint="eastAsia" w:ascii="仿宋" w:hAnsi="仿宋" w:eastAsia="仿宋" w:cs="仿宋"/>
          <w:color w:val="auto"/>
          <w:sz w:val="24"/>
          <w:szCs w:val="24"/>
          <w:highlight w:val="none"/>
        </w:rPr>
        <w:t>，保证在接到成交通知书后，向</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代理机构缴纳</w:t>
      </w: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规定的</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代理服务费。</w:t>
      </w:r>
    </w:p>
    <w:p w14:paraId="1751C2AE">
      <w:pPr>
        <w:tabs>
          <w:tab w:val="left" w:pos="6300"/>
        </w:tabs>
        <w:snapToGrid w:val="0"/>
        <w:spacing w:line="520" w:lineRule="exact"/>
        <w:ind w:left="470" w:leftChars="196"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8.我方未为</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项目提供整体设计、规范编制或者项目管理、监理、检测等服务。</w:t>
      </w:r>
    </w:p>
    <w:p w14:paraId="0C32CFCF">
      <w:pPr>
        <w:tabs>
          <w:tab w:val="left" w:pos="6300"/>
        </w:tabs>
        <w:snapToGrid w:val="0"/>
        <w:spacing w:line="360" w:lineRule="auto"/>
        <w:ind w:firstLine="480"/>
        <w:rPr>
          <w:rFonts w:hint="eastAsia" w:ascii="仿宋" w:hAnsi="仿宋" w:eastAsia="仿宋" w:cs="仿宋"/>
          <w:color w:val="auto"/>
          <w:highlight w:val="none"/>
        </w:rPr>
      </w:pPr>
    </w:p>
    <w:p w14:paraId="7B504CA0">
      <w:pPr>
        <w:tabs>
          <w:tab w:val="left" w:pos="6300"/>
        </w:tabs>
        <w:snapToGrid w:val="0"/>
        <w:spacing w:line="360" w:lineRule="auto"/>
        <w:ind w:firstLine="480"/>
        <w:rPr>
          <w:rFonts w:hint="eastAsia" w:ascii="仿宋" w:hAnsi="仿宋" w:eastAsia="仿宋" w:cs="仿宋"/>
          <w:color w:val="auto"/>
          <w:highlight w:val="none"/>
        </w:rPr>
      </w:pPr>
    </w:p>
    <w:p w14:paraId="6E0A2DC5">
      <w:pPr>
        <w:tabs>
          <w:tab w:val="left" w:pos="6300"/>
        </w:tabs>
        <w:snapToGrid w:val="0"/>
        <w:spacing w:line="360" w:lineRule="auto"/>
        <w:ind w:firstLine="480"/>
        <w:rPr>
          <w:rFonts w:hint="eastAsia" w:ascii="仿宋" w:hAnsi="仿宋" w:eastAsia="仿宋" w:cs="仿宋"/>
          <w:color w:val="auto"/>
          <w:highlight w:val="none"/>
        </w:rPr>
      </w:pPr>
    </w:p>
    <w:p w14:paraId="2F3A98FB">
      <w:pPr>
        <w:tabs>
          <w:tab w:val="left" w:pos="6300"/>
        </w:tabs>
        <w:snapToGrid w:val="0"/>
        <w:spacing w:line="360" w:lineRule="auto"/>
        <w:ind w:firstLine="480"/>
        <w:rPr>
          <w:rFonts w:hint="eastAsia" w:ascii="仿宋" w:hAnsi="仿宋" w:eastAsia="仿宋" w:cs="仿宋"/>
          <w:color w:val="auto"/>
          <w:highlight w:val="none"/>
        </w:rPr>
      </w:pPr>
    </w:p>
    <w:p w14:paraId="2E72B082">
      <w:pPr>
        <w:tabs>
          <w:tab w:val="left" w:pos="6300"/>
        </w:tabs>
        <w:snapToGrid w:val="0"/>
        <w:spacing w:line="360" w:lineRule="auto"/>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（公章）：</w:t>
      </w:r>
    </w:p>
    <w:p w14:paraId="0E5A44AC">
      <w:pPr>
        <w:snapToGrid w:val="0"/>
        <w:spacing w:line="360" w:lineRule="auto"/>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14:paraId="2E73932F">
      <w:pPr>
        <w:spacing w:line="240" w:lineRule="auto"/>
        <w:ind w:firstLine="0" w:firstLineChars="0"/>
        <w:textAlignment w:val="center"/>
        <w:rPr>
          <w:rFonts w:hint="eastAsia" w:ascii="仿宋" w:hAnsi="仿宋" w:eastAsia="仿宋" w:cs="仿宋"/>
          <w:color w:val="auto"/>
          <w:kern w:val="0"/>
          <w:highlight w:val="none"/>
        </w:rPr>
      </w:pPr>
      <w:r>
        <w:rPr>
          <w:rFonts w:hint="eastAsia" w:ascii="仿宋" w:hAnsi="仿宋" w:eastAsia="仿宋" w:cs="仿宋"/>
          <w:color w:val="auto"/>
          <w:highlight w:val="none"/>
        </w:rPr>
        <w:br w:type="page"/>
      </w:r>
      <w:r>
        <w:rPr>
          <w:rFonts w:hint="eastAsia" w:ascii="仿宋" w:hAnsi="仿宋" w:eastAsia="仿宋" w:cs="仿宋"/>
          <w:color w:val="auto"/>
          <w:kern w:val="0"/>
          <w:highlight w:val="none"/>
        </w:rPr>
        <w:t>（二）</w:t>
      </w:r>
      <w:bookmarkStart w:id="374" w:name="OLE_LINK12"/>
      <w:r>
        <w:rPr>
          <w:rFonts w:hint="eastAsia" w:ascii="仿宋" w:hAnsi="仿宋" w:eastAsia="仿宋" w:cs="仿宋"/>
          <w:sz w:val="24"/>
          <w:szCs w:val="24"/>
          <w:highlight w:val="none"/>
          <w:lang w:val="en-US" w:eastAsia="zh-CN"/>
        </w:rPr>
        <w:t>分项报价表明细</w:t>
      </w:r>
      <w:bookmarkEnd w:id="374"/>
    </w:p>
    <w:p w14:paraId="26548315">
      <w:pPr>
        <w:widowControl w:val="0"/>
        <w:spacing w:line="240" w:lineRule="auto"/>
        <w:ind w:firstLine="0" w:firstLineChars="0"/>
        <w:jc w:val="both"/>
        <w:rPr>
          <w:rFonts w:hint="eastAsia" w:ascii="仿宋" w:hAnsi="仿宋" w:eastAsia="仿宋" w:cs="仿宋"/>
          <w:color w:val="auto"/>
          <w:highlight w:val="none"/>
        </w:rPr>
      </w:pPr>
    </w:p>
    <w:p w14:paraId="07DCA618">
      <w:pPr>
        <w:pStyle w:val="6"/>
        <w:ind w:left="480" w:firstLine="480"/>
        <w:rPr>
          <w:rFonts w:hint="eastAsia" w:ascii="仿宋" w:hAnsi="仿宋" w:eastAsia="仿宋" w:cs="仿宋"/>
          <w:color w:val="auto"/>
          <w:highlight w:val="none"/>
        </w:rPr>
      </w:pPr>
    </w:p>
    <w:p w14:paraId="3330C10C">
      <w:pPr>
        <w:spacing w:line="360" w:lineRule="auto"/>
        <w:ind w:firstLine="2880" w:firstLineChars="1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（竞选人提供已标价工程量清单）</w:t>
      </w:r>
    </w:p>
    <w:p w14:paraId="000C474E">
      <w:pPr>
        <w:pStyle w:val="23"/>
        <w:ind w:left="480" w:firstLine="560"/>
        <w:rPr>
          <w:rFonts w:hint="eastAsia" w:ascii="仿宋" w:hAnsi="仿宋" w:eastAsia="仿宋" w:cs="仿宋"/>
          <w:b w:val="0"/>
          <w:color w:val="auto"/>
          <w:sz w:val="28"/>
          <w:szCs w:val="28"/>
          <w:highlight w:val="none"/>
          <w:lang w:eastAsia="zh-CN"/>
        </w:rPr>
      </w:pPr>
    </w:p>
    <w:p w14:paraId="58258227">
      <w:pPr>
        <w:pStyle w:val="23"/>
        <w:ind w:left="480" w:firstLine="560"/>
        <w:rPr>
          <w:rFonts w:hint="eastAsia" w:ascii="仿宋" w:hAnsi="仿宋" w:eastAsia="仿宋" w:cs="仿宋"/>
          <w:b w:val="0"/>
          <w:color w:val="auto"/>
          <w:sz w:val="28"/>
          <w:szCs w:val="28"/>
          <w:highlight w:val="none"/>
          <w:lang w:eastAsia="zh-CN"/>
        </w:rPr>
      </w:pPr>
    </w:p>
    <w:p w14:paraId="1C1DE00D">
      <w:pPr>
        <w:rPr>
          <w:rFonts w:hint="eastAsia" w:ascii="仿宋" w:hAnsi="仿宋" w:eastAsia="仿宋" w:cs="仿宋"/>
          <w:snapToGrid w:val="0"/>
          <w:kern w:val="0"/>
          <w:sz w:val="32"/>
          <w:szCs w:val="32"/>
        </w:rPr>
      </w:pPr>
      <w:bookmarkStart w:id="375" w:name="_Toc23307"/>
      <w:bookmarkStart w:id="376" w:name="_Toc66460693"/>
      <w:bookmarkStart w:id="377" w:name="_Toc22850"/>
      <w:bookmarkStart w:id="378" w:name="_Toc61649355"/>
      <w:r>
        <w:rPr>
          <w:rFonts w:hint="eastAsia" w:ascii="仿宋" w:hAnsi="仿宋" w:eastAsia="仿宋" w:cs="仿宋"/>
          <w:snapToGrid w:val="0"/>
          <w:kern w:val="0"/>
          <w:sz w:val="32"/>
          <w:szCs w:val="32"/>
        </w:rPr>
        <w:br w:type="page"/>
      </w:r>
    </w:p>
    <w:p w14:paraId="69934506">
      <w:pPr>
        <w:tabs>
          <w:tab w:val="left" w:pos="6300"/>
        </w:tabs>
        <w:snapToGrid w:val="0"/>
        <w:spacing w:line="312" w:lineRule="auto"/>
        <w:ind w:firstLine="480"/>
        <w:rPr>
          <w:rFonts w:hint="eastAsia" w:ascii="仿宋" w:hAnsi="仿宋" w:eastAsia="仿宋" w:cs="仿宋"/>
          <w:bCs/>
          <w:color w:val="auto"/>
          <w:highlight w:val="none"/>
        </w:rPr>
      </w:pPr>
      <w:r>
        <w:rPr>
          <w:rFonts w:hint="eastAsia" w:ascii="仿宋" w:hAnsi="仿宋" w:eastAsia="仿宋" w:cs="仿宋"/>
          <w:bCs/>
          <w:color w:val="auto"/>
          <w:highlight w:val="none"/>
        </w:rPr>
        <w:t>（</w:t>
      </w:r>
      <w:r>
        <w:rPr>
          <w:rFonts w:hint="eastAsia" w:ascii="仿宋" w:hAnsi="仿宋" w:eastAsia="仿宋" w:cs="仿宋"/>
          <w:bCs/>
          <w:color w:val="auto"/>
          <w:highlight w:val="none"/>
          <w:lang w:val="en-US" w:eastAsia="zh-CN"/>
        </w:rPr>
        <w:t>三</w:t>
      </w:r>
      <w:r>
        <w:rPr>
          <w:rFonts w:hint="eastAsia" w:ascii="仿宋" w:hAnsi="仿宋" w:eastAsia="仿宋" w:cs="仿宋"/>
          <w:bCs/>
          <w:color w:val="auto"/>
          <w:highlight w:val="none"/>
        </w:rPr>
        <w:t>）低价风险担保缴纳承诺书</w:t>
      </w:r>
      <w:bookmarkEnd w:id="375"/>
      <w:bookmarkEnd w:id="376"/>
      <w:bookmarkEnd w:id="377"/>
      <w:bookmarkEnd w:id="378"/>
    </w:p>
    <w:p w14:paraId="52E64933">
      <w:pPr>
        <w:autoSpaceDE w:val="0"/>
        <w:autoSpaceDN w:val="0"/>
        <w:adjustRightInd w:val="0"/>
        <w:snapToGrid w:val="0"/>
        <w:spacing w:line="360" w:lineRule="auto"/>
        <w:jc w:val="center"/>
        <w:rPr>
          <w:rFonts w:hint="eastAsia" w:ascii="仿宋" w:hAnsi="仿宋" w:eastAsia="仿宋" w:cs="仿宋"/>
          <w:snapToGrid w:val="0"/>
          <w:kern w:val="0"/>
          <w:sz w:val="32"/>
          <w:szCs w:val="32"/>
        </w:rPr>
      </w:pPr>
    </w:p>
    <w:p w14:paraId="52B46E35">
      <w:pPr>
        <w:autoSpaceDE w:val="0"/>
        <w:autoSpaceDN w:val="0"/>
        <w:adjustRightInd w:val="0"/>
        <w:snapToGrid w:val="0"/>
        <w:spacing w:line="360" w:lineRule="auto"/>
        <w:jc w:val="center"/>
        <w:rPr>
          <w:rFonts w:hint="eastAsia" w:ascii="仿宋" w:hAnsi="仿宋" w:eastAsia="仿宋" w:cs="仿宋"/>
          <w:snapToGrid w:val="0"/>
          <w:kern w:val="0"/>
          <w:sz w:val="24"/>
        </w:rPr>
      </w:pPr>
      <w:r>
        <w:rPr>
          <w:rFonts w:hint="eastAsia" w:ascii="仿宋" w:hAnsi="仿宋" w:eastAsia="仿宋" w:cs="仿宋"/>
          <w:snapToGrid w:val="0"/>
          <w:kern w:val="0"/>
          <w:sz w:val="24"/>
        </w:rPr>
        <w:t>（投标报价低于招标项目最高限价85%时采用）</w:t>
      </w:r>
    </w:p>
    <w:p w14:paraId="62005737">
      <w:pPr>
        <w:autoSpaceDE w:val="0"/>
        <w:autoSpaceDN w:val="0"/>
        <w:adjustRightInd w:val="0"/>
        <w:snapToGrid w:val="0"/>
        <w:spacing w:line="360" w:lineRule="auto"/>
        <w:jc w:val="center"/>
        <w:rPr>
          <w:rFonts w:hint="eastAsia" w:ascii="仿宋" w:hAnsi="仿宋" w:eastAsia="仿宋" w:cs="仿宋"/>
          <w:snapToGrid w:val="0"/>
          <w:kern w:val="0"/>
          <w:sz w:val="24"/>
        </w:rPr>
      </w:pPr>
    </w:p>
    <w:p w14:paraId="0A3148AE">
      <w:pPr>
        <w:autoSpaceDE w:val="0"/>
        <w:autoSpaceDN w:val="0"/>
        <w:adjustRightInd w:val="0"/>
        <w:snapToGrid w:val="0"/>
        <w:spacing w:line="360" w:lineRule="auto"/>
        <w:jc w:val="center"/>
        <w:rPr>
          <w:rFonts w:hint="eastAsia" w:ascii="仿宋" w:hAnsi="仿宋" w:eastAsia="仿宋" w:cs="仿宋"/>
          <w:snapToGrid w:val="0"/>
          <w:kern w:val="0"/>
          <w:sz w:val="24"/>
        </w:rPr>
      </w:pPr>
    </w:p>
    <w:p w14:paraId="6740A079">
      <w:pPr>
        <w:autoSpaceDE w:val="0"/>
        <w:autoSpaceDN w:val="0"/>
        <w:adjustRightInd w:val="0"/>
        <w:snapToGrid w:val="0"/>
        <w:spacing w:line="720" w:lineRule="auto"/>
        <w:ind w:firstLine="240" w:firstLineChars="100"/>
        <w:rPr>
          <w:rFonts w:hint="eastAsia" w:ascii="仿宋" w:hAnsi="仿宋" w:eastAsia="仿宋" w:cs="仿宋"/>
          <w:snapToGrid w:val="0"/>
          <w:kern w:val="0"/>
          <w:sz w:val="24"/>
        </w:rPr>
      </w:pPr>
      <w:r>
        <w:rPr>
          <w:rFonts w:hint="eastAsia" w:ascii="仿宋" w:hAnsi="仿宋" w:eastAsia="仿宋" w:cs="仿宋"/>
          <w:snapToGrid w:val="0"/>
          <w:kern w:val="0"/>
          <w:sz w:val="24"/>
          <w:u w:val="single"/>
        </w:rPr>
        <w:t xml:space="preserve">             （比选人名称）</w:t>
      </w:r>
      <w:r>
        <w:rPr>
          <w:rFonts w:hint="eastAsia" w:ascii="仿宋" w:hAnsi="仿宋" w:eastAsia="仿宋" w:cs="仿宋"/>
          <w:snapToGrid w:val="0"/>
          <w:kern w:val="0"/>
          <w:sz w:val="24"/>
        </w:rPr>
        <w:t>：</w:t>
      </w:r>
    </w:p>
    <w:p w14:paraId="696FBCBB">
      <w:pPr>
        <w:autoSpaceDE w:val="0"/>
        <w:autoSpaceDN w:val="0"/>
        <w:adjustRightInd w:val="0"/>
        <w:snapToGrid w:val="0"/>
        <w:spacing w:line="600" w:lineRule="exact"/>
        <w:ind w:firstLine="480" w:firstLineChars="200"/>
        <w:rPr>
          <w:rFonts w:hint="eastAsia" w:ascii="仿宋" w:hAnsi="仿宋" w:eastAsia="仿宋" w:cs="仿宋"/>
          <w:snapToGrid w:val="0"/>
          <w:kern w:val="0"/>
          <w:sz w:val="24"/>
        </w:rPr>
      </w:pPr>
      <w:r>
        <w:rPr>
          <w:rFonts w:hint="eastAsia" w:ascii="仿宋" w:hAnsi="仿宋" w:eastAsia="仿宋" w:cs="仿宋"/>
          <w:snapToGrid w:val="0"/>
          <w:kern w:val="0"/>
          <w:sz w:val="24"/>
        </w:rPr>
        <w:t>我公司</w:t>
      </w:r>
      <w:r>
        <w:rPr>
          <w:rFonts w:hint="eastAsia" w:ascii="仿宋" w:hAnsi="仿宋" w:eastAsia="仿宋" w:cs="仿宋"/>
          <w:snapToGrid w:val="0"/>
          <w:kern w:val="0"/>
          <w:sz w:val="24"/>
          <w:u w:val="single"/>
        </w:rPr>
        <w:t>（竞选人名称）</w:t>
      </w:r>
      <w:r>
        <w:rPr>
          <w:rFonts w:hint="eastAsia" w:ascii="仿宋" w:hAnsi="仿宋" w:eastAsia="仿宋" w:cs="仿宋"/>
          <w:snapToGrid w:val="0"/>
          <w:kern w:val="0"/>
          <w:sz w:val="24"/>
        </w:rPr>
        <w:t>参加了你单位</w:t>
      </w:r>
      <w:r>
        <w:rPr>
          <w:rFonts w:hint="eastAsia" w:ascii="仿宋" w:hAnsi="仿宋" w:eastAsia="仿宋" w:cs="仿宋"/>
          <w:snapToGrid w:val="0"/>
          <w:kern w:val="0"/>
          <w:sz w:val="24"/>
          <w:u w:val="single"/>
        </w:rPr>
        <w:t>（比选项目名称）</w:t>
      </w:r>
      <w:r>
        <w:rPr>
          <w:rFonts w:hint="eastAsia" w:ascii="仿宋" w:hAnsi="仿宋" w:eastAsia="仿宋" w:cs="仿宋"/>
          <w:snapToGrid w:val="0"/>
          <w:kern w:val="0"/>
          <w:sz w:val="24"/>
        </w:rPr>
        <w:t>的竞选。我公司竞选报价低于最高限价的85%，提供足以证明能够完成本项目的真实证明材料。若获得中选资格，我公司承诺按照竞争性比选文件的规定递交低价风险担保。同时，我公司已落实低价风险担保的提交方案，承诺如采用保函形式提交低价风险担保，保函的格式和内容符合竞选文件的要求。否则，我公司愿承担竞争性比选文件中约定的，因未按规定递交低价风险担保的相应责任。</w:t>
      </w:r>
    </w:p>
    <w:p w14:paraId="5568A5E5">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742E4EF3">
      <w:pPr>
        <w:autoSpaceDE w:val="0"/>
        <w:autoSpaceDN w:val="0"/>
        <w:adjustRightInd w:val="0"/>
        <w:snapToGrid w:val="0"/>
        <w:spacing w:line="360" w:lineRule="auto"/>
        <w:ind w:firstLine="640"/>
        <w:rPr>
          <w:rFonts w:hint="eastAsia" w:ascii="仿宋" w:hAnsi="仿宋" w:eastAsia="仿宋" w:cs="仿宋"/>
          <w:snapToGrid w:val="0"/>
          <w:kern w:val="0"/>
          <w:sz w:val="24"/>
        </w:rPr>
      </w:pPr>
      <w:r>
        <w:rPr>
          <w:rFonts w:hint="eastAsia" w:ascii="仿宋" w:hAnsi="仿宋" w:eastAsia="仿宋" w:cs="仿宋"/>
          <w:snapToGrid w:val="0"/>
          <w:kern w:val="0"/>
          <w:sz w:val="24"/>
        </w:rPr>
        <w:t>特此承诺。</w:t>
      </w:r>
    </w:p>
    <w:p w14:paraId="6ADD2C50">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3A35620A">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5F0D5595">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468EF0AC">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5E065CBC">
      <w:pPr>
        <w:autoSpaceDE w:val="0"/>
        <w:autoSpaceDN w:val="0"/>
        <w:adjustRightInd w:val="0"/>
        <w:snapToGrid w:val="0"/>
        <w:spacing w:line="360" w:lineRule="auto"/>
        <w:ind w:firstLine="640"/>
        <w:rPr>
          <w:rFonts w:hint="eastAsia" w:ascii="仿宋" w:hAnsi="仿宋" w:eastAsia="仿宋" w:cs="仿宋"/>
          <w:snapToGrid w:val="0"/>
          <w:kern w:val="0"/>
          <w:sz w:val="24"/>
        </w:rPr>
      </w:pPr>
    </w:p>
    <w:p w14:paraId="4CDDDE9E">
      <w:pPr>
        <w:tabs>
          <w:tab w:val="left" w:pos="4200"/>
          <w:tab w:val="left" w:pos="4620"/>
        </w:tabs>
        <w:autoSpaceDE w:val="0"/>
        <w:autoSpaceDN w:val="0"/>
        <w:adjustRightInd w:val="0"/>
        <w:snapToGrid w:val="0"/>
        <w:spacing w:line="480" w:lineRule="auto"/>
        <w:ind w:firstLine="480" w:firstLineChars="200"/>
        <w:jc w:val="left"/>
        <w:rPr>
          <w:rFonts w:hint="eastAsia" w:ascii="仿宋" w:hAnsi="仿宋" w:eastAsia="仿宋" w:cs="仿宋"/>
          <w:kern w:val="0"/>
          <w:sz w:val="24"/>
        </w:rPr>
      </w:pPr>
      <w:r>
        <w:rPr>
          <w:rFonts w:hint="eastAsia" w:ascii="仿宋" w:hAnsi="仿宋" w:eastAsia="仿宋" w:cs="仿宋"/>
          <w:kern w:val="0"/>
          <w:sz w:val="24"/>
        </w:rPr>
        <w:t>投  标  人：</w:t>
      </w:r>
      <w:r>
        <w:rPr>
          <w:rFonts w:hint="eastAsia" w:ascii="仿宋" w:hAnsi="仿宋" w:eastAsia="仿宋" w:cs="仿宋"/>
          <w:w w:val="200"/>
          <w:kern w:val="0"/>
          <w:sz w:val="24"/>
          <w:u w:val="single"/>
        </w:rPr>
        <w:t xml:space="preserve">                    </w:t>
      </w:r>
      <w:r>
        <w:rPr>
          <w:rFonts w:hint="eastAsia" w:ascii="仿宋" w:hAnsi="仿宋" w:eastAsia="仿宋" w:cs="仿宋"/>
          <w:kern w:val="0"/>
          <w:sz w:val="24"/>
        </w:rPr>
        <w:t>（</w:t>
      </w:r>
      <w:r>
        <w:rPr>
          <w:rFonts w:hint="eastAsia" w:ascii="仿宋" w:hAnsi="仿宋" w:eastAsia="仿宋" w:cs="仿宋"/>
          <w:spacing w:val="-1"/>
          <w:kern w:val="0"/>
          <w:sz w:val="24"/>
        </w:rPr>
        <w:t>盖单位章</w:t>
      </w:r>
      <w:r>
        <w:rPr>
          <w:rFonts w:hint="eastAsia" w:ascii="仿宋" w:hAnsi="仿宋" w:eastAsia="仿宋" w:cs="仿宋"/>
          <w:kern w:val="0"/>
          <w:sz w:val="24"/>
        </w:rPr>
        <w:t>）</w:t>
      </w:r>
    </w:p>
    <w:p w14:paraId="576D5DD4">
      <w:pPr>
        <w:tabs>
          <w:tab w:val="left" w:pos="6300"/>
        </w:tabs>
        <w:autoSpaceDE w:val="0"/>
        <w:autoSpaceDN w:val="0"/>
        <w:adjustRightInd w:val="0"/>
        <w:snapToGrid w:val="0"/>
        <w:spacing w:line="480" w:lineRule="auto"/>
        <w:ind w:firstLine="480" w:firstLineChars="200"/>
        <w:jc w:val="left"/>
        <w:rPr>
          <w:rFonts w:hint="eastAsia" w:ascii="仿宋" w:hAnsi="仿宋" w:eastAsia="仿宋" w:cs="仿宋"/>
          <w:kern w:val="0"/>
          <w:sz w:val="24"/>
        </w:rPr>
      </w:pPr>
      <w:r>
        <w:rPr>
          <w:rFonts w:hint="eastAsia" w:ascii="仿宋" w:hAnsi="仿宋" w:eastAsia="仿宋" w:cs="仿宋"/>
          <w:kern w:val="0"/>
          <w:sz w:val="24"/>
        </w:rPr>
        <w:t>法定代表人：</w:t>
      </w:r>
      <w:r>
        <w:rPr>
          <w:rFonts w:hint="eastAsia" w:ascii="仿宋" w:hAnsi="仿宋" w:eastAsia="仿宋" w:cs="仿宋"/>
          <w:w w:val="200"/>
          <w:kern w:val="0"/>
          <w:sz w:val="24"/>
          <w:u w:val="single"/>
        </w:rPr>
        <w:t xml:space="preserve">                  </w:t>
      </w:r>
      <w:r>
        <w:rPr>
          <w:rFonts w:hint="eastAsia" w:ascii="仿宋" w:hAnsi="仿宋" w:eastAsia="仿宋" w:cs="仿宋"/>
          <w:kern w:val="0"/>
          <w:sz w:val="24"/>
        </w:rPr>
        <w:t>（签字或盖章）</w:t>
      </w:r>
    </w:p>
    <w:p w14:paraId="08F7078B">
      <w:pPr>
        <w:tabs>
          <w:tab w:val="left" w:pos="3840"/>
          <w:tab w:val="left" w:pos="4780"/>
          <w:tab w:val="left" w:pos="5720"/>
        </w:tabs>
        <w:autoSpaceDE w:val="0"/>
        <w:autoSpaceDN w:val="0"/>
        <w:adjustRightInd w:val="0"/>
        <w:snapToGrid w:val="0"/>
        <w:spacing w:before="156" w:beforeLines="50" w:line="500" w:lineRule="exact"/>
        <w:ind w:right="420" w:firstLine="4960" w:firstLineChars="2067"/>
        <w:jc w:val="right"/>
        <w:rPr>
          <w:rFonts w:hint="eastAsia" w:ascii="仿宋" w:hAnsi="仿宋" w:eastAsia="仿宋" w:cs="仿宋"/>
          <w:snapToGrid w:val="0"/>
          <w:kern w:val="0"/>
          <w:sz w:val="24"/>
        </w:rPr>
      </w:pPr>
      <w:r>
        <w:rPr>
          <w:rFonts w:hint="eastAsia" w:ascii="仿宋" w:hAnsi="仿宋" w:eastAsia="仿宋" w:cs="仿宋"/>
          <w:kern w:val="0"/>
          <w:sz w:val="24"/>
          <w:u w:val="single"/>
        </w:rPr>
        <w:t xml:space="preserve">    </w:t>
      </w:r>
      <w:r>
        <w:rPr>
          <w:rFonts w:hint="eastAsia" w:ascii="仿宋" w:hAnsi="仿宋" w:eastAsia="仿宋" w:cs="仿宋"/>
          <w:kern w:val="0"/>
          <w:sz w:val="24"/>
        </w:rPr>
        <w:t>年</w:t>
      </w:r>
      <w:r>
        <w:rPr>
          <w:rFonts w:hint="eastAsia" w:ascii="仿宋" w:hAnsi="仿宋" w:eastAsia="仿宋" w:cs="仿宋"/>
          <w:kern w:val="0"/>
          <w:sz w:val="24"/>
          <w:u w:val="single"/>
        </w:rPr>
        <w:t xml:space="preserve">    </w:t>
      </w:r>
      <w:r>
        <w:rPr>
          <w:rFonts w:hint="eastAsia" w:ascii="仿宋" w:hAnsi="仿宋" w:eastAsia="仿宋" w:cs="仿宋"/>
          <w:kern w:val="0"/>
          <w:sz w:val="24"/>
        </w:rPr>
        <w:t>月</w:t>
      </w:r>
      <w:r>
        <w:rPr>
          <w:rFonts w:hint="eastAsia" w:ascii="仿宋" w:hAnsi="仿宋" w:eastAsia="仿宋" w:cs="仿宋"/>
          <w:kern w:val="0"/>
          <w:sz w:val="24"/>
          <w:u w:val="single"/>
        </w:rPr>
        <w:t xml:space="preserve">    </w:t>
      </w:r>
      <w:r>
        <w:rPr>
          <w:rFonts w:hint="eastAsia" w:ascii="仿宋" w:hAnsi="仿宋" w:eastAsia="仿宋" w:cs="仿宋"/>
          <w:kern w:val="0"/>
          <w:sz w:val="24"/>
        </w:rPr>
        <w:t>日</w:t>
      </w:r>
    </w:p>
    <w:p w14:paraId="626840DA">
      <w:pPr>
        <w:pStyle w:val="23"/>
        <w:ind w:left="480" w:firstLine="560"/>
        <w:rPr>
          <w:rFonts w:hint="eastAsia" w:ascii="仿宋" w:hAnsi="仿宋" w:eastAsia="仿宋" w:cs="仿宋"/>
          <w:b w:val="0"/>
          <w:color w:val="auto"/>
          <w:sz w:val="28"/>
          <w:szCs w:val="28"/>
          <w:highlight w:val="none"/>
          <w:lang w:eastAsia="zh-CN"/>
        </w:rPr>
      </w:pPr>
    </w:p>
    <w:p w14:paraId="30BDF9CE">
      <w:pPr>
        <w:tabs>
          <w:tab w:val="left" w:pos="2580"/>
          <w:tab w:val="left" w:pos="5940"/>
        </w:tabs>
        <w:autoSpaceDE w:val="0"/>
        <w:autoSpaceDN w:val="0"/>
        <w:adjustRightInd w:val="0"/>
        <w:snapToGrid w:val="0"/>
        <w:spacing w:line="360" w:lineRule="auto"/>
        <w:jc w:val="center"/>
        <w:rPr>
          <w:rFonts w:hint="eastAsia" w:ascii="仿宋" w:hAnsi="仿宋" w:eastAsia="仿宋" w:cs="仿宋"/>
          <w:snapToGrid w:val="0"/>
          <w:kern w:val="0"/>
          <w:sz w:val="32"/>
          <w:szCs w:val="32"/>
        </w:rPr>
      </w:pPr>
    </w:p>
    <w:p w14:paraId="64BA3A63">
      <w:pPr>
        <w:tabs>
          <w:tab w:val="left" w:pos="2580"/>
          <w:tab w:val="left" w:pos="5940"/>
        </w:tabs>
        <w:autoSpaceDE w:val="0"/>
        <w:autoSpaceDN w:val="0"/>
        <w:adjustRightInd w:val="0"/>
        <w:snapToGrid w:val="0"/>
        <w:spacing w:line="360" w:lineRule="auto"/>
        <w:jc w:val="center"/>
        <w:rPr>
          <w:rFonts w:hint="eastAsia" w:ascii="仿宋" w:hAnsi="仿宋" w:eastAsia="仿宋" w:cs="仿宋"/>
          <w:snapToGrid w:val="0"/>
          <w:kern w:val="0"/>
          <w:sz w:val="32"/>
          <w:szCs w:val="32"/>
        </w:rPr>
      </w:pPr>
    </w:p>
    <w:p w14:paraId="4F65E2B5">
      <w:pPr>
        <w:tabs>
          <w:tab w:val="left" w:pos="2580"/>
          <w:tab w:val="left" w:pos="5940"/>
        </w:tabs>
        <w:autoSpaceDE w:val="0"/>
        <w:autoSpaceDN w:val="0"/>
        <w:adjustRightInd w:val="0"/>
        <w:snapToGrid w:val="0"/>
        <w:spacing w:line="360" w:lineRule="auto"/>
        <w:jc w:val="center"/>
        <w:rPr>
          <w:rFonts w:hint="eastAsia" w:ascii="仿宋" w:hAnsi="仿宋" w:eastAsia="仿宋" w:cs="仿宋"/>
          <w:snapToGrid w:val="0"/>
          <w:kern w:val="0"/>
          <w:sz w:val="32"/>
          <w:szCs w:val="32"/>
        </w:rPr>
      </w:pPr>
    </w:p>
    <w:p w14:paraId="445A567A">
      <w:pPr>
        <w:tabs>
          <w:tab w:val="left" w:pos="6300"/>
        </w:tabs>
        <w:snapToGrid w:val="0"/>
        <w:spacing w:line="312" w:lineRule="auto"/>
        <w:ind w:firstLine="480"/>
        <w:rPr>
          <w:rFonts w:hint="eastAsia" w:ascii="仿宋" w:hAnsi="仿宋" w:eastAsia="仿宋" w:cs="仿宋"/>
          <w:bCs/>
          <w:color w:val="auto"/>
          <w:highlight w:val="none"/>
        </w:rPr>
      </w:pPr>
    </w:p>
    <w:p w14:paraId="2522A438">
      <w:pPr>
        <w:tabs>
          <w:tab w:val="left" w:pos="6300"/>
        </w:tabs>
        <w:snapToGrid w:val="0"/>
        <w:spacing w:line="312" w:lineRule="auto"/>
        <w:ind w:firstLine="480"/>
        <w:rPr>
          <w:rFonts w:hint="eastAsia" w:ascii="仿宋" w:hAnsi="仿宋" w:eastAsia="仿宋" w:cs="仿宋"/>
          <w:bCs/>
          <w:color w:val="auto"/>
          <w:highlight w:val="none"/>
        </w:rPr>
      </w:pPr>
      <w:r>
        <w:rPr>
          <w:rFonts w:hint="eastAsia" w:ascii="仿宋" w:hAnsi="仿宋" w:eastAsia="仿宋" w:cs="仿宋"/>
          <w:bCs/>
          <w:color w:val="auto"/>
          <w:highlight w:val="none"/>
        </w:rPr>
        <w:t>（</w:t>
      </w:r>
      <w:r>
        <w:rPr>
          <w:rFonts w:hint="eastAsia" w:ascii="仿宋" w:hAnsi="仿宋" w:eastAsia="仿宋" w:cs="仿宋"/>
          <w:bCs/>
          <w:color w:val="auto"/>
          <w:highlight w:val="none"/>
          <w:lang w:val="en-US" w:eastAsia="zh-CN"/>
        </w:rPr>
        <w:t>四</w:t>
      </w:r>
      <w:r>
        <w:rPr>
          <w:rFonts w:hint="eastAsia" w:ascii="仿宋" w:hAnsi="仿宋" w:eastAsia="仿宋" w:cs="仿宋"/>
          <w:bCs/>
          <w:color w:val="auto"/>
          <w:highlight w:val="none"/>
        </w:rPr>
        <w:t>）投标总报价低于最高限价 85%的书面说明及相关证明材料（如有）</w:t>
      </w:r>
    </w:p>
    <w:p w14:paraId="67DA4C92">
      <w:pPr>
        <w:pStyle w:val="23"/>
        <w:ind w:left="480" w:firstLine="560"/>
        <w:rPr>
          <w:rFonts w:hint="eastAsia" w:ascii="仿宋" w:hAnsi="仿宋" w:eastAsia="仿宋" w:cs="仿宋"/>
          <w:b w:val="0"/>
          <w:color w:val="auto"/>
          <w:sz w:val="28"/>
          <w:szCs w:val="28"/>
          <w:highlight w:val="none"/>
          <w:lang w:eastAsia="zh-CN"/>
        </w:rPr>
      </w:pPr>
    </w:p>
    <w:p w14:paraId="6BFD55F4">
      <w:pPr>
        <w:pStyle w:val="23"/>
        <w:ind w:left="480" w:firstLine="560"/>
        <w:rPr>
          <w:rFonts w:hint="eastAsia" w:ascii="仿宋" w:hAnsi="仿宋" w:eastAsia="仿宋" w:cs="仿宋"/>
          <w:b w:val="0"/>
          <w:color w:val="auto"/>
          <w:sz w:val="28"/>
          <w:szCs w:val="28"/>
          <w:highlight w:val="none"/>
          <w:lang w:eastAsia="zh-CN"/>
        </w:rPr>
      </w:pPr>
    </w:p>
    <w:p w14:paraId="62B4CB24">
      <w:pPr>
        <w:tabs>
          <w:tab w:val="left" w:pos="6300"/>
        </w:tabs>
        <w:snapToGrid w:val="0"/>
        <w:spacing w:line="360" w:lineRule="auto"/>
        <w:ind w:firstLine="480"/>
        <w:rPr>
          <w:rFonts w:hint="eastAsia" w:ascii="仿宋" w:hAnsi="仿宋" w:eastAsia="仿宋" w:cs="仿宋"/>
          <w:color w:val="auto"/>
          <w:highlight w:val="none"/>
        </w:rPr>
      </w:pPr>
    </w:p>
    <w:p w14:paraId="3B93E295">
      <w:pPr>
        <w:widowControl w:val="0"/>
        <w:spacing w:line="312" w:lineRule="auto"/>
        <w:ind w:firstLine="480"/>
        <w:jc w:val="center"/>
        <w:rPr>
          <w:rFonts w:hint="eastAsia" w:ascii="仿宋" w:hAnsi="仿宋" w:eastAsia="仿宋" w:cs="仿宋"/>
          <w:color w:val="auto"/>
          <w:highlight w:val="none"/>
        </w:rPr>
      </w:pPr>
    </w:p>
    <w:p w14:paraId="67DEE645">
      <w:pPr>
        <w:widowControl w:val="0"/>
        <w:spacing w:line="312" w:lineRule="auto"/>
        <w:ind w:firstLine="480"/>
        <w:jc w:val="center"/>
        <w:rPr>
          <w:rFonts w:hint="eastAsia" w:ascii="仿宋" w:hAnsi="仿宋" w:eastAsia="仿宋" w:cs="仿宋"/>
          <w:color w:val="auto"/>
          <w:sz w:val="30"/>
          <w:szCs w:val="20"/>
          <w:highlight w:val="none"/>
        </w:rPr>
      </w:pPr>
      <w:r>
        <w:rPr>
          <w:rFonts w:hint="eastAsia" w:ascii="仿宋" w:hAnsi="仿宋" w:eastAsia="仿宋" w:cs="仿宋"/>
          <w:color w:val="auto"/>
          <w:highlight w:val="none"/>
        </w:rPr>
        <w:t xml:space="preserve">            </w:t>
      </w:r>
    </w:p>
    <w:p w14:paraId="1FB16381">
      <w:pPr>
        <w:widowControl w:val="0"/>
        <w:spacing w:line="312" w:lineRule="auto"/>
        <w:ind w:firstLine="0" w:firstLineChars="0"/>
        <w:jc w:val="both"/>
        <w:rPr>
          <w:rFonts w:hint="eastAsia" w:ascii="仿宋" w:hAnsi="仿宋" w:eastAsia="仿宋" w:cs="仿宋"/>
          <w:color w:val="auto"/>
          <w:sz w:val="28"/>
          <w:szCs w:val="20"/>
          <w:highlight w:val="none"/>
        </w:rPr>
      </w:pPr>
    </w:p>
    <w:p w14:paraId="6FC72160">
      <w:pPr>
        <w:widowControl w:val="0"/>
        <w:spacing w:line="312" w:lineRule="auto"/>
        <w:ind w:right="480" w:firstLine="6480" w:firstLineChars="2700"/>
        <w:jc w:val="both"/>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6715E38B">
      <w:pPr>
        <w:ind w:firstLine="480"/>
        <w:rPr>
          <w:rFonts w:hint="eastAsia" w:ascii="仿宋" w:hAnsi="仿宋" w:eastAsia="仿宋" w:cs="仿宋"/>
          <w:color w:val="auto"/>
          <w:highlight w:val="none"/>
        </w:rPr>
      </w:pPr>
    </w:p>
    <w:p w14:paraId="4757D8D1">
      <w:pPr>
        <w:pStyle w:val="21"/>
        <w:ind w:firstLine="643"/>
        <w:rPr>
          <w:rFonts w:hint="eastAsia" w:ascii="仿宋" w:hAnsi="仿宋" w:eastAsia="仿宋" w:cs="仿宋"/>
          <w:color w:val="auto"/>
          <w:highlight w:val="none"/>
        </w:rPr>
      </w:pPr>
    </w:p>
    <w:p w14:paraId="67899231">
      <w:pPr>
        <w:ind w:firstLine="480"/>
        <w:rPr>
          <w:rFonts w:hint="eastAsia" w:ascii="仿宋" w:hAnsi="仿宋" w:eastAsia="仿宋" w:cs="仿宋"/>
          <w:color w:val="auto"/>
          <w:highlight w:val="none"/>
        </w:rPr>
      </w:pPr>
    </w:p>
    <w:p w14:paraId="42A37752">
      <w:pPr>
        <w:snapToGrid w:val="0"/>
        <w:spacing w:line="360" w:lineRule="auto"/>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4D4576C1">
      <w:pPr>
        <w:pStyle w:val="4"/>
        <w:spacing w:before="65" w:after="65"/>
        <w:ind w:firstLine="182"/>
        <w:rPr>
          <w:rFonts w:hint="eastAsia" w:ascii="仿宋" w:hAnsi="仿宋" w:eastAsia="仿宋" w:cs="仿宋"/>
          <w:color w:val="auto"/>
          <w:highlight w:val="none"/>
        </w:rPr>
      </w:pPr>
    </w:p>
    <w:p w14:paraId="4C8280D8">
      <w:pPr>
        <w:ind w:firstLine="480"/>
        <w:rPr>
          <w:rFonts w:hint="eastAsia" w:ascii="仿宋" w:hAnsi="仿宋" w:eastAsia="仿宋" w:cs="仿宋"/>
          <w:color w:val="auto"/>
          <w:highlight w:val="none"/>
        </w:rPr>
      </w:pPr>
    </w:p>
    <w:p w14:paraId="1741F0F5">
      <w:pPr>
        <w:pStyle w:val="4"/>
        <w:spacing w:before="65" w:after="65"/>
        <w:ind w:firstLine="182"/>
        <w:rPr>
          <w:rFonts w:hint="eastAsia" w:ascii="仿宋" w:hAnsi="仿宋" w:eastAsia="仿宋" w:cs="仿宋"/>
          <w:color w:val="auto"/>
          <w:highlight w:val="none"/>
        </w:rPr>
      </w:pPr>
    </w:p>
    <w:p w14:paraId="1CF75B7C">
      <w:pPr>
        <w:pStyle w:val="3"/>
        <w:spacing w:line="360" w:lineRule="auto"/>
        <w:ind w:firstLine="602" w:firstLineChars="200"/>
        <w:outlineLvl w:val="0"/>
        <w:rPr>
          <w:rFonts w:hint="eastAsia" w:ascii="仿宋" w:hAnsi="仿宋" w:eastAsia="仿宋" w:cs="仿宋"/>
          <w:sz w:val="24"/>
          <w:highlight w:val="none"/>
        </w:rPr>
      </w:pPr>
      <w:r>
        <w:rPr>
          <w:rFonts w:hint="eastAsia" w:ascii="仿宋" w:hAnsi="仿宋" w:eastAsia="仿宋" w:cs="仿宋"/>
          <w:color w:val="auto"/>
          <w:highlight w:val="none"/>
        </w:rPr>
        <w:br w:type="page"/>
      </w:r>
      <w:bookmarkStart w:id="379" w:name="_Toc27587"/>
      <w:r>
        <w:rPr>
          <w:rFonts w:hint="eastAsia" w:ascii="仿宋" w:hAnsi="仿宋" w:eastAsia="仿宋" w:cs="仿宋"/>
          <w:sz w:val="24"/>
          <w:highlight w:val="none"/>
        </w:rPr>
        <w:t>二、技术（质量）部分</w:t>
      </w:r>
      <w:bookmarkEnd w:id="379"/>
    </w:p>
    <w:p w14:paraId="0F791335">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（一）技术（质量）</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 xml:space="preserve">偏离表                              </w:t>
      </w:r>
    </w:p>
    <w:p w14:paraId="5B633438">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项目名称：</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14274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218" w:type="dxa"/>
            <w:noWrap w:val="0"/>
            <w:vAlign w:val="center"/>
          </w:tcPr>
          <w:p w14:paraId="1FAEF8B4">
            <w:pPr>
              <w:tabs>
                <w:tab w:val="left" w:pos="6300"/>
              </w:tabs>
              <w:snapToGrid w:val="0"/>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序号</w:t>
            </w:r>
          </w:p>
        </w:tc>
        <w:tc>
          <w:tcPr>
            <w:tcW w:w="2844" w:type="dxa"/>
            <w:noWrap w:val="0"/>
            <w:vAlign w:val="center"/>
          </w:tcPr>
          <w:p w14:paraId="301B8250">
            <w:pPr>
              <w:tabs>
                <w:tab w:val="left" w:pos="6300"/>
              </w:tabs>
              <w:snapToGrid w:val="0"/>
              <w:spacing w:line="240" w:lineRule="auto"/>
              <w:ind w:left="0" w:leftChars="0"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eastAsia="zh-CN"/>
              </w:rPr>
              <w:t>比选</w:t>
            </w:r>
            <w:r>
              <w:rPr>
                <w:rFonts w:hint="eastAsia" w:ascii="仿宋" w:hAnsi="仿宋" w:eastAsia="仿宋" w:cs="仿宋"/>
                <w:sz w:val="21"/>
                <w:szCs w:val="21"/>
                <w:highlight w:val="none"/>
              </w:rPr>
              <w:t>需求</w:t>
            </w:r>
          </w:p>
        </w:tc>
        <w:tc>
          <w:tcPr>
            <w:tcW w:w="2952" w:type="dxa"/>
            <w:noWrap w:val="0"/>
            <w:vAlign w:val="center"/>
          </w:tcPr>
          <w:p w14:paraId="59A4172C">
            <w:pPr>
              <w:tabs>
                <w:tab w:val="left" w:pos="6300"/>
              </w:tabs>
              <w:snapToGrid w:val="0"/>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eastAsia="zh-CN"/>
              </w:rPr>
              <w:t>竞选</w:t>
            </w:r>
            <w:r>
              <w:rPr>
                <w:rFonts w:hint="eastAsia" w:ascii="仿宋" w:hAnsi="仿宋" w:eastAsia="仿宋" w:cs="仿宋"/>
                <w:sz w:val="21"/>
                <w:szCs w:val="21"/>
                <w:highlight w:val="none"/>
              </w:rPr>
              <w:t>情况</w:t>
            </w:r>
          </w:p>
        </w:tc>
        <w:tc>
          <w:tcPr>
            <w:tcW w:w="2212" w:type="dxa"/>
            <w:noWrap w:val="0"/>
            <w:vAlign w:val="center"/>
          </w:tcPr>
          <w:p w14:paraId="511A3021">
            <w:pPr>
              <w:tabs>
                <w:tab w:val="left" w:pos="6300"/>
              </w:tabs>
              <w:snapToGrid w:val="0"/>
              <w:spacing w:line="240" w:lineRule="auto"/>
              <w:ind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差异说明</w:t>
            </w:r>
          </w:p>
        </w:tc>
      </w:tr>
      <w:tr w14:paraId="53F31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6ACC7FB2">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603A1050">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3D388D8C">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175BEB0C">
            <w:pPr>
              <w:tabs>
                <w:tab w:val="left" w:pos="6300"/>
              </w:tabs>
              <w:snapToGrid w:val="0"/>
              <w:spacing w:line="360" w:lineRule="auto"/>
              <w:jc w:val="center"/>
              <w:rPr>
                <w:rFonts w:hint="eastAsia" w:ascii="仿宋" w:hAnsi="仿宋" w:eastAsia="仿宋" w:cs="仿宋"/>
                <w:sz w:val="21"/>
                <w:szCs w:val="21"/>
                <w:highlight w:val="none"/>
              </w:rPr>
            </w:pPr>
          </w:p>
        </w:tc>
      </w:tr>
      <w:tr w14:paraId="275E9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398630C">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0FD14A16">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1191D2DB">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5E88CA0E">
            <w:pPr>
              <w:tabs>
                <w:tab w:val="left" w:pos="6300"/>
              </w:tabs>
              <w:snapToGrid w:val="0"/>
              <w:spacing w:line="360" w:lineRule="auto"/>
              <w:jc w:val="center"/>
              <w:rPr>
                <w:rFonts w:hint="eastAsia" w:ascii="仿宋" w:hAnsi="仿宋" w:eastAsia="仿宋" w:cs="仿宋"/>
                <w:sz w:val="21"/>
                <w:szCs w:val="21"/>
                <w:highlight w:val="none"/>
              </w:rPr>
            </w:pPr>
          </w:p>
        </w:tc>
      </w:tr>
      <w:tr w14:paraId="3B2EE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A85692A">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03DBB969">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241C6D39">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07E37A88">
            <w:pPr>
              <w:tabs>
                <w:tab w:val="left" w:pos="6300"/>
              </w:tabs>
              <w:snapToGrid w:val="0"/>
              <w:spacing w:line="360" w:lineRule="auto"/>
              <w:jc w:val="center"/>
              <w:rPr>
                <w:rFonts w:hint="eastAsia" w:ascii="仿宋" w:hAnsi="仿宋" w:eastAsia="仿宋" w:cs="仿宋"/>
                <w:sz w:val="21"/>
                <w:szCs w:val="21"/>
                <w:highlight w:val="none"/>
              </w:rPr>
            </w:pPr>
          </w:p>
        </w:tc>
      </w:tr>
      <w:tr w14:paraId="18599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F5868A8">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2382956C">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1EAA92F1">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68C1F463">
            <w:pPr>
              <w:tabs>
                <w:tab w:val="left" w:pos="6300"/>
              </w:tabs>
              <w:snapToGrid w:val="0"/>
              <w:spacing w:line="360" w:lineRule="auto"/>
              <w:jc w:val="center"/>
              <w:rPr>
                <w:rFonts w:hint="eastAsia" w:ascii="仿宋" w:hAnsi="仿宋" w:eastAsia="仿宋" w:cs="仿宋"/>
                <w:sz w:val="21"/>
                <w:szCs w:val="21"/>
                <w:highlight w:val="none"/>
              </w:rPr>
            </w:pPr>
          </w:p>
        </w:tc>
      </w:tr>
      <w:tr w14:paraId="5785D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610743FF">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71CC0B92">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42F12550">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78ACAA5E">
            <w:pPr>
              <w:tabs>
                <w:tab w:val="left" w:pos="6300"/>
              </w:tabs>
              <w:snapToGrid w:val="0"/>
              <w:spacing w:line="360" w:lineRule="auto"/>
              <w:jc w:val="center"/>
              <w:rPr>
                <w:rFonts w:hint="eastAsia" w:ascii="仿宋" w:hAnsi="仿宋" w:eastAsia="仿宋" w:cs="仿宋"/>
                <w:sz w:val="21"/>
                <w:szCs w:val="21"/>
                <w:highlight w:val="none"/>
              </w:rPr>
            </w:pPr>
          </w:p>
        </w:tc>
      </w:tr>
      <w:tr w14:paraId="3D47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EA2BECB">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20ED5DCF">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33D104ED">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6E114890">
            <w:pPr>
              <w:tabs>
                <w:tab w:val="left" w:pos="6300"/>
              </w:tabs>
              <w:snapToGrid w:val="0"/>
              <w:spacing w:line="360" w:lineRule="auto"/>
              <w:jc w:val="center"/>
              <w:rPr>
                <w:rFonts w:hint="eastAsia" w:ascii="仿宋" w:hAnsi="仿宋" w:eastAsia="仿宋" w:cs="仿宋"/>
                <w:sz w:val="21"/>
                <w:szCs w:val="21"/>
                <w:highlight w:val="none"/>
              </w:rPr>
            </w:pPr>
          </w:p>
        </w:tc>
      </w:tr>
      <w:tr w14:paraId="6C09D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CE904BA">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33E8E9B6">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1797A69F">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77ADAFF7">
            <w:pPr>
              <w:tabs>
                <w:tab w:val="left" w:pos="6300"/>
              </w:tabs>
              <w:snapToGrid w:val="0"/>
              <w:spacing w:line="360" w:lineRule="auto"/>
              <w:jc w:val="center"/>
              <w:rPr>
                <w:rFonts w:hint="eastAsia" w:ascii="仿宋" w:hAnsi="仿宋" w:eastAsia="仿宋" w:cs="仿宋"/>
                <w:sz w:val="21"/>
                <w:szCs w:val="21"/>
                <w:highlight w:val="none"/>
              </w:rPr>
            </w:pPr>
          </w:p>
        </w:tc>
      </w:tr>
      <w:tr w14:paraId="34654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F6253A6">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369DA000">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05E278A5">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275E9DE1">
            <w:pPr>
              <w:tabs>
                <w:tab w:val="left" w:pos="6300"/>
              </w:tabs>
              <w:snapToGrid w:val="0"/>
              <w:spacing w:line="360" w:lineRule="auto"/>
              <w:jc w:val="center"/>
              <w:rPr>
                <w:rFonts w:hint="eastAsia" w:ascii="仿宋" w:hAnsi="仿宋" w:eastAsia="仿宋" w:cs="仿宋"/>
                <w:sz w:val="21"/>
                <w:szCs w:val="21"/>
                <w:highlight w:val="none"/>
              </w:rPr>
            </w:pPr>
          </w:p>
        </w:tc>
      </w:tr>
      <w:tr w14:paraId="7B61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765E564">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115AD4DB">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2C42A88A">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5E7A9B89">
            <w:pPr>
              <w:tabs>
                <w:tab w:val="left" w:pos="6300"/>
              </w:tabs>
              <w:snapToGrid w:val="0"/>
              <w:spacing w:line="360" w:lineRule="auto"/>
              <w:jc w:val="center"/>
              <w:rPr>
                <w:rFonts w:hint="eastAsia" w:ascii="仿宋" w:hAnsi="仿宋" w:eastAsia="仿宋" w:cs="仿宋"/>
                <w:sz w:val="21"/>
                <w:szCs w:val="21"/>
                <w:highlight w:val="none"/>
              </w:rPr>
            </w:pPr>
          </w:p>
        </w:tc>
      </w:tr>
      <w:tr w14:paraId="71BB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626C2D7E">
            <w:pPr>
              <w:tabs>
                <w:tab w:val="left" w:pos="6300"/>
              </w:tabs>
              <w:snapToGrid w:val="0"/>
              <w:spacing w:line="360" w:lineRule="auto"/>
              <w:jc w:val="center"/>
              <w:rPr>
                <w:rFonts w:hint="eastAsia" w:ascii="仿宋" w:hAnsi="仿宋" w:eastAsia="仿宋" w:cs="仿宋"/>
                <w:sz w:val="21"/>
                <w:szCs w:val="21"/>
                <w:highlight w:val="none"/>
              </w:rPr>
            </w:pPr>
          </w:p>
        </w:tc>
        <w:tc>
          <w:tcPr>
            <w:tcW w:w="2844" w:type="dxa"/>
            <w:noWrap w:val="0"/>
            <w:vAlign w:val="center"/>
          </w:tcPr>
          <w:p w14:paraId="50F0AFD2">
            <w:pPr>
              <w:tabs>
                <w:tab w:val="left" w:pos="6300"/>
              </w:tabs>
              <w:snapToGrid w:val="0"/>
              <w:spacing w:line="360" w:lineRule="auto"/>
              <w:jc w:val="center"/>
              <w:rPr>
                <w:rFonts w:hint="eastAsia" w:ascii="仿宋" w:hAnsi="仿宋" w:eastAsia="仿宋" w:cs="仿宋"/>
                <w:sz w:val="21"/>
                <w:szCs w:val="21"/>
                <w:highlight w:val="none"/>
              </w:rPr>
            </w:pPr>
          </w:p>
        </w:tc>
        <w:tc>
          <w:tcPr>
            <w:tcW w:w="2952" w:type="dxa"/>
            <w:noWrap w:val="0"/>
            <w:vAlign w:val="center"/>
          </w:tcPr>
          <w:p w14:paraId="63A23A9C">
            <w:pPr>
              <w:tabs>
                <w:tab w:val="left" w:pos="6300"/>
              </w:tabs>
              <w:snapToGrid w:val="0"/>
              <w:spacing w:line="360" w:lineRule="auto"/>
              <w:jc w:val="center"/>
              <w:rPr>
                <w:rFonts w:hint="eastAsia" w:ascii="仿宋" w:hAnsi="仿宋" w:eastAsia="仿宋" w:cs="仿宋"/>
                <w:sz w:val="21"/>
                <w:szCs w:val="21"/>
                <w:highlight w:val="none"/>
              </w:rPr>
            </w:pPr>
          </w:p>
        </w:tc>
        <w:tc>
          <w:tcPr>
            <w:tcW w:w="2212" w:type="dxa"/>
            <w:noWrap w:val="0"/>
            <w:vAlign w:val="center"/>
          </w:tcPr>
          <w:p w14:paraId="63F0E33F">
            <w:pPr>
              <w:tabs>
                <w:tab w:val="left" w:pos="6300"/>
              </w:tabs>
              <w:snapToGrid w:val="0"/>
              <w:spacing w:line="360" w:lineRule="auto"/>
              <w:jc w:val="center"/>
              <w:rPr>
                <w:rFonts w:hint="eastAsia" w:ascii="仿宋" w:hAnsi="仿宋" w:eastAsia="仿宋" w:cs="仿宋"/>
                <w:sz w:val="21"/>
                <w:szCs w:val="21"/>
                <w:highlight w:val="none"/>
              </w:rPr>
            </w:pPr>
          </w:p>
        </w:tc>
      </w:tr>
    </w:tbl>
    <w:p w14:paraId="2E8E136D">
      <w:pPr>
        <w:spacing w:line="360" w:lineRule="auto"/>
        <w:ind w:firstLine="600" w:firstLineChars="250"/>
        <w:rPr>
          <w:rFonts w:hint="eastAsia" w:ascii="仿宋" w:hAnsi="仿宋" w:eastAsia="仿宋" w:cs="仿宋"/>
          <w:sz w:val="24"/>
          <w:szCs w:val="28"/>
          <w:highlight w:val="none"/>
        </w:rPr>
      </w:pPr>
      <w:r>
        <w:rPr>
          <w:rFonts w:hint="eastAsia" w:ascii="仿宋" w:hAnsi="仿宋" w:eastAsia="仿宋" w:cs="仿宋"/>
          <w:sz w:val="24"/>
          <w:szCs w:val="28"/>
          <w:highlight w:val="none"/>
          <w:lang w:eastAsia="zh-CN"/>
        </w:rPr>
        <w:t>竞选人</w:t>
      </w:r>
      <w:r>
        <w:rPr>
          <w:rFonts w:hint="eastAsia" w:ascii="仿宋" w:hAnsi="仿宋" w:eastAsia="仿宋" w:cs="仿宋"/>
          <w:sz w:val="24"/>
          <w:szCs w:val="28"/>
          <w:highlight w:val="none"/>
        </w:rPr>
        <w:t xml:space="preserve">：                         </w:t>
      </w:r>
      <w:r>
        <w:rPr>
          <w:rFonts w:hint="eastAsia" w:ascii="仿宋" w:hAnsi="仿宋" w:eastAsia="仿宋" w:cs="仿宋"/>
          <w:sz w:val="24"/>
          <w:szCs w:val="24"/>
          <w:highlight w:val="none"/>
        </w:rPr>
        <w:t>法定代表人（或其授权代表）或自然人</w:t>
      </w:r>
      <w:r>
        <w:rPr>
          <w:rFonts w:hint="eastAsia" w:ascii="仿宋" w:hAnsi="仿宋" w:eastAsia="仿宋" w:cs="仿宋"/>
          <w:sz w:val="24"/>
          <w:szCs w:val="28"/>
          <w:highlight w:val="none"/>
        </w:rPr>
        <w:t>：</w:t>
      </w:r>
    </w:p>
    <w:p w14:paraId="09A68168">
      <w:pPr>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w:t>
      </w:r>
    </w:p>
    <w:p w14:paraId="7DBCC20F">
      <w:pPr>
        <w:spacing w:line="360" w:lineRule="auto"/>
        <w:ind w:firstLine="720" w:firstLineChars="300"/>
        <w:rPr>
          <w:rFonts w:hint="eastAsia" w:ascii="仿宋" w:hAnsi="仿宋" w:eastAsia="仿宋" w:cs="仿宋"/>
          <w:sz w:val="24"/>
          <w:szCs w:val="28"/>
          <w:highlight w:val="none"/>
        </w:rPr>
      </w:pPr>
      <w:r>
        <w:rPr>
          <w:rFonts w:hint="eastAsia" w:ascii="仿宋" w:hAnsi="仿宋" w:eastAsia="仿宋" w:cs="仿宋"/>
          <w:sz w:val="24"/>
          <w:szCs w:val="28"/>
          <w:highlight w:val="none"/>
        </w:rPr>
        <w:t>（</w:t>
      </w:r>
      <w:r>
        <w:rPr>
          <w:rFonts w:hint="eastAsia" w:ascii="仿宋" w:hAnsi="仿宋" w:eastAsia="仿宋" w:cs="仿宋"/>
          <w:sz w:val="24"/>
          <w:szCs w:val="28"/>
          <w:highlight w:val="none"/>
          <w:lang w:eastAsia="zh-CN"/>
        </w:rPr>
        <w:t>竞选人</w:t>
      </w:r>
      <w:r>
        <w:rPr>
          <w:rFonts w:hint="eastAsia" w:ascii="仿宋" w:hAnsi="仿宋" w:eastAsia="仿宋" w:cs="仿宋"/>
          <w:sz w:val="24"/>
          <w:szCs w:val="28"/>
          <w:highlight w:val="none"/>
        </w:rPr>
        <w:t>公章）                               （</w:t>
      </w:r>
      <w:r>
        <w:rPr>
          <w:rFonts w:hint="eastAsia" w:ascii="仿宋" w:hAnsi="仿宋" w:eastAsia="仿宋" w:cs="仿宋"/>
          <w:sz w:val="24"/>
          <w:szCs w:val="24"/>
          <w:highlight w:val="none"/>
        </w:rPr>
        <w:t>签署</w:t>
      </w:r>
      <w:r>
        <w:rPr>
          <w:rFonts w:hint="eastAsia" w:ascii="仿宋" w:hAnsi="仿宋" w:eastAsia="仿宋" w:cs="仿宋"/>
          <w:sz w:val="24"/>
          <w:szCs w:val="28"/>
          <w:highlight w:val="none"/>
        </w:rPr>
        <w:t>或盖章）</w:t>
      </w:r>
    </w:p>
    <w:p w14:paraId="457D33A7">
      <w:pPr>
        <w:tabs>
          <w:tab w:val="left" w:pos="6300"/>
        </w:tabs>
        <w:snapToGrid w:val="0"/>
        <w:spacing w:line="360" w:lineRule="auto"/>
        <w:ind w:firstLine="570"/>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14:paraId="206A8440">
      <w:pPr>
        <w:tabs>
          <w:tab w:val="left" w:pos="6300"/>
        </w:tabs>
        <w:snapToGrid w:val="0"/>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注：</w:t>
      </w:r>
    </w:p>
    <w:p w14:paraId="17112701">
      <w:pPr>
        <w:tabs>
          <w:tab w:val="left" w:pos="6300"/>
        </w:tabs>
        <w:snapToGrid w:val="0"/>
        <w:spacing w:line="360" w:lineRule="auto"/>
        <w:ind w:left="653" w:leftChars="172" w:hanging="240" w:hangingChars="100"/>
        <w:rPr>
          <w:rFonts w:hint="eastAsia" w:ascii="仿宋" w:hAnsi="仿宋" w:eastAsia="仿宋" w:cs="仿宋"/>
          <w:sz w:val="24"/>
          <w:highlight w:val="none"/>
        </w:rPr>
      </w:pPr>
      <w:r>
        <w:rPr>
          <w:rFonts w:hint="eastAsia" w:ascii="仿宋" w:hAnsi="仿宋" w:eastAsia="仿宋" w:cs="仿宋"/>
          <w:sz w:val="24"/>
          <w:szCs w:val="24"/>
          <w:highlight w:val="none"/>
        </w:rPr>
        <w:t>1</w:t>
      </w:r>
      <w:r>
        <w:rPr>
          <w:rFonts w:hint="eastAsia" w:ascii="仿宋" w:hAnsi="仿宋" w:eastAsia="仿宋" w:cs="仿宋"/>
          <w:sz w:val="24"/>
          <w:highlight w:val="none"/>
        </w:rPr>
        <w:t>.</w:t>
      </w:r>
      <w:r>
        <w:rPr>
          <w:rFonts w:hint="eastAsia" w:ascii="仿宋" w:hAnsi="仿宋" w:eastAsia="仿宋" w:cs="仿宋"/>
          <w:sz w:val="24"/>
          <w:szCs w:val="24"/>
          <w:highlight w:val="none"/>
        </w:rPr>
        <w:t xml:space="preserve">本表即为对本项目“第二篇  </w:t>
      </w:r>
      <w:r>
        <w:rPr>
          <w:rFonts w:hint="eastAsia" w:ascii="仿宋" w:hAnsi="仿宋" w:eastAsia="仿宋" w:cs="仿宋"/>
          <w:sz w:val="24"/>
          <w:szCs w:val="24"/>
          <w:highlight w:val="none"/>
          <w:lang w:val="en-US" w:eastAsia="zh-CN"/>
        </w:rPr>
        <w:t>竞选人须知</w:t>
      </w:r>
      <w:r>
        <w:rPr>
          <w:rFonts w:hint="eastAsia" w:ascii="仿宋" w:hAnsi="仿宋" w:eastAsia="仿宋" w:cs="仿宋"/>
          <w:sz w:val="24"/>
          <w:szCs w:val="24"/>
          <w:highlight w:val="none"/>
        </w:rPr>
        <w:t>”中所列条款进行比较和</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w:t>
      </w:r>
    </w:p>
    <w:p w14:paraId="00DE4F96">
      <w:pPr>
        <w:tabs>
          <w:tab w:val="left" w:pos="6300"/>
        </w:tabs>
        <w:snapToGrid w:val="0"/>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2.本表可扩展。</w:t>
      </w:r>
    </w:p>
    <w:p w14:paraId="64E97763">
      <w:pPr>
        <w:tabs>
          <w:tab w:val="left" w:pos="6300"/>
        </w:tabs>
        <w:snapToGrid w:val="0"/>
        <w:spacing w:line="360" w:lineRule="auto"/>
        <w:ind w:firstLine="480" w:firstLineChars="200"/>
        <w:rPr>
          <w:rFonts w:hint="eastAsia" w:ascii="仿宋" w:hAnsi="仿宋" w:eastAsia="仿宋" w:cs="仿宋"/>
          <w:sz w:val="24"/>
          <w:highlight w:val="none"/>
        </w:rPr>
      </w:pPr>
    </w:p>
    <w:p w14:paraId="251CF37C">
      <w:pPr>
        <w:tabs>
          <w:tab w:val="left" w:pos="6300"/>
        </w:tabs>
        <w:snapToGrid w:val="0"/>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br w:type="page"/>
      </w:r>
      <w:r>
        <w:rPr>
          <w:rFonts w:hint="eastAsia" w:ascii="仿宋" w:hAnsi="仿宋" w:eastAsia="仿宋" w:cs="仿宋"/>
          <w:sz w:val="24"/>
          <w:szCs w:val="24"/>
          <w:highlight w:val="none"/>
        </w:rPr>
        <w:t>（二）其他资料（格式自定）</w:t>
      </w:r>
    </w:p>
    <w:p w14:paraId="49D65B6B">
      <w:pPr>
        <w:tabs>
          <w:tab w:val="left" w:pos="6300"/>
        </w:tabs>
        <w:snapToGrid w:val="0"/>
        <w:spacing w:line="360" w:lineRule="auto"/>
        <w:ind w:firstLine="480" w:firstLineChars="200"/>
        <w:rPr>
          <w:rFonts w:hint="eastAsia" w:ascii="仿宋" w:hAnsi="仿宋" w:eastAsia="仿宋" w:cs="仿宋"/>
          <w:sz w:val="24"/>
          <w:szCs w:val="24"/>
          <w:highlight w:val="none"/>
        </w:rPr>
      </w:pPr>
    </w:p>
    <w:p w14:paraId="7A7B1621">
      <w:pPr>
        <w:spacing w:line="360" w:lineRule="auto"/>
        <w:outlineLvl w:val="0"/>
        <w:rPr>
          <w:rFonts w:hint="eastAsia" w:ascii="仿宋" w:hAnsi="仿宋" w:eastAsia="仿宋" w:cs="仿宋"/>
          <w:sz w:val="24"/>
          <w:highlight w:val="none"/>
        </w:rPr>
      </w:pPr>
      <w:r>
        <w:rPr>
          <w:rFonts w:hint="eastAsia" w:ascii="仿宋" w:hAnsi="仿宋" w:eastAsia="仿宋" w:cs="仿宋"/>
          <w:b/>
          <w:highlight w:val="none"/>
        </w:rPr>
        <w:br w:type="page"/>
      </w:r>
      <w:bookmarkStart w:id="380" w:name="_Toc106034810"/>
      <w:bookmarkStart w:id="381" w:name="_Toc29514"/>
      <w:bookmarkStart w:id="382" w:name="_Toc22376"/>
      <w:bookmarkStart w:id="383" w:name="_Toc32339"/>
      <w:bookmarkStart w:id="384" w:name="_Toc27717"/>
      <w:bookmarkStart w:id="385" w:name="_Toc65660381"/>
      <w:bookmarkStart w:id="386" w:name="_Toc32158"/>
      <w:bookmarkStart w:id="387" w:name="_Toc313008358"/>
      <w:bookmarkStart w:id="388" w:name="_Toc313888362"/>
      <w:bookmarkStart w:id="389" w:name="_Toc342913421"/>
      <w:r>
        <w:rPr>
          <w:rStyle w:val="49"/>
          <w:rFonts w:hint="eastAsia" w:ascii="仿宋" w:hAnsi="仿宋" w:eastAsia="仿宋" w:cs="仿宋"/>
          <w:sz w:val="24"/>
          <w:szCs w:val="18"/>
          <w:highlight w:val="none"/>
          <w:lang w:val="en-US" w:eastAsia="zh-CN"/>
        </w:rPr>
        <w:t>三、商务部分</w:t>
      </w:r>
      <w:bookmarkEnd w:id="380"/>
      <w:bookmarkEnd w:id="381"/>
      <w:bookmarkEnd w:id="382"/>
      <w:bookmarkEnd w:id="383"/>
      <w:bookmarkEnd w:id="384"/>
      <w:bookmarkEnd w:id="385"/>
      <w:bookmarkEnd w:id="386"/>
    </w:p>
    <w:p w14:paraId="3B519D43">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（一）商务</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 xml:space="preserve">偏离表                              </w:t>
      </w:r>
    </w:p>
    <w:p w14:paraId="548D916D">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项目名称：</w:t>
      </w:r>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6ECAD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7FC10FBD">
            <w:pPr>
              <w:spacing w:line="360" w:lineRule="auto"/>
              <w:jc w:val="center"/>
              <w:rPr>
                <w:rFonts w:hint="eastAsia" w:ascii="仿宋" w:hAnsi="仿宋" w:eastAsia="仿宋" w:cs="仿宋"/>
                <w:sz w:val="21"/>
                <w:szCs w:val="24"/>
                <w:highlight w:val="none"/>
              </w:rPr>
            </w:pPr>
            <w:r>
              <w:rPr>
                <w:rFonts w:hint="eastAsia" w:ascii="仿宋" w:hAnsi="仿宋" w:eastAsia="仿宋" w:cs="仿宋"/>
                <w:sz w:val="21"/>
                <w:szCs w:val="24"/>
                <w:highlight w:val="none"/>
              </w:rPr>
              <w:t>序号</w:t>
            </w:r>
          </w:p>
        </w:tc>
        <w:tc>
          <w:tcPr>
            <w:tcW w:w="3184" w:type="dxa"/>
            <w:noWrap w:val="0"/>
            <w:vAlign w:val="center"/>
          </w:tcPr>
          <w:p w14:paraId="28A32D55">
            <w:pPr>
              <w:spacing w:line="360" w:lineRule="auto"/>
              <w:jc w:val="center"/>
              <w:rPr>
                <w:rFonts w:hint="eastAsia" w:ascii="仿宋" w:hAnsi="仿宋" w:eastAsia="仿宋" w:cs="仿宋"/>
                <w:sz w:val="21"/>
                <w:szCs w:val="24"/>
                <w:highlight w:val="none"/>
              </w:rPr>
            </w:pPr>
            <w:r>
              <w:rPr>
                <w:rFonts w:hint="eastAsia" w:ascii="仿宋" w:hAnsi="仿宋" w:eastAsia="仿宋" w:cs="仿宋"/>
                <w:sz w:val="21"/>
                <w:szCs w:val="24"/>
                <w:highlight w:val="none"/>
                <w:lang w:eastAsia="zh-CN"/>
              </w:rPr>
              <w:t>比选</w:t>
            </w:r>
            <w:r>
              <w:rPr>
                <w:rFonts w:hint="eastAsia" w:ascii="仿宋" w:hAnsi="仿宋" w:eastAsia="仿宋" w:cs="仿宋"/>
                <w:sz w:val="21"/>
                <w:szCs w:val="24"/>
                <w:highlight w:val="none"/>
              </w:rPr>
              <w:t>需求</w:t>
            </w:r>
          </w:p>
        </w:tc>
        <w:tc>
          <w:tcPr>
            <w:tcW w:w="2438" w:type="dxa"/>
            <w:noWrap w:val="0"/>
            <w:vAlign w:val="center"/>
          </w:tcPr>
          <w:p w14:paraId="25C4A7F4">
            <w:pPr>
              <w:spacing w:line="360" w:lineRule="auto"/>
              <w:jc w:val="center"/>
              <w:rPr>
                <w:rFonts w:hint="eastAsia" w:ascii="仿宋" w:hAnsi="仿宋" w:eastAsia="仿宋" w:cs="仿宋"/>
                <w:sz w:val="21"/>
                <w:szCs w:val="24"/>
                <w:highlight w:val="none"/>
              </w:rPr>
            </w:pPr>
            <w:r>
              <w:rPr>
                <w:rFonts w:hint="eastAsia" w:ascii="仿宋" w:hAnsi="仿宋" w:eastAsia="仿宋" w:cs="仿宋"/>
                <w:sz w:val="21"/>
                <w:szCs w:val="24"/>
                <w:highlight w:val="none"/>
                <w:lang w:eastAsia="zh-CN"/>
              </w:rPr>
              <w:t>竞选</w:t>
            </w:r>
            <w:r>
              <w:rPr>
                <w:rFonts w:hint="eastAsia" w:ascii="仿宋" w:hAnsi="仿宋" w:eastAsia="仿宋" w:cs="仿宋"/>
                <w:sz w:val="21"/>
                <w:szCs w:val="24"/>
                <w:highlight w:val="none"/>
              </w:rPr>
              <w:t>情况</w:t>
            </w:r>
          </w:p>
        </w:tc>
        <w:tc>
          <w:tcPr>
            <w:tcW w:w="2359" w:type="dxa"/>
            <w:noWrap w:val="0"/>
            <w:vAlign w:val="center"/>
          </w:tcPr>
          <w:p w14:paraId="32C3586F">
            <w:pPr>
              <w:spacing w:line="360" w:lineRule="auto"/>
              <w:jc w:val="center"/>
              <w:rPr>
                <w:rFonts w:hint="eastAsia" w:ascii="仿宋" w:hAnsi="仿宋" w:eastAsia="仿宋" w:cs="仿宋"/>
                <w:sz w:val="21"/>
                <w:szCs w:val="24"/>
                <w:highlight w:val="none"/>
              </w:rPr>
            </w:pPr>
            <w:r>
              <w:rPr>
                <w:rFonts w:hint="eastAsia" w:ascii="仿宋" w:hAnsi="仿宋" w:eastAsia="仿宋" w:cs="仿宋"/>
                <w:sz w:val="21"/>
                <w:szCs w:val="21"/>
                <w:highlight w:val="none"/>
              </w:rPr>
              <w:t>差异说明</w:t>
            </w:r>
          </w:p>
        </w:tc>
      </w:tr>
      <w:tr w14:paraId="14A2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3484C18E">
            <w:pPr>
              <w:spacing w:line="360" w:lineRule="auto"/>
              <w:rPr>
                <w:rFonts w:hint="eastAsia" w:ascii="仿宋" w:hAnsi="仿宋" w:eastAsia="仿宋" w:cs="仿宋"/>
                <w:sz w:val="21"/>
                <w:szCs w:val="24"/>
                <w:highlight w:val="none"/>
              </w:rPr>
            </w:pPr>
          </w:p>
        </w:tc>
        <w:tc>
          <w:tcPr>
            <w:tcW w:w="3184" w:type="dxa"/>
            <w:noWrap w:val="0"/>
            <w:vAlign w:val="center"/>
          </w:tcPr>
          <w:p w14:paraId="2E6AD4BD">
            <w:pPr>
              <w:spacing w:line="360" w:lineRule="auto"/>
              <w:rPr>
                <w:rFonts w:hint="eastAsia" w:ascii="仿宋" w:hAnsi="仿宋" w:eastAsia="仿宋" w:cs="仿宋"/>
                <w:sz w:val="21"/>
                <w:szCs w:val="24"/>
                <w:highlight w:val="none"/>
              </w:rPr>
            </w:pPr>
          </w:p>
        </w:tc>
        <w:tc>
          <w:tcPr>
            <w:tcW w:w="2438" w:type="dxa"/>
            <w:noWrap w:val="0"/>
            <w:vAlign w:val="center"/>
          </w:tcPr>
          <w:p w14:paraId="3928A310">
            <w:pPr>
              <w:spacing w:line="360" w:lineRule="auto"/>
              <w:rPr>
                <w:rFonts w:hint="eastAsia" w:ascii="仿宋" w:hAnsi="仿宋" w:eastAsia="仿宋" w:cs="仿宋"/>
                <w:sz w:val="21"/>
                <w:szCs w:val="24"/>
                <w:highlight w:val="none"/>
              </w:rPr>
            </w:pPr>
          </w:p>
        </w:tc>
        <w:tc>
          <w:tcPr>
            <w:tcW w:w="2359" w:type="dxa"/>
            <w:noWrap w:val="0"/>
            <w:vAlign w:val="center"/>
          </w:tcPr>
          <w:p w14:paraId="3921B7DE">
            <w:pPr>
              <w:spacing w:line="360" w:lineRule="auto"/>
              <w:rPr>
                <w:rFonts w:hint="eastAsia" w:ascii="仿宋" w:hAnsi="仿宋" w:eastAsia="仿宋" w:cs="仿宋"/>
                <w:sz w:val="21"/>
                <w:szCs w:val="24"/>
                <w:highlight w:val="none"/>
              </w:rPr>
            </w:pPr>
          </w:p>
        </w:tc>
      </w:tr>
      <w:tr w14:paraId="4E7B1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10EC5851">
            <w:pPr>
              <w:spacing w:line="360" w:lineRule="auto"/>
              <w:rPr>
                <w:rFonts w:hint="eastAsia" w:ascii="仿宋" w:hAnsi="仿宋" w:eastAsia="仿宋" w:cs="仿宋"/>
                <w:sz w:val="21"/>
                <w:szCs w:val="24"/>
                <w:highlight w:val="none"/>
              </w:rPr>
            </w:pPr>
          </w:p>
        </w:tc>
        <w:tc>
          <w:tcPr>
            <w:tcW w:w="3184" w:type="dxa"/>
            <w:noWrap w:val="0"/>
            <w:vAlign w:val="center"/>
          </w:tcPr>
          <w:p w14:paraId="1891F144">
            <w:pPr>
              <w:spacing w:line="360" w:lineRule="auto"/>
              <w:rPr>
                <w:rFonts w:hint="eastAsia" w:ascii="仿宋" w:hAnsi="仿宋" w:eastAsia="仿宋" w:cs="仿宋"/>
                <w:sz w:val="21"/>
                <w:szCs w:val="24"/>
                <w:highlight w:val="none"/>
              </w:rPr>
            </w:pPr>
          </w:p>
        </w:tc>
        <w:tc>
          <w:tcPr>
            <w:tcW w:w="2438" w:type="dxa"/>
            <w:noWrap w:val="0"/>
            <w:vAlign w:val="center"/>
          </w:tcPr>
          <w:p w14:paraId="2847E99A">
            <w:pPr>
              <w:spacing w:line="360" w:lineRule="auto"/>
              <w:rPr>
                <w:rFonts w:hint="eastAsia" w:ascii="仿宋" w:hAnsi="仿宋" w:eastAsia="仿宋" w:cs="仿宋"/>
                <w:sz w:val="21"/>
                <w:szCs w:val="24"/>
                <w:highlight w:val="none"/>
              </w:rPr>
            </w:pPr>
          </w:p>
        </w:tc>
        <w:tc>
          <w:tcPr>
            <w:tcW w:w="2359" w:type="dxa"/>
            <w:noWrap w:val="0"/>
            <w:vAlign w:val="center"/>
          </w:tcPr>
          <w:p w14:paraId="3AC0DD78">
            <w:pPr>
              <w:spacing w:line="360" w:lineRule="auto"/>
              <w:rPr>
                <w:rFonts w:hint="eastAsia" w:ascii="仿宋" w:hAnsi="仿宋" w:eastAsia="仿宋" w:cs="仿宋"/>
                <w:sz w:val="21"/>
                <w:szCs w:val="24"/>
                <w:highlight w:val="none"/>
              </w:rPr>
            </w:pPr>
          </w:p>
        </w:tc>
      </w:tr>
      <w:tr w14:paraId="57FB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4177936D">
            <w:pPr>
              <w:spacing w:line="360" w:lineRule="auto"/>
              <w:rPr>
                <w:rFonts w:hint="eastAsia" w:ascii="仿宋" w:hAnsi="仿宋" w:eastAsia="仿宋" w:cs="仿宋"/>
                <w:sz w:val="21"/>
                <w:szCs w:val="24"/>
                <w:highlight w:val="none"/>
              </w:rPr>
            </w:pPr>
          </w:p>
        </w:tc>
        <w:tc>
          <w:tcPr>
            <w:tcW w:w="3184" w:type="dxa"/>
            <w:noWrap w:val="0"/>
            <w:vAlign w:val="center"/>
          </w:tcPr>
          <w:p w14:paraId="0019E904">
            <w:pPr>
              <w:spacing w:line="360" w:lineRule="auto"/>
              <w:rPr>
                <w:rFonts w:hint="eastAsia" w:ascii="仿宋" w:hAnsi="仿宋" w:eastAsia="仿宋" w:cs="仿宋"/>
                <w:sz w:val="21"/>
                <w:szCs w:val="24"/>
                <w:highlight w:val="none"/>
              </w:rPr>
            </w:pPr>
          </w:p>
        </w:tc>
        <w:tc>
          <w:tcPr>
            <w:tcW w:w="2438" w:type="dxa"/>
            <w:noWrap w:val="0"/>
            <w:vAlign w:val="center"/>
          </w:tcPr>
          <w:p w14:paraId="0C57C9C4">
            <w:pPr>
              <w:spacing w:line="360" w:lineRule="auto"/>
              <w:rPr>
                <w:rFonts w:hint="eastAsia" w:ascii="仿宋" w:hAnsi="仿宋" w:eastAsia="仿宋" w:cs="仿宋"/>
                <w:sz w:val="21"/>
                <w:szCs w:val="24"/>
                <w:highlight w:val="none"/>
              </w:rPr>
            </w:pPr>
          </w:p>
        </w:tc>
        <w:tc>
          <w:tcPr>
            <w:tcW w:w="2359" w:type="dxa"/>
            <w:noWrap w:val="0"/>
            <w:vAlign w:val="center"/>
          </w:tcPr>
          <w:p w14:paraId="63289413">
            <w:pPr>
              <w:spacing w:line="360" w:lineRule="auto"/>
              <w:rPr>
                <w:rFonts w:hint="eastAsia" w:ascii="仿宋" w:hAnsi="仿宋" w:eastAsia="仿宋" w:cs="仿宋"/>
                <w:sz w:val="21"/>
                <w:szCs w:val="24"/>
                <w:highlight w:val="none"/>
              </w:rPr>
            </w:pPr>
          </w:p>
        </w:tc>
      </w:tr>
      <w:tr w14:paraId="64412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10084F73">
            <w:pPr>
              <w:spacing w:line="360" w:lineRule="auto"/>
              <w:rPr>
                <w:rFonts w:hint="eastAsia" w:ascii="仿宋" w:hAnsi="仿宋" w:eastAsia="仿宋" w:cs="仿宋"/>
                <w:sz w:val="21"/>
                <w:szCs w:val="24"/>
                <w:highlight w:val="none"/>
              </w:rPr>
            </w:pPr>
          </w:p>
        </w:tc>
        <w:tc>
          <w:tcPr>
            <w:tcW w:w="3184" w:type="dxa"/>
            <w:noWrap w:val="0"/>
            <w:vAlign w:val="center"/>
          </w:tcPr>
          <w:p w14:paraId="472DFDA8">
            <w:pPr>
              <w:spacing w:line="360" w:lineRule="auto"/>
              <w:rPr>
                <w:rFonts w:hint="eastAsia" w:ascii="仿宋" w:hAnsi="仿宋" w:eastAsia="仿宋" w:cs="仿宋"/>
                <w:sz w:val="21"/>
                <w:szCs w:val="24"/>
                <w:highlight w:val="none"/>
              </w:rPr>
            </w:pPr>
          </w:p>
        </w:tc>
        <w:tc>
          <w:tcPr>
            <w:tcW w:w="2438" w:type="dxa"/>
            <w:noWrap w:val="0"/>
            <w:vAlign w:val="center"/>
          </w:tcPr>
          <w:p w14:paraId="7ACE3890">
            <w:pPr>
              <w:spacing w:line="360" w:lineRule="auto"/>
              <w:rPr>
                <w:rFonts w:hint="eastAsia" w:ascii="仿宋" w:hAnsi="仿宋" w:eastAsia="仿宋" w:cs="仿宋"/>
                <w:sz w:val="21"/>
                <w:szCs w:val="24"/>
                <w:highlight w:val="none"/>
              </w:rPr>
            </w:pPr>
          </w:p>
        </w:tc>
        <w:tc>
          <w:tcPr>
            <w:tcW w:w="2359" w:type="dxa"/>
            <w:noWrap w:val="0"/>
            <w:vAlign w:val="center"/>
          </w:tcPr>
          <w:p w14:paraId="3DB05EDA">
            <w:pPr>
              <w:spacing w:line="360" w:lineRule="auto"/>
              <w:rPr>
                <w:rFonts w:hint="eastAsia" w:ascii="仿宋" w:hAnsi="仿宋" w:eastAsia="仿宋" w:cs="仿宋"/>
                <w:sz w:val="21"/>
                <w:szCs w:val="24"/>
                <w:highlight w:val="none"/>
              </w:rPr>
            </w:pPr>
          </w:p>
        </w:tc>
      </w:tr>
      <w:tr w14:paraId="2790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6D96D586">
            <w:pPr>
              <w:spacing w:line="360" w:lineRule="auto"/>
              <w:rPr>
                <w:rFonts w:hint="eastAsia" w:ascii="仿宋" w:hAnsi="仿宋" w:eastAsia="仿宋" w:cs="仿宋"/>
                <w:sz w:val="21"/>
                <w:szCs w:val="24"/>
                <w:highlight w:val="none"/>
              </w:rPr>
            </w:pPr>
          </w:p>
        </w:tc>
        <w:tc>
          <w:tcPr>
            <w:tcW w:w="3184" w:type="dxa"/>
            <w:noWrap w:val="0"/>
            <w:vAlign w:val="center"/>
          </w:tcPr>
          <w:p w14:paraId="02E8F297">
            <w:pPr>
              <w:spacing w:line="360" w:lineRule="auto"/>
              <w:rPr>
                <w:rFonts w:hint="eastAsia" w:ascii="仿宋" w:hAnsi="仿宋" w:eastAsia="仿宋" w:cs="仿宋"/>
                <w:sz w:val="21"/>
                <w:szCs w:val="24"/>
                <w:highlight w:val="none"/>
              </w:rPr>
            </w:pPr>
          </w:p>
        </w:tc>
        <w:tc>
          <w:tcPr>
            <w:tcW w:w="2438" w:type="dxa"/>
            <w:noWrap w:val="0"/>
            <w:vAlign w:val="center"/>
          </w:tcPr>
          <w:p w14:paraId="3089BFA2">
            <w:pPr>
              <w:spacing w:line="360" w:lineRule="auto"/>
              <w:rPr>
                <w:rFonts w:hint="eastAsia" w:ascii="仿宋" w:hAnsi="仿宋" w:eastAsia="仿宋" w:cs="仿宋"/>
                <w:sz w:val="21"/>
                <w:szCs w:val="24"/>
                <w:highlight w:val="none"/>
              </w:rPr>
            </w:pPr>
          </w:p>
        </w:tc>
        <w:tc>
          <w:tcPr>
            <w:tcW w:w="2359" w:type="dxa"/>
            <w:noWrap w:val="0"/>
            <w:vAlign w:val="center"/>
          </w:tcPr>
          <w:p w14:paraId="1437EA7F">
            <w:pPr>
              <w:spacing w:line="360" w:lineRule="auto"/>
              <w:rPr>
                <w:rFonts w:hint="eastAsia" w:ascii="仿宋" w:hAnsi="仿宋" w:eastAsia="仿宋" w:cs="仿宋"/>
                <w:sz w:val="21"/>
                <w:szCs w:val="24"/>
                <w:highlight w:val="none"/>
              </w:rPr>
            </w:pPr>
          </w:p>
        </w:tc>
      </w:tr>
      <w:tr w14:paraId="6533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3E73DA0E">
            <w:pPr>
              <w:spacing w:line="360" w:lineRule="auto"/>
              <w:rPr>
                <w:rFonts w:hint="eastAsia" w:ascii="仿宋" w:hAnsi="仿宋" w:eastAsia="仿宋" w:cs="仿宋"/>
                <w:sz w:val="21"/>
                <w:szCs w:val="24"/>
                <w:highlight w:val="none"/>
              </w:rPr>
            </w:pPr>
          </w:p>
        </w:tc>
        <w:tc>
          <w:tcPr>
            <w:tcW w:w="3184" w:type="dxa"/>
            <w:noWrap w:val="0"/>
            <w:vAlign w:val="center"/>
          </w:tcPr>
          <w:p w14:paraId="5EAE5829">
            <w:pPr>
              <w:spacing w:line="360" w:lineRule="auto"/>
              <w:rPr>
                <w:rFonts w:hint="eastAsia" w:ascii="仿宋" w:hAnsi="仿宋" w:eastAsia="仿宋" w:cs="仿宋"/>
                <w:sz w:val="21"/>
                <w:szCs w:val="24"/>
                <w:highlight w:val="none"/>
              </w:rPr>
            </w:pPr>
          </w:p>
        </w:tc>
        <w:tc>
          <w:tcPr>
            <w:tcW w:w="2438" w:type="dxa"/>
            <w:noWrap w:val="0"/>
            <w:vAlign w:val="center"/>
          </w:tcPr>
          <w:p w14:paraId="5560B92A">
            <w:pPr>
              <w:spacing w:line="360" w:lineRule="auto"/>
              <w:rPr>
                <w:rFonts w:hint="eastAsia" w:ascii="仿宋" w:hAnsi="仿宋" w:eastAsia="仿宋" w:cs="仿宋"/>
                <w:sz w:val="21"/>
                <w:szCs w:val="24"/>
                <w:highlight w:val="none"/>
              </w:rPr>
            </w:pPr>
          </w:p>
        </w:tc>
        <w:tc>
          <w:tcPr>
            <w:tcW w:w="2359" w:type="dxa"/>
            <w:noWrap w:val="0"/>
            <w:vAlign w:val="center"/>
          </w:tcPr>
          <w:p w14:paraId="6943F02F">
            <w:pPr>
              <w:spacing w:line="360" w:lineRule="auto"/>
              <w:rPr>
                <w:rFonts w:hint="eastAsia" w:ascii="仿宋" w:hAnsi="仿宋" w:eastAsia="仿宋" w:cs="仿宋"/>
                <w:sz w:val="21"/>
                <w:szCs w:val="24"/>
                <w:highlight w:val="none"/>
              </w:rPr>
            </w:pPr>
          </w:p>
        </w:tc>
      </w:tr>
    </w:tbl>
    <w:p w14:paraId="190269EB">
      <w:pPr>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lang w:eastAsia="zh-CN"/>
        </w:rPr>
        <w:t>竞选人</w:t>
      </w:r>
      <w:r>
        <w:rPr>
          <w:rFonts w:hint="eastAsia" w:ascii="仿宋" w:hAnsi="仿宋" w:eastAsia="仿宋" w:cs="仿宋"/>
          <w:sz w:val="24"/>
          <w:szCs w:val="28"/>
          <w:highlight w:val="none"/>
        </w:rPr>
        <w:t xml:space="preserve">：                          </w:t>
      </w:r>
      <w:r>
        <w:rPr>
          <w:rFonts w:hint="eastAsia" w:ascii="仿宋" w:hAnsi="仿宋" w:eastAsia="仿宋" w:cs="仿宋"/>
          <w:sz w:val="24"/>
          <w:szCs w:val="24"/>
          <w:highlight w:val="none"/>
        </w:rPr>
        <w:t>法定代表人（或其授权代表）或自然人</w:t>
      </w:r>
      <w:r>
        <w:rPr>
          <w:rFonts w:hint="eastAsia" w:ascii="仿宋" w:hAnsi="仿宋" w:eastAsia="仿宋" w:cs="仿宋"/>
          <w:sz w:val="24"/>
          <w:szCs w:val="28"/>
          <w:highlight w:val="none"/>
        </w:rPr>
        <w:t>：</w:t>
      </w:r>
    </w:p>
    <w:p w14:paraId="6A1A1F11">
      <w:pPr>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 xml:space="preserve">    </w:t>
      </w:r>
    </w:p>
    <w:p w14:paraId="12BF7C88">
      <w:pPr>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w:t>
      </w:r>
      <w:r>
        <w:rPr>
          <w:rFonts w:hint="eastAsia" w:ascii="仿宋" w:hAnsi="仿宋" w:eastAsia="仿宋" w:cs="仿宋"/>
          <w:sz w:val="24"/>
          <w:szCs w:val="28"/>
          <w:highlight w:val="none"/>
          <w:lang w:eastAsia="zh-CN"/>
        </w:rPr>
        <w:t>竞选人</w:t>
      </w:r>
      <w:r>
        <w:rPr>
          <w:rFonts w:hint="eastAsia" w:ascii="仿宋" w:hAnsi="仿宋" w:eastAsia="仿宋" w:cs="仿宋"/>
          <w:sz w:val="24"/>
          <w:szCs w:val="28"/>
          <w:highlight w:val="none"/>
        </w:rPr>
        <w:t>公章）                                     （签署或盖章）</w:t>
      </w:r>
    </w:p>
    <w:p w14:paraId="331E1B4E">
      <w:pPr>
        <w:spacing w:line="360" w:lineRule="auto"/>
        <w:rPr>
          <w:rFonts w:hint="eastAsia" w:ascii="仿宋" w:hAnsi="仿宋" w:eastAsia="仿宋" w:cs="仿宋"/>
          <w:sz w:val="24"/>
          <w:highlight w:val="none"/>
        </w:rPr>
      </w:pPr>
      <w:r>
        <w:rPr>
          <w:rFonts w:hint="eastAsia" w:ascii="仿宋" w:hAnsi="仿宋" w:eastAsia="仿宋" w:cs="仿宋"/>
          <w:sz w:val="24"/>
          <w:szCs w:val="28"/>
          <w:highlight w:val="none"/>
        </w:rPr>
        <w:t xml:space="preserve">                                                  年     月     日</w:t>
      </w:r>
    </w:p>
    <w:p w14:paraId="68119CAC">
      <w:pPr>
        <w:spacing w:line="360" w:lineRule="auto"/>
        <w:rPr>
          <w:rFonts w:hint="eastAsia" w:ascii="仿宋" w:hAnsi="仿宋" w:eastAsia="仿宋" w:cs="仿宋"/>
          <w:sz w:val="24"/>
          <w:highlight w:val="none"/>
        </w:rPr>
      </w:pPr>
      <w:r>
        <w:rPr>
          <w:rFonts w:hint="eastAsia" w:ascii="仿宋" w:hAnsi="仿宋" w:eastAsia="仿宋" w:cs="仿宋"/>
          <w:sz w:val="24"/>
          <w:highlight w:val="none"/>
        </w:rPr>
        <w:t>注：</w:t>
      </w:r>
    </w:p>
    <w:p w14:paraId="101655C4">
      <w:pPr>
        <w:spacing w:line="360" w:lineRule="auto"/>
        <w:rPr>
          <w:rFonts w:hint="eastAsia" w:ascii="仿宋" w:hAnsi="仿宋" w:eastAsia="仿宋" w:cs="仿宋"/>
          <w:sz w:val="24"/>
          <w:highlight w:val="none"/>
        </w:rPr>
      </w:pPr>
      <w:r>
        <w:rPr>
          <w:rFonts w:hint="eastAsia" w:ascii="仿宋" w:hAnsi="仿宋" w:eastAsia="仿宋" w:cs="仿宋"/>
          <w:sz w:val="24"/>
          <w:szCs w:val="24"/>
          <w:highlight w:val="none"/>
        </w:rPr>
        <w:t>1</w:t>
      </w:r>
      <w:r>
        <w:rPr>
          <w:rFonts w:hint="eastAsia" w:ascii="仿宋" w:hAnsi="仿宋" w:eastAsia="仿宋" w:cs="仿宋"/>
          <w:sz w:val="24"/>
          <w:highlight w:val="none"/>
        </w:rPr>
        <w:t>.</w:t>
      </w:r>
      <w:r>
        <w:rPr>
          <w:rFonts w:hint="eastAsia" w:ascii="仿宋" w:hAnsi="仿宋" w:eastAsia="仿宋" w:cs="仿宋"/>
          <w:sz w:val="24"/>
          <w:szCs w:val="24"/>
          <w:highlight w:val="none"/>
        </w:rPr>
        <w:t>本表即为对本项目“第三篇  项目商务需求”中所列条款进行比较和</w:t>
      </w:r>
      <w:r>
        <w:rPr>
          <w:rFonts w:hint="eastAsia" w:ascii="仿宋" w:hAnsi="仿宋" w:eastAsia="仿宋" w:cs="仿宋"/>
          <w:sz w:val="24"/>
          <w:szCs w:val="24"/>
          <w:highlight w:val="none"/>
          <w:lang w:eastAsia="zh-CN"/>
        </w:rPr>
        <w:t>竞选</w:t>
      </w:r>
      <w:r>
        <w:rPr>
          <w:rFonts w:hint="eastAsia" w:ascii="仿宋" w:hAnsi="仿宋" w:eastAsia="仿宋" w:cs="仿宋"/>
          <w:sz w:val="24"/>
          <w:szCs w:val="24"/>
          <w:highlight w:val="none"/>
        </w:rPr>
        <w:t>；</w:t>
      </w:r>
    </w:p>
    <w:p w14:paraId="361FB28A">
      <w:pPr>
        <w:spacing w:line="360" w:lineRule="auto"/>
        <w:rPr>
          <w:rFonts w:hint="eastAsia" w:ascii="仿宋" w:hAnsi="仿宋" w:eastAsia="仿宋" w:cs="仿宋"/>
          <w:sz w:val="24"/>
          <w:szCs w:val="24"/>
          <w:highlight w:val="none"/>
        </w:rPr>
      </w:pPr>
      <w:r>
        <w:rPr>
          <w:rFonts w:hint="eastAsia" w:ascii="仿宋" w:hAnsi="仿宋" w:eastAsia="仿宋" w:cs="仿宋"/>
          <w:sz w:val="24"/>
          <w:highlight w:val="none"/>
        </w:rPr>
        <w:t>2.本表可扩展</w:t>
      </w:r>
      <w:r>
        <w:rPr>
          <w:rFonts w:hint="eastAsia" w:ascii="仿宋" w:hAnsi="仿宋" w:eastAsia="仿宋" w:cs="仿宋"/>
          <w:sz w:val="24"/>
          <w:szCs w:val="24"/>
          <w:highlight w:val="none"/>
        </w:rPr>
        <w:t>。</w:t>
      </w:r>
    </w:p>
    <w:p w14:paraId="11A8CEAE">
      <w:pPr>
        <w:spacing w:line="360" w:lineRule="auto"/>
        <w:rPr>
          <w:rFonts w:hint="eastAsia" w:ascii="仿宋" w:hAnsi="仿宋" w:eastAsia="仿宋" w:cs="仿宋"/>
          <w:sz w:val="24"/>
          <w:szCs w:val="24"/>
          <w:highlight w:val="none"/>
        </w:rPr>
      </w:pPr>
    </w:p>
    <w:p w14:paraId="3B393BAF">
      <w:pPr>
        <w:tabs>
          <w:tab w:val="left" w:pos="6300"/>
        </w:tabs>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br w:type="page"/>
      </w:r>
      <w:r>
        <w:rPr>
          <w:rFonts w:hint="eastAsia" w:ascii="仿宋" w:hAnsi="仿宋" w:eastAsia="仿宋" w:cs="仿宋"/>
          <w:sz w:val="24"/>
          <w:szCs w:val="24"/>
          <w:highlight w:val="none"/>
        </w:rPr>
        <w:t>（二）其它优惠服务承诺（格式自定）</w:t>
      </w:r>
    </w:p>
    <w:p w14:paraId="342B1C1E">
      <w:pPr>
        <w:tabs>
          <w:tab w:val="left" w:pos="6300"/>
        </w:tabs>
        <w:snapToGrid w:val="0"/>
        <w:spacing w:line="360" w:lineRule="auto"/>
        <w:ind w:firstLine="480" w:firstLineChars="200"/>
        <w:rPr>
          <w:rFonts w:hint="eastAsia" w:ascii="仿宋" w:hAnsi="仿宋" w:eastAsia="仿宋" w:cs="仿宋"/>
          <w:sz w:val="24"/>
          <w:szCs w:val="24"/>
          <w:highlight w:val="none"/>
        </w:rPr>
      </w:pPr>
    </w:p>
    <w:p w14:paraId="3CDB0FA3">
      <w:pPr>
        <w:pStyle w:val="3"/>
        <w:spacing w:line="360" w:lineRule="auto"/>
        <w:ind w:firstLine="482" w:firstLineChars="200"/>
        <w:outlineLvl w:val="0"/>
        <w:rPr>
          <w:rFonts w:hint="eastAsia" w:ascii="仿宋" w:hAnsi="仿宋" w:eastAsia="仿宋" w:cs="仿宋"/>
          <w:sz w:val="24"/>
          <w:highlight w:val="none"/>
        </w:rPr>
      </w:pPr>
      <w:r>
        <w:rPr>
          <w:rFonts w:hint="eastAsia" w:ascii="仿宋" w:hAnsi="仿宋" w:eastAsia="仿宋" w:cs="仿宋"/>
          <w:sz w:val="24"/>
          <w:szCs w:val="24"/>
          <w:highlight w:val="none"/>
        </w:rPr>
        <w:br w:type="page"/>
      </w:r>
      <w:bookmarkStart w:id="390" w:name="_Toc65660382"/>
      <w:bookmarkStart w:id="391" w:name="_Toc106034811"/>
      <w:bookmarkStart w:id="392" w:name="_Toc21793"/>
      <w:bookmarkStart w:id="393" w:name="_Toc4178"/>
      <w:bookmarkStart w:id="394" w:name="_Toc22068"/>
      <w:bookmarkStart w:id="395" w:name="_Toc20162"/>
      <w:bookmarkStart w:id="396" w:name="_Toc2082"/>
      <w:r>
        <w:rPr>
          <w:rFonts w:hint="eastAsia" w:ascii="仿宋" w:hAnsi="仿宋" w:eastAsia="仿宋" w:cs="仿宋"/>
          <w:sz w:val="24"/>
          <w:highlight w:val="none"/>
        </w:rPr>
        <w:t>四、</w:t>
      </w:r>
      <w:bookmarkEnd w:id="387"/>
      <w:bookmarkEnd w:id="388"/>
      <w:bookmarkEnd w:id="389"/>
      <w:r>
        <w:rPr>
          <w:rFonts w:hint="eastAsia" w:ascii="仿宋" w:hAnsi="仿宋" w:eastAsia="仿宋" w:cs="仿宋"/>
          <w:sz w:val="24"/>
          <w:highlight w:val="none"/>
        </w:rPr>
        <w:t>资格条件及其他</w:t>
      </w:r>
      <w:bookmarkEnd w:id="390"/>
      <w:bookmarkEnd w:id="391"/>
      <w:bookmarkEnd w:id="392"/>
      <w:bookmarkEnd w:id="393"/>
      <w:bookmarkEnd w:id="394"/>
      <w:bookmarkEnd w:id="395"/>
      <w:bookmarkEnd w:id="396"/>
    </w:p>
    <w:p w14:paraId="2D7CD87F">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（一）法人营业执照（副本）或事业单位法人证书（副本）或个体工商户营业执照或有效的自然人身份证明或社会团体法人登记证书复印件</w:t>
      </w:r>
    </w:p>
    <w:p w14:paraId="75AD456E">
      <w:pPr>
        <w:widowControl w:val="0"/>
        <w:spacing w:line="240" w:lineRule="auto"/>
        <w:ind w:firstLine="0" w:firstLineChars="0"/>
        <w:jc w:val="both"/>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1E8A95A4">
      <w:pPr>
        <w:widowControl w:val="0"/>
        <w:spacing w:line="240" w:lineRule="auto"/>
        <w:ind w:firstLine="0" w:firstLineChars="0"/>
        <w:jc w:val="both"/>
        <w:rPr>
          <w:rFonts w:hint="eastAsia" w:ascii="仿宋" w:hAnsi="仿宋" w:eastAsia="仿宋" w:cs="仿宋"/>
          <w:b w:val="0"/>
          <w:bCs/>
          <w:color w:val="auto"/>
          <w:highlight w:val="none"/>
        </w:rPr>
      </w:pPr>
      <w:r>
        <w:rPr>
          <w:rFonts w:hint="eastAsia" w:ascii="仿宋" w:hAnsi="仿宋" w:eastAsia="仿宋" w:cs="仿宋"/>
          <w:b w:val="0"/>
          <w:bCs/>
          <w:color w:val="auto"/>
          <w:highlight w:val="none"/>
          <w:lang w:eastAsia="zh-CN"/>
        </w:rPr>
        <w:t>（二）</w:t>
      </w:r>
      <w:r>
        <w:rPr>
          <w:rFonts w:hint="eastAsia" w:ascii="仿宋" w:hAnsi="仿宋" w:eastAsia="仿宋" w:cs="仿宋"/>
          <w:b w:val="0"/>
          <w:bCs/>
          <w:color w:val="auto"/>
          <w:highlight w:val="none"/>
        </w:rPr>
        <w:t>法定代表人身份证明书</w:t>
      </w:r>
    </w:p>
    <w:p w14:paraId="144A285F">
      <w:pPr>
        <w:keepNext/>
        <w:keepLines/>
        <w:widowControl w:val="0"/>
        <w:spacing w:before="260" w:after="260" w:line="240" w:lineRule="auto"/>
        <w:ind w:firstLine="40"/>
        <w:jc w:val="both"/>
        <w:outlineLvl w:val="2"/>
        <w:rPr>
          <w:rFonts w:hint="eastAsia" w:ascii="仿宋" w:hAnsi="仿宋" w:eastAsia="仿宋" w:cs="仿宋"/>
          <w:b/>
          <w:color w:val="auto"/>
          <w:sz w:val="2"/>
          <w:szCs w:val="2"/>
          <w:highlight w:val="none"/>
        </w:rPr>
      </w:pPr>
    </w:p>
    <w:p w14:paraId="7B6CEAEA">
      <w:pPr>
        <w:widowControl w:val="0"/>
        <w:tabs>
          <w:tab w:val="left" w:pos="6300"/>
        </w:tabs>
        <w:snapToGrid w:val="0"/>
        <w:spacing w:line="500" w:lineRule="exact"/>
        <w:ind w:firstLine="480" w:firstLineChars="0"/>
        <w:jc w:val="center"/>
        <w:rPr>
          <w:rFonts w:hint="eastAsia" w:ascii="仿宋" w:hAnsi="仿宋" w:eastAsia="仿宋" w:cs="仿宋"/>
          <w:color w:val="auto"/>
          <w:sz w:val="28"/>
          <w:szCs w:val="20"/>
          <w:highlight w:val="none"/>
        </w:rPr>
      </w:pPr>
      <w:r>
        <w:rPr>
          <w:rFonts w:hint="eastAsia" w:ascii="仿宋" w:hAnsi="仿宋" w:eastAsia="仿宋" w:cs="仿宋"/>
          <w:b/>
          <w:bCs/>
          <w:color w:val="auto"/>
          <w:highlight w:val="none"/>
        </w:rPr>
        <w:t>法定代表人身份证明书</w:t>
      </w:r>
    </w:p>
    <w:p w14:paraId="6C9F01F9">
      <w:pPr>
        <w:widowControl w:val="0"/>
        <w:tabs>
          <w:tab w:val="left" w:pos="6300"/>
        </w:tabs>
        <w:snapToGrid w:val="0"/>
        <w:spacing w:line="312" w:lineRule="auto"/>
        <w:ind w:firstLine="480"/>
        <w:jc w:val="both"/>
        <w:rPr>
          <w:rFonts w:hint="eastAsia" w:ascii="仿宋" w:hAnsi="仿宋" w:eastAsia="仿宋" w:cs="仿宋"/>
          <w:color w:val="auto"/>
          <w:highlight w:val="none"/>
        </w:rPr>
      </w:pPr>
    </w:p>
    <w:p w14:paraId="4168621B">
      <w:pPr>
        <w:ind w:firstLine="480"/>
        <w:rPr>
          <w:rFonts w:hint="eastAsia" w:ascii="仿宋" w:hAnsi="仿宋" w:eastAsia="仿宋" w:cs="仿宋"/>
          <w:color w:val="auto"/>
          <w:highlight w:val="none"/>
          <w:u w:val="single"/>
        </w:rPr>
      </w:pP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项目名称：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w:t>
      </w:r>
    </w:p>
    <w:p w14:paraId="6D979739">
      <w:pPr>
        <w:pStyle w:val="33"/>
        <w:ind w:firstLine="480"/>
        <w:rPr>
          <w:rFonts w:hint="eastAsia" w:ascii="仿宋" w:hAnsi="仿宋" w:eastAsia="仿宋" w:cs="仿宋"/>
          <w:color w:val="auto"/>
          <w:highlight w:val="none"/>
        </w:rPr>
      </w:pPr>
    </w:p>
    <w:p w14:paraId="7DE8DFE4">
      <w:pPr>
        <w:pStyle w:val="34"/>
        <w:ind w:firstLine="480"/>
        <w:rPr>
          <w:rFonts w:hint="eastAsia" w:ascii="仿宋" w:hAnsi="仿宋" w:eastAsia="仿宋" w:cs="仿宋"/>
          <w:color w:val="auto"/>
          <w:highlight w:val="none"/>
        </w:rPr>
      </w:pPr>
      <w:r>
        <w:rPr>
          <w:rFonts w:hint="eastAsia" w:ascii="仿宋" w:hAnsi="仿宋" w:eastAsia="仿宋" w:cs="仿宋"/>
          <w:color w:val="auto"/>
          <w:highlight w:val="none"/>
        </w:rPr>
        <w:t>致：_________________（</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名称）：</w:t>
      </w:r>
    </w:p>
    <w:p w14:paraId="0B31A216">
      <w:pPr>
        <w:pStyle w:val="33"/>
        <w:ind w:firstLine="48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（法定代表人姓名）在</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名称）任</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（职务名称）职务，是（</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的法定代表人。</w:t>
      </w:r>
    </w:p>
    <w:p w14:paraId="5C6D45FB">
      <w:pPr>
        <w:pStyle w:val="33"/>
        <w:ind w:firstLine="480"/>
        <w:rPr>
          <w:rFonts w:hint="eastAsia" w:ascii="仿宋" w:hAnsi="仿宋" w:eastAsia="仿宋" w:cs="仿宋"/>
          <w:color w:val="auto"/>
          <w:highlight w:val="none"/>
        </w:rPr>
      </w:pPr>
    </w:p>
    <w:p w14:paraId="3AB438F1">
      <w:pPr>
        <w:ind w:firstLine="480"/>
        <w:rPr>
          <w:rFonts w:hint="eastAsia" w:ascii="仿宋" w:hAnsi="仿宋" w:eastAsia="仿宋" w:cs="仿宋"/>
          <w:color w:val="auto"/>
          <w:highlight w:val="none"/>
        </w:rPr>
      </w:pPr>
      <w:r>
        <w:rPr>
          <w:rFonts w:hint="eastAsia" w:ascii="仿宋" w:hAnsi="仿宋" w:eastAsia="仿宋" w:cs="仿宋"/>
          <w:color w:val="auto"/>
          <w:highlight w:val="none"/>
        </w:rPr>
        <w:t>特此证明。</w:t>
      </w:r>
    </w:p>
    <w:p w14:paraId="12764A83">
      <w:pPr>
        <w:ind w:firstLine="480"/>
        <w:rPr>
          <w:rFonts w:hint="eastAsia" w:ascii="仿宋" w:hAnsi="仿宋" w:eastAsia="仿宋" w:cs="仿宋"/>
          <w:color w:val="auto"/>
          <w:highlight w:val="none"/>
        </w:rPr>
      </w:pPr>
    </w:p>
    <w:p w14:paraId="51E6B938">
      <w:pPr>
        <w:ind w:firstLine="480"/>
        <w:rPr>
          <w:rFonts w:hint="eastAsia" w:ascii="仿宋" w:hAnsi="仿宋" w:eastAsia="仿宋" w:cs="仿宋"/>
          <w:color w:val="auto"/>
          <w:highlight w:val="none"/>
        </w:rPr>
      </w:pPr>
    </w:p>
    <w:p w14:paraId="56353CEC">
      <w:pPr>
        <w:ind w:firstLine="480"/>
        <w:rPr>
          <w:rFonts w:hint="eastAsia" w:ascii="仿宋" w:hAnsi="仿宋" w:eastAsia="仿宋" w:cs="仿宋"/>
          <w:color w:val="auto"/>
          <w:highlight w:val="none"/>
        </w:rPr>
      </w:pPr>
    </w:p>
    <w:p w14:paraId="5CA233C8">
      <w:pPr>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公章）</w:t>
      </w:r>
    </w:p>
    <w:p w14:paraId="71B1D91F">
      <w:pPr>
        <w:ind w:firstLine="480"/>
        <w:rPr>
          <w:rFonts w:hint="eastAsia" w:ascii="仿宋" w:hAnsi="仿宋" w:eastAsia="仿宋" w:cs="仿宋"/>
          <w:color w:val="auto"/>
          <w:highlight w:val="none"/>
        </w:rPr>
      </w:pPr>
    </w:p>
    <w:p w14:paraId="7BC038D7">
      <w:pPr>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14:paraId="0D1865D6">
      <w:pPr>
        <w:tabs>
          <w:tab w:val="left" w:pos="6300"/>
        </w:tabs>
        <w:snapToGrid w:val="0"/>
        <w:spacing w:line="500" w:lineRule="exact"/>
        <w:ind w:firstLine="480"/>
        <w:rPr>
          <w:rFonts w:hint="eastAsia" w:ascii="仿宋" w:hAnsi="仿宋" w:eastAsia="仿宋" w:cs="仿宋"/>
          <w:color w:val="auto"/>
          <w:highlight w:val="none"/>
        </w:rPr>
      </w:pPr>
    </w:p>
    <w:p w14:paraId="4F2561C5">
      <w:pPr>
        <w:ind w:firstLine="480"/>
        <w:rPr>
          <w:rFonts w:hint="eastAsia" w:ascii="仿宋" w:hAnsi="仿宋" w:eastAsia="仿宋" w:cs="仿宋"/>
          <w:color w:val="auto"/>
          <w:highlight w:val="none"/>
        </w:rPr>
      </w:pPr>
      <w:r>
        <w:rPr>
          <w:rFonts w:hint="eastAsia" w:ascii="仿宋" w:hAnsi="仿宋" w:eastAsia="仿宋" w:cs="仿宋"/>
          <w:color w:val="auto"/>
          <w:highlight w:val="none"/>
        </w:rPr>
        <w:t>（附：法定代表人身份证正反面复印件）</w:t>
      </w:r>
    </w:p>
    <w:p w14:paraId="78CD6449">
      <w:pPr>
        <w:widowControl w:val="0"/>
        <w:spacing w:line="240" w:lineRule="auto"/>
        <w:ind w:firstLine="0" w:firstLineChars="0"/>
        <w:jc w:val="both"/>
        <w:rPr>
          <w:rFonts w:hint="eastAsia" w:ascii="仿宋" w:hAnsi="仿宋" w:eastAsia="仿宋" w:cs="仿宋"/>
          <w:b/>
          <w:bCs/>
          <w:color w:val="auto"/>
          <w:highlight w:val="none"/>
        </w:rPr>
      </w:pPr>
      <w:r>
        <w:rPr>
          <w:rFonts w:hint="eastAsia" w:ascii="仿宋" w:hAnsi="仿宋" w:eastAsia="仿宋" w:cs="仿宋"/>
          <w:b/>
          <w:bCs/>
          <w:color w:val="auto"/>
          <w:highlight w:val="none"/>
        </w:rPr>
        <w:br w:type="page"/>
      </w:r>
    </w:p>
    <w:p w14:paraId="11B7C81E">
      <w:pPr>
        <w:spacing w:line="312" w:lineRule="auto"/>
        <w:ind w:firstLine="0" w:firstLineChars="0"/>
        <w:rPr>
          <w:rFonts w:hint="eastAsia" w:ascii="仿宋" w:hAnsi="仿宋" w:eastAsia="仿宋" w:cs="仿宋"/>
          <w:b w:val="0"/>
          <w:bCs/>
          <w:color w:val="auto"/>
          <w:highlight w:val="none"/>
        </w:rPr>
      </w:pPr>
      <w:r>
        <w:rPr>
          <w:rFonts w:hint="eastAsia" w:ascii="仿宋" w:hAnsi="仿宋" w:eastAsia="仿宋" w:cs="仿宋"/>
          <w:b w:val="0"/>
          <w:bCs/>
          <w:color w:val="auto"/>
          <w:highlight w:val="none"/>
          <w:lang w:eastAsia="zh-CN"/>
        </w:rPr>
        <w:t>（三）</w:t>
      </w:r>
      <w:r>
        <w:rPr>
          <w:rFonts w:hint="eastAsia" w:ascii="仿宋" w:hAnsi="仿宋" w:eastAsia="仿宋" w:cs="仿宋"/>
          <w:b w:val="0"/>
          <w:bCs/>
          <w:color w:val="auto"/>
          <w:highlight w:val="none"/>
        </w:rPr>
        <w:t>法定代表人授权委托书</w:t>
      </w:r>
    </w:p>
    <w:p w14:paraId="7517EEE2">
      <w:pPr>
        <w:widowControl w:val="0"/>
        <w:tabs>
          <w:tab w:val="left" w:pos="6300"/>
        </w:tabs>
        <w:snapToGrid w:val="0"/>
        <w:spacing w:line="312" w:lineRule="auto"/>
        <w:ind w:firstLine="0" w:firstLineChars="0"/>
        <w:jc w:val="center"/>
        <w:rPr>
          <w:rFonts w:hint="eastAsia" w:ascii="仿宋" w:hAnsi="仿宋" w:eastAsia="仿宋" w:cs="仿宋"/>
          <w:color w:val="auto"/>
          <w:highlight w:val="none"/>
        </w:rPr>
      </w:pPr>
    </w:p>
    <w:p w14:paraId="3CBB8D67">
      <w:pPr>
        <w:pStyle w:val="5"/>
        <w:spacing w:before="32" w:after="32"/>
        <w:ind w:firstLine="527"/>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法定代表人授权委托书</w:t>
      </w:r>
    </w:p>
    <w:p w14:paraId="060D7122">
      <w:pPr>
        <w:snapToGrid w:val="0"/>
        <w:ind w:firstLine="6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14:paraId="2934F556">
      <w:pPr>
        <w:ind w:firstLine="480"/>
        <w:rPr>
          <w:rFonts w:hint="eastAsia" w:ascii="仿宋" w:hAnsi="仿宋" w:eastAsia="仿宋" w:cs="仿宋"/>
          <w:color w:val="auto"/>
          <w:highlight w:val="none"/>
          <w:u w:val="single"/>
        </w:rPr>
      </w:pP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项目名称：</w:t>
      </w:r>
      <w:r>
        <w:rPr>
          <w:rFonts w:hint="eastAsia" w:ascii="仿宋" w:hAnsi="仿宋" w:eastAsia="仿宋" w:cs="仿宋"/>
          <w:color w:val="auto"/>
          <w:highlight w:val="none"/>
          <w:u w:val="single"/>
        </w:rPr>
        <w:t xml:space="preserve">                                         </w:t>
      </w:r>
    </w:p>
    <w:p w14:paraId="18463360">
      <w:pPr>
        <w:ind w:firstLine="480"/>
        <w:rPr>
          <w:rFonts w:hint="eastAsia" w:ascii="仿宋" w:hAnsi="仿宋" w:eastAsia="仿宋" w:cs="仿宋"/>
          <w:color w:val="auto"/>
          <w:highlight w:val="none"/>
        </w:rPr>
      </w:pPr>
    </w:p>
    <w:p w14:paraId="3102F9CA">
      <w:pPr>
        <w:pStyle w:val="34"/>
        <w:ind w:firstLine="480"/>
        <w:rPr>
          <w:rFonts w:hint="eastAsia" w:ascii="仿宋" w:hAnsi="仿宋" w:eastAsia="仿宋" w:cs="仿宋"/>
          <w:color w:val="auto"/>
          <w:highlight w:val="none"/>
        </w:rPr>
      </w:pPr>
      <w:r>
        <w:rPr>
          <w:rFonts w:hint="eastAsia" w:ascii="仿宋" w:hAnsi="仿宋" w:eastAsia="仿宋" w:cs="仿宋"/>
          <w:color w:val="auto"/>
          <w:highlight w:val="none"/>
        </w:rPr>
        <w:t>致：_________________（</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名称）：</w:t>
      </w:r>
    </w:p>
    <w:p w14:paraId="74EBC1D8">
      <w:pPr>
        <w:pStyle w:val="34"/>
        <w:ind w:firstLine="48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法定代表人名称）是</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名称）的法定代表人，特授权</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（被授权人姓名及身份证代码）电话</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代表我单位全权办理上述项目的投标、谈判、签约等具体工作，并签署全部有关文件、协议及合同。</w:t>
      </w:r>
    </w:p>
    <w:p w14:paraId="5B466462">
      <w:pPr>
        <w:pStyle w:val="34"/>
        <w:ind w:firstLine="480"/>
        <w:rPr>
          <w:rFonts w:hint="eastAsia" w:ascii="仿宋" w:hAnsi="仿宋" w:eastAsia="仿宋" w:cs="仿宋"/>
          <w:color w:val="auto"/>
          <w:highlight w:val="none"/>
        </w:rPr>
      </w:pPr>
      <w:r>
        <w:rPr>
          <w:rFonts w:hint="eastAsia" w:ascii="仿宋" w:hAnsi="仿宋" w:eastAsia="仿宋" w:cs="仿宋"/>
          <w:color w:val="auto"/>
          <w:highlight w:val="none"/>
        </w:rPr>
        <w:t>我单位对被授权人的签名负全部责任。</w:t>
      </w:r>
    </w:p>
    <w:p w14:paraId="4EDCE7EF">
      <w:pPr>
        <w:pStyle w:val="34"/>
        <w:ind w:firstLine="480"/>
        <w:rPr>
          <w:rFonts w:hint="eastAsia" w:ascii="仿宋" w:hAnsi="仿宋" w:eastAsia="仿宋" w:cs="仿宋"/>
          <w:color w:val="auto"/>
          <w:highlight w:val="none"/>
        </w:rPr>
      </w:pPr>
      <w:r>
        <w:rPr>
          <w:rFonts w:hint="eastAsia" w:ascii="仿宋" w:hAnsi="仿宋" w:eastAsia="仿宋" w:cs="仿宋"/>
          <w:color w:val="auto"/>
          <w:highlight w:val="none"/>
        </w:rPr>
        <w:t>在撤销授权的书面通知以前，本授权书一直有效。被授权人在授权书有效期内签署的所有文件不因授权的撤销而失效。</w:t>
      </w:r>
    </w:p>
    <w:p w14:paraId="48D20449">
      <w:pPr>
        <w:pStyle w:val="34"/>
        <w:ind w:left="480" w:hanging="480"/>
        <w:rPr>
          <w:rFonts w:hint="eastAsia" w:ascii="仿宋" w:hAnsi="仿宋" w:eastAsia="仿宋" w:cs="仿宋"/>
          <w:color w:val="auto"/>
          <w:highlight w:val="none"/>
        </w:rPr>
      </w:pPr>
    </w:p>
    <w:p w14:paraId="1051B2B1">
      <w:pPr>
        <w:pStyle w:val="34"/>
        <w:ind w:left="480" w:leftChars="200"/>
        <w:rPr>
          <w:rFonts w:hint="eastAsia" w:ascii="仿宋" w:hAnsi="仿宋" w:eastAsia="仿宋" w:cs="仿宋"/>
          <w:color w:val="auto"/>
          <w:highlight w:val="none"/>
        </w:rPr>
      </w:pPr>
      <w:r>
        <w:rPr>
          <w:rFonts w:hint="eastAsia" w:ascii="仿宋" w:hAnsi="仿宋" w:eastAsia="仿宋" w:cs="仿宋"/>
          <w:color w:val="auto"/>
          <w:highlight w:val="none"/>
        </w:rPr>
        <w:t xml:space="preserve">被授权人：                                 </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法定代表人：</w:t>
      </w:r>
    </w:p>
    <w:p w14:paraId="0A94F3C2">
      <w:pPr>
        <w:pStyle w:val="34"/>
        <w:ind w:left="480" w:hanging="480"/>
        <w:rPr>
          <w:rFonts w:hint="eastAsia" w:ascii="仿宋" w:hAnsi="仿宋" w:eastAsia="仿宋" w:cs="仿宋"/>
          <w:color w:val="auto"/>
          <w:szCs w:val="28"/>
          <w:highlight w:val="none"/>
        </w:rPr>
      </w:pPr>
      <w:r>
        <w:rPr>
          <w:rFonts w:hint="eastAsia" w:ascii="仿宋" w:hAnsi="仿宋" w:eastAsia="仿宋" w:cs="仿宋"/>
          <w:color w:val="auto"/>
          <w:szCs w:val="28"/>
          <w:highlight w:val="none"/>
        </w:rPr>
        <w:t xml:space="preserve">     （签字或盖章）                                （签字或盖章）</w:t>
      </w:r>
    </w:p>
    <w:p w14:paraId="4F258EF0">
      <w:pPr>
        <w:ind w:firstLine="480"/>
        <w:rPr>
          <w:rFonts w:hint="eastAsia" w:ascii="仿宋" w:hAnsi="仿宋" w:eastAsia="仿宋" w:cs="仿宋"/>
          <w:color w:val="auto"/>
          <w:highlight w:val="none"/>
        </w:rPr>
      </w:pPr>
    </w:p>
    <w:p w14:paraId="20F1B009">
      <w:pPr>
        <w:ind w:firstLine="480"/>
        <w:rPr>
          <w:rFonts w:hint="eastAsia" w:ascii="仿宋" w:hAnsi="仿宋" w:eastAsia="仿宋" w:cs="仿宋"/>
          <w:color w:val="auto"/>
          <w:szCs w:val="28"/>
          <w:highlight w:val="none"/>
        </w:rPr>
      </w:pPr>
      <w:r>
        <w:rPr>
          <w:rFonts w:hint="eastAsia" w:ascii="仿宋" w:hAnsi="仿宋" w:eastAsia="仿宋" w:cs="仿宋"/>
          <w:color w:val="auto"/>
          <w:szCs w:val="28"/>
          <w:highlight w:val="none"/>
        </w:rPr>
        <w:t>（附：被授权人身份证正反面复印件）</w:t>
      </w:r>
    </w:p>
    <w:p w14:paraId="4CA03138">
      <w:pPr>
        <w:ind w:firstLine="480"/>
        <w:rPr>
          <w:rFonts w:hint="eastAsia" w:ascii="仿宋" w:hAnsi="仿宋" w:eastAsia="仿宋" w:cs="仿宋"/>
          <w:color w:val="auto"/>
          <w:highlight w:val="none"/>
        </w:rPr>
      </w:pPr>
    </w:p>
    <w:p w14:paraId="5E22C2F1">
      <w:pPr>
        <w:ind w:firstLine="480"/>
        <w:rPr>
          <w:rFonts w:hint="eastAsia" w:ascii="仿宋" w:hAnsi="仿宋" w:eastAsia="仿宋" w:cs="仿宋"/>
          <w:color w:val="auto"/>
          <w:highlight w:val="none"/>
        </w:rPr>
      </w:pPr>
    </w:p>
    <w:p w14:paraId="3B71B2A9">
      <w:pPr>
        <w:ind w:firstLine="480"/>
        <w:rPr>
          <w:rFonts w:hint="eastAsia" w:ascii="仿宋" w:hAnsi="仿宋" w:eastAsia="仿宋" w:cs="仿宋"/>
          <w:color w:val="auto"/>
          <w:highlight w:val="none"/>
        </w:rPr>
      </w:pPr>
    </w:p>
    <w:p w14:paraId="7B0EC127">
      <w:pPr>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220EE695">
      <w:pPr>
        <w:ind w:firstLine="480"/>
        <w:rPr>
          <w:rFonts w:hint="eastAsia" w:ascii="仿宋" w:hAnsi="仿宋" w:eastAsia="仿宋" w:cs="仿宋"/>
          <w:color w:val="auto"/>
          <w:highlight w:val="none"/>
        </w:rPr>
      </w:pPr>
    </w:p>
    <w:p w14:paraId="533C0371">
      <w:pPr>
        <w:ind w:firstLine="6120" w:firstLineChars="255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公章）</w:t>
      </w:r>
    </w:p>
    <w:p w14:paraId="7982AC02">
      <w:pPr>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14:paraId="77BA02A5">
      <w:pPr>
        <w:widowControl w:val="0"/>
        <w:tabs>
          <w:tab w:val="left" w:pos="6300"/>
        </w:tabs>
        <w:snapToGrid w:val="0"/>
        <w:spacing w:line="312" w:lineRule="auto"/>
        <w:ind w:right="480" w:firstLine="570" w:firstLineChars="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148B8D29">
      <w:pPr>
        <w:tabs>
          <w:tab w:val="left" w:pos="4005"/>
          <w:tab w:val="left" w:pos="4100"/>
          <w:tab w:val="left" w:pos="5040"/>
        </w:tabs>
        <w:autoSpaceDE w:val="0"/>
        <w:autoSpaceDN w:val="0"/>
        <w:adjustRightInd w:val="0"/>
        <w:snapToGrid w:val="0"/>
        <w:spacing w:line="400" w:lineRule="exact"/>
        <w:ind w:firstLine="480" w:firstLineChars="200"/>
        <w:jc w:val="left"/>
        <w:rPr>
          <w:rFonts w:hint="eastAsia" w:ascii="仿宋" w:hAnsi="仿宋" w:eastAsia="仿宋" w:cs="仿宋"/>
          <w:kern w:val="0"/>
          <w:szCs w:val="21"/>
        </w:rPr>
      </w:pPr>
      <w:r>
        <w:rPr>
          <w:rFonts w:hint="eastAsia" w:ascii="仿宋" w:hAnsi="仿宋" w:eastAsia="仿宋" w:cs="仿宋"/>
          <w:kern w:val="0"/>
          <w:szCs w:val="21"/>
        </w:rPr>
        <w:t>注：1、法定代表人参加投标活动并签署文件的不需要授权委托书，只需提供法定代表人身份证明；非法定代表人参加投标活动及签署文件的除提供法定代表人身份证明外还须提供授权委托书。</w:t>
      </w:r>
    </w:p>
    <w:p w14:paraId="46C4E47B">
      <w:pPr>
        <w:tabs>
          <w:tab w:val="left" w:pos="5760"/>
        </w:tabs>
        <w:autoSpaceDE w:val="0"/>
        <w:autoSpaceDN w:val="0"/>
        <w:adjustRightInd w:val="0"/>
        <w:spacing w:line="400" w:lineRule="exact"/>
        <w:ind w:firstLine="480" w:firstLineChars="200"/>
        <w:jc w:val="left"/>
        <w:rPr>
          <w:rFonts w:hint="eastAsia" w:ascii="仿宋" w:hAnsi="仿宋" w:eastAsia="仿宋" w:cs="仿宋"/>
          <w:kern w:val="0"/>
          <w:szCs w:val="21"/>
        </w:rPr>
      </w:pPr>
      <w:r>
        <w:rPr>
          <w:rFonts w:hint="eastAsia" w:ascii="仿宋" w:hAnsi="仿宋" w:eastAsia="仿宋" w:cs="仿宋"/>
          <w:kern w:val="0"/>
          <w:szCs w:val="21"/>
        </w:rPr>
        <w:t>2、法定代表人身份证明及授权委托书原件装入竞选文件一并递交。另外须准备一份授权委托书原件在开标现场出具。</w:t>
      </w:r>
    </w:p>
    <w:p w14:paraId="7FF1690B">
      <w:pPr>
        <w:spacing w:line="400" w:lineRule="exact"/>
        <w:ind w:firstLine="480" w:firstLineChars="200"/>
        <w:jc w:val="left"/>
        <w:rPr>
          <w:rFonts w:hint="eastAsia" w:ascii="仿宋" w:hAnsi="仿宋" w:eastAsia="仿宋" w:cs="仿宋"/>
        </w:rPr>
      </w:pPr>
      <w:r>
        <w:rPr>
          <w:rFonts w:hint="eastAsia" w:ascii="仿宋" w:hAnsi="仿宋" w:eastAsia="仿宋" w:cs="仿宋"/>
          <w:kern w:val="0"/>
          <w:szCs w:val="21"/>
        </w:rPr>
        <w:t>3.</w:t>
      </w:r>
      <w:r>
        <w:rPr>
          <w:rFonts w:hint="eastAsia" w:ascii="仿宋" w:hAnsi="仿宋" w:eastAsia="仿宋" w:cs="仿宋"/>
        </w:rPr>
        <w:t>授权委托书需按上述格式填写完整，不可缺少内容。在此基础上增加内容的不影响其有效性。</w:t>
      </w:r>
    </w:p>
    <w:p w14:paraId="2B38A7E7">
      <w:pPr>
        <w:rPr>
          <w:rFonts w:hint="eastAsia" w:ascii="仿宋" w:hAnsi="仿宋" w:eastAsia="仿宋" w:cs="仿宋"/>
          <w:b/>
          <w:color w:val="auto"/>
          <w:highlight w:val="none"/>
        </w:rPr>
      </w:pPr>
      <w:bookmarkStart w:id="397" w:name="_Toc287620834"/>
      <w:bookmarkStart w:id="398" w:name="_Toc65101134"/>
      <w:bookmarkStart w:id="399" w:name="_Toc277082660"/>
      <w:bookmarkStart w:id="400" w:name="_Toc534185841"/>
      <w:bookmarkStart w:id="401" w:name="_Toc430530550"/>
      <w:bookmarkStart w:id="402" w:name="_Toc287607888"/>
      <w:bookmarkStart w:id="403" w:name="_Toc65184175"/>
      <w:bookmarkStart w:id="404" w:name="_Toc509218864"/>
      <w:r>
        <w:rPr>
          <w:rFonts w:hint="eastAsia" w:ascii="仿宋" w:hAnsi="仿宋" w:eastAsia="仿宋" w:cs="仿宋"/>
          <w:b/>
          <w:color w:val="auto"/>
          <w:highlight w:val="none"/>
        </w:rPr>
        <w:br w:type="page"/>
      </w:r>
    </w:p>
    <w:p w14:paraId="1F3A6FEA">
      <w:pPr>
        <w:spacing w:line="312" w:lineRule="auto"/>
        <w:ind w:firstLine="0" w:firstLineChars="0"/>
        <w:rPr>
          <w:rFonts w:hint="eastAsia" w:ascii="仿宋" w:hAnsi="仿宋" w:eastAsia="仿宋" w:cs="仿宋"/>
          <w:b w:val="0"/>
          <w:bCs/>
          <w:color w:val="auto"/>
          <w:highlight w:val="none"/>
        </w:rPr>
      </w:pPr>
      <w:r>
        <w:rPr>
          <w:rFonts w:hint="eastAsia" w:ascii="仿宋" w:hAnsi="仿宋" w:eastAsia="仿宋" w:cs="仿宋"/>
          <w:b w:val="0"/>
          <w:bCs/>
          <w:color w:val="auto"/>
          <w:highlight w:val="none"/>
        </w:rPr>
        <w:t>（四）近年财务状况表</w:t>
      </w:r>
      <w:bookmarkEnd w:id="397"/>
      <w:bookmarkEnd w:id="398"/>
      <w:bookmarkEnd w:id="399"/>
      <w:bookmarkEnd w:id="400"/>
      <w:bookmarkEnd w:id="401"/>
      <w:bookmarkEnd w:id="402"/>
      <w:bookmarkEnd w:id="403"/>
      <w:bookmarkEnd w:id="404"/>
    </w:p>
    <w:p w14:paraId="21CC3DDF">
      <w:pPr>
        <w:rPr>
          <w:rFonts w:hint="eastAsia" w:ascii="仿宋" w:hAnsi="仿宋" w:eastAsia="仿宋" w:cs="仿宋"/>
          <w:b w:val="0"/>
          <w:bCs/>
          <w:color w:val="auto"/>
          <w:highlight w:val="none"/>
          <w:lang w:eastAsia="zh-CN"/>
        </w:rPr>
      </w:pPr>
      <w:r>
        <w:rPr>
          <w:rFonts w:hint="eastAsia" w:ascii="仿宋" w:hAnsi="仿宋" w:eastAsia="仿宋" w:cs="仿宋"/>
          <w:b w:val="0"/>
          <w:bCs/>
          <w:color w:val="auto"/>
          <w:highlight w:val="none"/>
          <w:lang w:eastAsia="zh-CN"/>
        </w:rPr>
        <w:br w:type="page"/>
      </w:r>
    </w:p>
    <w:p w14:paraId="3AE76C60">
      <w:pPr>
        <w:spacing w:line="312" w:lineRule="auto"/>
        <w:ind w:firstLine="0" w:firstLineChars="0"/>
        <w:rPr>
          <w:rFonts w:hint="eastAsia" w:ascii="仿宋" w:hAnsi="仿宋" w:eastAsia="仿宋" w:cs="仿宋"/>
          <w:b w:val="0"/>
          <w:bCs/>
          <w:color w:val="auto"/>
          <w:highlight w:val="none"/>
        </w:rPr>
      </w:pPr>
      <w:r>
        <w:rPr>
          <w:rFonts w:hint="eastAsia" w:ascii="仿宋" w:hAnsi="仿宋" w:eastAsia="仿宋" w:cs="仿宋"/>
          <w:b w:val="0"/>
          <w:bCs/>
          <w:color w:val="auto"/>
          <w:highlight w:val="none"/>
          <w:lang w:eastAsia="zh-CN"/>
        </w:rPr>
        <w:t>（</w:t>
      </w:r>
      <w:r>
        <w:rPr>
          <w:rFonts w:hint="eastAsia" w:ascii="仿宋" w:hAnsi="仿宋" w:eastAsia="仿宋" w:cs="仿宋"/>
          <w:b w:val="0"/>
          <w:bCs/>
          <w:color w:val="auto"/>
          <w:highlight w:val="none"/>
          <w:lang w:val="en-US" w:eastAsia="zh-CN"/>
        </w:rPr>
        <w:t>五</w:t>
      </w:r>
      <w:r>
        <w:rPr>
          <w:rFonts w:hint="eastAsia" w:ascii="仿宋" w:hAnsi="仿宋" w:eastAsia="仿宋" w:cs="仿宋"/>
          <w:b w:val="0"/>
          <w:bCs/>
          <w:color w:val="auto"/>
          <w:highlight w:val="none"/>
          <w:lang w:eastAsia="zh-CN"/>
        </w:rPr>
        <w:t>）</w:t>
      </w:r>
      <w:r>
        <w:rPr>
          <w:rFonts w:hint="eastAsia" w:ascii="仿宋" w:hAnsi="仿宋" w:eastAsia="仿宋" w:cs="仿宋"/>
          <w:b w:val="0"/>
          <w:bCs/>
          <w:color w:val="auto"/>
          <w:highlight w:val="none"/>
        </w:rPr>
        <w:t>基本资格条件承诺函</w:t>
      </w:r>
    </w:p>
    <w:p w14:paraId="5421D9E7">
      <w:pPr>
        <w:tabs>
          <w:tab w:val="left" w:pos="6300"/>
        </w:tabs>
        <w:snapToGrid w:val="0"/>
        <w:spacing w:line="500" w:lineRule="exact"/>
        <w:ind w:firstLine="480"/>
        <w:rPr>
          <w:rFonts w:hint="eastAsia" w:ascii="仿宋" w:hAnsi="仿宋" w:eastAsia="仿宋" w:cs="仿宋"/>
          <w:color w:val="auto"/>
          <w:highlight w:val="none"/>
        </w:rPr>
      </w:pPr>
    </w:p>
    <w:p w14:paraId="774CB825">
      <w:pPr>
        <w:pStyle w:val="33"/>
        <w:ind w:firstLine="480"/>
        <w:rPr>
          <w:rFonts w:hint="eastAsia" w:ascii="仿宋" w:hAnsi="仿宋" w:eastAsia="仿宋" w:cs="仿宋"/>
          <w:color w:val="auto"/>
          <w:highlight w:val="none"/>
          <w:u w:val="single"/>
        </w:rPr>
      </w:pPr>
      <w:r>
        <w:rPr>
          <w:rFonts w:hint="eastAsia" w:ascii="仿宋" w:hAnsi="仿宋" w:eastAsia="仿宋" w:cs="仿宋"/>
          <w:color w:val="auto"/>
          <w:szCs w:val="28"/>
          <w:highlight w:val="none"/>
        </w:rPr>
        <w:t>项目名称</w:t>
      </w:r>
      <w:r>
        <w:rPr>
          <w:rFonts w:hint="eastAsia" w:ascii="仿宋" w:hAnsi="仿宋" w:eastAsia="仿宋" w:cs="仿宋"/>
          <w:color w:val="auto"/>
          <w:highlight w:val="none"/>
        </w:rPr>
        <w:t>：</w:t>
      </w:r>
      <w:r>
        <w:rPr>
          <w:rFonts w:hint="eastAsia" w:ascii="仿宋" w:hAnsi="仿宋" w:eastAsia="仿宋" w:cs="仿宋"/>
          <w:color w:val="auto"/>
          <w:highlight w:val="none"/>
          <w:u w:val="single"/>
        </w:rPr>
        <w:t xml:space="preserve">                                                </w:t>
      </w:r>
    </w:p>
    <w:p w14:paraId="1E3442BB">
      <w:pPr>
        <w:pStyle w:val="33"/>
        <w:ind w:firstLine="480"/>
        <w:rPr>
          <w:rFonts w:hint="eastAsia" w:ascii="仿宋" w:hAnsi="仿宋" w:eastAsia="仿宋" w:cs="仿宋"/>
          <w:color w:val="auto"/>
          <w:highlight w:val="none"/>
        </w:rPr>
      </w:pPr>
    </w:p>
    <w:p w14:paraId="375B7668">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名称）：</w:t>
      </w:r>
    </w:p>
    <w:p w14:paraId="7789FCD1">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名称）郑重承诺：</w:t>
      </w:r>
    </w:p>
    <w:p w14:paraId="14D8B582">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1.我方具有良好的商业信誉和健全的财务会计制度，具有履行合同所必需的设备和专业技术能力，具</w:t>
      </w:r>
      <w:r>
        <w:rPr>
          <w:rFonts w:hint="eastAsia" w:ascii="仿宋" w:hAnsi="仿宋" w:eastAsia="仿宋" w:cs="仿宋"/>
          <w:color w:val="auto"/>
          <w:highlight w:val="none"/>
          <w:lang w:val="zh-CN"/>
        </w:rPr>
        <w:t>有依法缴纳税收和社会保障金的良好记录</w:t>
      </w:r>
      <w:r>
        <w:rPr>
          <w:rFonts w:hint="eastAsia" w:ascii="仿宋" w:hAnsi="仿宋" w:eastAsia="仿宋" w:cs="仿宋"/>
          <w:color w:val="auto"/>
          <w:highlight w:val="none"/>
        </w:rPr>
        <w:t>，参加本项目</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活动前三年内无重大违法活动记录。</w:t>
      </w:r>
    </w:p>
    <w:p w14:paraId="3F571FC6">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2.我方未列入在信用中国网站（www.creditchina.gov.cn）“失信被执行人”、“重大税收违法案件当事人名单”中，也未列入中国政府</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网（www.ccgp.gov.cn）“政府</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严重违法失信行为记录名单”中。</w:t>
      </w:r>
    </w:p>
    <w:p w14:paraId="1F8F7A48">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3.我方在</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项目评审（评标）环节结束后，随时接受</w:t>
      </w:r>
      <w:r>
        <w:rPr>
          <w:rFonts w:hint="eastAsia" w:ascii="仿宋" w:hAnsi="仿宋" w:eastAsia="仿宋" w:cs="仿宋"/>
          <w:color w:val="auto"/>
          <w:highlight w:val="none"/>
          <w:lang w:eastAsia="zh-CN"/>
        </w:rPr>
        <w:t>比选人</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代理机构的检查验证，配合提供相关证明材料，证明符合《</w:t>
      </w:r>
      <w:r>
        <w:rPr>
          <w:rFonts w:hint="eastAsia" w:ascii="仿宋" w:hAnsi="仿宋" w:eastAsia="仿宋" w:cs="仿宋"/>
          <w:color w:val="auto"/>
          <w:highlight w:val="none"/>
          <w:lang w:eastAsia="zh-CN"/>
        </w:rPr>
        <w:t>比选</w:t>
      </w:r>
      <w:r>
        <w:rPr>
          <w:rFonts w:hint="eastAsia" w:ascii="仿宋" w:hAnsi="仿宋" w:eastAsia="仿宋" w:cs="仿宋"/>
          <w:color w:val="auto"/>
          <w:highlight w:val="none"/>
        </w:rPr>
        <w:t>文件》规定的</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基本资格条件。</w:t>
      </w:r>
    </w:p>
    <w:p w14:paraId="02EAC5DB">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我方对以上承诺负全部法律责任。</w:t>
      </w:r>
    </w:p>
    <w:p w14:paraId="35460E87">
      <w:pPr>
        <w:tabs>
          <w:tab w:val="left" w:pos="6300"/>
        </w:tabs>
        <w:snapToGrid w:val="0"/>
        <w:spacing w:line="500" w:lineRule="exact"/>
        <w:ind w:firstLine="480"/>
        <w:rPr>
          <w:rFonts w:hint="eastAsia" w:ascii="仿宋" w:hAnsi="仿宋" w:eastAsia="仿宋" w:cs="仿宋"/>
          <w:color w:val="auto"/>
          <w:highlight w:val="none"/>
        </w:rPr>
      </w:pPr>
      <w:r>
        <w:rPr>
          <w:rFonts w:hint="eastAsia" w:ascii="仿宋" w:hAnsi="仿宋" w:eastAsia="仿宋" w:cs="仿宋"/>
          <w:color w:val="auto"/>
          <w:highlight w:val="none"/>
        </w:rPr>
        <w:t>特此承诺。</w:t>
      </w:r>
    </w:p>
    <w:p w14:paraId="24BE6AB9">
      <w:pPr>
        <w:tabs>
          <w:tab w:val="left" w:pos="6300"/>
        </w:tabs>
        <w:snapToGrid w:val="0"/>
        <w:spacing w:line="530" w:lineRule="exact"/>
        <w:ind w:firstLine="480"/>
        <w:rPr>
          <w:rFonts w:hint="eastAsia" w:ascii="仿宋" w:hAnsi="仿宋" w:eastAsia="仿宋" w:cs="仿宋"/>
          <w:color w:val="auto"/>
          <w:szCs w:val="32"/>
          <w:highlight w:val="none"/>
        </w:rPr>
      </w:pPr>
    </w:p>
    <w:p w14:paraId="4CC55D5F">
      <w:pPr>
        <w:tabs>
          <w:tab w:val="left" w:pos="6300"/>
        </w:tabs>
        <w:snapToGrid w:val="0"/>
        <w:spacing w:line="500" w:lineRule="exact"/>
        <w:ind w:firstLine="480"/>
        <w:rPr>
          <w:rFonts w:hint="eastAsia" w:ascii="仿宋" w:hAnsi="仿宋" w:eastAsia="仿宋" w:cs="仿宋"/>
          <w:color w:val="auto"/>
          <w:highlight w:val="none"/>
        </w:rPr>
      </w:pPr>
    </w:p>
    <w:p w14:paraId="3EB8D1BB">
      <w:pPr>
        <w:tabs>
          <w:tab w:val="left" w:pos="6300"/>
        </w:tabs>
        <w:snapToGrid w:val="0"/>
        <w:spacing w:line="500" w:lineRule="exact"/>
        <w:ind w:firstLine="480"/>
        <w:rPr>
          <w:rFonts w:hint="eastAsia" w:ascii="仿宋" w:hAnsi="仿宋" w:eastAsia="仿宋" w:cs="仿宋"/>
          <w:color w:val="auto"/>
          <w:highlight w:val="none"/>
        </w:rPr>
      </w:pPr>
    </w:p>
    <w:p w14:paraId="62E1F9B2">
      <w:pPr>
        <w:tabs>
          <w:tab w:val="left" w:pos="6300"/>
        </w:tabs>
        <w:snapToGrid w:val="0"/>
        <w:spacing w:line="500" w:lineRule="exact"/>
        <w:ind w:firstLine="480"/>
        <w:rPr>
          <w:rFonts w:hint="eastAsia" w:ascii="仿宋" w:hAnsi="仿宋" w:eastAsia="仿宋" w:cs="仿宋"/>
          <w:color w:val="auto"/>
          <w:highlight w:val="none"/>
        </w:rPr>
      </w:pPr>
    </w:p>
    <w:p w14:paraId="5F5B58B1">
      <w:pPr>
        <w:pStyle w:val="33"/>
        <w:ind w:firstLine="480"/>
        <w:jc w:val="center"/>
        <w:rPr>
          <w:rFonts w:hint="eastAsia" w:ascii="仿宋" w:hAnsi="仿宋" w:eastAsia="仿宋" w:cs="仿宋"/>
          <w:color w:val="auto"/>
          <w:highlight w:val="none"/>
        </w:rPr>
      </w:pPr>
      <w:r>
        <w:rPr>
          <w:rFonts w:hint="eastAsia" w:ascii="仿宋" w:hAnsi="仿宋" w:eastAsia="仿宋" w:cs="仿宋"/>
          <w:color w:val="auto"/>
          <w:highlight w:val="none"/>
        </w:rPr>
        <w:t xml:space="preserve">                                                    （</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公章）</w:t>
      </w:r>
    </w:p>
    <w:p w14:paraId="02991445">
      <w:pPr>
        <w:pStyle w:val="33"/>
        <w:ind w:firstLine="480"/>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14:paraId="1DBEEA45">
      <w:pPr>
        <w:widowControl w:val="0"/>
        <w:tabs>
          <w:tab w:val="left" w:pos="6300"/>
        </w:tabs>
        <w:snapToGrid w:val="0"/>
        <w:spacing w:line="312" w:lineRule="auto"/>
        <w:ind w:firstLine="0" w:firstLineChars="0"/>
        <w:jc w:val="both"/>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5A9AD458">
      <w:pPr>
        <w:widowControl/>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）特定资格条件证书或证明文件</w:t>
      </w:r>
    </w:p>
    <w:p w14:paraId="75EF8025">
      <w:pPr>
        <w:pStyle w:val="3"/>
        <w:spacing w:line="360" w:lineRule="auto"/>
        <w:ind w:firstLine="482" w:firstLineChars="200"/>
        <w:outlineLvl w:val="0"/>
        <w:rPr>
          <w:rFonts w:hint="eastAsia" w:ascii="仿宋" w:hAnsi="仿宋" w:eastAsia="仿宋" w:cs="仿宋"/>
          <w:sz w:val="24"/>
          <w:highlight w:val="none"/>
        </w:rPr>
      </w:pPr>
      <w:bookmarkStart w:id="405" w:name="_Toc32745"/>
      <w:bookmarkStart w:id="406" w:name="_Toc19733"/>
      <w:bookmarkStart w:id="407" w:name="_Toc2080"/>
      <w:bookmarkStart w:id="408" w:name="_Toc17010"/>
      <w:bookmarkStart w:id="409" w:name="_Toc65660383"/>
      <w:bookmarkStart w:id="410" w:name="_Toc106034812"/>
      <w:bookmarkStart w:id="411" w:name="_Toc15815"/>
    </w:p>
    <w:p w14:paraId="4E5971B2">
      <w:pPr>
        <w:pStyle w:val="3"/>
        <w:spacing w:line="360" w:lineRule="auto"/>
        <w:ind w:firstLine="482" w:firstLineChars="200"/>
        <w:outlineLvl w:val="0"/>
        <w:rPr>
          <w:rFonts w:hint="eastAsia" w:ascii="仿宋" w:hAnsi="仿宋" w:eastAsia="仿宋" w:cs="仿宋"/>
          <w:sz w:val="24"/>
          <w:highlight w:val="none"/>
        </w:rPr>
      </w:pPr>
    </w:p>
    <w:p w14:paraId="47C0CCC8">
      <w:pPr>
        <w:pStyle w:val="3"/>
        <w:spacing w:line="360" w:lineRule="auto"/>
        <w:ind w:firstLine="482" w:firstLineChars="200"/>
        <w:outlineLvl w:val="0"/>
        <w:rPr>
          <w:rFonts w:hint="eastAsia" w:ascii="仿宋" w:hAnsi="仿宋" w:eastAsia="仿宋" w:cs="仿宋"/>
          <w:sz w:val="24"/>
          <w:highlight w:val="none"/>
        </w:rPr>
      </w:pPr>
    </w:p>
    <w:p w14:paraId="43983B05">
      <w:pPr>
        <w:pStyle w:val="3"/>
        <w:spacing w:line="360" w:lineRule="auto"/>
        <w:ind w:firstLine="482" w:firstLineChars="200"/>
        <w:outlineLvl w:val="0"/>
        <w:rPr>
          <w:rFonts w:hint="eastAsia" w:ascii="仿宋" w:hAnsi="仿宋" w:eastAsia="仿宋" w:cs="仿宋"/>
          <w:sz w:val="24"/>
          <w:highlight w:val="none"/>
        </w:rPr>
      </w:pPr>
    </w:p>
    <w:p w14:paraId="467828EA">
      <w:pPr>
        <w:pStyle w:val="3"/>
        <w:spacing w:line="360" w:lineRule="auto"/>
        <w:ind w:left="0" w:leftChars="0" w:firstLine="0" w:firstLineChars="0"/>
        <w:outlineLvl w:val="0"/>
        <w:rPr>
          <w:rFonts w:hint="eastAsia" w:ascii="仿宋" w:hAnsi="仿宋" w:eastAsia="仿宋" w:cs="仿宋"/>
          <w:sz w:val="24"/>
          <w:highlight w:val="none"/>
        </w:rPr>
      </w:pPr>
    </w:p>
    <w:p w14:paraId="04A2AADC">
      <w:pPr>
        <w:pStyle w:val="3"/>
        <w:spacing w:line="360" w:lineRule="auto"/>
        <w:ind w:left="0" w:leftChars="0" w:firstLine="0" w:firstLineChars="0"/>
        <w:outlineLvl w:val="0"/>
        <w:rPr>
          <w:rFonts w:hint="eastAsia" w:ascii="仿宋" w:hAnsi="仿宋" w:eastAsia="仿宋" w:cs="仿宋"/>
          <w:sz w:val="24"/>
          <w:highlight w:val="none"/>
        </w:rPr>
      </w:pPr>
    </w:p>
    <w:p w14:paraId="2CF7D7E6">
      <w:pPr>
        <w:pStyle w:val="3"/>
        <w:spacing w:line="360" w:lineRule="auto"/>
        <w:ind w:left="0" w:leftChars="0" w:firstLine="0" w:firstLineChars="0"/>
        <w:outlineLvl w:val="0"/>
        <w:rPr>
          <w:rFonts w:hint="eastAsia" w:ascii="仿宋" w:hAnsi="仿宋" w:eastAsia="仿宋" w:cs="仿宋"/>
          <w:sz w:val="24"/>
          <w:highlight w:val="none"/>
        </w:rPr>
      </w:pPr>
    </w:p>
    <w:p w14:paraId="460AA464">
      <w:pPr>
        <w:pStyle w:val="3"/>
        <w:spacing w:line="360" w:lineRule="auto"/>
        <w:ind w:left="0" w:leftChars="0" w:firstLine="0" w:firstLineChars="0"/>
        <w:outlineLvl w:val="0"/>
        <w:rPr>
          <w:rFonts w:hint="eastAsia" w:ascii="仿宋" w:hAnsi="仿宋" w:eastAsia="仿宋" w:cs="仿宋"/>
          <w:sz w:val="24"/>
          <w:highlight w:val="none"/>
        </w:rPr>
      </w:pPr>
    </w:p>
    <w:p w14:paraId="3CBE03DB">
      <w:pPr>
        <w:pStyle w:val="3"/>
        <w:spacing w:line="360" w:lineRule="auto"/>
        <w:ind w:left="0" w:leftChars="0" w:firstLine="0" w:firstLineChars="0"/>
        <w:outlineLvl w:val="0"/>
        <w:rPr>
          <w:rFonts w:hint="eastAsia" w:ascii="仿宋" w:hAnsi="仿宋" w:eastAsia="仿宋" w:cs="仿宋"/>
          <w:sz w:val="24"/>
          <w:highlight w:val="none"/>
        </w:rPr>
      </w:pPr>
    </w:p>
    <w:p w14:paraId="79FD7E61">
      <w:pPr>
        <w:pStyle w:val="3"/>
        <w:spacing w:line="360" w:lineRule="auto"/>
        <w:ind w:left="0" w:leftChars="0" w:firstLine="0" w:firstLineChars="0"/>
        <w:outlineLvl w:val="0"/>
        <w:rPr>
          <w:rFonts w:hint="eastAsia" w:ascii="仿宋" w:hAnsi="仿宋" w:eastAsia="仿宋" w:cs="仿宋"/>
          <w:sz w:val="24"/>
          <w:highlight w:val="none"/>
        </w:rPr>
      </w:pPr>
    </w:p>
    <w:p w14:paraId="2D6A8A03">
      <w:pPr>
        <w:pStyle w:val="3"/>
        <w:spacing w:line="360" w:lineRule="auto"/>
        <w:ind w:left="0" w:leftChars="0" w:firstLine="0" w:firstLineChars="0"/>
        <w:outlineLvl w:val="0"/>
        <w:rPr>
          <w:rFonts w:hint="eastAsia" w:ascii="仿宋" w:hAnsi="仿宋" w:eastAsia="仿宋" w:cs="仿宋"/>
          <w:sz w:val="24"/>
          <w:highlight w:val="none"/>
        </w:rPr>
      </w:pPr>
    </w:p>
    <w:p w14:paraId="4E12C01E">
      <w:pPr>
        <w:pStyle w:val="3"/>
        <w:spacing w:line="360" w:lineRule="auto"/>
        <w:ind w:left="0" w:leftChars="0" w:firstLine="0" w:firstLineChars="0"/>
        <w:outlineLvl w:val="0"/>
        <w:rPr>
          <w:rFonts w:hint="eastAsia" w:ascii="仿宋" w:hAnsi="仿宋" w:eastAsia="仿宋" w:cs="仿宋"/>
          <w:sz w:val="24"/>
          <w:highlight w:val="none"/>
        </w:rPr>
      </w:pPr>
    </w:p>
    <w:p w14:paraId="48A3CE61">
      <w:pPr>
        <w:pStyle w:val="3"/>
        <w:spacing w:line="360" w:lineRule="auto"/>
        <w:ind w:left="0" w:leftChars="0" w:firstLine="0" w:firstLineChars="0"/>
        <w:outlineLvl w:val="0"/>
        <w:rPr>
          <w:rFonts w:hint="eastAsia" w:ascii="仿宋" w:hAnsi="仿宋" w:eastAsia="仿宋" w:cs="仿宋"/>
          <w:sz w:val="24"/>
          <w:highlight w:val="none"/>
        </w:rPr>
      </w:pPr>
    </w:p>
    <w:p w14:paraId="121C889F">
      <w:pPr>
        <w:pStyle w:val="3"/>
        <w:spacing w:line="360" w:lineRule="auto"/>
        <w:ind w:left="0" w:leftChars="0" w:firstLine="0" w:firstLineChars="0"/>
        <w:outlineLvl w:val="0"/>
        <w:rPr>
          <w:rFonts w:hint="eastAsia" w:ascii="仿宋" w:hAnsi="仿宋" w:eastAsia="仿宋" w:cs="仿宋"/>
          <w:sz w:val="24"/>
          <w:highlight w:val="none"/>
        </w:rPr>
      </w:pPr>
    </w:p>
    <w:p w14:paraId="3FF47437">
      <w:pPr>
        <w:pStyle w:val="3"/>
        <w:spacing w:line="360" w:lineRule="auto"/>
        <w:ind w:left="0" w:leftChars="0" w:firstLine="0" w:firstLineChars="0"/>
        <w:outlineLvl w:val="0"/>
        <w:rPr>
          <w:rFonts w:hint="eastAsia" w:ascii="仿宋" w:hAnsi="仿宋" w:eastAsia="仿宋" w:cs="仿宋"/>
          <w:sz w:val="24"/>
          <w:highlight w:val="none"/>
        </w:rPr>
      </w:pPr>
    </w:p>
    <w:p w14:paraId="69EB863D">
      <w:pPr>
        <w:pStyle w:val="3"/>
        <w:spacing w:line="360" w:lineRule="auto"/>
        <w:ind w:left="0" w:leftChars="0" w:firstLine="0" w:firstLineChars="0"/>
        <w:outlineLvl w:val="0"/>
        <w:rPr>
          <w:rFonts w:hint="eastAsia" w:ascii="仿宋" w:hAnsi="仿宋" w:eastAsia="仿宋" w:cs="仿宋"/>
          <w:sz w:val="24"/>
          <w:highlight w:val="none"/>
        </w:rPr>
      </w:pPr>
    </w:p>
    <w:p w14:paraId="31032260">
      <w:pPr>
        <w:pStyle w:val="3"/>
        <w:spacing w:line="360" w:lineRule="auto"/>
        <w:ind w:left="0" w:leftChars="0" w:firstLine="0" w:firstLineChars="0"/>
        <w:outlineLvl w:val="0"/>
        <w:rPr>
          <w:rFonts w:hint="eastAsia" w:ascii="仿宋" w:hAnsi="仿宋" w:eastAsia="仿宋" w:cs="仿宋"/>
          <w:sz w:val="24"/>
          <w:highlight w:val="none"/>
        </w:rPr>
      </w:pPr>
    </w:p>
    <w:p w14:paraId="47E52776">
      <w:pPr>
        <w:pStyle w:val="3"/>
        <w:spacing w:line="360" w:lineRule="auto"/>
        <w:ind w:left="0" w:leftChars="0" w:firstLine="0" w:firstLineChars="0"/>
        <w:outlineLvl w:val="0"/>
        <w:rPr>
          <w:rFonts w:hint="eastAsia" w:ascii="仿宋" w:hAnsi="仿宋" w:eastAsia="仿宋" w:cs="仿宋"/>
          <w:sz w:val="24"/>
          <w:highlight w:val="none"/>
        </w:rPr>
      </w:pPr>
    </w:p>
    <w:p w14:paraId="49FC6221">
      <w:pPr>
        <w:pStyle w:val="3"/>
        <w:spacing w:line="360" w:lineRule="auto"/>
        <w:ind w:left="0" w:leftChars="0" w:firstLine="0" w:firstLineChars="0"/>
        <w:outlineLvl w:val="0"/>
        <w:rPr>
          <w:rFonts w:hint="eastAsia" w:ascii="仿宋" w:hAnsi="仿宋" w:eastAsia="仿宋" w:cs="仿宋"/>
          <w:sz w:val="24"/>
          <w:highlight w:val="none"/>
        </w:rPr>
      </w:pPr>
    </w:p>
    <w:p w14:paraId="78D59365">
      <w:pPr>
        <w:pStyle w:val="3"/>
        <w:spacing w:line="360" w:lineRule="auto"/>
        <w:ind w:left="0" w:leftChars="0" w:firstLine="0" w:firstLineChars="0"/>
        <w:outlineLvl w:val="0"/>
        <w:rPr>
          <w:rFonts w:hint="eastAsia" w:ascii="仿宋" w:hAnsi="仿宋" w:eastAsia="仿宋" w:cs="仿宋"/>
          <w:sz w:val="24"/>
          <w:highlight w:val="none"/>
        </w:rPr>
      </w:pPr>
    </w:p>
    <w:p w14:paraId="6D1D33AC">
      <w:pPr>
        <w:pStyle w:val="3"/>
        <w:spacing w:line="360" w:lineRule="auto"/>
        <w:ind w:left="0" w:leftChars="0" w:firstLine="0" w:firstLineChars="0"/>
        <w:outlineLvl w:val="0"/>
        <w:rPr>
          <w:rFonts w:hint="eastAsia" w:ascii="仿宋" w:hAnsi="仿宋" w:eastAsia="仿宋" w:cs="仿宋"/>
          <w:sz w:val="24"/>
          <w:highlight w:val="none"/>
        </w:rPr>
      </w:pPr>
    </w:p>
    <w:p w14:paraId="4F22C888">
      <w:pPr>
        <w:pStyle w:val="3"/>
        <w:spacing w:line="360" w:lineRule="auto"/>
        <w:ind w:left="0" w:leftChars="0" w:firstLine="0" w:firstLineChars="0"/>
        <w:outlineLvl w:val="0"/>
        <w:rPr>
          <w:rFonts w:hint="eastAsia" w:ascii="仿宋" w:hAnsi="仿宋" w:eastAsia="仿宋" w:cs="仿宋"/>
          <w:sz w:val="24"/>
          <w:highlight w:val="none"/>
        </w:rPr>
      </w:pPr>
    </w:p>
    <w:p w14:paraId="13EDBF56">
      <w:pPr>
        <w:pStyle w:val="3"/>
        <w:spacing w:line="360" w:lineRule="auto"/>
        <w:ind w:left="0" w:leftChars="0" w:firstLine="0" w:firstLineChars="0"/>
        <w:outlineLvl w:val="0"/>
        <w:rPr>
          <w:rFonts w:hint="eastAsia" w:ascii="仿宋" w:hAnsi="仿宋" w:eastAsia="仿宋" w:cs="仿宋"/>
          <w:sz w:val="24"/>
          <w:highlight w:val="none"/>
        </w:rPr>
      </w:pPr>
    </w:p>
    <w:p w14:paraId="6164B3ED">
      <w:pPr>
        <w:rPr>
          <w:rFonts w:hint="eastAsia" w:ascii="仿宋" w:hAnsi="仿宋" w:eastAsia="仿宋" w:cs="仿宋"/>
        </w:rPr>
      </w:pPr>
    </w:p>
    <w:p w14:paraId="2B86F453">
      <w:pPr>
        <w:pStyle w:val="3"/>
        <w:spacing w:line="360" w:lineRule="auto"/>
        <w:ind w:left="0" w:leftChars="0" w:firstLine="0" w:firstLineChars="0"/>
        <w:outlineLvl w:val="0"/>
        <w:rPr>
          <w:rFonts w:hint="eastAsia" w:ascii="仿宋" w:hAnsi="仿宋" w:eastAsia="仿宋" w:cs="仿宋"/>
          <w:sz w:val="24"/>
          <w:highlight w:val="none"/>
        </w:rPr>
      </w:pPr>
    </w:p>
    <w:p w14:paraId="3BA2128A">
      <w:pPr>
        <w:pStyle w:val="3"/>
        <w:spacing w:line="360" w:lineRule="auto"/>
        <w:ind w:left="0" w:leftChars="0" w:firstLine="0" w:firstLineChars="0"/>
        <w:outlineLvl w:val="0"/>
        <w:rPr>
          <w:rFonts w:hint="eastAsia" w:ascii="仿宋" w:hAnsi="仿宋" w:eastAsia="仿宋" w:cs="仿宋"/>
          <w:sz w:val="24"/>
          <w:highlight w:val="none"/>
        </w:rPr>
      </w:pPr>
      <w:r>
        <w:rPr>
          <w:rFonts w:hint="eastAsia" w:ascii="仿宋" w:hAnsi="仿宋" w:eastAsia="仿宋" w:cs="仿宋"/>
          <w:sz w:val="24"/>
          <w:highlight w:val="none"/>
        </w:rPr>
        <w:t>五、其他资料</w:t>
      </w:r>
      <w:bookmarkEnd w:id="405"/>
      <w:bookmarkEnd w:id="406"/>
      <w:bookmarkEnd w:id="407"/>
      <w:bookmarkEnd w:id="408"/>
      <w:bookmarkEnd w:id="409"/>
      <w:bookmarkEnd w:id="410"/>
      <w:bookmarkEnd w:id="411"/>
    </w:p>
    <w:p w14:paraId="110970DA">
      <w:pPr>
        <w:tabs>
          <w:tab w:val="left" w:pos="6300"/>
        </w:tabs>
        <w:snapToGrid w:val="0"/>
        <w:spacing w:line="360" w:lineRule="auto"/>
        <w:ind w:firstLine="570"/>
        <w:jc w:val="lef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rPr>
        <w:t>（</w:t>
      </w:r>
      <w:r>
        <w:rPr>
          <w:rFonts w:hint="eastAsia" w:ascii="仿宋" w:hAnsi="仿宋" w:eastAsia="仿宋" w:cs="仿宋"/>
          <w:kern w:val="0"/>
          <w:sz w:val="24"/>
          <w:highlight w:val="none"/>
          <w:lang w:eastAsia="zh-CN"/>
        </w:rPr>
        <w:t>一</w:t>
      </w:r>
      <w:r>
        <w:rPr>
          <w:rFonts w:hint="eastAsia" w:ascii="仿宋" w:hAnsi="仿宋" w:eastAsia="仿宋" w:cs="仿宋"/>
          <w:kern w:val="0"/>
          <w:sz w:val="24"/>
          <w:highlight w:val="none"/>
        </w:rPr>
        <w:t>）其他与项目有关的资料（自附）</w:t>
      </w:r>
    </w:p>
    <w:p w14:paraId="0F3E8E7A">
      <w:pPr>
        <w:tabs>
          <w:tab w:val="left" w:pos="6300"/>
        </w:tabs>
        <w:snapToGrid w:val="0"/>
        <w:spacing w:line="360" w:lineRule="auto"/>
        <w:ind w:firstLine="570"/>
        <w:jc w:val="lef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1.保证金缴纳凭证</w:t>
      </w:r>
    </w:p>
    <w:p w14:paraId="3A4B3820">
      <w:pPr>
        <w:tabs>
          <w:tab w:val="left" w:pos="6300"/>
        </w:tabs>
        <w:snapToGrid w:val="0"/>
        <w:spacing w:line="360" w:lineRule="auto"/>
        <w:ind w:firstLine="570"/>
        <w:jc w:val="lef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2.开户许可证或基本存款账户信息</w:t>
      </w:r>
    </w:p>
    <w:p w14:paraId="263C2866">
      <w:pPr>
        <w:tabs>
          <w:tab w:val="left" w:pos="6300"/>
        </w:tabs>
        <w:snapToGrid w:val="0"/>
        <w:spacing w:line="360" w:lineRule="auto"/>
        <w:ind w:firstLine="570"/>
        <w:jc w:val="lef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3.其他</w:t>
      </w:r>
    </w:p>
    <w:p w14:paraId="3407704E">
      <w:pPr>
        <w:spacing w:line="360" w:lineRule="auto"/>
        <w:ind w:firstLine="480" w:firstLineChars="200"/>
        <w:jc w:val="center"/>
        <w:rPr>
          <w:rFonts w:hint="eastAsia" w:ascii="仿宋" w:hAnsi="仿宋" w:eastAsia="仿宋" w:cs="仿宋"/>
          <w:sz w:val="24"/>
          <w:szCs w:val="24"/>
          <w:highlight w:val="none"/>
        </w:rPr>
      </w:pPr>
    </w:p>
    <w:p w14:paraId="2C1FAABA">
      <w:pPr>
        <w:spacing w:line="360" w:lineRule="auto"/>
        <w:ind w:firstLine="480" w:firstLineChars="200"/>
        <w:jc w:val="center"/>
        <w:rPr>
          <w:rFonts w:hint="eastAsia" w:ascii="仿宋" w:hAnsi="仿宋" w:eastAsia="仿宋" w:cs="仿宋"/>
          <w:sz w:val="24"/>
          <w:szCs w:val="24"/>
          <w:highlight w:val="none"/>
        </w:rPr>
      </w:pPr>
    </w:p>
    <w:p w14:paraId="36E77CBF">
      <w:pPr>
        <w:spacing w:line="360" w:lineRule="auto"/>
        <w:ind w:firstLine="480" w:firstLineChars="200"/>
        <w:jc w:val="center"/>
        <w:rPr>
          <w:rFonts w:hint="eastAsia" w:ascii="仿宋" w:hAnsi="仿宋" w:eastAsia="仿宋" w:cs="仿宋"/>
          <w:sz w:val="24"/>
          <w:szCs w:val="24"/>
          <w:highlight w:val="none"/>
        </w:rPr>
      </w:pPr>
    </w:p>
    <w:p w14:paraId="41C58E9C">
      <w:pPr>
        <w:spacing w:line="360" w:lineRule="auto"/>
        <w:ind w:firstLine="480" w:firstLineChars="200"/>
        <w:jc w:val="center"/>
        <w:rPr>
          <w:rFonts w:hint="eastAsia" w:ascii="仿宋" w:hAnsi="仿宋" w:eastAsia="仿宋" w:cs="仿宋"/>
          <w:sz w:val="24"/>
          <w:szCs w:val="24"/>
          <w:highlight w:val="none"/>
        </w:rPr>
      </w:pPr>
    </w:p>
    <w:p w14:paraId="146566CA">
      <w:pPr>
        <w:spacing w:line="360" w:lineRule="auto"/>
        <w:ind w:firstLine="480" w:firstLineChars="200"/>
        <w:jc w:val="center"/>
        <w:rPr>
          <w:rFonts w:hint="eastAsia" w:ascii="仿宋" w:hAnsi="仿宋" w:eastAsia="仿宋" w:cs="仿宋"/>
          <w:sz w:val="24"/>
          <w:szCs w:val="24"/>
          <w:highlight w:val="none"/>
        </w:rPr>
      </w:pPr>
    </w:p>
    <w:p w14:paraId="19F808C7">
      <w:pPr>
        <w:tabs>
          <w:tab w:val="left" w:pos="6300"/>
        </w:tabs>
        <w:snapToGrid w:val="0"/>
        <w:spacing w:line="360" w:lineRule="auto"/>
        <w:ind w:firstLine="480" w:firstLineChars="200"/>
        <w:jc w:val="center"/>
        <w:rPr>
          <w:rFonts w:hint="eastAsia" w:ascii="仿宋" w:hAnsi="仿宋" w:eastAsia="仿宋" w:cs="仿宋"/>
          <w:sz w:val="24"/>
          <w:highlight w:val="none"/>
        </w:rPr>
      </w:pPr>
      <w:r>
        <w:rPr>
          <w:rFonts w:hint="eastAsia" w:ascii="仿宋" w:hAnsi="仿宋" w:eastAsia="仿宋" w:cs="仿宋"/>
          <w:sz w:val="24"/>
          <w:highlight w:val="none"/>
        </w:rPr>
        <w:t>（正文结束）</w:t>
      </w:r>
    </w:p>
    <w:p w14:paraId="6CA03C01">
      <w:pPr>
        <w:keepNext/>
        <w:keepLines/>
        <w:widowControl w:val="0"/>
        <w:spacing w:line="312" w:lineRule="auto"/>
        <w:ind w:firstLine="0" w:firstLineChars="0"/>
        <w:jc w:val="both"/>
        <w:outlineLvl w:val="2"/>
        <w:rPr>
          <w:rFonts w:hint="eastAsia" w:ascii="仿宋" w:hAnsi="仿宋" w:eastAsia="仿宋" w:cs="仿宋"/>
          <w:b/>
          <w:color w:val="auto"/>
          <w:highlight w:val="none"/>
        </w:rPr>
      </w:pPr>
      <w:r>
        <w:rPr>
          <w:rFonts w:hint="eastAsia" w:ascii="仿宋" w:hAnsi="仿宋" w:eastAsia="仿宋" w:cs="仿宋"/>
          <w:color w:val="auto"/>
          <w:highlight w:val="none"/>
        </w:rPr>
        <w:br w:type="page"/>
      </w:r>
    </w:p>
    <w:p w14:paraId="01CB33B7">
      <w:pPr>
        <w:pStyle w:val="36"/>
        <w:rPr>
          <w:rFonts w:hint="eastAsia" w:ascii="仿宋" w:hAnsi="仿宋" w:eastAsia="仿宋" w:cs="仿宋"/>
          <w:color w:val="auto"/>
          <w:highlight w:val="none"/>
        </w:rPr>
      </w:pPr>
    </w:p>
    <w:p w14:paraId="56A70603">
      <w:pPr>
        <w:pStyle w:val="36"/>
        <w:rPr>
          <w:rFonts w:hint="eastAsia" w:ascii="仿宋" w:hAnsi="仿宋" w:eastAsia="仿宋" w:cs="仿宋"/>
          <w:color w:val="auto"/>
          <w:sz w:val="36"/>
          <w:szCs w:val="36"/>
          <w:highlight w:val="none"/>
        </w:rPr>
      </w:pPr>
    </w:p>
    <w:p w14:paraId="1167D992">
      <w:pPr>
        <w:pStyle w:val="36"/>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附件：</w:t>
      </w:r>
      <w:r>
        <w:rPr>
          <w:rFonts w:hint="eastAsia" w:ascii="仿宋" w:hAnsi="仿宋" w:eastAsia="仿宋" w:cs="仿宋"/>
          <w:color w:val="auto"/>
          <w:sz w:val="36"/>
          <w:szCs w:val="36"/>
          <w:highlight w:val="none"/>
          <w:lang w:eastAsia="zh-CN"/>
        </w:rPr>
        <w:t>重庆昇晖工程咨询有限公司</w:t>
      </w:r>
      <w:r>
        <w:rPr>
          <w:rFonts w:hint="eastAsia" w:ascii="仿宋" w:hAnsi="仿宋" w:eastAsia="仿宋" w:cs="仿宋"/>
          <w:color w:val="auto"/>
          <w:sz w:val="36"/>
          <w:szCs w:val="36"/>
          <w:highlight w:val="none"/>
        </w:rPr>
        <w:t>项目报名表</w:t>
      </w:r>
    </w:p>
    <w:tbl>
      <w:tblPr>
        <w:tblStyle w:val="24"/>
        <w:tblW w:w="947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2510"/>
        <w:gridCol w:w="1103"/>
        <w:gridCol w:w="4163"/>
      </w:tblGrid>
      <w:tr w14:paraId="553AAB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694" w:type="dxa"/>
            <w:vAlign w:val="center"/>
          </w:tcPr>
          <w:p w14:paraId="7F5267CC">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项目名称</w:t>
            </w:r>
          </w:p>
        </w:tc>
        <w:tc>
          <w:tcPr>
            <w:tcW w:w="7776" w:type="dxa"/>
            <w:gridSpan w:val="3"/>
            <w:vAlign w:val="center"/>
          </w:tcPr>
          <w:p w14:paraId="3E1BEF9C">
            <w:pPr>
              <w:ind w:firstLine="0" w:firstLineChars="0"/>
              <w:jc w:val="center"/>
              <w:rPr>
                <w:rFonts w:hint="eastAsia" w:ascii="仿宋" w:hAnsi="仿宋" w:eastAsia="仿宋" w:cs="仿宋"/>
                <w:color w:val="auto"/>
                <w:sz w:val="28"/>
                <w:szCs w:val="21"/>
                <w:highlight w:val="none"/>
              </w:rPr>
            </w:pPr>
          </w:p>
        </w:tc>
      </w:tr>
      <w:tr w14:paraId="1A383A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694" w:type="dxa"/>
            <w:vAlign w:val="center"/>
          </w:tcPr>
          <w:p w14:paraId="0A82A730">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lang w:eastAsia="zh-CN"/>
              </w:rPr>
              <w:t>竞选人</w:t>
            </w:r>
            <w:r>
              <w:rPr>
                <w:rFonts w:hint="eastAsia" w:ascii="仿宋" w:hAnsi="仿宋" w:eastAsia="仿宋" w:cs="仿宋"/>
                <w:color w:val="auto"/>
                <w:sz w:val="28"/>
                <w:szCs w:val="21"/>
                <w:highlight w:val="none"/>
              </w:rPr>
              <w:t>名称</w:t>
            </w:r>
          </w:p>
        </w:tc>
        <w:tc>
          <w:tcPr>
            <w:tcW w:w="7776" w:type="dxa"/>
            <w:gridSpan w:val="3"/>
            <w:vAlign w:val="center"/>
          </w:tcPr>
          <w:p w14:paraId="462EAAEB">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w:t>
            </w:r>
            <w:r>
              <w:rPr>
                <w:rFonts w:hint="eastAsia" w:ascii="仿宋" w:hAnsi="仿宋" w:eastAsia="仿宋" w:cs="仿宋"/>
                <w:color w:val="auto"/>
                <w:sz w:val="28"/>
                <w:szCs w:val="21"/>
                <w:highlight w:val="none"/>
                <w:lang w:eastAsia="zh-CN"/>
              </w:rPr>
              <w:t>竞选人</w:t>
            </w:r>
            <w:r>
              <w:rPr>
                <w:rFonts w:hint="eastAsia" w:ascii="仿宋" w:hAnsi="仿宋" w:eastAsia="仿宋" w:cs="仿宋"/>
                <w:color w:val="auto"/>
                <w:sz w:val="28"/>
                <w:szCs w:val="21"/>
                <w:highlight w:val="none"/>
              </w:rPr>
              <w:t>公章）</w:t>
            </w:r>
          </w:p>
        </w:tc>
      </w:tr>
      <w:tr w14:paraId="7956DC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694" w:type="dxa"/>
            <w:vAlign w:val="center"/>
          </w:tcPr>
          <w:p w14:paraId="75D40AAB">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联系人</w:t>
            </w:r>
          </w:p>
        </w:tc>
        <w:tc>
          <w:tcPr>
            <w:tcW w:w="2510" w:type="dxa"/>
            <w:vAlign w:val="center"/>
          </w:tcPr>
          <w:p w14:paraId="3FAB4F38">
            <w:pPr>
              <w:ind w:firstLine="0" w:firstLineChars="0"/>
              <w:jc w:val="center"/>
              <w:rPr>
                <w:rFonts w:hint="eastAsia" w:ascii="仿宋" w:hAnsi="仿宋" w:eastAsia="仿宋" w:cs="仿宋"/>
                <w:color w:val="auto"/>
                <w:sz w:val="28"/>
                <w:szCs w:val="21"/>
                <w:highlight w:val="none"/>
              </w:rPr>
            </w:pPr>
          </w:p>
        </w:tc>
        <w:tc>
          <w:tcPr>
            <w:tcW w:w="1103" w:type="dxa"/>
            <w:vAlign w:val="center"/>
          </w:tcPr>
          <w:p w14:paraId="1CD1C67C">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手机</w:t>
            </w:r>
          </w:p>
        </w:tc>
        <w:tc>
          <w:tcPr>
            <w:tcW w:w="4163" w:type="dxa"/>
            <w:vAlign w:val="center"/>
          </w:tcPr>
          <w:p w14:paraId="30E55AE1">
            <w:pPr>
              <w:ind w:firstLine="0" w:firstLineChars="0"/>
              <w:jc w:val="center"/>
              <w:rPr>
                <w:rFonts w:hint="eastAsia" w:ascii="仿宋" w:hAnsi="仿宋" w:eastAsia="仿宋" w:cs="仿宋"/>
                <w:color w:val="auto"/>
                <w:sz w:val="28"/>
                <w:szCs w:val="21"/>
                <w:highlight w:val="none"/>
              </w:rPr>
            </w:pPr>
          </w:p>
        </w:tc>
      </w:tr>
      <w:tr w14:paraId="41A9C0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694" w:type="dxa"/>
            <w:vAlign w:val="center"/>
          </w:tcPr>
          <w:p w14:paraId="0290D779">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办公电话</w:t>
            </w:r>
          </w:p>
        </w:tc>
        <w:tc>
          <w:tcPr>
            <w:tcW w:w="2510" w:type="dxa"/>
            <w:vAlign w:val="center"/>
          </w:tcPr>
          <w:p w14:paraId="308D08EB">
            <w:pPr>
              <w:ind w:firstLine="0" w:firstLineChars="0"/>
              <w:jc w:val="center"/>
              <w:rPr>
                <w:rFonts w:hint="eastAsia" w:ascii="仿宋" w:hAnsi="仿宋" w:eastAsia="仿宋" w:cs="仿宋"/>
                <w:color w:val="auto"/>
                <w:sz w:val="28"/>
                <w:szCs w:val="21"/>
                <w:highlight w:val="none"/>
              </w:rPr>
            </w:pPr>
          </w:p>
        </w:tc>
        <w:tc>
          <w:tcPr>
            <w:tcW w:w="1103" w:type="dxa"/>
            <w:vAlign w:val="center"/>
          </w:tcPr>
          <w:p w14:paraId="6F002695">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传真</w:t>
            </w:r>
          </w:p>
        </w:tc>
        <w:tc>
          <w:tcPr>
            <w:tcW w:w="4163" w:type="dxa"/>
            <w:vAlign w:val="center"/>
          </w:tcPr>
          <w:p w14:paraId="610D3E04">
            <w:pPr>
              <w:ind w:firstLine="0" w:firstLineChars="0"/>
              <w:jc w:val="center"/>
              <w:rPr>
                <w:rFonts w:hint="eastAsia" w:ascii="仿宋" w:hAnsi="仿宋" w:eastAsia="仿宋" w:cs="仿宋"/>
                <w:color w:val="auto"/>
                <w:sz w:val="28"/>
                <w:szCs w:val="21"/>
                <w:highlight w:val="none"/>
              </w:rPr>
            </w:pPr>
          </w:p>
        </w:tc>
      </w:tr>
      <w:tr w14:paraId="04BD0E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694" w:type="dxa"/>
            <w:vAlign w:val="center"/>
          </w:tcPr>
          <w:p w14:paraId="1E7E0C9A">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E-mail</w:t>
            </w:r>
          </w:p>
        </w:tc>
        <w:tc>
          <w:tcPr>
            <w:tcW w:w="7776" w:type="dxa"/>
            <w:gridSpan w:val="3"/>
            <w:vAlign w:val="center"/>
          </w:tcPr>
          <w:p w14:paraId="7224F5E7">
            <w:pPr>
              <w:ind w:firstLine="0" w:firstLineChars="0"/>
              <w:jc w:val="center"/>
              <w:rPr>
                <w:rFonts w:hint="eastAsia" w:ascii="仿宋" w:hAnsi="仿宋" w:eastAsia="仿宋" w:cs="仿宋"/>
                <w:color w:val="auto"/>
                <w:sz w:val="28"/>
                <w:szCs w:val="21"/>
                <w:highlight w:val="none"/>
              </w:rPr>
            </w:pPr>
          </w:p>
        </w:tc>
      </w:tr>
      <w:tr w14:paraId="52C295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1694" w:type="dxa"/>
            <w:vAlign w:val="center"/>
          </w:tcPr>
          <w:p w14:paraId="0724FF29">
            <w:pPr>
              <w:ind w:firstLine="0" w:firstLineChars="0"/>
              <w:jc w:val="center"/>
              <w:rPr>
                <w:rFonts w:hint="eastAsia" w:ascii="仿宋" w:hAnsi="仿宋" w:eastAsia="仿宋" w:cs="仿宋"/>
                <w:color w:val="auto"/>
                <w:sz w:val="28"/>
                <w:szCs w:val="21"/>
                <w:highlight w:val="none"/>
              </w:rPr>
            </w:pPr>
            <w:r>
              <w:rPr>
                <w:rFonts w:hint="eastAsia" w:ascii="仿宋" w:hAnsi="仿宋" w:eastAsia="仿宋" w:cs="仿宋"/>
                <w:color w:val="auto"/>
                <w:sz w:val="28"/>
                <w:szCs w:val="21"/>
                <w:highlight w:val="none"/>
              </w:rPr>
              <w:t>单位地址</w:t>
            </w:r>
          </w:p>
        </w:tc>
        <w:tc>
          <w:tcPr>
            <w:tcW w:w="7776" w:type="dxa"/>
            <w:gridSpan w:val="3"/>
            <w:vAlign w:val="center"/>
          </w:tcPr>
          <w:p w14:paraId="77E25EFD">
            <w:pPr>
              <w:ind w:firstLine="0" w:firstLineChars="0"/>
              <w:jc w:val="center"/>
              <w:rPr>
                <w:rFonts w:hint="eastAsia" w:ascii="仿宋" w:hAnsi="仿宋" w:eastAsia="仿宋" w:cs="仿宋"/>
                <w:color w:val="auto"/>
                <w:sz w:val="28"/>
                <w:szCs w:val="21"/>
                <w:highlight w:val="none"/>
              </w:rPr>
            </w:pPr>
          </w:p>
        </w:tc>
      </w:tr>
    </w:tbl>
    <w:p w14:paraId="4A157F1F">
      <w:pPr>
        <w:ind w:firstLine="48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7E3E487A">
      <w:pPr>
        <w:ind w:firstLine="480"/>
        <w:jc w:val="right"/>
        <w:rPr>
          <w:rFonts w:hint="eastAsia" w:ascii="仿宋" w:hAnsi="仿宋" w:eastAsia="仿宋" w:cs="仿宋"/>
          <w:b/>
          <w:bCs/>
          <w:color w:val="auto"/>
          <w:szCs w:val="28"/>
          <w:highlight w:val="none"/>
          <w:lang w:eastAsia="zh-CN"/>
        </w:rPr>
      </w:pPr>
      <w:r>
        <w:rPr>
          <w:rFonts w:hint="eastAsia" w:ascii="仿宋" w:hAnsi="仿宋" w:eastAsia="仿宋" w:cs="仿宋"/>
          <w:color w:val="auto"/>
          <w:highlight w:val="none"/>
        </w:rPr>
        <w:t xml:space="preserve">   代理机构：</w:t>
      </w:r>
      <w:bookmarkEnd w:id="370"/>
      <w:bookmarkEnd w:id="373"/>
      <w:r>
        <w:rPr>
          <w:rFonts w:hint="eastAsia" w:ascii="仿宋" w:hAnsi="仿宋" w:eastAsia="仿宋" w:cs="仿宋"/>
          <w:color w:val="auto"/>
          <w:highlight w:val="none"/>
          <w:lang w:eastAsia="zh-CN"/>
        </w:rPr>
        <w:t>重庆昇晖工程咨询有限公司</w:t>
      </w:r>
    </w:p>
    <w:p w14:paraId="0CCC74BD">
      <w:pPr>
        <w:ind w:firstLine="480"/>
        <w:rPr>
          <w:rFonts w:hint="eastAsia" w:ascii="仿宋" w:hAnsi="仿宋" w:eastAsia="仿宋" w:cs="仿宋"/>
          <w:color w:val="auto"/>
          <w:highlight w:val="none"/>
        </w:rPr>
      </w:pPr>
    </w:p>
    <w:p w14:paraId="62DDE7EE">
      <w:pPr>
        <w:ind w:firstLine="480"/>
        <w:rPr>
          <w:rFonts w:hint="eastAsia" w:ascii="仿宋" w:hAnsi="仿宋" w:eastAsia="仿宋" w:cs="仿宋"/>
          <w:color w:val="auto"/>
          <w:highlight w:val="none"/>
        </w:rPr>
      </w:pPr>
    </w:p>
    <w:p w14:paraId="0983579E">
      <w:pPr>
        <w:ind w:firstLine="480"/>
        <w:rPr>
          <w:rFonts w:hint="eastAsia" w:ascii="仿宋" w:hAnsi="仿宋" w:eastAsia="仿宋" w:cs="仿宋"/>
          <w:color w:val="auto"/>
          <w:highlight w:val="none"/>
        </w:rPr>
      </w:pPr>
      <w:r>
        <w:rPr>
          <w:rFonts w:hint="eastAsia" w:ascii="仿宋" w:hAnsi="仿宋" w:eastAsia="仿宋" w:cs="仿宋"/>
          <w:color w:val="auto"/>
          <w:highlight w:val="none"/>
        </w:rPr>
        <w:t>相关说明：</w:t>
      </w:r>
    </w:p>
    <w:p w14:paraId="0511D96C">
      <w:pPr>
        <w:ind w:firstLine="480"/>
        <w:rPr>
          <w:rFonts w:hint="eastAsia" w:ascii="仿宋" w:hAnsi="仿宋" w:eastAsia="仿宋" w:cs="仿宋"/>
          <w:color w:val="auto"/>
          <w:highlight w:val="none"/>
        </w:rPr>
      </w:pPr>
      <w:r>
        <w:rPr>
          <w:rFonts w:hint="eastAsia" w:ascii="仿宋" w:hAnsi="仿宋" w:eastAsia="仿宋" w:cs="仿宋"/>
          <w:color w:val="auto"/>
          <w:highlight w:val="none"/>
        </w:rPr>
        <w:t>1.现场报名</w:t>
      </w:r>
    </w:p>
    <w:p w14:paraId="1F511B9F">
      <w:pPr>
        <w:ind w:firstLine="480"/>
        <w:rPr>
          <w:rFonts w:hint="eastAsia" w:ascii="仿宋" w:hAnsi="仿宋" w:eastAsia="仿宋" w:cs="仿宋"/>
          <w:color w:val="auto"/>
          <w:highlight w:val="none"/>
        </w:rPr>
      </w:pP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需在规定的报名时间内（工作日：每天上午9：00-12:00时，下午14：</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0-17：</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0时），到</w:t>
      </w:r>
      <w:r>
        <w:rPr>
          <w:rFonts w:hint="eastAsia" w:ascii="仿宋" w:hAnsi="仿宋" w:eastAsia="仿宋" w:cs="仿宋"/>
          <w:color w:val="auto"/>
          <w:highlight w:val="none"/>
          <w:lang w:eastAsia="zh-CN"/>
        </w:rPr>
        <w:t>重庆昇晖工程咨询有限公司</w:t>
      </w:r>
      <w:r>
        <w:rPr>
          <w:rFonts w:hint="eastAsia" w:ascii="仿宋" w:hAnsi="仿宋" w:eastAsia="仿宋" w:cs="仿宋"/>
          <w:color w:val="auto"/>
          <w:highlight w:val="none"/>
        </w:rPr>
        <w:t>缴纳报名费。地址：</w:t>
      </w:r>
      <w:r>
        <w:rPr>
          <w:rFonts w:hint="eastAsia" w:ascii="仿宋" w:hAnsi="仿宋" w:eastAsia="仿宋" w:cs="仿宋"/>
          <w:color w:val="auto"/>
          <w:highlight w:val="none"/>
          <w:lang w:val="en-US" w:eastAsia="zh-CN"/>
        </w:rPr>
        <w:t>重庆市荣昌区重牧硅谷·星创天地B座220</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在缴纳报名费后，请将《</w:t>
      </w:r>
      <w:r>
        <w:rPr>
          <w:rFonts w:hint="eastAsia" w:ascii="仿宋" w:hAnsi="仿宋" w:eastAsia="仿宋" w:cs="仿宋"/>
          <w:color w:val="auto"/>
          <w:highlight w:val="none"/>
          <w:lang w:eastAsia="zh-CN"/>
        </w:rPr>
        <w:t>重庆昇晖工程咨询有限公司</w:t>
      </w:r>
      <w:r>
        <w:rPr>
          <w:rFonts w:hint="eastAsia" w:ascii="仿宋" w:hAnsi="仿宋" w:eastAsia="仿宋" w:cs="仿宋"/>
          <w:color w:val="auto"/>
          <w:highlight w:val="none"/>
        </w:rPr>
        <w:t>项目报名表》（加盖</w:t>
      </w:r>
      <w:r>
        <w:rPr>
          <w:rFonts w:hint="eastAsia" w:ascii="仿宋" w:hAnsi="仿宋" w:eastAsia="仿宋" w:cs="仿宋"/>
          <w:color w:val="auto"/>
          <w:highlight w:val="none"/>
          <w:lang w:eastAsia="zh-CN"/>
        </w:rPr>
        <w:t>竞选人</w:t>
      </w:r>
      <w:r>
        <w:rPr>
          <w:rFonts w:hint="eastAsia" w:ascii="仿宋" w:hAnsi="仿宋" w:eastAsia="仿宋" w:cs="仿宋"/>
          <w:color w:val="auto"/>
          <w:highlight w:val="none"/>
        </w:rPr>
        <w:t>公章）递交至代理公司工作人员。</w:t>
      </w:r>
    </w:p>
    <w:sectPr>
      <w:headerReference r:id="rId9" w:type="default"/>
      <w:footerReference r:id="rId10" w:type="default"/>
      <w:pgSz w:w="11906" w:h="16838"/>
      <w:pgMar w:top="1134" w:right="1134" w:bottom="1134" w:left="1134" w:header="851" w:footer="851" w:gutter="0"/>
      <w:pgNumType w:fmt="numberInDash"/>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 w:name="方正仿宋_GBK">
    <w:altName w:val="微软雅黑"/>
    <w:panose1 w:val="02000000000000000000"/>
    <w:charset w:val="86"/>
    <w:family w:val="script"/>
    <w:pitch w:val="default"/>
    <w:sig w:usb0="00000000" w:usb1="00000000" w:usb2="0008201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0A63A">
    <w:pPr>
      <w:pStyle w:val="12"/>
      <w:tabs>
        <w:tab w:val="center" w:pos="4153"/>
        <w:tab w:val="right" w:pos="8306"/>
        <w:tab w:val="clear" w:pos="4140"/>
        <w:tab w:val="clear" w:pos="8300"/>
      </w:tabs>
      <w:ind w:right="360"/>
      <w:jc w:val="center"/>
      <w:rPr>
        <w:rFonts w:ascii="宋体" w:hAnsi="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B505F">
    <w:pPr>
      <w:pStyle w:val="12"/>
      <w:tabs>
        <w:tab w:val="center" w:pos="4153"/>
        <w:tab w:val="right" w:pos="8306"/>
        <w:tab w:val="clear" w:pos="4140"/>
        <w:tab w:val="clear" w:pos="8300"/>
      </w:tabs>
      <w:ind w:right="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F2FD62">
                          <w:pPr>
                            <w:pStyle w:val="12"/>
                            <w:tabs>
                              <w:tab w:val="center" w:pos="4153"/>
                              <w:tab w:val="right" w:pos="8306"/>
                              <w:tab w:val="clear" w:pos="4140"/>
                              <w:tab w:val="clear" w:pos="8300"/>
                            </w:tabs>
                            <w:ind w:right="360"/>
                            <w:jc w:val="center"/>
                          </w:pPr>
                          <w:r>
                            <w:rPr>
                              <w:rFonts w:ascii="宋体" w:hAnsi="宋体"/>
                              <w:sz w:val="24"/>
                              <w:szCs w:val="24"/>
                            </w:rPr>
                            <w:fldChar w:fldCharType="begin"/>
                          </w:r>
                          <w:r>
                            <w:rPr>
                              <w:rStyle w:val="27"/>
                              <w:rFonts w:ascii="宋体" w:hAnsi="宋体"/>
                              <w:sz w:val="24"/>
                              <w:szCs w:val="24"/>
                            </w:rPr>
                            <w:instrText xml:space="preserve"> PAGE </w:instrText>
                          </w:r>
                          <w:r>
                            <w:rPr>
                              <w:rFonts w:ascii="宋体" w:hAnsi="宋体"/>
                              <w:sz w:val="24"/>
                              <w:szCs w:val="24"/>
                            </w:rPr>
                            <w:fldChar w:fldCharType="separate"/>
                          </w:r>
                          <w:r>
                            <w:rPr>
                              <w:rStyle w:val="27"/>
                              <w:rFonts w:ascii="宋体" w:hAnsi="宋体"/>
                              <w:sz w:val="24"/>
                              <w:szCs w:val="24"/>
                            </w:rPr>
                            <w:t>- 40 -</w:t>
                          </w:r>
                          <w:r>
                            <w:rPr>
                              <w:rFonts w:ascii="宋体" w:hAnsi="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5CF2FD62">
                    <w:pPr>
                      <w:pStyle w:val="12"/>
                      <w:tabs>
                        <w:tab w:val="center" w:pos="4153"/>
                        <w:tab w:val="right" w:pos="8306"/>
                        <w:tab w:val="clear" w:pos="4140"/>
                        <w:tab w:val="clear" w:pos="8300"/>
                      </w:tabs>
                      <w:ind w:right="360"/>
                      <w:jc w:val="center"/>
                    </w:pPr>
                    <w:r>
                      <w:rPr>
                        <w:rFonts w:ascii="宋体" w:hAnsi="宋体"/>
                        <w:sz w:val="24"/>
                        <w:szCs w:val="24"/>
                      </w:rPr>
                      <w:fldChar w:fldCharType="begin"/>
                    </w:r>
                    <w:r>
                      <w:rPr>
                        <w:rStyle w:val="27"/>
                        <w:rFonts w:ascii="宋体" w:hAnsi="宋体"/>
                        <w:sz w:val="24"/>
                        <w:szCs w:val="24"/>
                      </w:rPr>
                      <w:instrText xml:space="preserve"> PAGE </w:instrText>
                    </w:r>
                    <w:r>
                      <w:rPr>
                        <w:rFonts w:ascii="宋体" w:hAnsi="宋体"/>
                        <w:sz w:val="24"/>
                        <w:szCs w:val="24"/>
                      </w:rPr>
                      <w:fldChar w:fldCharType="separate"/>
                    </w:r>
                    <w:r>
                      <w:rPr>
                        <w:rStyle w:val="27"/>
                        <w:rFonts w:ascii="宋体" w:hAnsi="宋体"/>
                        <w:sz w:val="24"/>
                        <w:szCs w:val="24"/>
                      </w:rPr>
                      <w:t>- 40 -</w:t>
                    </w:r>
                    <w:r>
                      <w:rPr>
                        <w:rFonts w:ascii="宋体" w:hAnsi="宋体"/>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81E47">
    <w:pPr>
      <w:pStyle w:val="12"/>
      <w:tabs>
        <w:tab w:val="center" w:pos="4153"/>
        <w:tab w:val="right" w:pos="8306"/>
        <w:tab w:val="clear" w:pos="4140"/>
        <w:tab w:val="clear" w:pos="8300"/>
      </w:tabs>
      <w:ind w:right="360"/>
      <w:jc w:val="center"/>
      <w:rPr>
        <w:rFonts w:ascii="宋体" w:hAnsi="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D18853">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6D18853">
                    <w:pPr>
                      <w:pStyle w:val="1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03406">
    <w:pPr>
      <w:ind w:firstLine="0" w:firstLineChars="0"/>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7D896E">
                          <w:pPr>
                            <w:pStyle w:val="12"/>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97D896E">
                    <w:pPr>
                      <w:pStyle w:val="12"/>
                    </w:pPr>
                    <w:r>
                      <w:fldChar w:fldCharType="begin"/>
                    </w:r>
                    <w:r>
                      <w:instrText xml:space="preserve"> PAGE  \* MERGEFORMAT </w:instrText>
                    </w:r>
                    <w:r>
                      <w:fldChar w:fldCharType="separate"/>
                    </w:r>
                    <w:r>
                      <w:t>- 24 -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291F0">
    <w:pPr>
      <w:pStyle w:val="14"/>
      <w:pBdr>
        <w:bottom w:val="none" w:color="auto" w:sz="0" w:space="0"/>
      </w:pBdr>
      <w:tabs>
        <w:tab w:val="center" w:pos="4153"/>
        <w:tab w:val="right" w:pos="8306"/>
        <w:tab w:val="clear" w:pos="4140"/>
        <w:tab w:val="clear" w:pos="8300"/>
      </w:tabs>
      <w:ind w:firstLineChars="0"/>
      <w:rPr>
        <w:rFonts w:ascii="楷体_GB2312" w:eastAsia="楷体_GB2312"/>
        <w:b/>
        <w:sz w:val="24"/>
        <w:szCs w:val="24"/>
        <w:u w:val="single"/>
      </w:rPr>
    </w:pPr>
    <w:r>
      <w:rPr>
        <w:rFonts w:hint="eastAsia" w:ascii="仿宋" w:hAnsi="仿宋" w:eastAsia="仿宋" w:cs="仿宋"/>
        <w:sz w:val="21"/>
        <w:szCs w:val="21"/>
        <w:u w:val="single"/>
        <w:lang w:val="en-US" w:eastAsia="zh-CN"/>
      </w:rPr>
      <w:t xml:space="preserve">    </w:t>
    </w:r>
    <w:r>
      <w:rPr>
        <w:rFonts w:hint="eastAsia" w:ascii="方正仿宋_GBK" w:eastAsia="方正仿宋_GBK"/>
        <w:sz w:val="21"/>
        <w:szCs w:val="21"/>
        <w:u w:val="single"/>
      </w:rPr>
      <w:t xml:space="preserve"> </w:t>
    </w:r>
    <w:r>
      <w:rPr>
        <w:rFonts w:hint="eastAsia" w:ascii="方正仿宋_GBK" w:eastAsia="方正仿宋_GBK"/>
        <w:sz w:val="21"/>
        <w:szCs w:val="21"/>
        <w:u w:val="single"/>
        <w:lang w:val="en-US" w:eastAsia="zh-CN"/>
      </w:rPr>
      <w:t xml:space="preserve">     </w:t>
    </w:r>
    <w:r>
      <w:rPr>
        <w:rFonts w:hint="eastAsia" w:ascii="方正仿宋_GBK" w:hAnsi="Times New Roman" w:eastAsia="方正仿宋_GBK" w:cs="Times New Roman"/>
        <w:sz w:val="21"/>
        <w:szCs w:val="21"/>
        <w:u w:val="single"/>
      </w:rPr>
      <w:t xml:space="preserve"> </w:t>
    </w:r>
    <w:r>
      <w:rPr>
        <w:rFonts w:hint="eastAsia"/>
        <w:u w:val="single"/>
        <w:lang w:val="en-US" w:eastAsia="zh-CN"/>
      </w:rPr>
      <w:t xml:space="preserve">                                         </w:t>
    </w:r>
    <w:r>
      <w:rPr>
        <w:rFonts w:hint="eastAsia" w:ascii="仿宋" w:hAnsi="仿宋" w:eastAsia="仿宋" w:cs="仿宋"/>
        <w:sz w:val="21"/>
        <w:szCs w:val="21"/>
        <w:u w:val="single"/>
        <w:lang w:val="en-US" w:eastAsia="zh-CN"/>
      </w:rPr>
      <w:t>竞争性比选文件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DC930">
    <w:pPr>
      <w:pStyle w:val="14"/>
      <w:pBdr>
        <w:bottom w:val="none" w:color="auto" w:sz="0" w:space="1"/>
      </w:pBdr>
      <w:tabs>
        <w:tab w:val="center" w:pos="4153"/>
        <w:tab w:val="right" w:pos="8306"/>
        <w:tab w:val="clear" w:pos="4140"/>
        <w:tab w:val="clear" w:pos="8300"/>
      </w:tabs>
    </w:pPr>
    <w:r>
      <w:rPr>
        <w:rFonts w:hint="eastAsia" w:ascii="方正仿宋_GBK" w:eastAsia="方正仿宋_GBK"/>
        <w:sz w:val="21"/>
        <w:szCs w:val="21"/>
        <w:u w:val="single"/>
      </w:rPr>
      <w:t xml:space="preserve"> </w:t>
    </w:r>
    <w:r>
      <w:rPr>
        <w:rFonts w:hint="eastAsia" w:ascii="方正仿宋_GBK" w:eastAsia="方正仿宋_GBK"/>
        <w:sz w:val="21"/>
        <w:szCs w:val="21"/>
        <w:u w:val="single"/>
        <w:lang w:val="en-US" w:eastAsia="zh-CN"/>
      </w:rPr>
      <w:t xml:space="preserve">                               </w:t>
    </w:r>
    <w:r>
      <w:rPr>
        <w:rFonts w:hint="eastAsia" w:ascii="方正仿宋_GBK" w:hAnsi="Times New Roman" w:eastAsia="方正仿宋_GBK" w:cs="Times New Roman"/>
        <w:sz w:val="21"/>
        <w:szCs w:val="21"/>
        <w:u w:val="single"/>
      </w:rPr>
      <w:t xml:space="preserve"> </w:t>
    </w:r>
    <w:r>
      <w:rPr>
        <w:rFonts w:hint="eastAsia"/>
        <w:u w:val="single"/>
        <w:lang w:val="en-US" w:eastAsia="zh-CN"/>
      </w:rPr>
      <w:t xml:space="preserve">                         </w:t>
    </w:r>
    <w:r>
      <w:rPr>
        <w:rFonts w:hint="eastAsia" w:ascii="仿宋" w:hAnsi="仿宋" w:eastAsia="仿宋" w:cs="仿宋"/>
        <w:sz w:val="21"/>
        <w:szCs w:val="21"/>
        <w:u w:val="single"/>
        <w:lang w:val="en-US" w:eastAsia="zh-CN"/>
      </w:rPr>
      <w:t>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1AA058"/>
    <w:multiLevelType w:val="singleLevel"/>
    <w:tmpl w:val="BB1AA058"/>
    <w:lvl w:ilvl="0" w:tentative="0">
      <w:start w:val="1"/>
      <w:numFmt w:val="chineseCounting"/>
      <w:suff w:val="nothing"/>
      <w:lvlText w:val="%1、"/>
      <w:lvlJc w:val="left"/>
      <w:pPr>
        <w:ind w:left="602" w:leftChars="0" w:firstLine="0" w:firstLineChars="0"/>
      </w:pPr>
      <w:rPr>
        <w:rFonts w:hint="eastAsia"/>
      </w:rPr>
    </w:lvl>
  </w:abstractNum>
  <w:abstractNum w:abstractNumId="1">
    <w:nsid w:val="603DCFB8"/>
    <w:multiLevelType w:val="singleLevel"/>
    <w:tmpl w:val="603DCFB8"/>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DhmMGNmNmI4MmE1MDFlOWRkYWJlMjc3ZWE2MTUifQ=="/>
  </w:docVars>
  <w:rsids>
    <w:rsidRoot w:val="4A0069D3"/>
    <w:rsid w:val="000529C7"/>
    <w:rsid w:val="000E4BC9"/>
    <w:rsid w:val="00151B3B"/>
    <w:rsid w:val="0060485E"/>
    <w:rsid w:val="00644685"/>
    <w:rsid w:val="006C7826"/>
    <w:rsid w:val="00A4442E"/>
    <w:rsid w:val="00AF4E58"/>
    <w:rsid w:val="00BA6758"/>
    <w:rsid w:val="00C16535"/>
    <w:rsid w:val="00E14AC5"/>
    <w:rsid w:val="00E50396"/>
    <w:rsid w:val="00E966FD"/>
    <w:rsid w:val="00F55096"/>
    <w:rsid w:val="02EB7DDE"/>
    <w:rsid w:val="032E5549"/>
    <w:rsid w:val="03CC6BFC"/>
    <w:rsid w:val="05D67172"/>
    <w:rsid w:val="05DC228D"/>
    <w:rsid w:val="06F277B5"/>
    <w:rsid w:val="0A473C4F"/>
    <w:rsid w:val="0AAC4E4A"/>
    <w:rsid w:val="0B795223"/>
    <w:rsid w:val="0CCA5C12"/>
    <w:rsid w:val="0D081760"/>
    <w:rsid w:val="0D800180"/>
    <w:rsid w:val="0E42734D"/>
    <w:rsid w:val="0F0E1171"/>
    <w:rsid w:val="0F753717"/>
    <w:rsid w:val="0FDF54F1"/>
    <w:rsid w:val="10421D2F"/>
    <w:rsid w:val="10A2678D"/>
    <w:rsid w:val="118C57A8"/>
    <w:rsid w:val="11DA3FAE"/>
    <w:rsid w:val="122D6674"/>
    <w:rsid w:val="123E1747"/>
    <w:rsid w:val="12AF05EE"/>
    <w:rsid w:val="138E2FF9"/>
    <w:rsid w:val="1445086F"/>
    <w:rsid w:val="14A01627"/>
    <w:rsid w:val="15F26094"/>
    <w:rsid w:val="163908F4"/>
    <w:rsid w:val="16F05D79"/>
    <w:rsid w:val="175654AF"/>
    <w:rsid w:val="179606CE"/>
    <w:rsid w:val="18B352B0"/>
    <w:rsid w:val="18D211EB"/>
    <w:rsid w:val="197D4314"/>
    <w:rsid w:val="1CCE7106"/>
    <w:rsid w:val="1D473F18"/>
    <w:rsid w:val="1E0A5972"/>
    <w:rsid w:val="1E7D7504"/>
    <w:rsid w:val="1E8B7B60"/>
    <w:rsid w:val="202F7912"/>
    <w:rsid w:val="21916F14"/>
    <w:rsid w:val="21CF36B3"/>
    <w:rsid w:val="22ED6903"/>
    <w:rsid w:val="2378466F"/>
    <w:rsid w:val="26085672"/>
    <w:rsid w:val="27252BF1"/>
    <w:rsid w:val="27934249"/>
    <w:rsid w:val="285F68BA"/>
    <w:rsid w:val="2A442505"/>
    <w:rsid w:val="2B8A18FE"/>
    <w:rsid w:val="2CFF3734"/>
    <w:rsid w:val="2DB5036C"/>
    <w:rsid w:val="2E3A6F9B"/>
    <w:rsid w:val="2E9628E2"/>
    <w:rsid w:val="2EA24EF7"/>
    <w:rsid w:val="2ED25D7E"/>
    <w:rsid w:val="2ED3590C"/>
    <w:rsid w:val="2F652D7D"/>
    <w:rsid w:val="2FAA4E4D"/>
    <w:rsid w:val="2FC846E0"/>
    <w:rsid w:val="2FCF65BD"/>
    <w:rsid w:val="2FE96074"/>
    <w:rsid w:val="303A3E51"/>
    <w:rsid w:val="30BE52F3"/>
    <w:rsid w:val="311666D6"/>
    <w:rsid w:val="321E75CB"/>
    <w:rsid w:val="330A68F0"/>
    <w:rsid w:val="331C244D"/>
    <w:rsid w:val="35075CB0"/>
    <w:rsid w:val="359D0BE9"/>
    <w:rsid w:val="35FD615D"/>
    <w:rsid w:val="372A574B"/>
    <w:rsid w:val="37E244A2"/>
    <w:rsid w:val="38B04A49"/>
    <w:rsid w:val="39ED1C64"/>
    <w:rsid w:val="3BF13FB3"/>
    <w:rsid w:val="3CBD4C15"/>
    <w:rsid w:val="3DA958E6"/>
    <w:rsid w:val="40A105ED"/>
    <w:rsid w:val="40D865F2"/>
    <w:rsid w:val="42835182"/>
    <w:rsid w:val="44222D22"/>
    <w:rsid w:val="44FE300A"/>
    <w:rsid w:val="452B1BA6"/>
    <w:rsid w:val="45B61DB8"/>
    <w:rsid w:val="45EA4484"/>
    <w:rsid w:val="4668759E"/>
    <w:rsid w:val="47322C01"/>
    <w:rsid w:val="4784730D"/>
    <w:rsid w:val="48025062"/>
    <w:rsid w:val="48D04051"/>
    <w:rsid w:val="4A0069D3"/>
    <w:rsid w:val="4A4776B8"/>
    <w:rsid w:val="4B000986"/>
    <w:rsid w:val="4B104CA5"/>
    <w:rsid w:val="4B1C090F"/>
    <w:rsid w:val="4B5A41B9"/>
    <w:rsid w:val="4C716A38"/>
    <w:rsid w:val="4D8B1D7C"/>
    <w:rsid w:val="4E452EA6"/>
    <w:rsid w:val="4EE3134F"/>
    <w:rsid w:val="4F072625"/>
    <w:rsid w:val="4F2835C6"/>
    <w:rsid w:val="51EE0D81"/>
    <w:rsid w:val="5206629E"/>
    <w:rsid w:val="528D6252"/>
    <w:rsid w:val="53EC71FB"/>
    <w:rsid w:val="53FD74E0"/>
    <w:rsid w:val="542E3461"/>
    <w:rsid w:val="54674016"/>
    <w:rsid w:val="54A908F7"/>
    <w:rsid w:val="54B24B86"/>
    <w:rsid w:val="557373B5"/>
    <w:rsid w:val="55D65C46"/>
    <w:rsid w:val="56F66DA2"/>
    <w:rsid w:val="58120247"/>
    <w:rsid w:val="5A30034B"/>
    <w:rsid w:val="5BD40422"/>
    <w:rsid w:val="5C3B31D9"/>
    <w:rsid w:val="5CD10E2D"/>
    <w:rsid w:val="5D1934CF"/>
    <w:rsid w:val="5DAA7FFC"/>
    <w:rsid w:val="5DC32E6C"/>
    <w:rsid w:val="5FE46354"/>
    <w:rsid w:val="61972E1F"/>
    <w:rsid w:val="61AC22AE"/>
    <w:rsid w:val="61BB087E"/>
    <w:rsid w:val="629537A9"/>
    <w:rsid w:val="62EA5F80"/>
    <w:rsid w:val="639B08B9"/>
    <w:rsid w:val="64CE699B"/>
    <w:rsid w:val="656F0C4F"/>
    <w:rsid w:val="66345394"/>
    <w:rsid w:val="673F449B"/>
    <w:rsid w:val="67F57F70"/>
    <w:rsid w:val="68067009"/>
    <w:rsid w:val="680D21FC"/>
    <w:rsid w:val="68DE07FF"/>
    <w:rsid w:val="697300C4"/>
    <w:rsid w:val="6AA240B7"/>
    <w:rsid w:val="6B0E5F2B"/>
    <w:rsid w:val="6C1B2989"/>
    <w:rsid w:val="6C622701"/>
    <w:rsid w:val="6C7B12DF"/>
    <w:rsid w:val="6CF06601"/>
    <w:rsid w:val="6D0D2033"/>
    <w:rsid w:val="6D2F21A7"/>
    <w:rsid w:val="6D4B2536"/>
    <w:rsid w:val="6D850E3D"/>
    <w:rsid w:val="6DA67533"/>
    <w:rsid w:val="6EC17221"/>
    <w:rsid w:val="6F2713D7"/>
    <w:rsid w:val="700D1CF9"/>
    <w:rsid w:val="707149AA"/>
    <w:rsid w:val="71096990"/>
    <w:rsid w:val="719420FC"/>
    <w:rsid w:val="71EC5176"/>
    <w:rsid w:val="725319FA"/>
    <w:rsid w:val="728101E5"/>
    <w:rsid w:val="731A57E5"/>
    <w:rsid w:val="73BC02E3"/>
    <w:rsid w:val="74A83BD6"/>
    <w:rsid w:val="7576754E"/>
    <w:rsid w:val="7579069A"/>
    <w:rsid w:val="76216CED"/>
    <w:rsid w:val="769F174E"/>
    <w:rsid w:val="77217C6E"/>
    <w:rsid w:val="777F5BFE"/>
    <w:rsid w:val="786E3F92"/>
    <w:rsid w:val="78E421BD"/>
    <w:rsid w:val="78F04D55"/>
    <w:rsid w:val="794044FD"/>
    <w:rsid w:val="799853B0"/>
    <w:rsid w:val="79C66526"/>
    <w:rsid w:val="79F279F5"/>
    <w:rsid w:val="7A340F22"/>
    <w:rsid w:val="7A770E0E"/>
    <w:rsid w:val="7AFB7279"/>
    <w:rsid w:val="7C594639"/>
    <w:rsid w:val="7CD64C01"/>
    <w:rsid w:val="7E8C10F9"/>
    <w:rsid w:val="7E9006F1"/>
    <w:rsid w:val="7EF07AAE"/>
    <w:rsid w:val="7F035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20" w:lineRule="exact"/>
      <w:ind w:firstLine="200" w:firstLineChars="200"/>
    </w:pPr>
    <w:rPr>
      <w:rFonts w:ascii="Times New Roman" w:hAnsi="Times New Roman" w:eastAsia="仿宋_GB2312" w:cs="Times New Roman"/>
      <w:kern w:val="2"/>
      <w:sz w:val="24"/>
      <w:szCs w:val="24"/>
      <w:lang w:val="en-US" w:eastAsia="zh-CN" w:bidi="ar-SA"/>
    </w:rPr>
  </w:style>
  <w:style w:type="paragraph" w:styleId="2">
    <w:name w:val="heading 1"/>
    <w:basedOn w:val="1"/>
    <w:next w:val="1"/>
    <w:link w:val="48"/>
    <w:autoRedefine/>
    <w:qFormat/>
    <w:uiPriority w:val="0"/>
    <w:pPr>
      <w:keepNext/>
      <w:keepLines/>
      <w:spacing w:beforeLines="50" w:afterLines="50" w:line="380" w:lineRule="exact"/>
      <w:jc w:val="center"/>
      <w:outlineLvl w:val="0"/>
    </w:pPr>
    <w:rPr>
      <w:rFonts w:eastAsia="黑体"/>
      <w:b/>
      <w:bCs/>
      <w:kern w:val="44"/>
      <w:sz w:val="32"/>
      <w:szCs w:val="44"/>
    </w:rPr>
  </w:style>
  <w:style w:type="paragraph" w:styleId="3">
    <w:name w:val="heading 2"/>
    <w:basedOn w:val="1"/>
    <w:next w:val="1"/>
    <w:link w:val="49"/>
    <w:autoRedefine/>
    <w:qFormat/>
    <w:uiPriority w:val="0"/>
    <w:pPr>
      <w:keepNext/>
      <w:keepLines/>
      <w:widowControl w:val="0"/>
      <w:adjustRightInd w:val="0"/>
      <w:snapToGrid w:val="0"/>
      <w:spacing w:beforeLines="20" w:afterLines="20" w:line="380" w:lineRule="atLeast"/>
      <w:ind w:firstLine="140" w:firstLineChars="140"/>
      <w:outlineLvl w:val="1"/>
    </w:pPr>
    <w:rPr>
      <w:rFonts w:ascii="宋体" w:hAnsi="宋体" w:eastAsia="黑体"/>
      <w:b/>
      <w:bCs/>
      <w:sz w:val="30"/>
    </w:rPr>
  </w:style>
  <w:style w:type="paragraph" w:styleId="4">
    <w:name w:val="heading 3"/>
    <w:basedOn w:val="1"/>
    <w:next w:val="1"/>
    <w:link w:val="47"/>
    <w:autoRedefine/>
    <w:qFormat/>
    <w:uiPriority w:val="0"/>
    <w:pPr>
      <w:keepNext/>
      <w:keepLines/>
      <w:widowControl w:val="0"/>
      <w:spacing w:beforeLines="20" w:afterLines="20" w:line="380" w:lineRule="atLeast"/>
      <w:ind w:firstLine="60" w:firstLineChars="67"/>
      <w:outlineLvl w:val="2"/>
    </w:pPr>
    <w:rPr>
      <w:rFonts w:ascii="Verdana" w:hAnsi="Verdana" w:eastAsia="黑体"/>
      <w:b/>
      <w:bCs/>
      <w:sz w:val="27"/>
      <w:szCs w:val="32"/>
    </w:rPr>
  </w:style>
  <w:style w:type="paragraph" w:styleId="5">
    <w:name w:val="heading 4"/>
    <w:basedOn w:val="1"/>
    <w:next w:val="1"/>
    <w:autoRedefine/>
    <w:qFormat/>
    <w:uiPriority w:val="0"/>
    <w:pPr>
      <w:keepNext/>
      <w:keepLines/>
      <w:widowControl w:val="0"/>
      <w:tabs>
        <w:tab w:val="left" w:pos="720"/>
      </w:tabs>
      <w:spacing w:beforeLines="10" w:afterLines="10" w:line="380" w:lineRule="atLeast"/>
      <w:ind w:firstLine="210" w:firstLineChars="210"/>
      <w:outlineLvl w:val="3"/>
    </w:pPr>
    <w:rPr>
      <w:rFonts w:ascii="Arial" w:hAnsi="Arial" w:eastAsia="黑体"/>
      <w:b/>
      <w:bCs/>
      <w:sz w:val="25"/>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6">
    <w:name w:val="table of authorities"/>
    <w:basedOn w:val="1"/>
    <w:next w:val="1"/>
    <w:autoRedefine/>
    <w:qFormat/>
    <w:uiPriority w:val="0"/>
    <w:pPr>
      <w:ind w:left="420" w:leftChars="200" w:firstLine="0"/>
    </w:pPr>
    <w:rPr>
      <w:rFonts w:eastAsia="宋体"/>
    </w:rPr>
  </w:style>
  <w:style w:type="paragraph" w:styleId="7">
    <w:name w:val="Body Text"/>
    <w:basedOn w:val="1"/>
    <w:next w:val="1"/>
    <w:autoRedefine/>
    <w:qFormat/>
    <w:uiPriority w:val="0"/>
    <w:pPr>
      <w:widowControl w:val="0"/>
      <w:spacing w:after="120"/>
    </w:pPr>
    <w:rPr>
      <w:rFonts w:ascii="宋体" w:hAnsi="宋体" w:eastAsia="宋体"/>
      <w:sz w:val="28"/>
      <w:szCs w:val="20"/>
      <w:lang w:eastAsia="en-US"/>
    </w:rPr>
  </w:style>
  <w:style w:type="paragraph" w:styleId="8">
    <w:name w:val="Body Text Indent"/>
    <w:basedOn w:val="1"/>
    <w:autoRedefine/>
    <w:qFormat/>
    <w:uiPriority w:val="0"/>
    <w:pPr>
      <w:widowControl w:val="0"/>
      <w:spacing w:after="120" w:line="320" w:lineRule="atLeast"/>
      <w:ind w:left="420" w:leftChars="200"/>
    </w:pPr>
    <w:rPr>
      <w:rFonts w:ascii="Arial" w:hAnsi="Arial" w:eastAsia="宋体"/>
      <w:b/>
      <w:bCs/>
      <w:smallCaps/>
      <w:kern w:val="28"/>
      <w:sz w:val="36"/>
      <w:szCs w:val="20"/>
      <w:lang w:eastAsia="en-US"/>
    </w:rPr>
  </w:style>
  <w:style w:type="paragraph" w:styleId="9">
    <w:name w:val="Plain Text"/>
    <w:basedOn w:val="1"/>
    <w:qFormat/>
    <w:uiPriority w:val="0"/>
    <w:pPr>
      <w:adjustRightInd w:val="0"/>
      <w:snapToGrid w:val="0"/>
      <w:spacing w:line="360" w:lineRule="auto"/>
    </w:pPr>
    <w:rPr>
      <w:rFonts w:ascii="宋体" w:hAnsi="Courier New"/>
      <w:sz w:val="21"/>
    </w:rPr>
  </w:style>
  <w:style w:type="paragraph" w:styleId="10">
    <w:name w:val="Date"/>
    <w:basedOn w:val="1"/>
    <w:next w:val="1"/>
    <w:qFormat/>
    <w:uiPriority w:val="0"/>
  </w:style>
  <w:style w:type="paragraph" w:styleId="11">
    <w:name w:val="Body Text Indent 2"/>
    <w:basedOn w:val="1"/>
    <w:autoRedefine/>
    <w:qFormat/>
    <w:uiPriority w:val="0"/>
    <w:pPr>
      <w:snapToGrid w:val="0"/>
      <w:spacing w:line="560" w:lineRule="atLeast"/>
      <w:ind w:firstLine="540"/>
    </w:pPr>
  </w:style>
  <w:style w:type="paragraph" w:styleId="12">
    <w:name w:val="footer"/>
    <w:basedOn w:val="1"/>
    <w:autoRedefine/>
    <w:qFormat/>
    <w:uiPriority w:val="0"/>
    <w:pPr>
      <w:tabs>
        <w:tab w:val="center" w:pos="4140"/>
        <w:tab w:val="right" w:pos="8300"/>
      </w:tabs>
      <w:snapToGrid w:val="0"/>
      <w:spacing w:line="320" w:lineRule="atLeast"/>
    </w:pPr>
    <w:rPr>
      <w:rFonts w:eastAsia="宋体"/>
      <w:b/>
      <w:bCs/>
      <w:sz w:val="21"/>
      <w:szCs w:val="20"/>
    </w:rPr>
  </w:style>
  <w:style w:type="paragraph" w:styleId="13">
    <w:name w:val="envelope return"/>
    <w:basedOn w:val="1"/>
    <w:autoRedefine/>
    <w:qFormat/>
    <w:uiPriority w:val="0"/>
    <w:pPr>
      <w:snapToGrid w:val="0"/>
    </w:pPr>
    <w:rPr>
      <w:rFonts w:ascii="Arial" w:hAnsi="Arial" w:eastAsia="宋体" w:cs="Arial"/>
    </w:rPr>
  </w:style>
  <w:style w:type="paragraph" w:styleId="14">
    <w:name w:val="header"/>
    <w:basedOn w:val="1"/>
    <w:autoRedefine/>
    <w:qFormat/>
    <w:uiPriority w:val="0"/>
    <w:pPr>
      <w:pBdr>
        <w:bottom w:val="single" w:color="auto" w:sz="6" w:space="1"/>
      </w:pBdr>
      <w:tabs>
        <w:tab w:val="center" w:pos="4140"/>
        <w:tab w:val="right" w:pos="8300"/>
      </w:tabs>
      <w:snapToGrid w:val="0"/>
      <w:spacing w:line="320" w:lineRule="atLeast"/>
      <w:jc w:val="center"/>
    </w:pPr>
    <w:rPr>
      <w:rFonts w:ascii="仿宋_GB2312"/>
      <w:sz w:val="32"/>
      <w:szCs w:val="20"/>
    </w:rPr>
  </w:style>
  <w:style w:type="paragraph" w:styleId="15">
    <w:name w:val="toc 1"/>
    <w:basedOn w:val="1"/>
    <w:next w:val="1"/>
    <w:autoRedefine/>
    <w:qFormat/>
    <w:uiPriority w:val="0"/>
    <w:pPr>
      <w:tabs>
        <w:tab w:val="right" w:leader="dot" w:pos="9120"/>
      </w:tabs>
      <w:spacing w:before="24" w:after="24"/>
      <w:ind w:firstLine="120" w:firstLineChars="50"/>
    </w:pPr>
    <w:rPr>
      <w:rFonts w:eastAsia="方正黑体_GBK"/>
      <w:b/>
    </w:rPr>
  </w:style>
  <w:style w:type="paragraph" w:styleId="16">
    <w:name w:val="Subtitle"/>
    <w:basedOn w:val="1"/>
    <w:qFormat/>
    <w:uiPriority w:val="0"/>
    <w:pPr>
      <w:widowControl/>
      <w:jc w:val="center"/>
    </w:pPr>
    <w:rPr>
      <w:kern w:val="0"/>
      <w:sz w:val="20"/>
      <w:u w:val="single"/>
      <w:lang w:eastAsia="en-US"/>
    </w:rPr>
  </w:style>
  <w:style w:type="paragraph" w:styleId="17">
    <w:name w:val="List"/>
    <w:basedOn w:val="1"/>
    <w:semiHidden/>
    <w:qFormat/>
    <w:uiPriority w:val="0"/>
    <w:pPr>
      <w:ind w:left="200" w:hanging="200" w:hangingChars="200"/>
    </w:pPr>
  </w:style>
  <w:style w:type="paragraph" w:styleId="18">
    <w:name w:val="footnote text"/>
    <w:basedOn w:val="1"/>
    <w:qFormat/>
    <w:uiPriority w:val="0"/>
    <w:pPr>
      <w:snapToGrid w:val="0"/>
      <w:jc w:val="left"/>
    </w:pPr>
    <w:rPr>
      <w:sz w:val="18"/>
      <w:szCs w:val="18"/>
    </w:rPr>
  </w:style>
  <w:style w:type="paragraph" w:styleId="19">
    <w:name w:val="toc 2"/>
    <w:basedOn w:val="1"/>
    <w:next w:val="1"/>
    <w:autoRedefine/>
    <w:qFormat/>
    <w:uiPriority w:val="0"/>
    <w:pPr>
      <w:tabs>
        <w:tab w:val="right" w:leader="dot" w:pos="9120"/>
      </w:tabs>
      <w:ind w:left="100" w:leftChars="100" w:firstLine="100" w:firstLineChars="100"/>
    </w:pPr>
    <w:rPr>
      <w:smallCaps/>
    </w:rPr>
  </w:style>
  <w:style w:type="paragraph" w:styleId="20">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21">
    <w:name w:val="Title"/>
    <w:basedOn w:val="1"/>
    <w:next w:val="1"/>
    <w:autoRedefine/>
    <w:qFormat/>
    <w:uiPriority w:val="0"/>
    <w:pPr>
      <w:spacing w:before="240" w:after="60"/>
      <w:jc w:val="center"/>
      <w:outlineLvl w:val="0"/>
    </w:pPr>
    <w:rPr>
      <w:rFonts w:ascii="Arial" w:hAnsi="Arial" w:eastAsia="宋体" w:cs="Arial"/>
      <w:b/>
      <w:bCs/>
      <w:sz w:val="32"/>
      <w:szCs w:val="32"/>
    </w:rPr>
  </w:style>
  <w:style w:type="paragraph" w:styleId="22">
    <w:name w:val="Body Text First Indent"/>
    <w:basedOn w:val="7"/>
    <w:next w:val="1"/>
    <w:autoRedefine/>
    <w:qFormat/>
    <w:uiPriority w:val="0"/>
    <w:pPr>
      <w:spacing w:after="0" w:line="360" w:lineRule="auto"/>
      <w:ind w:firstLine="420"/>
    </w:pPr>
    <w:rPr>
      <w:rFonts w:eastAsia="仿宋_GB2312"/>
      <w:sz w:val="24"/>
      <w:szCs w:val="24"/>
      <w:lang w:eastAsia="zh-CN"/>
    </w:rPr>
  </w:style>
  <w:style w:type="paragraph" w:styleId="23">
    <w:name w:val="Body Text First Indent 2"/>
    <w:basedOn w:val="8"/>
    <w:autoRedefine/>
    <w:qFormat/>
    <w:uiPriority w:val="0"/>
    <w:pPr>
      <w:ind w:firstLine="420"/>
    </w:pPr>
    <w:rPr>
      <w:sz w:val="18"/>
      <w:szCs w:val="18"/>
    </w:r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autoRedefine/>
    <w:qFormat/>
    <w:uiPriority w:val="0"/>
    <w:rPr>
      <w:rFonts w:ascii="Times New Roman" w:hAnsi="Times New Roman" w:eastAsia="宋体" w:cs="Times New Roman"/>
      <w:lang w:val="en-US" w:eastAsia="en-US" w:bidi="ar-SA"/>
    </w:rPr>
  </w:style>
  <w:style w:type="character" w:styleId="28">
    <w:name w:val="footnote reference"/>
    <w:qFormat/>
    <w:uiPriority w:val="0"/>
    <w:rPr>
      <w:vertAlign w:val="superscript"/>
    </w:rPr>
  </w:style>
  <w:style w:type="paragraph" w:customStyle="1" w:styleId="29">
    <w:name w:val="默认"/>
    <w:qFormat/>
    <w:uiPriority w:val="0"/>
    <w:rPr>
      <w:rFonts w:ascii="Helvetica" w:hAnsi="Helvetica" w:eastAsia="Helvetica" w:cs="Times New Roman"/>
      <w:color w:val="000000"/>
      <w:sz w:val="22"/>
      <w:szCs w:val="22"/>
      <w:lang w:val="en-US" w:eastAsia="zh-CN" w:bidi="ar-SA"/>
    </w:rPr>
  </w:style>
  <w:style w:type="paragraph" w:customStyle="1" w:styleId="30">
    <w:name w:val="标书正文1"/>
    <w:basedOn w:val="1"/>
    <w:qFormat/>
    <w:uiPriority w:val="0"/>
    <w:pPr>
      <w:spacing w:line="520" w:lineRule="exact"/>
      <w:ind w:firstLine="640" w:firstLineChars="200"/>
    </w:pPr>
  </w:style>
  <w:style w:type="paragraph" w:customStyle="1" w:styleId="31">
    <w:name w:val="BodyText"/>
    <w:basedOn w:val="1"/>
    <w:autoRedefine/>
    <w:qFormat/>
    <w:uiPriority w:val="0"/>
    <w:pPr>
      <w:jc w:val="both"/>
      <w:textAlignment w:val="baseline"/>
    </w:pPr>
    <w:rPr>
      <w:rFonts w:ascii="仿宋_GB2312"/>
      <w:sz w:val="32"/>
      <w:szCs w:val="28"/>
    </w:rPr>
  </w:style>
  <w:style w:type="paragraph" w:customStyle="1" w:styleId="32">
    <w:name w:val="图例"/>
    <w:basedOn w:val="1"/>
    <w:autoRedefine/>
    <w:qFormat/>
    <w:uiPriority w:val="0"/>
    <w:pPr>
      <w:spacing w:before="120" w:after="120" w:line="360" w:lineRule="auto"/>
      <w:jc w:val="center"/>
    </w:pPr>
    <w:rPr>
      <w:rFonts w:eastAsia="宋体"/>
      <w:b/>
    </w:rPr>
  </w:style>
  <w:style w:type="paragraph" w:customStyle="1" w:styleId="33">
    <w:name w:val="身份证明授权委托投标函等行距"/>
    <w:autoRedefine/>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34">
    <w:name w:val="授权书和信息卡行距"/>
    <w:autoRedefine/>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35">
    <w:name w:val="正文（GB2312加粗）"/>
    <w:autoRedefine/>
    <w:qFormat/>
    <w:uiPriority w:val="0"/>
    <w:pPr>
      <w:ind w:firstLine="200" w:firstLineChars="200"/>
    </w:pPr>
    <w:rPr>
      <w:rFonts w:ascii="Times New Roman" w:hAnsi="Times New Roman" w:eastAsia="仿宋_GB2312" w:cs="Times New Roman"/>
      <w:b/>
      <w:kern w:val="2"/>
      <w:sz w:val="24"/>
      <w:szCs w:val="24"/>
      <w:lang w:val="en-US" w:eastAsia="zh-CN" w:bidi="ar-SA"/>
    </w:rPr>
  </w:style>
  <w:style w:type="paragraph" w:customStyle="1" w:styleId="36">
    <w:name w:val="附件"/>
    <w:next w:val="1"/>
    <w:autoRedefine/>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37">
    <w:name w:val="保证金信息卡行距及首行不空格"/>
    <w:autoRedefine/>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38">
    <w:name w:val="Table Paragraph"/>
    <w:basedOn w:val="1"/>
    <w:autoRedefine/>
    <w:qFormat/>
    <w:uiPriority w:val="1"/>
    <w:pPr>
      <w:adjustRightInd w:val="0"/>
      <w:snapToGrid w:val="0"/>
      <w:spacing w:after="200"/>
    </w:pPr>
    <w:rPr>
      <w:rFonts w:ascii="仿宋" w:hAnsi="仿宋" w:eastAsia="仿宋" w:cs="仿宋"/>
      <w:kern w:val="0"/>
      <w:sz w:val="22"/>
      <w:szCs w:val="22"/>
      <w:lang w:val="zh-CN" w:bidi="zh-CN"/>
    </w:rPr>
  </w:style>
  <w:style w:type="character" w:customStyle="1" w:styleId="39">
    <w:name w:val="font11"/>
    <w:basedOn w:val="26"/>
    <w:autoRedefine/>
    <w:qFormat/>
    <w:uiPriority w:val="0"/>
    <w:rPr>
      <w:rFonts w:ascii="方正仿宋_GBK" w:hAnsi="方正仿宋_GBK" w:eastAsia="方正仿宋_GBK" w:cs="方正仿宋_GBK"/>
      <w:color w:val="000000"/>
      <w:sz w:val="22"/>
      <w:szCs w:val="22"/>
      <w:u w:val="none"/>
    </w:rPr>
  </w:style>
  <w:style w:type="character" w:customStyle="1" w:styleId="40">
    <w:name w:val="font21"/>
    <w:basedOn w:val="26"/>
    <w:autoRedefine/>
    <w:qFormat/>
    <w:uiPriority w:val="0"/>
    <w:rPr>
      <w:rFonts w:hint="default" w:ascii="Times New Roman" w:hAnsi="Times New Roman" w:cs="Times New Roman"/>
      <w:color w:val="000000"/>
      <w:sz w:val="22"/>
      <w:szCs w:val="22"/>
      <w:u w:val="none"/>
    </w:rPr>
  </w:style>
  <w:style w:type="character" w:customStyle="1" w:styleId="41">
    <w:name w:val="NormalCharacter"/>
    <w:autoRedefine/>
    <w:semiHidden/>
    <w:qFormat/>
    <w:uiPriority w:val="0"/>
    <w:rPr>
      <w:rFonts w:ascii="Verdana" w:hAnsi="Verdana" w:eastAsia="仿宋_GB2312"/>
      <w:sz w:val="24"/>
      <w:lang w:val="en-US" w:eastAsia="en-US" w:bidi="ar-SA"/>
    </w:rPr>
  </w:style>
  <w:style w:type="paragraph" w:customStyle="1" w:styleId="42">
    <w:name w:val="列表段落1"/>
    <w:basedOn w:val="1"/>
    <w:autoRedefine/>
    <w:qFormat/>
    <w:uiPriority w:val="34"/>
    <w:pPr>
      <w:ind w:firstLine="420" w:firstLineChars="200"/>
    </w:pPr>
  </w:style>
  <w:style w:type="paragraph" w:customStyle="1" w:styleId="43">
    <w:name w:val="List Paragraph"/>
    <w:basedOn w:val="1"/>
    <w:autoRedefine/>
    <w:qFormat/>
    <w:uiPriority w:val="34"/>
    <w:pPr>
      <w:ind w:firstLine="420" w:firstLineChars="200"/>
    </w:pPr>
  </w:style>
  <w:style w:type="table" w:customStyle="1" w:styleId="44">
    <w:name w:val="Table Normal"/>
    <w:autoRedefine/>
    <w:unhideWhenUsed/>
    <w:qFormat/>
    <w:uiPriority w:val="0"/>
    <w:tblPr>
      <w:tblCellMar>
        <w:top w:w="0" w:type="dxa"/>
        <w:left w:w="0" w:type="dxa"/>
        <w:bottom w:w="0" w:type="dxa"/>
        <w:right w:w="0" w:type="dxa"/>
      </w:tblCellMar>
    </w:tblPr>
  </w:style>
  <w:style w:type="paragraph" w:customStyle="1" w:styleId="45">
    <w:name w:val="电建正文"/>
    <w:basedOn w:val="46"/>
    <w:qFormat/>
    <w:uiPriority w:val="0"/>
    <w:pPr>
      <w:tabs>
        <w:tab w:val="left" w:pos="720"/>
      </w:tabs>
      <w:spacing w:line="360" w:lineRule="auto"/>
      <w:ind w:firstLine="200" w:firstLineChars="200"/>
    </w:pPr>
    <w:rPr>
      <w:rFonts w:ascii="Tahoma" w:hAnsi="Tahoma"/>
      <w:sz w:val="24"/>
    </w:rPr>
  </w:style>
  <w:style w:type="paragraph" w:customStyle="1" w:styleId="46">
    <w:name w:val="List First"/>
    <w:basedOn w:val="17"/>
    <w:next w:val="17"/>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character" w:customStyle="1" w:styleId="47">
    <w:name w:val="标题 3 Char"/>
    <w:basedOn w:val="26"/>
    <w:link w:val="4"/>
    <w:qFormat/>
    <w:uiPriority w:val="0"/>
    <w:rPr>
      <w:rFonts w:ascii="Verdana" w:hAnsi="Verdana" w:eastAsia="黑体"/>
      <w:b/>
      <w:bCs/>
      <w:sz w:val="27"/>
      <w:szCs w:val="32"/>
    </w:rPr>
  </w:style>
  <w:style w:type="character" w:customStyle="1" w:styleId="48">
    <w:name w:val="标题 1 Char1"/>
    <w:link w:val="2"/>
    <w:qFormat/>
    <w:uiPriority w:val="0"/>
    <w:rPr>
      <w:rFonts w:eastAsia="黑体"/>
      <w:b/>
      <w:bCs/>
      <w:kern w:val="44"/>
      <w:sz w:val="32"/>
      <w:szCs w:val="44"/>
    </w:rPr>
  </w:style>
  <w:style w:type="character" w:customStyle="1" w:styleId="49">
    <w:name w:val=" Char Char10"/>
    <w:link w:val="3"/>
    <w:qFormat/>
    <w:uiPriority w:val="0"/>
    <w:rPr>
      <w:rFonts w:ascii="宋体" w:hAnsi="宋体" w:eastAsia="黑体"/>
      <w:b/>
      <w:bCs/>
      <w:sz w:val="30"/>
    </w:rPr>
  </w:style>
  <w:style w:type="paragraph" w:customStyle="1" w:styleId="50">
    <w:name w:val="1"/>
    <w:basedOn w:val="1"/>
    <w:qFormat/>
    <w:uiPriority w:val="0"/>
    <w:rPr>
      <w:rFonts w:ascii="Tahoma" w:hAnsi="Tahoma"/>
      <w:sz w:val="24"/>
    </w:rPr>
  </w:style>
  <w:style w:type="paragraph" w:customStyle="1" w:styleId="51">
    <w:name w:val="WW-表格标题"/>
    <w:basedOn w:val="52"/>
    <w:qFormat/>
    <w:uiPriority w:val="0"/>
  </w:style>
  <w:style w:type="paragraph" w:customStyle="1" w:styleId="52">
    <w:name w:val="WW-表格内容"/>
    <w:basedOn w:val="1"/>
    <w:qFormat/>
    <w:uiPriority w:val="0"/>
    <w:pPr>
      <w:suppressLineNumbers/>
      <w:suppressAutoHyphens/>
    </w:pPr>
  </w:style>
  <w:style w:type="paragraph" w:customStyle="1" w:styleId="53">
    <w:name w:val="pa-34"/>
    <w:basedOn w:val="1"/>
    <w:qFormat/>
    <w:uiPriority w:val="0"/>
    <w:pPr>
      <w:widowControl/>
      <w:spacing w:line="360" w:lineRule="atLeast"/>
      <w:ind w:firstLine="420"/>
      <w:jc w:val="left"/>
    </w:pPr>
    <w:rPr>
      <w:rFonts w:ascii="宋体" w:hAnsi="宋体" w:cs="宋体"/>
      <w:kern w:val="0"/>
      <w:sz w:val="24"/>
    </w:rPr>
  </w:style>
  <w:style w:type="paragraph" w:customStyle="1" w:styleId="54">
    <w:name w:val="paragraph"/>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22654</Words>
  <Characters>24213</Characters>
  <Lines>93</Lines>
  <Paragraphs>26</Paragraphs>
  <TotalTime>12</TotalTime>
  <ScaleCrop>false</ScaleCrop>
  <LinksUpToDate>false</LinksUpToDate>
  <CharactersWithSpaces>24868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2023-02-17T07:17:00Z</dcterms:created>
  <dc:creator>低吟，孤独港＠</dc:creator>
  <cp:lastModifiedBy>A.嗯</cp:lastModifiedBy>
  <cp:lastPrinted>2024-12-17T01:46:15Z</cp:lastPrinted>
  <dcterms:modified xsi:type="dcterms:W3CDTF">2024-12-17T03:45:02Z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1E2173CEC8344C85A0CCAB205ABFF4C9_13</vt:lpwstr>
  </property>
</Properties>
</file>