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val="0"/>
        <w:pageBreakBefore w:val="0"/>
        <w:widowControl w:val="0"/>
        <w:numPr>
          <w:ilvl w:val="0"/>
          <w:numId w:val="0"/>
        </w:numPr>
        <w:tabs>
          <w:tab w:val="left" w:pos="3360"/>
        </w:tabs>
        <w:kinsoku/>
        <w:wordWrap/>
        <w:overflowPunct/>
        <w:topLinePunct w:val="0"/>
        <w:autoSpaceDE/>
        <w:autoSpaceDN/>
        <w:bidi w:val="0"/>
        <w:adjustRightInd/>
        <w:snapToGrid w:val="0"/>
        <w:spacing w:before="0" w:beforeLines="0" w:after="0" w:afterLines="0" w:line="570" w:lineRule="exact"/>
        <w:jc w:val="center"/>
        <w:textAlignment w:val="auto"/>
        <w:rPr>
          <w:rFonts w:hint="default" w:ascii="方正小标宋_GBK" w:hAnsi="方正小标宋_GBK" w:eastAsia="方正小标宋_GBK" w:cs="方正小标宋_GBK"/>
          <w:color w:val="auto"/>
          <w:spacing w:val="0"/>
          <w:kern w:val="0"/>
          <w:sz w:val="44"/>
          <w:szCs w:val="44"/>
          <w:highlight w:val="none"/>
          <w:lang w:val="en-US" w:eastAsia="zh-CN"/>
        </w:rPr>
      </w:pPr>
      <w:r>
        <w:rPr>
          <w:rFonts w:hint="default" w:ascii="方正小标宋_GBK" w:hAnsi="方正小标宋_GBK" w:eastAsia="方正小标宋_GBK" w:cs="方正小标宋_GBK"/>
          <w:color w:val="auto"/>
          <w:spacing w:val="0"/>
          <w:kern w:val="0"/>
          <w:sz w:val="44"/>
          <w:szCs w:val="44"/>
          <w:highlight w:val="none"/>
          <w:lang w:val="en-US" w:eastAsia="zh-CN"/>
        </w:rPr>
        <w:t>竞争性</w:t>
      </w:r>
      <w:r>
        <w:rPr>
          <w:rFonts w:hint="eastAsia" w:ascii="方正小标宋_GBK" w:hAnsi="方正小标宋_GBK" w:eastAsia="方正小标宋_GBK" w:cs="方正小标宋_GBK"/>
          <w:color w:val="auto"/>
          <w:spacing w:val="0"/>
          <w:kern w:val="0"/>
          <w:sz w:val="44"/>
          <w:szCs w:val="44"/>
          <w:highlight w:val="none"/>
          <w:lang w:val="en-US" w:eastAsia="zh-CN"/>
        </w:rPr>
        <w:t>询比采购</w:t>
      </w:r>
      <w:r>
        <w:rPr>
          <w:rFonts w:hint="default" w:ascii="方正小标宋_GBK" w:hAnsi="方正小标宋_GBK" w:eastAsia="方正小标宋_GBK" w:cs="方正小标宋_GBK"/>
          <w:color w:val="auto"/>
          <w:spacing w:val="0"/>
          <w:kern w:val="0"/>
          <w:sz w:val="44"/>
          <w:szCs w:val="44"/>
          <w:highlight w:val="none"/>
          <w:lang w:val="en-US" w:eastAsia="zh-CN"/>
        </w:rPr>
        <w:t>询价文件</w:t>
      </w:r>
    </w:p>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w:t>
      </w:r>
      <w:r>
        <w:rPr>
          <w:rFonts w:hint="eastAsia" w:ascii="方正仿宋_GBK" w:hAnsi="方正仿宋_GBK" w:eastAsia="方正仿宋_GBK" w:cs="方正仿宋_GBK"/>
          <w:b/>
          <w:bCs/>
          <w:sz w:val="24"/>
          <w:szCs w:val="24"/>
          <w:lang w:val="en-US" w:eastAsia="zh-CN"/>
        </w:rPr>
        <w:t xml:space="preserve"> </w:t>
      </w:r>
      <w:r>
        <w:rPr>
          <w:rFonts w:hint="eastAsia" w:ascii="方正仿宋_GBK" w:hAnsi="方正仿宋_GBK" w:eastAsia="方正仿宋_GBK" w:cs="方正仿宋_GBK"/>
          <w:b/>
          <w:bCs/>
          <w:sz w:val="24"/>
          <w:szCs w:val="24"/>
        </w:rPr>
        <w:t>标注的技术需求为符合性审查内容</w:t>
      </w:r>
      <w:r>
        <w:rPr>
          <w:rFonts w:hint="eastAsia" w:ascii="方正仿宋_GBK" w:hAnsi="方正仿宋_GBK" w:eastAsia="方正仿宋_GBK" w:cs="方正仿宋_GBK"/>
          <w:b/>
          <w:bCs/>
          <w:sz w:val="24"/>
          <w:szCs w:val="24"/>
          <w:lang w:val="en-US" w:eastAsia="zh-CN"/>
        </w:rPr>
        <w:t>，</w:t>
      </w:r>
      <w:r>
        <w:rPr>
          <w:rFonts w:hint="eastAsia" w:ascii="方正仿宋_GBK" w:hAnsi="方正仿宋_GBK" w:eastAsia="方正仿宋_GBK" w:cs="方正仿宋_GBK"/>
          <w:b/>
          <w:bCs/>
          <w:sz w:val="24"/>
          <w:szCs w:val="24"/>
        </w:rPr>
        <w:t>投标文件若不满足按无效投标处理。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rPr>
      </w:pPr>
      <w:r>
        <w:rPr>
          <w:rFonts w:hint="eastAsia" w:ascii="方正仿宋_GBK" w:hAnsi="方正仿宋_GBK" w:eastAsia="方正仿宋_GBK" w:cs="方正仿宋_GBK"/>
          <w:sz w:val="24"/>
          <w:szCs w:val="24"/>
          <w:lang w:eastAsia="zh-CN"/>
        </w:rPr>
        <w:t>巴南区图书馆拟对本单位</w:t>
      </w:r>
      <w:r>
        <w:rPr>
          <w:rFonts w:hint="eastAsia" w:ascii="方正仿宋_GBK" w:hAnsi="方正仿宋_GBK" w:eastAsia="方正仿宋_GBK" w:cs="方正仿宋_GBK"/>
          <w:sz w:val="24"/>
          <w:szCs w:val="24"/>
          <w:u w:val="single"/>
          <w:lang w:eastAsia="zh-CN"/>
        </w:rPr>
        <w:t>重庆市巴南区图书馆2022年度中文纸质图书资源建设项目</w:t>
      </w:r>
      <w:r>
        <w:rPr>
          <w:rFonts w:hint="eastAsia" w:ascii="方正仿宋_GBK" w:hAnsi="方正仿宋_GBK" w:eastAsia="方正仿宋_GBK" w:cs="方正仿宋_GBK"/>
          <w:sz w:val="24"/>
          <w:szCs w:val="24"/>
          <w:lang w:eastAsia="zh-CN"/>
        </w:rPr>
        <w:t>进</w:t>
      </w:r>
      <w:r>
        <w:rPr>
          <w:rFonts w:hint="eastAsia" w:ascii="方正仿宋_GBK" w:hAnsi="方正仿宋_GBK" w:eastAsia="方正仿宋_GBK" w:cs="方正仿宋_GBK"/>
          <w:sz w:val="24"/>
          <w:szCs w:val="24"/>
        </w:rPr>
        <w:t>行采购</w:t>
      </w:r>
      <w:r>
        <w:rPr>
          <w:rFonts w:hint="eastAsia" w:ascii="方正仿宋_GBK" w:hAnsi="方正仿宋_GBK" w:eastAsia="方正仿宋_GBK" w:cs="方正仿宋_GBK"/>
          <w:color w:val="000000"/>
          <w:sz w:val="24"/>
          <w:szCs w:val="24"/>
        </w:rPr>
        <w:t>，采购方式</w:t>
      </w:r>
      <w:r>
        <w:rPr>
          <w:rFonts w:hint="eastAsia" w:ascii="方正仿宋_GBK" w:hAnsi="方正仿宋_GBK" w:eastAsia="方正仿宋_GBK" w:cs="方正仿宋_GBK"/>
          <w:color w:val="000000"/>
          <w:sz w:val="24"/>
          <w:szCs w:val="24"/>
          <w:lang w:eastAsia="zh-CN"/>
        </w:rPr>
        <w:t>为</w:t>
      </w:r>
      <w:r>
        <w:rPr>
          <w:rFonts w:hint="eastAsia" w:ascii="方正仿宋_GBK" w:hAnsi="方正仿宋_GBK" w:eastAsia="方正仿宋_GBK" w:cs="方正仿宋_GBK"/>
          <w:color w:val="000000"/>
          <w:sz w:val="24"/>
          <w:szCs w:val="24"/>
        </w:rPr>
        <w:t>：</w:t>
      </w:r>
      <w:r>
        <w:rPr>
          <w:rFonts w:hint="eastAsia" w:ascii="方正仿宋_GBK" w:hAnsi="方正仿宋_GBK" w:eastAsia="方正仿宋_GBK" w:cs="方正仿宋_GBK"/>
          <w:color w:val="000000"/>
          <w:sz w:val="24"/>
          <w:szCs w:val="24"/>
          <w:u w:val="single"/>
        </w:rPr>
        <w:t>竞争性询比采购</w:t>
      </w:r>
      <w:r>
        <w:rPr>
          <w:rFonts w:hint="eastAsia" w:ascii="方正仿宋_GBK" w:hAnsi="方正仿宋_GBK" w:eastAsia="方正仿宋_GBK" w:cs="方正仿宋_GBK"/>
          <w:color w:val="000000"/>
          <w:sz w:val="24"/>
          <w:szCs w:val="24"/>
        </w:rPr>
        <w:t>，欢迎有资质的服务商前来参加报价。</w:t>
      </w:r>
      <w:bookmarkStart w:id="0" w:name="_Toc477512144"/>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hint="eastAsia" w:ascii="方正黑体_GBK" w:hAnsi="方正黑体_GBK" w:eastAsia="方正黑体_GBK" w:cs="方正黑体_GBK"/>
          <w:b w:val="0"/>
          <w:bCs w:val="0"/>
          <w:sz w:val="28"/>
          <w:szCs w:val="28"/>
        </w:rPr>
      </w:pPr>
      <w:r>
        <w:rPr>
          <w:rFonts w:hint="eastAsia" w:ascii="方正黑体_GBK" w:hAnsi="方正黑体_GBK" w:eastAsia="方正黑体_GBK" w:cs="方正黑体_GBK"/>
          <w:b w:val="0"/>
          <w:bCs w:val="0"/>
          <w:sz w:val="28"/>
          <w:szCs w:val="28"/>
        </w:rPr>
        <w:t>一、询比采购内容</w:t>
      </w:r>
    </w:p>
    <w:tbl>
      <w:tblPr>
        <w:tblStyle w:val="14"/>
        <w:tblW w:w="9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1"/>
        <w:gridCol w:w="1751"/>
        <w:gridCol w:w="1582"/>
        <w:gridCol w:w="1724"/>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391" w:type="dxa"/>
            <w:tcBorders>
              <w:top w:val="single" w:color="auto" w:sz="4" w:space="0"/>
              <w:left w:val="single" w:color="auto" w:sz="4" w:space="0"/>
              <w:right w:val="single" w:color="auto" w:sz="4" w:space="0"/>
            </w:tcBorders>
            <w:vAlign w:val="center"/>
          </w:tcPr>
          <w:p>
            <w:pPr>
              <w:widowControl/>
              <w:jc w:val="center"/>
              <w:rPr>
                <w:rFonts w:hint="eastAsia" w:ascii="方正仿宋_GBK" w:hAnsi="方正仿宋_GBK" w:eastAsia="方正仿宋_GBK" w:cs="方正仿宋_GBK"/>
                <w:b/>
                <w:bCs/>
                <w:kern w:val="0"/>
                <w:sz w:val="24"/>
                <w:szCs w:val="24"/>
              </w:rPr>
            </w:pPr>
            <w:r>
              <w:rPr>
                <w:rFonts w:hint="eastAsia" w:ascii="方正仿宋_GBK" w:hAnsi="方正仿宋_GBK" w:eastAsia="方正仿宋_GBK" w:cs="方正仿宋_GBK"/>
                <w:b/>
                <w:bCs/>
                <w:kern w:val="0"/>
                <w:sz w:val="24"/>
                <w:szCs w:val="24"/>
              </w:rPr>
              <w:t>项目名称</w:t>
            </w:r>
          </w:p>
        </w:tc>
        <w:tc>
          <w:tcPr>
            <w:tcW w:w="1751"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spacing w:line="500" w:lineRule="exact"/>
              <w:jc w:val="center"/>
              <w:textAlignment w:val="auto"/>
              <w:rPr>
                <w:rFonts w:hint="default" w:ascii="方正仿宋_GBK" w:hAnsi="方正仿宋_GBK" w:eastAsia="方正仿宋_GBK" w:cs="方正仿宋_GBK"/>
                <w:b/>
                <w:bCs/>
                <w:kern w:val="0"/>
                <w:sz w:val="24"/>
                <w:szCs w:val="24"/>
                <w:lang w:val="en-US"/>
              </w:rPr>
            </w:pPr>
            <w:r>
              <w:rPr>
                <w:rFonts w:hint="eastAsia" w:ascii="方正仿宋_GBK" w:hAnsi="方正仿宋_GBK" w:eastAsia="方正仿宋_GBK" w:cs="方正仿宋_GBK"/>
                <w:sz w:val="24"/>
                <w:szCs w:val="24"/>
                <w:u w:val="none"/>
                <w:lang w:eastAsia="zh-CN"/>
              </w:rPr>
              <w:t>最高折扣</w:t>
            </w:r>
            <w:r>
              <w:rPr>
                <w:rFonts w:hint="eastAsia" w:ascii="方正仿宋_GBK" w:hAnsi="方正仿宋_GBK" w:eastAsia="方正仿宋_GBK" w:cs="方正仿宋_GBK"/>
                <w:sz w:val="24"/>
                <w:szCs w:val="24"/>
                <w:u w:val="none"/>
                <w:lang w:val="en-US" w:eastAsia="zh-CN"/>
              </w:rPr>
              <w:t>系数</w:t>
            </w:r>
          </w:p>
        </w:tc>
        <w:tc>
          <w:tcPr>
            <w:tcW w:w="1582" w:type="dxa"/>
            <w:tcBorders>
              <w:top w:val="single" w:color="auto" w:sz="4" w:space="0"/>
              <w:left w:val="single" w:color="auto" w:sz="4" w:space="0"/>
              <w:right w:val="single" w:color="auto" w:sz="4" w:space="0"/>
            </w:tcBorders>
            <w:vAlign w:val="center"/>
          </w:tcPr>
          <w:p>
            <w:pPr>
              <w:widowControl/>
              <w:jc w:val="center"/>
              <w:rPr>
                <w:rFonts w:hint="eastAsia" w:ascii="方正仿宋_GBK" w:hAnsi="方正仿宋_GBK" w:eastAsia="方正仿宋_GBK" w:cs="方正仿宋_GBK"/>
                <w:b/>
                <w:bCs/>
                <w:kern w:val="0"/>
                <w:sz w:val="24"/>
                <w:szCs w:val="24"/>
              </w:rPr>
            </w:pPr>
            <w:r>
              <w:rPr>
                <w:rFonts w:hint="eastAsia" w:ascii="方正仿宋_GBK" w:hAnsi="方正仿宋_GBK" w:eastAsia="方正仿宋_GBK" w:cs="方正仿宋_GBK"/>
                <w:b/>
                <w:bCs/>
                <w:kern w:val="0"/>
                <w:sz w:val="24"/>
                <w:szCs w:val="24"/>
              </w:rPr>
              <w:t>采购预算</w:t>
            </w:r>
          </w:p>
          <w:p>
            <w:pPr>
              <w:jc w:val="center"/>
              <w:rPr>
                <w:rFonts w:hint="eastAsia" w:ascii="方正仿宋_GBK" w:hAnsi="方正仿宋_GBK" w:eastAsia="方正仿宋_GBK" w:cs="方正仿宋_GBK"/>
                <w:b/>
                <w:bCs/>
                <w:kern w:val="0"/>
                <w:sz w:val="24"/>
                <w:szCs w:val="24"/>
              </w:rPr>
            </w:pPr>
            <w:r>
              <w:rPr>
                <w:rFonts w:hint="eastAsia" w:ascii="方正仿宋_GBK" w:hAnsi="方正仿宋_GBK" w:eastAsia="方正仿宋_GBK" w:cs="方正仿宋_GBK"/>
                <w:b/>
                <w:bCs/>
                <w:kern w:val="0"/>
                <w:sz w:val="24"/>
                <w:szCs w:val="24"/>
              </w:rPr>
              <w:t>（万元）</w:t>
            </w:r>
          </w:p>
        </w:tc>
        <w:tc>
          <w:tcPr>
            <w:tcW w:w="1724" w:type="dxa"/>
            <w:tcBorders>
              <w:top w:val="single" w:color="auto" w:sz="4" w:space="0"/>
              <w:left w:val="single" w:color="auto" w:sz="4" w:space="0"/>
              <w:right w:val="single" w:color="auto" w:sz="4" w:space="0"/>
            </w:tcBorders>
            <w:vAlign w:val="center"/>
          </w:tcPr>
          <w:p>
            <w:pPr>
              <w:jc w:val="center"/>
              <w:rPr>
                <w:rFonts w:hint="eastAsia" w:ascii="方正仿宋_GBK" w:hAnsi="方正仿宋_GBK" w:eastAsia="方正仿宋_GBK" w:cs="方正仿宋_GBK"/>
                <w:b/>
                <w:bCs/>
                <w:kern w:val="0"/>
                <w:sz w:val="24"/>
                <w:szCs w:val="24"/>
                <w:lang w:val="en-US" w:eastAsia="zh-CN"/>
              </w:rPr>
            </w:pPr>
            <w:r>
              <w:rPr>
                <w:rFonts w:hint="eastAsia" w:ascii="方正仿宋_GBK" w:hAnsi="方正仿宋_GBK" w:eastAsia="方正仿宋_GBK" w:cs="方正仿宋_GBK"/>
                <w:b/>
                <w:bCs/>
                <w:kern w:val="0"/>
                <w:sz w:val="24"/>
                <w:szCs w:val="24"/>
                <w:lang w:val="en-US" w:eastAsia="zh-CN"/>
              </w:rPr>
              <w:t>资金来源</w:t>
            </w:r>
          </w:p>
        </w:tc>
        <w:tc>
          <w:tcPr>
            <w:tcW w:w="1115" w:type="dxa"/>
            <w:tcBorders>
              <w:top w:val="single" w:color="auto" w:sz="4" w:space="0"/>
              <w:left w:val="single" w:color="auto" w:sz="4" w:space="0"/>
              <w:right w:val="single" w:color="auto" w:sz="4" w:space="0"/>
            </w:tcBorders>
            <w:vAlign w:val="center"/>
          </w:tcPr>
          <w:p>
            <w:pPr>
              <w:jc w:val="center"/>
              <w:rPr>
                <w:rFonts w:hint="eastAsia" w:ascii="方正仿宋_GBK" w:hAnsi="方正仿宋_GBK" w:eastAsia="方正仿宋_GBK" w:cs="方正仿宋_GBK"/>
                <w:b/>
                <w:bCs/>
                <w:kern w:val="0"/>
                <w:sz w:val="24"/>
                <w:szCs w:val="24"/>
              </w:rPr>
            </w:pPr>
            <w:r>
              <w:rPr>
                <w:rFonts w:hint="eastAsia" w:ascii="方正仿宋_GBK" w:hAnsi="方正仿宋_GBK" w:eastAsia="方正仿宋_GBK" w:cs="方正仿宋_GBK"/>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391" w:type="dxa"/>
            <w:tcBorders>
              <w:top w:val="single" w:color="auto" w:sz="4" w:space="0"/>
              <w:left w:val="single" w:color="auto" w:sz="4" w:space="0"/>
              <w:right w:val="single" w:color="auto" w:sz="4" w:space="0"/>
            </w:tcBorders>
            <w:vAlign w:val="center"/>
          </w:tcPr>
          <w:p>
            <w:pPr>
              <w:widowControl/>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sz w:val="24"/>
                <w:szCs w:val="24"/>
                <w:u w:val="none"/>
                <w:lang w:eastAsia="zh-CN"/>
              </w:rPr>
              <w:t>重庆市巴南区图书馆2022年度中文纸质图书资源建设项目</w:t>
            </w:r>
          </w:p>
        </w:tc>
        <w:tc>
          <w:tcPr>
            <w:tcW w:w="1751"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spacing w:line="500" w:lineRule="exact"/>
              <w:jc w:val="center"/>
              <w:textAlignment w:val="auto"/>
              <w:rPr>
                <w:rFonts w:hint="default" w:ascii="方正仿宋_GBK" w:hAnsi="方正仿宋_GBK" w:eastAsia="方正仿宋_GBK" w:cs="方正仿宋_GBK"/>
                <w:color w:val="auto"/>
                <w:kern w:val="0"/>
                <w:sz w:val="24"/>
                <w:szCs w:val="24"/>
                <w:lang w:val="en-US" w:eastAsia="zh-CN"/>
              </w:rPr>
            </w:pPr>
            <w:r>
              <w:rPr>
                <w:rFonts w:hint="eastAsia" w:ascii="方正仿宋_GBK" w:hAnsi="方正仿宋_GBK" w:eastAsia="方正仿宋_GBK" w:cs="方正仿宋_GBK"/>
                <w:color w:val="auto"/>
                <w:kern w:val="0"/>
                <w:sz w:val="24"/>
                <w:szCs w:val="24"/>
                <w:lang w:val="en-US" w:eastAsia="zh-CN"/>
              </w:rPr>
              <w:t>0.69</w:t>
            </w:r>
          </w:p>
        </w:tc>
        <w:tc>
          <w:tcPr>
            <w:tcW w:w="1582" w:type="dxa"/>
            <w:tcBorders>
              <w:top w:val="single" w:color="auto" w:sz="4" w:space="0"/>
              <w:left w:val="single" w:color="auto" w:sz="4" w:space="0"/>
              <w:right w:val="single" w:color="auto" w:sz="4" w:space="0"/>
            </w:tcBorders>
            <w:vAlign w:val="center"/>
          </w:tcPr>
          <w:p>
            <w:pPr>
              <w:widowControl/>
              <w:jc w:val="center"/>
              <w:rPr>
                <w:rFonts w:hint="default" w:ascii="方正仿宋_GBK" w:hAnsi="方正仿宋_GBK" w:eastAsia="方正仿宋_GBK" w:cs="方正仿宋_GBK"/>
                <w:color w:val="auto"/>
                <w:kern w:val="0"/>
                <w:sz w:val="24"/>
                <w:szCs w:val="24"/>
                <w:lang w:val="en-US" w:eastAsia="zh-CN"/>
              </w:rPr>
            </w:pPr>
            <w:r>
              <w:rPr>
                <w:rFonts w:hint="eastAsia" w:ascii="方正仿宋_GBK" w:hAnsi="方正仿宋_GBK" w:eastAsia="方正仿宋_GBK" w:cs="方正仿宋_GBK"/>
                <w:color w:val="auto"/>
                <w:kern w:val="0"/>
                <w:sz w:val="24"/>
                <w:szCs w:val="24"/>
                <w:lang w:val="en-US" w:eastAsia="zh-CN"/>
              </w:rPr>
              <w:t>49</w:t>
            </w:r>
          </w:p>
        </w:tc>
        <w:tc>
          <w:tcPr>
            <w:tcW w:w="1724" w:type="dxa"/>
            <w:tcBorders>
              <w:top w:val="single" w:color="auto" w:sz="4" w:space="0"/>
              <w:left w:val="single" w:color="auto" w:sz="4" w:space="0"/>
              <w:right w:val="single" w:color="auto" w:sz="4" w:space="0"/>
            </w:tcBorders>
            <w:vAlign w:val="center"/>
          </w:tcPr>
          <w:p>
            <w:pPr>
              <w:widowControl/>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财政预算资金</w:t>
            </w:r>
          </w:p>
        </w:tc>
        <w:tc>
          <w:tcPr>
            <w:tcW w:w="1115" w:type="dxa"/>
            <w:tcBorders>
              <w:top w:val="single" w:color="auto" w:sz="4" w:space="0"/>
              <w:left w:val="single" w:color="auto" w:sz="4" w:space="0"/>
              <w:right w:val="single" w:color="auto" w:sz="4" w:space="0"/>
            </w:tcBorders>
            <w:vAlign w:val="center"/>
          </w:tcPr>
          <w:p>
            <w:pPr>
              <w:rPr>
                <w:rFonts w:hint="eastAsia" w:ascii="方正仿宋_GBK" w:hAnsi="方正仿宋_GBK" w:eastAsia="方正仿宋_GBK" w:cs="方正仿宋_GBK"/>
                <w:b/>
                <w:color w:val="auto"/>
                <w:sz w:val="24"/>
                <w:szCs w:val="24"/>
              </w:rPr>
            </w:pPr>
          </w:p>
        </w:tc>
      </w:tr>
    </w:tbl>
    <w:p>
      <w:pPr>
        <w:ind w:firstLine="438"/>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备注：</w:t>
      </w:r>
    </w:p>
    <w:p>
      <w:pPr>
        <w:ind w:firstLine="438"/>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（一）本项目按折扣系数报价，折扣系数填报不得大于0.69。投标人应在开标一览表中，对折扣系数进行填报，折扣系数最多保留小数点后2位。</w:t>
      </w:r>
    </w:p>
    <w:p>
      <w:pPr>
        <w:ind w:firstLine="438"/>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二）投标人应根据本招标文件、国家有关标准规范结合本项目特点，自行计算工作量、编制预算和报价并承担相应的风险费、服务费、人工费及服务所需的设备或货物购买（制造）费、辅材费、运输费、装卸费、安装调试费、培训费及各种应缴纳的税费等一切与此项目有关的所有费用（投标人如有漏项，则被认为此项费用已包括在总报价中）因投标人自身原因造成漏报、少报皆由其自行承担责任，采购人不再补偿。若在搬运移动过程中造成图书损毁灭失，由中标人承担。</w:t>
      </w:r>
    </w:p>
    <w:p>
      <w:pPr>
        <w:ind w:firstLine="438"/>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（三）折扣系数＝实洋/码洋，以图书的定价作为结算基础（按实洋49万结算供应图书）。</w:t>
      </w:r>
    </w:p>
    <w:p>
      <w:pPr>
        <w:ind w:firstLine="438"/>
        <w:rPr>
          <w:rFonts w:hint="default"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（四）因系统报价的时候不能填报折扣率，供应商按照折扣率报价，如：报价折扣系数为0.69，系统里面就填报0.69元。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方正黑体_GBK" w:hAnsi="方正黑体_GBK" w:eastAsia="方正黑体_GBK" w:cs="方正黑体_GBK"/>
          <w:b w:val="0"/>
          <w:bCs w:val="0"/>
          <w:kern w:val="2"/>
          <w:sz w:val="28"/>
          <w:szCs w:val="28"/>
          <w:lang w:val="en-US" w:eastAsia="zh-CN" w:bidi="ar-SA"/>
        </w:rPr>
      </w:pPr>
      <w:r>
        <w:rPr>
          <w:rFonts w:hint="eastAsia" w:ascii="方正黑体_GBK" w:hAnsi="方正黑体_GBK" w:eastAsia="方正黑体_GBK" w:cs="方正黑体_GBK"/>
          <w:b w:val="0"/>
          <w:bCs w:val="0"/>
          <w:kern w:val="2"/>
          <w:sz w:val="28"/>
          <w:szCs w:val="28"/>
          <w:lang w:val="en-US" w:eastAsia="zh-CN" w:bidi="ar-SA"/>
        </w:rPr>
        <w:t>二、询比资格</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楷体_GBK" w:hAnsi="方正楷体_GBK" w:eastAsia="方正楷体_GBK" w:cs="方正楷体_GBK"/>
          <w:sz w:val="24"/>
          <w:szCs w:val="24"/>
        </w:rPr>
      </w:pPr>
      <w:r>
        <w:rPr>
          <w:rFonts w:hint="eastAsia" w:ascii="方正楷体_GBK" w:hAnsi="方正楷体_GBK" w:eastAsia="方正楷体_GBK" w:cs="方正楷体_GBK"/>
          <w:sz w:val="24"/>
          <w:szCs w:val="24"/>
        </w:rPr>
        <w:t>（一）一般资质条件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5.参加政府采购活动前三年内，在经营活动中没有重大违法记录；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eastAsia="zh-CN"/>
        </w:rPr>
      </w:pPr>
      <w:r>
        <w:rPr>
          <w:rFonts w:hint="eastAsia" w:ascii="方正仿宋_GBK" w:hAnsi="方正仿宋_GBK" w:eastAsia="方正仿宋_GBK" w:cs="方正仿宋_GBK"/>
          <w:sz w:val="24"/>
          <w:szCs w:val="24"/>
          <w:lang w:val="en-US" w:eastAsia="zh-CN"/>
        </w:rPr>
        <w:t>6.法律、行政法规规定的其他条件。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楷体_GBK" w:hAnsi="方正楷体_GBK" w:eastAsia="方正楷体_GBK" w:cs="方正楷体_GBK"/>
          <w:sz w:val="24"/>
          <w:szCs w:val="24"/>
          <w:lang w:eastAsia="zh-CN"/>
        </w:rPr>
      </w:pPr>
      <w:r>
        <w:rPr>
          <w:rFonts w:hint="eastAsia" w:ascii="方正楷体_GBK" w:hAnsi="方正楷体_GBK" w:eastAsia="方正楷体_GBK" w:cs="方正楷体_GBK"/>
          <w:sz w:val="24"/>
          <w:szCs w:val="24"/>
          <w:lang w:eastAsia="zh-CN"/>
        </w:rPr>
        <w:t>（二）</w:t>
      </w:r>
      <w:r>
        <w:rPr>
          <w:rFonts w:hint="eastAsia" w:ascii="方正楷体_GBK" w:hAnsi="方正楷体_GBK" w:eastAsia="方正楷体_GBK" w:cs="方正楷体_GBK"/>
          <w:sz w:val="24"/>
          <w:szCs w:val="24"/>
        </w:rPr>
        <w:t>特定资格条件</w:t>
      </w: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投标方依法持有有效期内的《中华人民共和国出版物经营许可证》，响应文件提供证书复印件，原件备查。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方正黑体_GBK" w:hAnsi="方正黑体_GBK" w:eastAsia="方正黑体_GBK" w:cs="方正黑体_GBK"/>
          <w:b w:val="0"/>
          <w:bCs w:val="0"/>
          <w:color w:val="000000" w:themeColor="text1"/>
          <w:kern w:val="2"/>
          <w:sz w:val="28"/>
          <w:szCs w:val="28"/>
          <w:lang w:val="en-US"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2"/>
          <w:sz w:val="28"/>
          <w:szCs w:val="28"/>
          <w:lang w:val="en-US" w:eastAsia="zh-CN" w:bidi="ar-SA"/>
          <w14:textFill>
            <w14:solidFill>
              <w14:schemeClr w14:val="tx1"/>
            </w14:solidFill>
          </w14:textFill>
        </w:rPr>
        <w:t>三、商务要求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color w:val="000000" w:themeColor="text1"/>
          <w:sz w:val="24"/>
          <w:szCs w:val="24"/>
          <w:lang w:val="en-US" w:eastAsia="zh-CN"/>
          <w14:textFill>
            <w14:solidFill>
              <w14:schemeClr w14:val="tx1"/>
            </w14:solidFill>
          </w14:textFill>
        </w:rPr>
      </w:pPr>
      <w:bookmarkStart w:id="1" w:name="_Toc267320049"/>
      <w:r>
        <w:rPr>
          <w:rFonts w:hint="eastAsia" w:ascii="方正楷体_GBK" w:hAnsi="方正楷体_GBK" w:eastAsia="方正楷体_GBK" w:cs="方正楷体_GBK"/>
          <w:color w:val="000000" w:themeColor="text1"/>
          <w:sz w:val="24"/>
          <w:szCs w:val="24"/>
          <w:lang w:val="en-US" w:eastAsia="zh-CN"/>
          <w14:textFill>
            <w14:solidFill>
              <w14:schemeClr w14:val="tx1"/>
            </w14:solidFill>
          </w14:textFill>
        </w:rPr>
        <w:t>（一）服务时间、地点及验收方式</w:t>
      </w:r>
      <w:bookmarkEnd w:id="1"/>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1.交货时间：图书配送截止日期为2022年11月30日。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2.质量保证期：图书品质和书目数据维护自合同签订后服务2年。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3.实施地点：重庆市巴南区图书馆。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4.验收方式：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按招标文件中第四篇建设和采购清单中</w:t>
      </w:r>
      <w:r>
        <w:rPr>
          <w:rFonts w:hint="eastAsia" w:ascii="方正仿宋_GBK" w:hAnsi="方正仿宋_GBK" w:eastAsia="方正仿宋_GBK" w:cs="方正仿宋_GBK"/>
          <w:sz w:val="24"/>
          <w:szCs w:val="24"/>
          <w:lang w:val="en-US" w:eastAsia="zh-CN"/>
        </w:rPr>
        <w:t>的“质量与服务要求”进行验收。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楷体_GBK" w:hAnsi="方正楷体_GBK" w:eastAsia="方正楷体_GBK" w:cs="方正楷体_GBK"/>
          <w:color w:val="auto"/>
          <w:sz w:val="24"/>
          <w:szCs w:val="24"/>
          <w:lang w:val="en-US" w:eastAsia="zh-CN"/>
        </w:rPr>
      </w:pPr>
      <w:r>
        <w:rPr>
          <w:rFonts w:hint="eastAsia" w:ascii="方正楷体_GBK" w:hAnsi="方正楷体_GBK" w:eastAsia="方正楷体_GBK" w:cs="方正楷体_GBK"/>
          <w:color w:val="auto"/>
          <w:sz w:val="24"/>
          <w:szCs w:val="24"/>
          <w:lang w:val="en-US" w:eastAsia="zh-CN"/>
        </w:rPr>
        <w:t>（二）质量保证和售后服务</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rPr>
          <w:rFonts w:hint="eastAsia" w:ascii="方正仿宋_GBK" w:hAnsi="方正仿宋_GBK" w:eastAsia="方正仿宋_GBK" w:cs="方正仿宋_GBK"/>
          <w:b/>
          <w:bCs/>
          <w:color w:val="000000" w:themeColor="text1"/>
          <w:sz w:val="24"/>
          <w:szCs w:val="24"/>
          <w14:textFill>
            <w14:solidFill>
              <w14:schemeClr w14:val="tx1"/>
            </w14:solidFill>
          </w14:textFill>
        </w:rPr>
      </w:pPr>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 xml:space="preserve">1. </w:t>
      </w:r>
      <w:r>
        <w:rPr>
          <w:rFonts w:hint="eastAsia" w:ascii="方正仿宋_GBK" w:hAnsi="方正仿宋_GBK" w:eastAsia="方正仿宋_GBK" w:cs="方正仿宋_GBK"/>
          <w:b/>
          <w:bCs/>
          <w:color w:val="000000" w:themeColor="text1"/>
          <w:sz w:val="24"/>
          <w:szCs w:val="24"/>
          <w14:textFill>
            <w14:solidFill>
              <w14:schemeClr w14:val="tx1"/>
            </w14:solidFill>
          </w14:textFill>
        </w:rPr>
        <w:t>质量保证及售后服务</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14:textFill>
            <w14:solidFill>
              <w14:schemeClr w14:val="tx1"/>
            </w14:solidFill>
          </w14:textFill>
        </w:rPr>
        <w:t>所报产品及后续服务的质量保证期不低于两年，自合同签订之日起（若供应商有更优惠的质保期，请在响应文件中明确应答）。</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14:textFill>
            <w14:solidFill>
              <w14:schemeClr w14:val="tx1"/>
            </w14:solidFill>
          </w14:textFill>
        </w:rPr>
        <w:t>采购货物属于国家规定“三包”范围的，其产品质量保证期不得低于“三包”规定。</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14:textFill>
            <w14:solidFill>
              <w14:schemeClr w14:val="tx1"/>
            </w14:solidFill>
          </w14:textFill>
        </w:rPr>
        <w:t>供应商的质量保证期承诺优于国家“三包”规定的，按投标人实际承诺执行。</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14:textFill>
            <w14:solidFill>
              <w14:schemeClr w14:val="tx1"/>
            </w14:solidFill>
          </w14:textFill>
        </w:rPr>
        <w:t>采购货物由产品生产厂家（指产品生产厂家或其负责销售、售后服务机构，以下同）负责标准售后服务，应当在响应文件中予以明确说明，并提供相关文件。</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14:textFill>
            <w14:solidFill>
              <w14:schemeClr w14:val="tx1"/>
            </w14:solidFill>
          </w14:textFill>
        </w:rPr>
        <w:t>在图书验收、加工环节中，若发现不适合入藏、盗版、倒装、缺页、污损、破损等，供应商应立即无条件更换或退货。</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4"/>
          <w:szCs w:val="24"/>
          <w14:textFill>
            <w14:solidFill>
              <w14:schemeClr w14:val="tx1"/>
            </w14:solidFill>
          </w14:textFill>
        </w:rPr>
        <w:t>在图书借阅过程中，若发现不适合入藏、盗版、倒装、缺页、污损、破损等，供应商在5日内负责免费更换或退货。</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4"/>
          <w:szCs w:val="24"/>
          <w14:textFill>
            <w14:solidFill>
              <w14:schemeClr w14:val="tx1"/>
            </w14:solidFill>
          </w14:textFill>
        </w:rPr>
        <w:t>在图书入藏后两年内，若发现有差错或质量问题，供应商应免费更换或退货，并对所供其他图书提供五年的售后跟踪服务。</w:t>
      </w:r>
    </w:p>
    <w:p>
      <w:pPr>
        <w:pageBreakBefore w:val="0"/>
        <w:kinsoku/>
        <w:wordWrap/>
        <w:overflowPunct/>
        <w:topLinePunct w:val="0"/>
        <w:autoSpaceDE/>
        <w:autoSpaceDN/>
        <w:bidi w:val="0"/>
        <w:adjustRightInd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24"/>
          <w:szCs w:val="24"/>
          <w14:textFill>
            <w14:solidFill>
              <w14:schemeClr w14:val="tx1"/>
            </w14:solidFill>
          </w14:textFill>
        </w:rPr>
        <w:t>供应商需有相对专业的工作人员负责整个业务合作流程，需要具备业务流程的执行力。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val="en-US" w:eastAsia="zh-CN"/>
        </w:rPr>
        <w:t>2.质保期外服务要求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bookmarkStart w:id="86" w:name="_GoBack"/>
      <w:bookmarkEnd w:id="86"/>
      <w:r>
        <w:rPr>
          <w:rFonts w:hint="default" w:ascii="方正仿宋_GBK" w:hAnsi="方正仿宋_GBK" w:eastAsia="方正仿宋_GBK" w:cs="方正仿宋_GBK"/>
          <w:sz w:val="24"/>
          <w:szCs w:val="24"/>
          <w:lang w:val="en-US" w:eastAsia="zh-CN"/>
        </w:rPr>
        <w:t>（1）质量保证期过后，</w:t>
      </w:r>
      <w:r>
        <w:rPr>
          <w:rFonts w:hint="eastAsia" w:ascii="方正仿宋_GBK" w:hAnsi="方正仿宋_GBK" w:eastAsia="方正仿宋_GBK" w:cs="方正仿宋_GBK"/>
          <w:sz w:val="24"/>
          <w:szCs w:val="24"/>
          <w:lang w:val="en-US" w:eastAsia="zh-CN"/>
        </w:rPr>
        <w:t>中标供应商</w:t>
      </w:r>
      <w:r>
        <w:rPr>
          <w:rFonts w:hint="default" w:ascii="方正仿宋_GBK" w:hAnsi="方正仿宋_GBK" w:eastAsia="方正仿宋_GBK" w:cs="方正仿宋_GBK"/>
          <w:sz w:val="24"/>
          <w:szCs w:val="24"/>
          <w:lang w:val="en-US" w:eastAsia="zh-CN"/>
        </w:rPr>
        <w:t>和制造商应同样提供免费电话咨询服务，并应承诺提供设备上门维护服务。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r>
        <w:rPr>
          <w:rFonts w:hint="default" w:ascii="方正仿宋_GBK" w:hAnsi="方正仿宋_GBK" w:eastAsia="方正仿宋_GBK" w:cs="方正仿宋_GBK"/>
          <w:sz w:val="24"/>
          <w:szCs w:val="24"/>
          <w:lang w:val="en-US" w:eastAsia="zh-CN"/>
        </w:rPr>
        <w:t>（2）质量保证期过后，</w:t>
      </w:r>
      <w:r>
        <w:rPr>
          <w:rFonts w:hint="eastAsia" w:ascii="方正仿宋_GBK" w:hAnsi="方正仿宋_GBK" w:eastAsia="方正仿宋_GBK" w:cs="方正仿宋_GBK"/>
          <w:sz w:val="24"/>
          <w:szCs w:val="24"/>
          <w:lang w:val="en-US" w:eastAsia="zh-CN"/>
        </w:rPr>
        <w:t>采购人</w:t>
      </w:r>
      <w:r>
        <w:rPr>
          <w:rFonts w:hint="default" w:ascii="方正仿宋_GBK" w:hAnsi="方正仿宋_GBK" w:eastAsia="方正仿宋_GBK" w:cs="方正仿宋_GBK"/>
          <w:sz w:val="24"/>
          <w:szCs w:val="24"/>
          <w:lang w:val="en-US" w:eastAsia="zh-CN"/>
        </w:rPr>
        <w:t>需要继续由</w:t>
      </w:r>
      <w:r>
        <w:rPr>
          <w:rFonts w:hint="eastAsia" w:ascii="方正仿宋_GBK" w:hAnsi="方正仿宋_GBK" w:eastAsia="方正仿宋_GBK" w:cs="方正仿宋_GBK"/>
          <w:sz w:val="24"/>
          <w:szCs w:val="24"/>
          <w:lang w:val="en-US" w:eastAsia="zh-CN"/>
        </w:rPr>
        <w:t>中标供应商</w:t>
      </w:r>
      <w:r>
        <w:rPr>
          <w:rFonts w:hint="default" w:ascii="方正仿宋_GBK" w:hAnsi="方正仿宋_GBK" w:eastAsia="方正仿宋_GBK" w:cs="方正仿宋_GBK"/>
          <w:sz w:val="24"/>
          <w:szCs w:val="24"/>
          <w:lang w:val="en-US" w:eastAsia="zh-CN"/>
        </w:rPr>
        <w:t>和制造商提供售后服务的，</w:t>
      </w:r>
      <w:r>
        <w:rPr>
          <w:rFonts w:hint="eastAsia" w:ascii="方正仿宋_GBK" w:hAnsi="方正仿宋_GBK" w:eastAsia="方正仿宋_GBK" w:cs="方正仿宋_GBK"/>
          <w:sz w:val="24"/>
          <w:szCs w:val="24"/>
          <w:lang w:val="en-US" w:eastAsia="zh-CN"/>
        </w:rPr>
        <w:t>中标供应商</w:t>
      </w:r>
      <w:r>
        <w:rPr>
          <w:rFonts w:hint="default" w:ascii="方正仿宋_GBK" w:hAnsi="方正仿宋_GBK" w:eastAsia="方正仿宋_GBK" w:cs="方正仿宋_GBK"/>
          <w:sz w:val="24"/>
          <w:szCs w:val="24"/>
          <w:lang w:val="en-US" w:eastAsia="zh-CN"/>
        </w:rPr>
        <w:t>和制造商应以优惠价格提供售后服务。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val="en-US" w:eastAsia="zh-CN"/>
        </w:rPr>
        <w:t>3.备品备件及易损件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中标供应商</w:t>
      </w:r>
      <w:r>
        <w:rPr>
          <w:rFonts w:hint="default" w:ascii="方正仿宋_GBK" w:hAnsi="方正仿宋_GBK" w:eastAsia="方正仿宋_GBK" w:cs="方正仿宋_GBK"/>
          <w:sz w:val="24"/>
          <w:szCs w:val="24"/>
          <w:lang w:val="en-US" w:eastAsia="zh-CN"/>
        </w:rPr>
        <w:t>和制造商售后服务中，维修使用的备品备件及易损件应为原厂配件，未经</w:t>
      </w:r>
      <w:r>
        <w:rPr>
          <w:rFonts w:hint="eastAsia" w:ascii="方正仿宋_GBK" w:hAnsi="方正仿宋_GBK" w:eastAsia="方正仿宋_GBK" w:cs="方正仿宋_GBK"/>
          <w:sz w:val="24"/>
          <w:szCs w:val="24"/>
          <w:lang w:val="en-US" w:eastAsia="zh-CN"/>
        </w:rPr>
        <w:t>采购人</w:t>
      </w:r>
      <w:r>
        <w:rPr>
          <w:rFonts w:hint="default" w:ascii="方正仿宋_GBK" w:hAnsi="方正仿宋_GBK" w:eastAsia="方正仿宋_GBK" w:cs="方正仿宋_GBK"/>
          <w:sz w:val="24"/>
          <w:szCs w:val="24"/>
          <w:lang w:val="en-US" w:eastAsia="zh-CN"/>
        </w:rPr>
        <w:t>同意不得使用非原厂配件。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b/>
          <w:bCs/>
          <w:lang w:val="en-US" w:eastAsia="zh-CN"/>
        </w:rPr>
      </w:pPr>
      <w:r>
        <w:rPr>
          <w:rFonts w:hint="eastAsia" w:ascii="方正仿宋_GBK" w:hAnsi="方正仿宋_GBK" w:eastAsia="方正仿宋_GBK" w:cs="方正仿宋_GBK"/>
          <w:b/>
          <w:bCs/>
          <w:sz w:val="24"/>
          <w:szCs w:val="24"/>
          <w:lang w:val="en-US" w:eastAsia="zh-CN"/>
        </w:rPr>
        <w:t>4.售后服务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w:t>
      </w:r>
      <w:r>
        <w:rPr>
          <w:rFonts w:hint="default" w:ascii="方正仿宋_GBK" w:hAnsi="方正仿宋_GBK" w:eastAsia="方正仿宋_GBK" w:cs="方正仿宋_GBK"/>
          <w:sz w:val="24"/>
          <w:szCs w:val="24"/>
          <w:lang w:val="en-US" w:eastAsia="zh-CN"/>
        </w:rPr>
        <w:t>电话咨询：供方和制造商应当为采购人提供技术援助电话，解答采购人在使用中遇到的问题，及时为采购人提出解决问题的建议。</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w:t>
      </w:r>
      <w:r>
        <w:rPr>
          <w:rFonts w:hint="default" w:ascii="方正仿宋_GBK" w:hAnsi="方正仿宋_GBK" w:eastAsia="方正仿宋_GBK" w:cs="方正仿宋_GBK"/>
          <w:sz w:val="24"/>
          <w:szCs w:val="24"/>
          <w:lang w:val="en-US" w:eastAsia="zh-CN"/>
        </w:rPr>
        <w:t>现场响应：采购方遇到使用及技术问题，电话咨询不能解决的，供方和制造商应在4小时内到达现场（远郊区6小时内到达现场）进行处理，确保产品正常工作；无法在24小时内解决的，应在24小时内提供备用产品，使采购人能够正常使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w:t>
      </w:r>
      <w:r>
        <w:rPr>
          <w:rFonts w:hint="default" w:ascii="方正仿宋_GBK" w:hAnsi="方正仿宋_GBK" w:eastAsia="方正仿宋_GBK" w:cs="方正仿宋_GBK"/>
          <w:sz w:val="24"/>
          <w:szCs w:val="24"/>
          <w:lang w:val="en-US" w:eastAsia="zh-CN"/>
        </w:rPr>
        <w:t>技术服务：在质保期内，如果供方和制造商的产品技术升级，供方应及时通知采购人，如采购人有相应要求，供方和制造商应对采购人购买的产品进行升级服务。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sz w:val="24"/>
          <w:szCs w:val="24"/>
          <w:lang w:val="en-US" w:eastAsia="zh-CN"/>
        </w:rPr>
        <w:t>(三)知识产权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采购人在中华人民共和国境内使用投标人提供的货物及服务时免受第三方提出的侵犯其专利权或其他知识产权的起诉。如果第三方提出侵权指控，中标供应商应承担由此而引起的一切法律责任和费用。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sz w:val="24"/>
          <w:szCs w:val="24"/>
          <w:lang w:val="en-US" w:eastAsia="zh-CN"/>
        </w:rPr>
        <w:t>（四）其他服务及要求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方正仿宋_GBK" w:hAnsi="方正仿宋_GBK" w:eastAsia="方正仿宋_GBK" w:cs="方正仿宋_GBK"/>
          <w:b/>
          <w:bCs/>
          <w:snapToGrid w:val="0"/>
          <w:kern w:val="0"/>
          <w:sz w:val="24"/>
          <w:szCs w:val="24"/>
          <w:lang w:val="en-US" w:eastAsia="zh-CN"/>
        </w:rPr>
      </w:pPr>
      <w:r>
        <w:rPr>
          <w:rFonts w:hint="eastAsia" w:ascii="方正仿宋_GBK" w:hAnsi="方正仿宋_GBK" w:eastAsia="方正仿宋_GBK" w:cs="方正仿宋_GBK"/>
          <w:b/>
          <w:bCs/>
          <w:snapToGrid w:val="0"/>
          <w:kern w:val="0"/>
          <w:sz w:val="24"/>
          <w:szCs w:val="24"/>
          <w:lang w:val="en-US" w:eastAsia="zh-CN"/>
        </w:rPr>
        <w:t>1.违约责任及环保评估</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（1）为确保项目建设如期完成，现将有关违约责任约定如下：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1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①</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中标供应商如拒绝或不能如期向采购人交货和按技术要求安装调试完毕保证采购人能够正常使用，则每逾期一个日历日，须另行向采购人支付合同金额百分之一（1%）的赔偿金。逾期满十个日历日而仍未交货的，采购人可以解除本合同。中标中标供应商如违反本合同条款造成合同解除，除应支付上述赔偿金并没收履约保证金外，应另行向采购人支付其中标金额百分之三十（30%）的违约金，并退回采购人已付的合同款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2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②</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中标供应商应按照标书及合同约定时间和方式提供质保及售后服务，如因中标供应商原因未能按约定提供质保及售后服务的，未按时响应一次采购人扣除中标供应商履约保证金的百分之十（10%），每年未按时响应累计达到3次的，采购人扣除中标供应商全部履约保证金；如因中标供应商原因未能按约定提供质保及售后服务造成采购人损失的，中标供应商全额赔偿损失。</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3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③</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协议双方如有其他违反本协议规定情形，导致协议对方遭受损失，则违约方应赔偿守约方所受损失。</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sz w:val="24"/>
          <w:szCs w:val="24"/>
          <w:lang w:val="en-US" w:eastAsia="zh-CN"/>
        </w:rPr>
      </w:pPr>
      <w:bookmarkStart w:id="2" w:name="_Toc10359"/>
      <w:r>
        <w:rPr>
          <w:rFonts w:hint="eastAsia" w:ascii="方正仿宋_GBK" w:hAnsi="方正仿宋_GBK" w:eastAsia="方正仿宋_GBK" w:cs="方正仿宋_GBK"/>
          <w:b/>
          <w:bCs/>
          <w:sz w:val="24"/>
          <w:szCs w:val="24"/>
          <w:lang w:val="en-US" w:eastAsia="zh-CN"/>
        </w:rPr>
        <w:t>（2）环保评估</w:t>
      </w:r>
      <w:bookmarkEnd w:id="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在免费质保期间，采购人有权随时委托第三方专业机构对中标供应商提供的所有产品进行环保指标抽检，如发现有不符合国家相关规定之产品采购人有权要求中标供应商立即免费更换，并按该批次产品采购价总额的30%对中标中标供应商进行处罚，中标供应商必须无条件遵守执行。</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1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①</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技术服务：在施工期限、实施时间内按要求完成设备的安装调试，并提供设备后期使用的技术支持。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2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②</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提供设备说明书及操作手册等培训资料，并且每年不定期进行2次及以上产品和服务使用宣传和培训。</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fldChar w:fldCharType="begin"/>
      </w:r>
      <w:r>
        <w:rPr>
          <w:rFonts w:hint="eastAsia" w:ascii="方正仿宋_GBK" w:hAnsi="方正仿宋_GBK" w:eastAsia="方正仿宋_GBK" w:cs="方正仿宋_GBK"/>
          <w:sz w:val="24"/>
          <w:szCs w:val="24"/>
          <w:lang w:val="en-US" w:eastAsia="zh-CN"/>
        </w:rPr>
        <w:instrText xml:space="preserve"> = 3 \* GB3 \* MERGEFORMAT </w:instrText>
      </w:r>
      <w:r>
        <w:rPr>
          <w:rFonts w:hint="eastAsia" w:ascii="方正仿宋_GBK" w:hAnsi="方正仿宋_GBK" w:eastAsia="方正仿宋_GBK" w:cs="方正仿宋_GBK"/>
          <w:sz w:val="24"/>
          <w:szCs w:val="24"/>
          <w:lang w:val="en-US" w:eastAsia="zh-CN"/>
        </w:rPr>
        <w:fldChar w:fldCharType="separate"/>
      </w:r>
      <w:r>
        <w:rPr>
          <w:rFonts w:hint="eastAsia" w:ascii="方正仿宋_GBK" w:hAnsi="方正仿宋_GBK" w:eastAsia="方正仿宋_GBK" w:cs="方正仿宋_GBK"/>
          <w:sz w:val="24"/>
          <w:szCs w:val="24"/>
          <w:lang w:val="en-US" w:eastAsia="zh-CN"/>
        </w:rPr>
        <w:t>③</w:t>
      </w:r>
      <w:r>
        <w:rPr>
          <w:rFonts w:hint="eastAsia" w:ascii="方正仿宋_GBK" w:hAnsi="方正仿宋_GBK" w:eastAsia="方正仿宋_GBK" w:cs="方正仿宋_GBK"/>
          <w:sz w:val="24"/>
          <w:szCs w:val="24"/>
          <w:lang w:val="en-US" w:eastAsia="zh-CN"/>
        </w:rPr>
        <w:fldChar w:fldCharType="end"/>
      </w:r>
      <w:r>
        <w:rPr>
          <w:rFonts w:hint="eastAsia" w:ascii="方正仿宋_GBK" w:hAnsi="方正仿宋_GBK" w:eastAsia="方正仿宋_GBK" w:cs="方正仿宋_GBK"/>
          <w:sz w:val="24"/>
          <w:szCs w:val="24"/>
          <w:lang w:val="en-US" w:eastAsia="zh-CN"/>
        </w:rPr>
        <w:t xml:space="preserve"> 提供设备说明书及操作培训。</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val="en-US" w:eastAsia="zh-CN"/>
        </w:rPr>
        <w:t>2.合同解除</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中标供应商超过规定时限无法交货，或者提供材料设备与采购方技术规范不一致，采购方有权解除合同。采购方在使用中标供应商提供的工程材料设备和服务时，如有第三方提出有效侵权起诉，采购方有权解除合同。合同解除，并不因此解除违约方应当承担的违约的法律和经济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val="en-US" w:eastAsia="zh-CN"/>
        </w:rPr>
        <w:t>3.其他约定事项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lang w:val="en-US" w:eastAsia="zh-CN"/>
        </w:rPr>
      </w:pPr>
      <w:r>
        <w:rPr>
          <w:rFonts w:hint="eastAsia" w:ascii="方正仿宋_GBK" w:hAnsi="方正仿宋_GBK" w:eastAsia="方正仿宋_GBK" w:cs="方正仿宋_GBK"/>
          <w:sz w:val="24"/>
          <w:szCs w:val="24"/>
          <w:lang w:val="en-US" w:eastAsia="zh-CN"/>
        </w:rPr>
        <w:t>招标文件及其补遗文件、投标文件和承诺是本合同不可分割的部分。合同履行过程中，若双方发生争议，应协商解决；协商不成的，可向合同签署地辖区法院提起仲裁或诉讼。仲裁裁决具有终局性，对协议双方产生法律效力。</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sz w:val="24"/>
          <w:szCs w:val="24"/>
          <w:lang w:val="en-US" w:eastAsia="zh-CN"/>
        </w:rPr>
        <w:t>（三）通知和送达条款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 xml:space="preserve">    1.双方以本协议尾部约定地址、电话、电子邮箱为各自有效联系方式，协议一方、人民法院、仲裁机构可以依照该联系方式向协议各方进行信息传达、文件送达。</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2.通过短信、电子邮件方式送达的，自短信息、电子邮件发出之日，视为文件送达成功。</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3.通过邮寄邮件方式送达的，自邮件寄出之日起第三日，视为送达成功。受送达人拒收的，不影响送达的效力。</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4.联系方式发生变化的，应书面通知其他各方，未经书面通知视为未发生变更，已作出的送达仍然有效。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黑体_GBK" w:hAnsi="方正黑体_GBK" w:eastAsia="方正黑体_GBK" w:cs="方正黑体_GBK"/>
          <w:b w:val="0"/>
          <w:bCs w:val="0"/>
          <w:kern w:val="2"/>
          <w:sz w:val="28"/>
          <w:szCs w:val="28"/>
          <w:lang w:val="en-US" w:eastAsia="zh-CN" w:bidi="ar-SA"/>
        </w:rPr>
      </w:pPr>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w:t>
      </w:r>
      <w:r>
        <w:rPr>
          <w:rFonts w:hint="eastAsia" w:ascii="方正黑体_GBK" w:hAnsi="方正黑体_GBK" w:eastAsia="方正黑体_GBK" w:cs="方正黑体_GBK"/>
          <w:b w:val="0"/>
          <w:bCs w:val="0"/>
          <w:kern w:val="2"/>
          <w:sz w:val="28"/>
          <w:szCs w:val="28"/>
          <w:lang w:val="en-US" w:eastAsia="zh-CN" w:bidi="ar-SA"/>
        </w:rPr>
        <w:t>四、建设和采购清单</w:t>
      </w:r>
    </w:p>
    <w:bookmarkEnd w:id="0"/>
    <w:p>
      <w:pPr>
        <w:pageBreakBefore w:val="0"/>
        <w:kinsoku/>
        <w:wordWrap/>
        <w:overflowPunct/>
        <w:topLinePunct w:val="0"/>
        <w:autoSpaceDE/>
        <w:autoSpaceDN/>
        <w:bidi w:val="0"/>
        <w:adjustRightInd w:val="0"/>
        <w:spacing w:line="500" w:lineRule="exact"/>
        <w:ind w:left="479" w:leftChars="228" w:firstLine="0" w:firstLineChars="0"/>
        <w:textAlignment w:val="auto"/>
        <w:rPr>
          <w:rFonts w:hint="eastAsia" w:ascii="方正楷体_GBK" w:hAnsi="方正楷体_GBK" w:eastAsia="方正楷体_GBK" w:cs="方正楷体_GBK"/>
          <w:color w:val="000000" w:themeColor="text1"/>
          <w:sz w:val="24"/>
          <w:szCs w:val="24"/>
          <w14:textFill>
            <w14:solidFill>
              <w14:schemeClr w14:val="tx1"/>
            </w14:solidFill>
          </w14:textFill>
        </w:rPr>
      </w:pPr>
      <w:r>
        <w:rPr>
          <w:rFonts w:hint="eastAsia" w:ascii="方正楷体_GBK" w:hAnsi="方正楷体_GBK" w:eastAsia="方正楷体_GBK" w:cs="方正楷体_GBK"/>
          <w:color w:val="000000" w:themeColor="text1"/>
          <w:sz w:val="24"/>
          <w:szCs w:val="24"/>
          <w:lang w:val="en-US" w:eastAsia="zh-CN"/>
          <w14:textFill>
            <w14:solidFill>
              <w14:schemeClr w14:val="tx1"/>
            </w14:solidFill>
          </w14:textFill>
        </w:rPr>
        <w:t>（一）</w:t>
      </w:r>
      <w:r>
        <w:rPr>
          <w:rFonts w:hint="eastAsia" w:ascii="方正楷体_GBK" w:hAnsi="方正楷体_GBK" w:eastAsia="方正楷体_GBK" w:cs="方正楷体_GBK"/>
          <w:color w:val="000000" w:themeColor="text1"/>
          <w:sz w:val="24"/>
          <w:szCs w:val="24"/>
          <w14:textFill>
            <w14:solidFill>
              <w14:schemeClr w14:val="tx1"/>
            </w14:solidFill>
          </w14:textFill>
        </w:rPr>
        <w:t>项目概况</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14:textFill>
            <w14:solidFill>
              <w14:schemeClr w14:val="tx1"/>
            </w14:solidFill>
          </w14:textFill>
        </w:rPr>
        <w:t>中文纸质图书资源界定：符合巴南区图书馆业务建设和服务需求的2021-2022年出版发行的原创中文纸质图书、巴渝文化专题资源及特定阅读需求的点荐读物（不含港澳台和西文图书，严格杜绝提高价格或降低印刷质量的重印本、特价书、汇编本等）。</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14:textFill>
            <w14:solidFill>
              <w14:schemeClr w14:val="tx1"/>
            </w14:solidFill>
          </w14:textFill>
        </w:rPr>
        <w:t>在满足图书供应等商务要求的基础上，需承担相应图书的书目数据规范建设、维护及排架组织工作（包括对相关旧有索书号体系进行修改和规范）。</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14:textFill>
            <w14:solidFill>
              <w14:schemeClr w14:val="tx1"/>
            </w14:solidFill>
          </w14:textFill>
        </w:rPr>
        <w:t>中标人需承担采购人自有的印刷型图书（以</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5000</w:t>
      </w:r>
      <w:r>
        <w:rPr>
          <w:rFonts w:hint="eastAsia" w:ascii="方正仿宋_GBK" w:hAnsi="方正仿宋_GBK" w:eastAsia="方正仿宋_GBK" w:cs="方正仿宋_GBK"/>
          <w:color w:val="000000" w:themeColor="text1"/>
          <w:sz w:val="24"/>
          <w:szCs w:val="24"/>
          <w14:textFill>
            <w14:solidFill>
              <w14:schemeClr w14:val="tx1"/>
            </w14:solidFill>
          </w14:textFill>
        </w:rPr>
        <w:t>册为最高数量）的书目数据规范建设和组织排架工作（包括对相关旧有索书号体系进行修改和规范），相关工作所需耗材及人力成本由中标人承担。</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14:textFill>
            <w14:solidFill>
              <w14:schemeClr w14:val="tx1"/>
            </w14:solidFill>
          </w14:textFill>
        </w:rPr>
        <w:t>中标人需邀请国家级专家赴巴南开展</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14:textFill>
            <w14:solidFill>
              <w14:schemeClr w14:val="tx1"/>
            </w14:solidFill>
          </w14:textFill>
        </w:rPr>
        <w:t>场主题讲座，专家名单由采购人确定，相关费用由中标人承担。</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14:textFill>
            <w14:solidFill>
              <w14:schemeClr w14:val="tx1"/>
            </w14:solidFill>
          </w14:textFill>
        </w:rPr>
        <w:t>中标人需及时响应、配送采购人临时性的特定的图书需求（常规为读者点荐需求）。</w:t>
      </w:r>
    </w:p>
    <w:p>
      <w:pPr>
        <w:pageBreakBefore w:val="0"/>
        <w:kinsoku/>
        <w:wordWrap/>
        <w:overflowPunct/>
        <w:topLinePunct w:val="0"/>
        <w:autoSpaceDE/>
        <w:autoSpaceDN/>
        <w:bidi w:val="0"/>
        <w:adjustRightInd w:val="0"/>
        <w:spacing w:line="500" w:lineRule="exact"/>
        <w:ind w:left="479" w:leftChars="228" w:firstLine="0" w:firstLineChars="0"/>
        <w:textAlignment w:val="auto"/>
        <w:rPr>
          <w:rFonts w:hint="eastAsia" w:ascii="方正楷体_GBK" w:hAnsi="方正楷体_GBK" w:eastAsia="方正楷体_GBK" w:cs="方正楷体_GBK"/>
          <w:color w:val="000000" w:themeColor="text1"/>
          <w:sz w:val="24"/>
          <w:szCs w:val="24"/>
          <w:lang w:val="en-US" w:eastAsia="zh-CN"/>
          <w14:textFill>
            <w14:solidFill>
              <w14:schemeClr w14:val="tx1"/>
            </w14:solidFill>
          </w14:textFill>
        </w:rPr>
      </w:pPr>
      <w:r>
        <w:rPr>
          <w:rFonts w:hint="eastAsia" w:ascii="方正楷体_GBK" w:hAnsi="方正楷体_GBK" w:eastAsia="方正楷体_GBK" w:cs="方正楷体_GBK"/>
          <w:color w:val="000000" w:themeColor="text1"/>
          <w:sz w:val="24"/>
          <w:szCs w:val="24"/>
          <w:lang w:val="en-US" w:eastAsia="zh-CN"/>
          <w14:textFill>
            <w14:solidFill>
              <w14:schemeClr w14:val="tx1"/>
            </w14:solidFill>
          </w14:textFill>
        </w:rPr>
        <w:t>（二）质量与服务要求</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供应商需按以下要求向采购人提供相应的采访、配送、书目数据建设和维护、排架组织、阅读利用分析、馆藏建设优化、阅读推广活动等专业性、规范化服务。</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b/>
          <w:bCs/>
          <w:color w:val="000000" w:themeColor="text1"/>
          <w:sz w:val="24"/>
          <w:szCs w:val="24"/>
          <w14:textFill>
            <w14:solidFill>
              <w14:schemeClr w14:val="tx1"/>
            </w14:solidFill>
          </w14:textFill>
        </w:rPr>
      </w:pPr>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b/>
          <w:bCs/>
          <w:color w:val="000000" w:themeColor="text1"/>
          <w:sz w:val="24"/>
          <w:szCs w:val="24"/>
          <w14:textFill>
            <w14:solidFill>
              <w14:schemeClr w14:val="tx1"/>
            </w14:solidFill>
          </w14:textFill>
        </w:rPr>
        <w:t>采访（包括图书采访和主题讲座）</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1</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本项目执行分批次采访，图书以现采为主、目录采访为辅的合作模式，主题讲座以场次采访、协作办会的合作模式。</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本项目由采购人自行提供采访目录。中标人不得以任何理由要求采购人选择由中标人提供的采访目录。</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必须保证所提供图书符合国家版权法及其它法律之规定，必须符合采购人业务建设和服务需求的2021-2022年出版发行的原创中文纸质图书及特定阅读需求的点荐读物，不得夹杂非法、盗版、盗印出版物，严格杜绝提高价格或降低印刷质量的重印本、特价书、汇编本。</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需提供大型的综合图书现采场所，或组织采访人员参加至少两次全国性图书展销活动，以保障高质量的现采工作和馆藏建设。现采时中标人尽量提供便捷，包括派有经验的工作人员协助采访、提供仪器设备等。</w:t>
      </w:r>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必须严格按采购人确认的现采清单或订单目录配送图书，不得自行搭配和追加非采购人确认的图书。若订单中同一版次（或同一印次）的复本量不足，则按最新版次的可配复本量配送（控制同一批次配送不同版次或印次的图书）。</w:t>
      </w:r>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在图书配送过程中，若发现有不符合采购人需求的订单（如禁书、特价书、各级各学科教材、内容不适合公众阅读、高码洋、特殊装订、特殊开本、仅个人使用、低劣重印本、汇编本等图书）应及时与采购人交流核实，双方明确取消相应订单。</w:t>
      </w:r>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中标人应根据采购人的需求协助拟制专题目录、完善多卷书、系列书的完整性。</w:t>
      </w:r>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主题讲座的具体事项将结合采购人年度工作安排一事一议。</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b/>
          <w:bCs/>
          <w:color w:val="000000" w:themeColor="text1"/>
          <w:sz w:val="24"/>
          <w:szCs w:val="24"/>
          <w14:textFill>
            <w14:solidFill>
              <w14:schemeClr w14:val="tx1"/>
            </w14:solidFill>
          </w14:textFill>
        </w:rPr>
      </w:pPr>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b/>
          <w:bCs/>
          <w:color w:val="000000" w:themeColor="text1"/>
          <w:sz w:val="24"/>
          <w:szCs w:val="24"/>
          <w14:textFill>
            <w14:solidFill>
              <w14:schemeClr w14:val="tx1"/>
            </w14:solidFill>
          </w14:textFill>
        </w:rPr>
        <w:t>配送</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中标人在接到订单之日起7日内，向采购人反馈订单的征订信息。对不能采购的图书，中标人及时向采购人提供反馈信息以及不能采购的原因，以便采购人做出及时调整。</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中标人应严格按照采访订单核实配书，不得随意更换或搭配，配货率不得低于90%。若发现与采购人馆藏建设要求不相符的图书，第一时间与采购人交流，并不予征订和配送。否则采购人有权终止合作。</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中标人应保证已出版的图书到书周期不超过30天，尚未出版的图书自其出版发行之日起30天内要求到货。</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采购人发出的订单60天后尚未配送到位的图书，采购人有权取消订单。</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结合订单实际，可以分批次每月配送，并在采访订单中标识出已配送和未配送清单反馈给采购人。配送要求干净整洁、防水防污包装，严格遵循书单一致。配送清单项目应包括送货批次号、送货日期、包号、ISBN、题名、作者、出版社、数量、码洋、折扣率、实洋以及合计等。该清单一式三份，一份电子总单，即本批次完整的个别登记账，其中应有合计品种、数量、码洋、实洋，在配送到位前发送给采访人员；一份纸质总单，加盖公章；一份纸质小包分单，附于包装货件内，一包一单。</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中标人根据采购人的需求，安排送货人员免费将图书配送至适时指定位置，送货前需联系采购人确定具体送货时间和地点。</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由采购人和中标人协同执行验收工作，一一核实图书和配送清单，在纸质总单上认真标注和汇集误差，由采购人和中标人签字确认，中标人在接到验收反馈信息后三日内对误差做出处理意见。</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采购人有权对已到馆但内容违背馆藏建设原则的图书予以退货。图书若存在装订错误、缺页、破损、印刷不清、附件缺失等情况，由中标人10天内无条件更换和补齐，超过10天，采购人有权退货。验收图书与订单不符，无条件退货。对采购人确因书目识别困难而造成误订的图书尽量退货。退订图书应在10日内完成货物转移。</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9</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每批次书目数据完成后，采购人需再次对采访订单、配送清单、个别登记账、总括登记账、验收分类统计表进行准确性、一致性核实。</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中标人需要协助采购人对每批次和全年的采访、验收表单进行规范处理，科学存档。</w:t>
      </w:r>
    </w:p>
    <w:p>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color w:val="000000" w:themeColor="text1"/>
          <w:sz w:val="24"/>
          <w:szCs w:val="24"/>
          <w14:textFill>
            <w14:solidFill>
              <w14:schemeClr w14:val="tx1"/>
            </w14:solidFill>
          </w14:textFill>
        </w:rPr>
      </w:pPr>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b/>
          <w:bCs/>
          <w:color w:val="000000" w:themeColor="text1"/>
          <w:sz w:val="24"/>
          <w:szCs w:val="24"/>
          <w14:textFill>
            <w14:solidFill>
              <w14:schemeClr w14:val="tx1"/>
            </w14:solidFill>
          </w14:textFill>
        </w:rPr>
        <w:t>书目数据建设</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中标人需在供书到位后3个工作日内快速执行每批次图书的书目数据建设。</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中标人需承担所配送图书和</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5000</w:t>
      </w:r>
      <w:r>
        <w:rPr>
          <w:rFonts w:hint="eastAsia" w:ascii="方正仿宋_GBK" w:hAnsi="方正仿宋_GBK" w:eastAsia="方正仿宋_GBK" w:cs="方正仿宋_GBK"/>
          <w:color w:val="000000" w:themeColor="text1"/>
          <w:sz w:val="24"/>
          <w:szCs w:val="24"/>
          <w14:textFill>
            <w14:solidFill>
              <w14:schemeClr w14:val="tx1"/>
            </w14:solidFill>
          </w14:textFill>
        </w:rPr>
        <w:t>册采购人自有图书的书目数据建设和维护工作，编目数据质量须符合全国图书馆联合编目中心的数据规范要求和采购人的业务建设规则（详见附件1：《巴南区图书馆中文纸质图书书目数据建设规则》），发现业务问题及时交流解决，书目数据差错率严格控制在1%以内。</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书目数据建设工作中存在一定的特殊问题，需要中标人积极应对采购人的业务建设要求，不可因自身业务能力问题提出简化流程或明知有错而不纠正，否则，采购人有权更换和确定书目数据建设人员，相关费用由中标人自行承担。</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采购人在数据审校过程中发现的业务差错，由中标人负责修改、完善，相关费用由中标人自行承担。</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书目数据的维护工作期为自合同签订之日起后续两年。</w:t>
      </w:r>
    </w:p>
    <w:p>
      <w:pPr>
        <w:pageBreakBefore w:val="0"/>
        <w:widowControl/>
        <w:kinsoku/>
        <w:wordWrap/>
        <w:overflowPunct/>
        <w:topLinePunct w:val="0"/>
        <w:autoSpaceDE/>
        <w:autoSpaceDN/>
        <w:bidi w:val="0"/>
        <w:spacing w:line="500" w:lineRule="exact"/>
        <w:ind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其他未尽事宜，在合作过程中双方可以进一步协商议定。</w:t>
      </w:r>
    </w:p>
    <w:p>
      <w:pP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jc w:val="left"/>
        <w:textAlignment w:val="auto"/>
        <w:rPr>
          <w:rFonts w:hint="eastAsia" w:ascii="方正黑体_GBK" w:hAnsi="方正黑体_GBK" w:eastAsia="方正黑体_GBK" w:cs="方正黑体_GBK"/>
          <w:b w:val="0"/>
          <w:bCs/>
          <w:kern w:val="0"/>
          <w:sz w:val="28"/>
          <w:szCs w:val="22"/>
        </w:rPr>
      </w:pPr>
      <w:bookmarkStart w:id="3" w:name="_Toc20350"/>
      <w:bookmarkStart w:id="4" w:name="_Toc16515"/>
      <w:r>
        <w:rPr>
          <w:rFonts w:hint="eastAsia" w:ascii="方正仿宋_GBK" w:hAnsi="方正仿宋_GBK" w:eastAsia="方正仿宋_GBK" w:cs="方正仿宋_GBK"/>
          <w:b/>
          <w:bCs/>
          <w:color w:val="000000" w:themeColor="text1"/>
          <w:sz w:val="24"/>
          <w:szCs w:val="24"/>
          <w:lang w:val="en-US" w:eastAsia="zh-CN"/>
          <w14:textFill>
            <w14:solidFill>
              <w14:schemeClr w14:val="tx1"/>
            </w14:solidFill>
          </w14:textFill>
        </w:rPr>
        <w:t>※</w:t>
      </w:r>
      <w:r>
        <w:rPr>
          <w:rFonts w:hint="eastAsia" w:ascii="方正黑体_GBK" w:hAnsi="方正黑体_GBK" w:eastAsia="方正黑体_GBK" w:cs="方正黑体_GBK"/>
          <w:b w:val="0"/>
          <w:bCs/>
          <w:kern w:val="0"/>
          <w:sz w:val="28"/>
          <w:szCs w:val="22"/>
        </w:rPr>
        <w:t>附件1：</w:t>
      </w:r>
      <w:bookmarkStart w:id="5" w:name="_Toc11769"/>
      <w:bookmarkStart w:id="6" w:name="_Toc19193"/>
      <w:bookmarkStart w:id="7" w:name="_Toc6934"/>
      <w:bookmarkStart w:id="8" w:name="_Toc11537"/>
      <w:r>
        <w:rPr>
          <w:rFonts w:hint="eastAsia" w:ascii="方正黑体_GBK" w:hAnsi="方正黑体_GBK" w:eastAsia="方正黑体_GBK" w:cs="方正黑体_GBK"/>
          <w:b w:val="0"/>
          <w:bCs/>
          <w:kern w:val="0"/>
          <w:sz w:val="28"/>
          <w:szCs w:val="22"/>
        </w:rPr>
        <w:t>《巴南区图书馆</w:t>
      </w:r>
      <w:bookmarkEnd w:id="5"/>
      <w:bookmarkEnd w:id="6"/>
      <w:bookmarkEnd w:id="7"/>
      <w:bookmarkEnd w:id="8"/>
      <w:bookmarkStart w:id="9" w:name="_Toc16045"/>
      <w:bookmarkStart w:id="10" w:name="_Toc12930"/>
      <w:bookmarkStart w:id="11" w:name="_Toc27468"/>
      <w:r>
        <w:rPr>
          <w:rFonts w:hint="eastAsia" w:ascii="方正黑体_GBK" w:hAnsi="方正黑体_GBK" w:eastAsia="方正黑体_GBK" w:cs="方正黑体_GBK"/>
          <w:b w:val="0"/>
          <w:bCs/>
          <w:kern w:val="0"/>
          <w:sz w:val="28"/>
          <w:szCs w:val="22"/>
        </w:rPr>
        <w:t>中文纸质图书书目数据建设规则</w:t>
      </w:r>
      <w:bookmarkEnd w:id="9"/>
      <w:bookmarkEnd w:id="10"/>
      <w:bookmarkEnd w:id="11"/>
      <w:r>
        <w:rPr>
          <w:rFonts w:hint="eastAsia" w:ascii="方正黑体_GBK" w:hAnsi="方正黑体_GBK" w:eastAsia="方正黑体_GBK" w:cs="方正黑体_GBK"/>
          <w:b w:val="0"/>
          <w:bCs/>
          <w:kern w:val="0"/>
          <w:sz w:val="28"/>
          <w:szCs w:val="22"/>
        </w:rPr>
        <w:t>》</w:t>
      </w:r>
      <w:bookmarkEnd w:id="3"/>
      <w:bookmarkEnd w:id="4"/>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hint="eastAsia" w:ascii="方正小标宋_GBK" w:hAnsi="方正小标宋_GBK" w:eastAsia="方正小标宋_GBK" w:cs="方正小标宋_GBK"/>
          <w:b w:val="0"/>
          <w:bCs w:val="0"/>
          <w:sz w:val="32"/>
          <w:szCs w:val="32"/>
          <w:lang w:eastAsia="zh-CN"/>
        </w:rPr>
      </w:pPr>
      <w:r>
        <w:rPr>
          <w:rFonts w:hint="eastAsia" w:ascii="方正小标宋_GBK" w:hAnsi="方正小标宋_GBK" w:eastAsia="方正小标宋_GBK" w:cs="方正小标宋_GBK"/>
          <w:b w:val="0"/>
          <w:bCs w:val="0"/>
          <w:sz w:val="32"/>
          <w:szCs w:val="32"/>
          <w:lang w:eastAsia="zh-CN"/>
        </w:rPr>
        <w:t>重庆市巴南区图书馆</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b w:val="0"/>
          <w:bCs w:val="0"/>
          <w:sz w:val="32"/>
          <w:szCs w:val="32"/>
        </w:rPr>
      </w:pPr>
      <w:r>
        <w:rPr>
          <w:rFonts w:hint="eastAsia" w:ascii="方正小标宋_GBK" w:hAnsi="方正小标宋_GBK" w:eastAsia="方正小标宋_GBK" w:cs="方正小标宋_GBK"/>
          <w:b w:val="0"/>
          <w:bCs w:val="0"/>
          <w:sz w:val="32"/>
          <w:szCs w:val="32"/>
        </w:rPr>
        <w:t>中文纸质图书书目数据建设规则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hAnsi="方正黑体_GBK" w:eastAsia="方正黑体_GBK" w:cs="方正黑体_GBK"/>
          <w:b w:val="0"/>
          <w:bCs w:val="0"/>
          <w:i w:val="0"/>
          <w:i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方正黑体_GBK" w:hAnsi="方正黑体_GBK" w:eastAsia="方正黑体_GBK" w:cs="方正黑体_GBK"/>
          <w:b w:val="0"/>
          <w:bCs w:val="0"/>
          <w:i w:val="0"/>
          <w:iCs w:val="0"/>
          <w:sz w:val="24"/>
          <w:szCs w:val="24"/>
        </w:rPr>
      </w:pPr>
      <w:r>
        <w:rPr>
          <w:rFonts w:hint="eastAsia" w:ascii="方正黑体_GBK" w:hAnsi="方正黑体_GBK" w:eastAsia="方正黑体_GBK" w:cs="方正黑体_GBK"/>
          <w:b w:val="0"/>
          <w:bCs w:val="0"/>
          <w:i w:val="0"/>
          <w:iCs w:val="0"/>
          <w:sz w:val="24"/>
          <w:szCs w:val="24"/>
          <w:lang w:eastAsia="zh-CN"/>
        </w:rPr>
        <w:t>一、</w:t>
      </w:r>
      <w:r>
        <w:rPr>
          <w:rFonts w:hint="eastAsia" w:ascii="方正黑体_GBK" w:hAnsi="方正黑体_GBK" w:eastAsia="方正黑体_GBK" w:cs="方正黑体_GBK"/>
          <w:b w:val="0"/>
          <w:bCs w:val="0"/>
          <w:i w:val="0"/>
          <w:iCs w:val="0"/>
          <w:sz w:val="24"/>
          <w:szCs w:val="24"/>
        </w:rPr>
        <w:t>加工工作细则</w:t>
      </w:r>
    </w:p>
    <w:p>
      <w:pPr>
        <w:pStyle w:val="6"/>
        <w:keepNext w:val="0"/>
        <w:keepLines w:val="0"/>
        <w:pageBreakBefore w:val="0"/>
        <w:widowControl w:val="0"/>
        <w:kinsoku/>
        <w:wordWrap/>
        <w:overflowPunct/>
        <w:topLinePunct w:val="0"/>
        <w:autoSpaceDE/>
        <w:autoSpaceDN/>
        <w:bidi w:val="0"/>
        <w:adjustRightInd/>
        <w:snapToGrid/>
        <w:spacing w:after="0" w:afterLines="0"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为加强本馆的基础业务建设，实现本馆馆藏文献的业务注记规范化，特制订本细则。本细则是本馆中文纸质图书加工工作的基本标准。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rPr>
      </w:pPr>
      <w:r>
        <w:rPr>
          <w:rFonts w:hint="eastAsia" w:ascii="方正楷体_GBK" w:hAnsi="方正楷体_GBK" w:eastAsia="方正楷体_GBK" w:cs="方正楷体_GBK"/>
          <w:b w:val="0"/>
          <w:bCs w:val="0"/>
          <w:i w:val="0"/>
          <w:iCs w:val="0"/>
          <w:sz w:val="24"/>
          <w:szCs w:val="24"/>
          <w:u w:val="none"/>
          <w:lang w:eastAsia="zh-CN"/>
        </w:rPr>
        <w:t>（一）</w:t>
      </w:r>
      <w:r>
        <w:rPr>
          <w:rFonts w:hint="eastAsia" w:ascii="方正楷体_GBK" w:hAnsi="方正楷体_GBK" w:eastAsia="方正楷体_GBK" w:cs="方正楷体_GBK"/>
          <w:b w:val="0"/>
          <w:bCs w:val="0"/>
          <w:i w:val="0"/>
          <w:iCs w:val="0"/>
          <w:sz w:val="24"/>
          <w:szCs w:val="24"/>
          <w:u w:val="none"/>
        </w:rPr>
        <w:t>文献加工工作具体内容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盖馆藏章、贴条形码、贴超高频芯片、贴书标、加保护膜。</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（二）盖馆藏章的规定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一枚馆藏章，置于题名页下方正中，以不覆盖文字为原则。馆藏章内容为：巴南区图书馆藏书。馆藏章标识要求：端正、清晰、整洁。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（三）贴条形码的规定</w:t>
      </w:r>
    </w:p>
    <w:p>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条形码包含两部分：巴南区图书馆+BNL条形码号（14位，39码），文本和号采取上下排列。每册图书贴一式两份条形码，置于题名页的正下方空白处和正文第9页的正上方空白处。条形码标识要求端正、清晰、整洁。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（四）加超高频芯片的规定</w:t>
      </w:r>
    </w:p>
    <w:p>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超高频芯片置于图书内页隐蔽处。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（五）贴书标的规定</w:t>
      </w:r>
    </w:p>
    <w:p>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书标规格为3.5cm*2.5cm蓝色双层边框，粘贴于书脊下方离书根2cm处，索取号与书脊左对齐或置于书脊的正中。</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（六）加保护膜的规定</w:t>
      </w:r>
    </w:p>
    <w:p>
      <w:pPr>
        <w:pStyle w:val="10"/>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 xml:space="preserve">加保护膜是为了避免书标在借阅过程中出现严重的损坏，以保障书标的完整性和持续性，其基本要求是用透明保护膜全覆盖整个书标。 </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outlineLvl w:val="2"/>
        <w:rPr>
          <w:rFonts w:hint="eastAsia" w:ascii="方正仿宋_GBK" w:hAnsi="方正仿宋_GBK" w:eastAsia="方正仿宋_GBK" w:cs="方正仿宋_GBK"/>
          <w:b w:val="0"/>
          <w:bCs w:val="0"/>
          <w:i w:val="0"/>
          <w:iCs w:val="0"/>
          <w:sz w:val="24"/>
          <w:szCs w:val="24"/>
          <w:u w:val="none"/>
        </w:rPr>
      </w:pPr>
      <w:r>
        <w:rPr>
          <w:rFonts w:hint="eastAsia" w:ascii="方正黑体_GBK" w:hAnsi="方正黑体_GBK" w:eastAsia="方正黑体_GBK" w:cs="方正黑体_GBK"/>
          <w:b w:val="0"/>
          <w:bCs w:val="0"/>
          <w:i w:val="0"/>
          <w:iCs w:val="0"/>
          <w:sz w:val="24"/>
          <w:szCs w:val="24"/>
          <w:u w:val="none"/>
          <w:lang w:eastAsia="zh-CN"/>
        </w:rPr>
        <w:t>二、</w:t>
      </w:r>
      <w:r>
        <w:rPr>
          <w:rFonts w:hint="eastAsia" w:ascii="方正黑体_GBK" w:hAnsi="方正黑体_GBK" w:eastAsia="方正黑体_GBK" w:cs="方正黑体_GBK"/>
          <w:b w:val="0"/>
          <w:bCs w:val="0"/>
          <w:i w:val="0"/>
          <w:iCs w:val="0"/>
          <w:sz w:val="24"/>
          <w:szCs w:val="24"/>
          <w:u w:val="none"/>
        </w:rPr>
        <w:t>著录工作规则</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楷体_GBK" w:hAnsi="方正楷体_GBK" w:eastAsia="方正楷体_GBK" w:cs="方正楷体_GBK"/>
          <w:b w:val="0"/>
          <w:bCs w:val="0"/>
          <w:i w:val="0"/>
          <w:iCs w:val="0"/>
          <w:sz w:val="24"/>
          <w:szCs w:val="24"/>
          <w:u w:val="none"/>
        </w:rPr>
      </w:pPr>
      <w:r>
        <w:rPr>
          <w:rFonts w:hint="eastAsia" w:ascii="方正楷体_GBK" w:hAnsi="方正楷体_GBK" w:eastAsia="方正楷体_GBK" w:cs="方正楷体_GBK"/>
          <w:b w:val="0"/>
          <w:bCs w:val="0"/>
          <w:i w:val="0"/>
          <w:iCs w:val="0"/>
          <w:sz w:val="24"/>
          <w:szCs w:val="24"/>
          <w:u w:val="none"/>
          <w:lang w:eastAsia="zh-CN"/>
        </w:rPr>
        <w:t>（一）</w:t>
      </w:r>
      <w:r>
        <w:rPr>
          <w:rFonts w:hint="eastAsia" w:ascii="方正楷体_GBK" w:hAnsi="方正楷体_GBK" w:eastAsia="方正楷体_GBK" w:cs="方正楷体_GBK"/>
          <w:b w:val="0"/>
          <w:bCs w:val="0"/>
          <w:i w:val="0"/>
          <w:iCs w:val="0"/>
          <w:sz w:val="24"/>
          <w:szCs w:val="24"/>
          <w:u w:val="none"/>
        </w:rPr>
        <w:t>总则</w:t>
      </w:r>
    </w:p>
    <w:p>
      <w:pPr>
        <w:pStyle w:val="6"/>
        <w:keepNext w:val="0"/>
        <w:keepLines w:val="0"/>
        <w:pageBreakBefore w:val="0"/>
        <w:widowControl w:val="0"/>
        <w:kinsoku/>
        <w:wordWrap/>
        <w:overflowPunct/>
        <w:topLinePunct w:val="0"/>
        <w:autoSpaceDE/>
        <w:autoSpaceDN/>
        <w:bidi w:val="0"/>
        <w:adjustRightInd/>
        <w:snapToGrid/>
        <w:spacing w:after="0" w:afterLines="0"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为加强本馆的基础业务建设，实现本馆书目数据的规范化、信息化，特制订本《规则》。本规则是本馆中文纸质图书书目数据著录、审校、维护工作的基本准则。</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（二）通则</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1.本馆中文纸质图书著录以《中国文献编目规则》和《普通图书著录规则》为基本标准，以《新版中国机读目录格式使用手册》为著录格式的基本依据，管理系统为“文华DLIBS图书馆集成管理系统”。</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2.采用基本级次。</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（三）著录细则</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12" w:name="_Toc1213"/>
      <w:bookmarkStart w:id="13" w:name="_Toc10419"/>
      <w:bookmarkStart w:id="14" w:name="_Toc24837"/>
      <w:bookmarkStart w:id="15" w:name="_Toc25744"/>
      <w:r>
        <w:rPr>
          <w:rFonts w:hint="eastAsia" w:ascii="方正仿宋_GBK" w:hAnsi="方正仿宋_GBK" w:eastAsia="方正仿宋_GBK" w:cs="方正仿宋_GBK"/>
          <w:b w:val="0"/>
          <w:bCs w:val="0"/>
          <w:i w:val="0"/>
          <w:iCs w:val="0"/>
          <w:sz w:val="24"/>
          <w:szCs w:val="24"/>
          <w:u w:val="none"/>
        </w:rPr>
        <w:t>0----标识块</w:t>
      </w:r>
      <w:bookmarkEnd w:id="12"/>
      <w:bookmarkEnd w:id="13"/>
      <w:bookmarkEnd w:id="14"/>
      <w:bookmarkEnd w:id="15"/>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001   记录标识号，控制号，记录的唯一标识，系统设置自动生成，其构成为：年份+序列号。</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注：每年年初需要对控制号进行重新设置。</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005   记录处理时间标识，显示本记录最后处理时期和时间，修改一次变化一次，系统自动生成，其形式为：20050607092530.</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010   国际标准书号（ISBN），</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"mailto:子字段@a@b@d@z"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子字段@a@b@d@z</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，@a国际标准书号，一书有多个，重复著录多个010；@b限定，著录内容包括：精装，横版、全集、多个不同ISBN对应的出版机构；@d</w:t>
      </w:r>
      <w:r>
        <w:rPr>
          <w:rFonts w:hint="eastAsia" w:ascii="方正仿宋_GBK" w:hAnsi="方正仿宋_GBK" w:eastAsia="方正仿宋_GBK" w:cs="方正仿宋_GBK"/>
          <w:b w:val="0"/>
          <w:bCs w:val="0"/>
          <w:i w:val="0"/>
          <w:iCs w:val="0"/>
          <w:sz w:val="24"/>
          <w:szCs w:val="24"/>
          <w:u w:val="none"/>
        </w:rPr>
        <w:tab/>
      </w:r>
      <w:r>
        <w:rPr>
          <w:rFonts w:hint="eastAsia" w:ascii="方正仿宋_GBK" w:hAnsi="方正仿宋_GBK" w:eastAsia="方正仿宋_GBK" w:cs="方正仿宋_GBK"/>
          <w:b w:val="0"/>
          <w:bCs w:val="0"/>
          <w:i w:val="0"/>
          <w:iCs w:val="0"/>
          <w:sz w:val="24"/>
          <w:szCs w:val="24"/>
          <w:u w:val="none"/>
        </w:rPr>
        <w:t>获得方式或价格，对应于所著录文献的实体价格；@z错误的ISBN。</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020   国家书目号，下载国图数据则有此信息，</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"mailto:子字段@aCN@b"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子字段@aCN@b</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035   其他系统控制号，为检索起保障作用，记录原始记录的唯一标识。</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16" w:name="_Toc32700"/>
      <w:bookmarkStart w:id="17" w:name="_Toc16431"/>
      <w:bookmarkStart w:id="18" w:name="_Toc3533"/>
      <w:bookmarkStart w:id="19" w:name="_Toc21377"/>
      <w:r>
        <w:rPr>
          <w:rFonts w:hint="eastAsia" w:ascii="方正仿宋_GBK" w:hAnsi="方正仿宋_GBK" w:eastAsia="方正仿宋_GBK" w:cs="方正仿宋_GBK"/>
          <w:b w:val="0"/>
          <w:bCs w:val="0"/>
          <w:i w:val="0"/>
          <w:iCs w:val="0"/>
          <w:sz w:val="24"/>
          <w:szCs w:val="24"/>
          <w:u w:val="none"/>
        </w:rPr>
        <w:t>1---编码信息块</w:t>
      </w:r>
      <w:bookmarkEnd w:id="16"/>
      <w:bookmarkEnd w:id="17"/>
      <w:bookmarkEnd w:id="18"/>
      <w:bookmarkEnd w:id="19"/>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方正仿宋_GBK" w:hAnsi="方正仿宋_GBK" w:eastAsia="方正仿宋_GBK" w:cs="方正仿宋_GBK"/>
          <w:b w:val="0"/>
          <w:bCs w:val="0"/>
          <w:i w:val="0"/>
          <w:iCs w:val="0"/>
          <w:snapToGrid w:val="0"/>
          <w:kern w:val="0"/>
          <w:sz w:val="24"/>
          <w:szCs w:val="24"/>
          <w:u w:val="none"/>
        </w:rPr>
      </w:pPr>
      <w:r>
        <w:rPr>
          <w:rFonts w:hint="eastAsia" w:ascii="方正仿宋_GBK" w:hAnsi="方正仿宋_GBK" w:eastAsia="方正仿宋_GBK" w:cs="方正仿宋_GBK"/>
          <w:b w:val="0"/>
          <w:bCs w:val="0"/>
          <w:i w:val="0"/>
          <w:iCs w:val="0"/>
          <w:snapToGrid w:val="0"/>
          <w:kern w:val="0"/>
          <w:sz w:val="24"/>
          <w:szCs w:val="24"/>
          <w:u w:val="none"/>
        </w:rPr>
        <w:t>100  通用处理数据， 例：20050607d2004####km#y0chiy50######ea，d表示一次出全的专著，y表示非政府出版物。</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101   文献语种，批示符1：翻译指示符</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0 文献为原著</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20" w:name="_Toc20036"/>
      <w:bookmarkStart w:id="21" w:name="_Toc27951"/>
      <w:bookmarkStart w:id="22" w:name="_Toc11490"/>
      <w:bookmarkStart w:id="23" w:name="_Toc21791"/>
      <w:r>
        <w:rPr>
          <w:rFonts w:hint="eastAsia" w:ascii="方正仿宋_GBK" w:hAnsi="方正仿宋_GBK" w:eastAsia="方正仿宋_GBK" w:cs="方正仿宋_GBK"/>
          <w:b w:val="0"/>
          <w:bCs w:val="0"/>
          <w:i w:val="0"/>
          <w:iCs w:val="0"/>
          <w:sz w:val="24"/>
          <w:szCs w:val="24"/>
          <w:u w:val="none"/>
        </w:rPr>
        <w:t>1 文献为译著（译自原著或非原著的中间语言）</w:t>
      </w:r>
      <w:bookmarkEnd w:id="20"/>
      <w:bookmarkEnd w:id="21"/>
      <w:bookmarkEnd w:id="22"/>
      <w:bookmarkEnd w:id="23"/>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24" w:name="_Toc2095"/>
      <w:bookmarkStart w:id="25" w:name="_Toc9852"/>
      <w:bookmarkStart w:id="26" w:name="_Toc28549"/>
      <w:bookmarkStart w:id="27" w:name="_Toc28550"/>
      <w:r>
        <w:rPr>
          <w:rFonts w:hint="eastAsia" w:ascii="方正仿宋_GBK" w:hAnsi="方正仿宋_GBK" w:eastAsia="方正仿宋_GBK" w:cs="方正仿宋_GBK"/>
          <w:b w:val="0"/>
          <w:bCs w:val="0"/>
          <w:i w:val="0"/>
          <w:iCs w:val="0"/>
          <w:sz w:val="24"/>
          <w:szCs w:val="24"/>
          <w:u w:val="none"/>
        </w:rPr>
        <w:t>2 文献含有译文（不包括提要译文）</w:t>
      </w:r>
      <w:bookmarkEnd w:id="24"/>
      <w:bookmarkEnd w:id="25"/>
      <w:bookmarkEnd w:id="26"/>
      <w:bookmarkEnd w:id="27"/>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"mailto:子字段@a正文"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子字段@a正文</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、声道等语种，@b中间语种，@c原著语种，@d提要语种，@e与正文语种不同的目次页语种，@f与正文语种不同的题名页语种，@g与正文、声道的第一语种不同的正题名语种，@h歌词等的语种，@I附件语种，@j字幕语种</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28" w:name="_Toc18316"/>
      <w:bookmarkStart w:id="29" w:name="_Toc4651"/>
      <w:bookmarkStart w:id="30" w:name="_Toc22054"/>
      <w:bookmarkStart w:id="31" w:name="_Toc12716"/>
      <w:r>
        <w:rPr>
          <w:rFonts w:hint="eastAsia" w:ascii="方正仿宋_GBK" w:hAnsi="方正仿宋_GBK" w:eastAsia="方正仿宋_GBK" w:cs="方正仿宋_GBK"/>
          <w:b w:val="0"/>
          <w:bCs w:val="0"/>
          <w:i w:val="0"/>
          <w:iCs w:val="0"/>
          <w:sz w:val="24"/>
          <w:szCs w:val="24"/>
          <w:u w:val="none"/>
        </w:rPr>
        <w:t>例：</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"mailto:101</w:instrText>
      </w:r>
      <w:bookmarkEnd w:id="28"/>
      <w:bookmarkEnd w:id="29"/>
      <w:bookmarkEnd w:id="30"/>
      <w:bookmarkEnd w:id="31"/>
      <w:r>
        <w:rPr>
          <w:rFonts w:hint="eastAsia" w:ascii="方正仿宋_GBK" w:hAnsi="方正仿宋_GBK" w:eastAsia="方正仿宋_GBK" w:cs="方正仿宋_GBK"/>
          <w:b w:val="0"/>
          <w:bCs w:val="0"/>
          <w:i w:val="0"/>
          <w:iCs w:val="0"/>
          <w:sz w:val="24"/>
          <w:szCs w:val="24"/>
          <w:u w:val="none"/>
        </w:rPr>
        <w:instrText xml:space="preserve">1#@achi@ceng"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101 1# @achi@ceng</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（单纯译著）</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"mailto:1012#@achi@ajpn@cjpn"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101 2# @achi@ajpn@cjpn</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（对照读物）</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"mailto:1010#@achi@aeng"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101 0# @achi@aeng</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（英语书）</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102   出版或制作国别：</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"mailto:子字段@a出版或制作国别@b出版地区代码"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子字段@a出版或制作国别@b出版地区代码</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106   编码数据字段：文字资料——形态特征，</w:t>
      </w:r>
      <w:bookmarkStart w:id="32" w:name="_Hlt106382822"/>
      <w:r>
        <w:rPr>
          <w:rFonts w:hint="eastAsia" w:ascii="方正仿宋_GBK" w:hAnsi="方正仿宋_GBK" w:eastAsia="方正仿宋_GBK" w:cs="方正仿宋_GBK"/>
          <w:b w:val="0"/>
          <w:bCs w:val="0"/>
          <w:i w:val="0"/>
          <w:iCs w:val="0"/>
          <w:sz w:val="24"/>
          <w:szCs w:val="24"/>
          <w:u w:val="none"/>
        </w:rPr>
        <w:t>例</w:t>
      </w:r>
      <w:bookmarkStart w:id="33" w:name="_Hlt106382839"/>
      <w:r>
        <w:rPr>
          <w:rFonts w:hint="eastAsia" w:ascii="方正仿宋_GBK" w:hAnsi="方正仿宋_GBK" w:eastAsia="方正仿宋_GBK" w:cs="方正仿宋_GBK"/>
          <w:b w:val="0"/>
          <w:bCs w:val="0"/>
          <w:i w:val="0"/>
          <w:iCs w:val="0"/>
          <w:sz w:val="24"/>
          <w:szCs w:val="24"/>
          <w:u w:val="none"/>
        </w:rPr>
        <w:t>：106##@ar</w:t>
      </w:r>
      <w:bookmarkEnd w:id="32"/>
      <w:bookmarkEnd w:id="33"/>
      <w:r>
        <w:rPr>
          <w:rFonts w:hint="eastAsia" w:ascii="方正仿宋_GBK" w:hAnsi="方正仿宋_GBK" w:eastAsia="方正仿宋_GBK" w:cs="方正仿宋_GBK"/>
          <w:b w:val="0"/>
          <w:bCs w:val="0"/>
          <w:i w:val="0"/>
          <w:iCs w:val="0"/>
          <w:sz w:val="24"/>
          <w:szCs w:val="24"/>
          <w:u w:val="none"/>
        </w:rPr>
        <w:t>。</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34" w:name="_Toc27131"/>
      <w:bookmarkStart w:id="35" w:name="_Toc20132"/>
      <w:bookmarkStart w:id="36" w:name="_Toc8235"/>
      <w:bookmarkStart w:id="37" w:name="_Toc9459"/>
      <w:r>
        <w:rPr>
          <w:rFonts w:hint="eastAsia" w:ascii="方正仿宋_GBK" w:hAnsi="方正仿宋_GBK" w:eastAsia="方正仿宋_GBK" w:cs="方正仿宋_GBK"/>
          <w:b w:val="0"/>
          <w:bCs w:val="0"/>
          <w:i w:val="0"/>
          <w:iCs w:val="0"/>
          <w:sz w:val="24"/>
          <w:szCs w:val="24"/>
          <w:u w:val="none"/>
        </w:rPr>
        <w:t>2---著录信息块</w:t>
      </w:r>
      <w:bookmarkEnd w:id="34"/>
      <w:bookmarkEnd w:id="35"/>
      <w:bookmarkEnd w:id="36"/>
      <w:bookmarkEnd w:id="37"/>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200   题名与责任说明，指示符常规是1#，</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"mailto:子字段@a正题名"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子字段@a正题名</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，@b一般资料标识，@c其它责任者的正题名，@d并列正题名，@e其他题名信息，@f第一责任说明，@g其他责任说明，@h分辑（册）、章节号，@i分辑（册）、章节号，@v卷标识，@z并列正题名语种，@9正题名汉语拼音。</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a同一著者的汇集，著录形式为：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"mailto:2001#@a@a@a@f"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2001#@a@a@a@f</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b不同著者的汇集，著录形式为：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"mailto:2001#@a@f@c@f"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2001#@a@f@c@f</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c 存有交替题名的文献，著录形式为：</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"mailto:2000#@a题名"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2000#@a题名</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，又名，题名，</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517 1# @a</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517 1# @a</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d  并列题名的文献，著录形式为：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"mailto:2001#@a@d@f@z"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2001#@a@d@f@z</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38" w:name="_Hlt106383416"/>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"mailto:5101#@a@z"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5101#@a@z</w:t>
      </w:r>
      <w:r>
        <w:rPr>
          <w:rFonts w:hint="eastAsia" w:ascii="方正仿宋_GBK" w:hAnsi="方正仿宋_GBK" w:eastAsia="方正仿宋_GBK" w:cs="方正仿宋_GBK"/>
          <w:b w:val="0"/>
          <w:bCs w:val="0"/>
          <w:i w:val="0"/>
          <w:iCs w:val="0"/>
          <w:sz w:val="24"/>
          <w:szCs w:val="24"/>
          <w:u w:val="none"/>
        </w:rPr>
        <w:fldChar w:fldCharType="end"/>
      </w:r>
      <w:bookmarkEnd w:id="38"/>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e  如果有三个不同责任者的三个题名，指示符选0#，著录形式为：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"mailto:2000#@a1@c2@c3"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2000#@a1@c2@c3</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"mailto:5171#@aa1"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5171#@aa1</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"mailto:5171#@ac2"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5171#@ac2</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"mailto:5171#@ac3" </w:instrText>
      </w:r>
      <w:r>
        <w:rPr>
          <w:rFonts w:hint="eastAsia" w:ascii="方正仿宋_GBK" w:hAnsi="方正仿宋_GBK" w:eastAsia="方正仿宋_GBK" w:cs="方正仿宋_GBK"/>
          <w:b w:val="0"/>
          <w:bCs w:val="0"/>
          <w:i w:val="0"/>
          <w:iCs w:val="0"/>
          <w:sz w:val="24"/>
          <w:szCs w:val="24"/>
          <w:u w:val="none"/>
        </w:rPr>
        <w:fldChar w:fldCharType="separate"/>
      </w:r>
      <w:r>
        <w:rPr>
          <w:rFonts w:hint="eastAsia" w:ascii="方正仿宋_GBK" w:hAnsi="方正仿宋_GBK" w:eastAsia="方正仿宋_GBK" w:cs="方正仿宋_GBK"/>
          <w:b w:val="0"/>
          <w:bCs w:val="0"/>
          <w:i w:val="0"/>
          <w:iCs w:val="0"/>
          <w:sz w:val="24"/>
          <w:szCs w:val="24"/>
          <w:u w:val="none"/>
        </w:rPr>
        <w:t>5171#@ac3</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f  有缩写的正题名，</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"mailto:缩写形式著@a"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缩写形式著@a</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 xml:space="preserve"> ，</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"mailto:全名用@e"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全名用@e</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注：正题名选取的优先顺序为：题名页—封面—卷端—版权面</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“[]”在正题名中不能照录</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g  @e是指与文献内容有实质性联系的，与形式有关的著于3字段，</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h  非版权页上的版本说明，说明文献体裁的内容，</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"mailto:著于@e"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著于@e</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，而不在205字段著录</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205   版本说明，</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"mailto:子字段@a版本说明"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子字段@a版本说明</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，@b附加版本说明。@a包括：（数字）版、影印本、彩绘本、刻本、2.0版、单机版、网络版等。</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210   出版发行等，</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"mailto:子字段@a出版发行地@b出版发行者地址@c出版发行者名称@d出版发行时间"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子字段@a出版发行地@b出版发行者地址@c出版发行者名称@d出版发行时间</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215   载体形态项，</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"mailto:子字段@a特定文献类型标识和文献数量@c其他形态细节@d尺寸@e附件"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子字段@a特定文献类型标识和文献数量@c其他形态细节@d尺寸@e附件</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225   丛编项，指示符1：题名形式指示符，0/1/2，0与检索点形式不同，1无检索点形式，2与检索点形式相同，</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"mailto:子字段@a@d@e@f@h@i@v@x@z"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子字段@a@d@e@f@h@i@v@x@z</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注：必须规范丛编项。若有丛书名，此字段必须标准著录，并回车生成4字段形成检索意义。</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39" w:name="_Toc2756"/>
      <w:bookmarkStart w:id="40" w:name="_Toc25836"/>
      <w:bookmarkStart w:id="41" w:name="_Toc32102"/>
      <w:bookmarkStart w:id="42" w:name="_Toc17539"/>
      <w:r>
        <w:rPr>
          <w:rFonts w:hint="eastAsia" w:ascii="方正仿宋_GBK" w:hAnsi="方正仿宋_GBK" w:eastAsia="方正仿宋_GBK" w:cs="方正仿宋_GBK"/>
          <w:b w:val="0"/>
          <w:bCs w:val="0"/>
          <w:i w:val="0"/>
          <w:iCs w:val="0"/>
          <w:sz w:val="24"/>
          <w:szCs w:val="24"/>
          <w:u w:val="none"/>
        </w:rPr>
        <w:t>3---附注块</w:t>
      </w:r>
      <w:bookmarkEnd w:id="39"/>
      <w:bookmarkEnd w:id="40"/>
      <w:bookmarkEnd w:id="41"/>
      <w:bookmarkEnd w:id="42"/>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300   一般性附注</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314   责任者附注</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327   内容附注，指示符1：0/1，0表示内容附注不完整，1表示内容附注完整；指示符2：#/1，#表示非结构式附注，1表示结构式附注。</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330   提要或文摘附注</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43" w:name="_Toc5107"/>
      <w:bookmarkStart w:id="44" w:name="_Toc23643"/>
      <w:bookmarkStart w:id="45" w:name="_Toc7153"/>
      <w:bookmarkStart w:id="46" w:name="_Toc487"/>
      <w:r>
        <w:rPr>
          <w:rFonts w:hint="eastAsia" w:ascii="方正仿宋_GBK" w:hAnsi="方正仿宋_GBK" w:eastAsia="方正仿宋_GBK" w:cs="方正仿宋_GBK"/>
          <w:b w:val="0"/>
          <w:bCs w:val="0"/>
          <w:i w:val="0"/>
          <w:iCs w:val="0"/>
          <w:sz w:val="24"/>
          <w:szCs w:val="24"/>
          <w:u w:val="none"/>
        </w:rPr>
        <w:t>4——款目连接块</w:t>
      </w:r>
      <w:bookmarkEnd w:id="43"/>
      <w:bookmarkEnd w:id="44"/>
      <w:bookmarkEnd w:id="45"/>
      <w:bookmarkEnd w:id="46"/>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 xml:space="preserve">（由225自动生成） </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47" w:name="_Toc19580"/>
      <w:bookmarkStart w:id="48" w:name="_Toc8699"/>
      <w:bookmarkStart w:id="49" w:name="_Toc27255"/>
      <w:r>
        <w:rPr>
          <w:rFonts w:hint="eastAsia" w:ascii="方正仿宋_GBK" w:hAnsi="方正仿宋_GBK" w:eastAsia="方正仿宋_GBK" w:cs="方正仿宋_GBK"/>
          <w:b w:val="0"/>
          <w:bCs w:val="0"/>
          <w:i w:val="0"/>
          <w:iCs w:val="0"/>
          <w:sz w:val="24"/>
          <w:szCs w:val="24"/>
          <w:u w:val="none"/>
        </w:rPr>
        <w:t>5---相关题名块</w:t>
      </w:r>
      <w:bookmarkEnd w:id="47"/>
      <w:bookmarkEnd w:id="48"/>
      <w:bookmarkEnd w:id="49"/>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500   统一题名，指示符1：0/1，0统一题名无检索意义，1统一题名有检索意义；指示符2：0/1，0题名不作主款目，1题名作主款目。</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"mailto:常规子字段只有@a"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常规子字段只有@a</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510   并列正题名，常规指示符是1#，著录形式为：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"mailto:5101#@a@z"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5101#@a@z</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@9</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512   封面题名，常规指示符是1#，著录形式为：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"mailto:5121#@a@e@9"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5121#@a@e@9</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517   其它题名，常规指示符是1#，著录形式为：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"mailto:5171#@a@9"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5171#@a@9</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540   编目员补充的附加题名，常规下是题名的关键词</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50" w:name="_Toc18887"/>
      <w:bookmarkStart w:id="51" w:name="_Toc27368"/>
      <w:bookmarkStart w:id="52" w:name="_Toc32018"/>
      <w:bookmarkStart w:id="53" w:name="_Toc13668"/>
      <w:r>
        <w:rPr>
          <w:rFonts w:hint="eastAsia" w:ascii="方正仿宋_GBK" w:hAnsi="方正仿宋_GBK" w:eastAsia="方正仿宋_GBK" w:cs="方正仿宋_GBK"/>
          <w:b w:val="0"/>
          <w:bCs w:val="0"/>
          <w:i w:val="0"/>
          <w:iCs w:val="0"/>
          <w:sz w:val="24"/>
          <w:szCs w:val="24"/>
          <w:u w:val="none"/>
        </w:rPr>
        <w:t>6---主题分析块</w:t>
      </w:r>
      <w:bookmarkEnd w:id="50"/>
      <w:bookmarkEnd w:id="51"/>
      <w:bookmarkEnd w:id="52"/>
      <w:bookmarkEnd w:id="53"/>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600   个人名称主题，主要指传记类，指示符#0/1，指示符2：0为直序，1为倒序，</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"mailto:子字段@a款目要素@b名称的其余部分@c名称附加"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子字段@a款目要素@b名称的其余部分@c名称附加</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（年代除外）@d罗马数字@f年代@g名字首字母的展开形式@j形式复分@x论题复分@y地理复分@z年代复分@2 系统代码</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601   团体名称主题，批示符1：0/1，0表示团体名称，1表示会议；指示符2：0/1/2，0表示以倒序方式著录，1表示以地区或辖区著录，2表示以直序方式著录，常规著录形式为：601  @a@x @2</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605   题名主题，常规著录形式为：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"mailto:605##@a@x@2"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605##@a@x@2</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606   论题名称主题，常规著录形式为：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"mailto:6060#@a款目要素@x论题复"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6060#@a款目要素@x论题复</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 xml:space="preserve"> </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"mailto:分@y地理复分@z年代复分@j形式复分@2系统代码"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分@y地理复分@z年代复分@j形式复分@2系统代码</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690   中国图书馆分类法，著录形式为：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"mailto:690##@a@v"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690##@a@v</w:t>
      </w:r>
      <w:r>
        <w:rPr>
          <w:rFonts w:hint="eastAsia" w:ascii="方正仿宋_GBK" w:hAnsi="方正仿宋_GBK" w:eastAsia="方正仿宋_GBK" w:cs="方正仿宋_GBK"/>
          <w:b w:val="0"/>
          <w:bCs w:val="0"/>
          <w:i w:val="0"/>
          <w:iCs w:val="0"/>
          <w:sz w:val="24"/>
          <w:szCs w:val="24"/>
          <w:u w:val="none"/>
        </w:rPr>
        <w:fldChar w:fldCharType="end"/>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54" w:name="_Toc11674"/>
      <w:bookmarkStart w:id="55" w:name="_Toc3853"/>
      <w:bookmarkStart w:id="56" w:name="_Toc2223"/>
      <w:bookmarkStart w:id="57" w:name="_Toc19150"/>
      <w:r>
        <w:rPr>
          <w:rFonts w:hint="eastAsia" w:ascii="方正仿宋_GBK" w:hAnsi="方正仿宋_GBK" w:eastAsia="方正仿宋_GBK" w:cs="方正仿宋_GBK"/>
          <w:b w:val="0"/>
          <w:bCs w:val="0"/>
          <w:i w:val="0"/>
          <w:iCs w:val="0"/>
          <w:sz w:val="24"/>
          <w:szCs w:val="24"/>
          <w:u w:val="none"/>
        </w:rPr>
        <w:t>7---知识责任块</w:t>
      </w:r>
      <w:bookmarkEnd w:id="54"/>
      <w:bookmarkEnd w:id="55"/>
      <w:bookmarkEnd w:id="56"/>
      <w:bookmarkEnd w:id="57"/>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701   个人名称—等同知识责任，指示符为#0</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702   个人名称—次要知识责任，（同701）</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711   团体名称—等同知识责任，指示符1：0/1，0表示团体，1表示会议；指示符2：0/1/2，0表示以倒序，1表示以地区或辖区著录，2表示以直序方式著录。</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712   团体名称—次要知识责任，（同711）</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58" w:name="_Toc24040"/>
      <w:bookmarkStart w:id="59" w:name="_Toc17798"/>
      <w:bookmarkStart w:id="60" w:name="_Toc11252"/>
      <w:bookmarkStart w:id="61" w:name="_Toc27880"/>
      <w:r>
        <w:rPr>
          <w:rFonts w:hint="eastAsia" w:ascii="方正仿宋_GBK" w:hAnsi="方正仿宋_GBK" w:eastAsia="方正仿宋_GBK" w:cs="方正仿宋_GBK"/>
          <w:b w:val="0"/>
          <w:bCs w:val="0"/>
          <w:i w:val="0"/>
          <w:iCs w:val="0"/>
          <w:sz w:val="24"/>
          <w:szCs w:val="24"/>
          <w:u w:val="none"/>
        </w:rPr>
        <w:t>8---国际使用块</w:t>
      </w:r>
      <w:bookmarkEnd w:id="58"/>
      <w:bookmarkEnd w:id="59"/>
      <w:bookmarkEnd w:id="60"/>
      <w:bookmarkEnd w:id="61"/>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801   记录来源，指示符#0/1/2/3，指示符2：0表示原始编目机构，1表示转录机构，2表示修改机构，3表示发行机构。常规著录形式为：</w:t>
      </w:r>
      <w:r>
        <w:rPr>
          <w:rFonts w:hint="eastAsia" w:ascii="方正仿宋_GBK" w:hAnsi="方正仿宋_GBK" w:eastAsia="方正仿宋_GBK" w:cs="方正仿宋_GBK"/>
          <w:b w:val="0"/>
          <w:bCs w:val="0"/>
          <w:i w:val="0"/>
          <w:iCs w:val="0"/>
          <w:sz w:val="24"/>
          <w:szCs w:val="24"/>
          <w:u w:val="none"/>
        </w:rPr>
        <w:fldChar w:fldCharType="begin"/>
      </w:r>
      <w:r>
        <w:rPr>
          <w:rFonts w:hint="eastAsia" w:ascii="方正仿宋_GBK" w:hAnsi="方正仿宋_GBK" w:eastAsia="方正仿宋_GBK" w:cs="方正仿宋_GBK"/>
          <w:b w:val="0"/>
          <w:bCs w:val="0"/>
          <w:i w:val="0"/>
          <w:iCs w:val="0"/>
          <w:sz w:val="24"/>
          <w:szCs w:val="24"/>
          <w:u w:val="none"/>
        </w:rPr>
        <w:instrText xml:space="preserve"> HYPERLINK "mailto:801#0@CN@b机构@c" </w:instrText>
      </w:r>
      <w:r>
        <w:rPr>
          <w:rFonts w:hint="eastAsia" w:ascii="方正仿宋_GBK" w:hAnsi="方正仿宋_GBK" w:eastAsia="方正仿宋_GBK" w:cs="方正仿宋_GBK"/>
          <w:b w:val="0"/>
          <w:bCs w:val="0"/>
          <w:i w:val="0"/>
          <w:iCs w:val="0"/>
          <w:sz w:val="24"/>
          <w:szCs w:val="24"/>
          <w:u w:val="none"/>
        </w:rPr>
        <w:fldChar w:fldCharType="separate"/>
      </w:r>
      <w:r>
        <w:rPr>
          <w:rStyle w:val="16"/>
          <w:rFonts w:hint="eastAsia" w:ascii="方正仿宋_GBK" w:hAnsi="方正仿宋_GBK" w:eastAsia="方正仿宋_GBK" w:cs="方正仿宋_GBK"/>
          <w:b w:val="0"/>
          <w:bCs w:val="0"/>
          <w:i w:val="0"/>
          <w:iCs w:val="0"/>
          <w:color w:val="auto"/>
          <w:sz w:val="24"/>
          <w:szCs w:val="24"/>
          <w:u w:val="none"/>
        </w:rPr>
        <w:t>801#0@CN@b机构@c</w:t>
      </w:r>
      <w:r>
        <w:rPr>
          <w:rFonts w:hint="eastAsia" w:ascii="方正仿宋_GBK" w:hAnsi="方正仿宋_GBK" w:eastAsia="方正仿宋_GBK" w:cs="方正仿宋_GBK"/>
          <w:b w:val="0"/>
          <w:bCs w:val="0"/>
          <w:i w:val="0"/>
          <w:iCs w:val="0"/>
          <w:sz w:val="24"/>
          <w:szCs w:val="24"/>
          <w:u w:val="none"/>
        </w:rPr>
        <w:fldChar w:fldCharType="end"/>
      </w:r>
      <w:r>
        <w:rPr>
          <w:rFonts w:hint="eastAsia" w:ascii="方正仿宋_GBK" w:hAnsi="方正仿宋_GBK" w:eastAsia="方正仿宋_GBK" w:cs="方正仿宋_GBK"/>
          <w:b w:val="0"/>
          <w:bCs w:val="0"/>
          <w:i w:val="0"/>
          <w:iCs w:val="0"/>
          <w:sz w:val="24"/>
          <w:szCs w:val="24"/>
          <w:u w:val="none"/>
        </w:rPr>
        <w:t>处理日期</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bookmarkStart w:id="62" w:name="_Toc12032"/>
      <w:bookmarkStart w:id="63" w:name="_Toc1568"/>
      <w:bookmarkStart w:id="64" w:name="_Toc29800"/>
      <w:bookmarkStart w:id="65" w:name="_Toc31846"/>
      <w:r>
        <w:rPr>
          <w:rFonts w:hint="eastAsia" w:ascii="方正仿宋_GBK" w:hAnsi="方正仿宋_GBK" w:eastAsia="方正仿宋_GBK" w:cs="方正仿宋_GBK"/>
          <w:b w:val="0"/>
          <w:bCs w:val="0"/>
          <w:i w:val="0"/>
          <w:iCs w:val="0"/>
          <w:sz w:val="24"/>
          <w:szCs w:val="24"/>
          <w:u w:val="none"/>
        </w:rPr>
        <w:t>905---馆藏信息块</w:t>
      </w:r>
      <w:bookmarkEnd w:id="62"/>
      <w:bookmarkEnd w:id="63"/>
      <w:bookmarkEnd w:id="64"/>
      <w:bookmarkEnd w:id="65"/>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905   馆藏信息块，指示符##，常规著录形式为：905##@aBN@f索书号</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outlineLvl w:val="2"/>
        <w:rPr>
          <w:rFonts w:hint="eastAsia" w:ascii="方正黑体_GBK" w:hAnsi="方正黑体_GBK" w:eastAsia="方正黑体_GBK" w:cs="方正黑体_GBK"/>
          <w:b w:val="0"/>
          <w:bCs w:val="0"/>
          <w:i w:val="0"/>
          <w:iCs w:val="0"/>
          <w:sz w:val="24"/>
          <w:szCs w:val="24"/>
          <w:u w:val="none"/>
        </w:rPr>
      </w:pPr>
      <w:r>
        <w:rPr>
          <w:rFonts w:hint="eastAsia" w:ascii="方正黑体_GBK" w:hAnsi="方正黑体_GBK" w:eastAsia="方正黑体_GBK" w:cs="方正黑体_GBK"/>
          <w:b w:val="0"/>
          <w:bCs w:val="0"/>
          <w:i w:val="0"/>
          <w:iCs w:val="0"/>
          <w:sz w:val="24"/>
          <w:szCs w:val="24"/>
          <w:u w:val="none"/>
          <w:lang w:eastAsia="zh-CN"/>
        </w:rPr>
        <w:t>三、</w:t>
      </w:r>
      <w:r>
        <w:rPr>
          <w:rFonts w:hint="eastAsia" w:ascii="方正黑体_GBK" w:hAnsi="方正黑体_GBK" w:eastAsia="方正黑体_GBK" w:cs="方正黑体_GBK"/>
          <w:b w:val="0"/>
          <w:bCs w:val="0"/>
          <w:i w:val="0"/>
          <w:iCs w:val="0"/>
          <w:sz w:val="24"/>
          <w:szCs w:val="24"/>
          <w:u w:val="none"/>
        </w:rPr>
        <w:t>标引工作规则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楷体_GBK" w:hAnsi="方正楷体_GBK" w:eastAsia="方正楷体_GBK" w:cs="方正楷体_GBK"/>
          <w:b w:val="0"/>
          <w:bCs w:val="0"/>
          <w:i w:val="0"/>
          <w:iCs w:val="0"/>
          <w:sz w:val="24"/>
          <w:szCs w:val="24"/>
          <w:u w:val="none"/>
        </w:rPr>
      </w:pPr>
      <w:bookmarkStart w:id="66" w:name="_Toc2283"/>
      <w:bookmarkStart w:id="67" w:name="_Toc27198"/>
      <w:bookmarkStart w:id="68" w:name="_Toc2117"/>
      <w:bookmarkStart w:id="69" w:name="_Toc30929"/>
      <w:r>
        <w:rPr>
          <w:rFonts w:hint="eastAsia" w:ascii="方正楷体_GBK" w:hAnsi="方正楷体_GBK" w:eastAsia="方正楷体_GBK" w:cs="方正楷体_GBK"/>
          <w:b w:val="0"/>
          <w:bCs w:val="0"/>
          <w:i w:val="0"/>
          <w:iCs w:val="0"/>
          <w:sz w:val="24"/>
          <w:szCs w:val="24"/>
          <w:u w:val="none"/>
          <w:lang w:eastAsia="zh-CN"/>
        </w:rPr>
        <w:t>（一）</w:t>
      </w:r>
      <w:r>
        <w:rPr>
          <w:rFonts w:hint="eastAsia" w:ascii="方正楷体_GBK" w:hAnsi="方正楷体_GBK" w:eastAsia="方正楷体_GBK" w:cs="方正楷体_GBK"/>
          <w:b w:val="0"/>
          <w:bCs w:val="0"/>
          <w:i w:val="0"/>
          <w:iCs w:val="0"/>
          <w:sz w:val="24"/>
          <w:szCs w:val="24"/>
          <w:u w:val="none"/>
        </w:rPr>
        <w:t>总则</w:t>
      </w:r>
      <w:bookmarkEnd w:id="66"/>
      <w:bookmarkEnd w:id="67"/>
      <w:bookmarkEnd w:id="68"/>
      <w:bookmarkEnd w:id="69"/>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为加强本馆的基础业务建设，确保本馆中文纸质图书标引数据归类科学、反映充分、前后一致、方便检索的基本要求，实现馆藏文献建设的科学化、规范化、标准化，特制订本《规则》。本规则是本馆中文纸质图书标引和数据审校工作的基本准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楷体_GBK" w:hAnsi="方正楷体_GBK" w:eastAsia="方正楷体_GBK" w:cs="方正楷体_GBK"/>
          <w:b w:val="0"/>
          <w:bCs w:val="0"/>
          <w:i w:val="0"/>
          <w:iCs w:val="0"/>
          <w:sz w:val="24"/>
          <w:szCs w:val="24"/>
          <w:u w:val="none"/>
          <w:lang w:eastAsia="zh-CN"/>
        </w:rPr>
      </w:pPr>
      <w:bookmarkStart w:id="70" w:name="_Toc31263"/>
      <w:bookmarkStart w:id="71" w:name="_Toc3891"/>
      <w:bookmarkStart w:id="72" w:name="_Toc3577"/>
      <w:bookmarkStart w:id="73" w:name="_Toc20433"/>
      <w:r>
        <w:rPr>
          <w:rFonts w:hint="eastAsia" w:ascii="方正楷体_GBK" w:hAnsi="方正楷体_GBK" w:eastAsia="方正楷体_GBK" w:cs="方正楷体_GBK"/>
          <w:b w:val="0"/>
          <w:bCs w:val="0"/>
          <w:i w:val="0"/>
          <w:iCs w:val="0"/>
          <w:sz w:val="24"/>
          <w:szCs w:val="24"/>
          <w:u w:val="none"/>
          <w:lang w:eastAsia="zh-CN"/>
        </w:rPr>
        <w:t>（二）通则</w:t>
      </w:r>
      <w:bookmarkEnd w:id="70"/>
      <w:bookmarkEnd w:id="71"/>
      <w:bookmarkEnd w:id="72"/>
      <w:bookmarkEnd w:id="73"/>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本馆中文纸质图书的标引包括分类标引和主题标引。分类标引以《中图法》的分类体系为基本依据；主题标引以《中国分类主题词表》作为选词的基本依据。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楷体_GBK" w:hAnsi="方正楷体_GBK" w:eastAsia="方正楷体_GBK" w:cs="方正楷体_GBK"/>
          <w:b w:val="0"/>
          <w:bCs w:val="0"/>
          <w:i w:val="0"/>
          <w:iCs w:val="0"/>
          <w:sz w:val="24"/>
          <w:szCs w:val="24"/>
          <w:u w:val="none"/>
          <w:lang w:eastAsia="zh-CN"/>
        </w:rPr>
      </w:pPr>
      <w:bookmarkStart w:id="74" w:name="_Toc11520"/>
      <w:bookmarkStart w:id="75" w:name="_Toc27259"/>
      <w:bookmarkStart w:id="76" w:name="_Toc22178"/>
      <w:bookmarkStart w:id="77" w:name="_Toc2159"/>
      <w:r>
        <w:rPr>
          <w:rFonts w:hint="eastAsia" w:ascii="方正楷体_GBK" w:hAnsi="方正楷体_GBK" w:eastAsia="方正楷体_GBK" w:cs="方正楷体_GBK"/>
          <w:b w:val="0"/>
          <w:bCs w:val="0"/>
          <w:i w:val="0"/>
          <w:iCs w:val="0"/>
          <w:sz w:val="24"/>
          <w:szCs w:val="24"/>
          <w:u w:val="none"/>
          <w:lang w:eastAsia="zh-CN"/>
        </w:rPr>
        <w:t>（三）分类标引工作程序</w:t>
      </w:r>
      <w:bookmarkEnd w:id="74"/>
      <w:bookmarkEnd w:id="75"/>
      <w:bookmarkEnd w:id="76"/>
      <w:bookmarkEnd w:id="77"/>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1.查重： 严格利用中央书目数据库和中间书目数据库对新到馆的文献进行查重，对题名、责任者、出版社、版次、文献内容逐项查对，避免一书两入。查重途径有题名、责任者、ISBN和主题。</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2.分析文献的学科内容，确定相应的类目：认真分析文献的题名、详阅内容简介、浏览目次、序言、说明等，必要时还须浏览全文，从而确定最能体现该文献本质属性的类目。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3.标识分类号：按最专指分类标识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4.标识种次号及版本、卷册次号：（种次号和版本号、卷&lt;册&gt;号的说明性文字见相应的细则）。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5.审核： 利用中央书目数据库和中间书目数据库进行索取号的审核，要求索书号具备唯一性和系列集中性。</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楷体_GBK" w:hAnsi="方正楷体_GBK" w:eastAsia="方正楷体_GBK" w:cs="方正楷体_GBK"/>
          <w:b w:val="0"/>
          <w:bCs w:val="0"/>
          <w:i w:val="0"/>
          <w:iCs w:val="0"/>
          <w:sz w:val="24"/>
          <w:szCs w:val="24"/>
          <w:u w:val="none"/>
        </w:rPr>
      </w:pPr>
      <w:bookmarkStart w:id="78" w:name="_Toc9079"/>
      <w:bookmarkStart w:id="79" w:name="_Toc32401"/>
      <w:bookmarkStart w:id="80" w:name="_Toc20359"/>
      <w:r>
        <w:rPr>
          <w:rFonts w:hint="eastAsia" w:ascii="方正楷体_GBK" w:hAnsi="方正楷体_GBK" w:eastAsia="方正楷体_GBK" w:cs="方正楷体_GBK"/>
          <w:b w:val="0"/>
          <w:bCs w:val="0"/>
          <w:i w:val="0"/>
          <w:iCs w:val="0"/>
          <w:sz w:val="24"/>
          <w:szCs w:val="24"/>
          <w:u w:val="none"/>
          <w:lang w:eastAsia="zh-CN"/>
        </w:rPr>
        <w:t>（四）</w:t>
      </w:r>
      <w:r>
        <w:rPr>
          <w:rFonts w:hint="eastAsia" w:ascii="方正楷体_GBK" w:hAnsi="方正楷体_GBK" w:eastAsia="方正楷体_GBK" w:cs="方正楷体_GBK"/>
          <w:b w:val="0"/>
          <w:bCs w:val="0"/>
          <w:i w:val="0"/>
          <w:iCs w:val="0"/>
          <w:sz w:val="24"/>
          <w:szCs w:val="24"/>
          <w:u w:val="none"/>
        </w:rPr>
        <w:t>主题标引工作程序</w:t>
      </w:r>
      <w:bookmarkEnd w:id="78"/>
      <w:bookmarkEnd w:id="79"/>
      <w:bookmarkEnd w:id="80"/>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1.主题分析： 依据文献的内容性质、体裁、读者对象等，分析出文献所论述和研究的事物、对象和问题；</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2.标识主题词：根据主题分析结果，并参照本馆有关规定确定适当的主题标识。主题标识要求正确、完整，反映充分；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3.审核： 审核主题分析是否正确，主题概念的提炼是否准确、专指，避免存在潜在标引。</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楷体_GBK" w:hAnsi="方正楷体_GBK" w:eastAsia="方正楷体_GBK" w:cs="方正楷体_GBK"/>
          <w:b w:val="0"/>
          <w:bCs w:val="0"/>
          <w:i w:val="0"/>
          <w:iCs w:val="0"/>
          <w:sz w:val="24"/>
          <w:szCs w:val="24"/>
          <w:u w:val="none"/>
        </w:rPr>
      </w:pPr>
      <w:bookmarkStart w:id="81" w:name="_Toc14146"/>
      <w:bookmarkStart w:id="82" w:name="_Toc11999"/>
      <w:bookmarkStart w:id="83" w:name="_Toc1320"/>
      <w:bookmarkStart w:id="84" w:name="_Toc9320"/>
      <w:r>
        <w:rPr>
          <w:rFonts w:hint="eastAsia" w:ascii="方正楷体_GBK" w:hAnsi="方正楷体_GBK" w:eastAsia="方正楷体_GBK" w:cs="方正楷体_GBK"/>
          <w:b w:val="0"/>
          <w:bCs w:val="0"/>
          <w:i w:val="0"/>
          <w:iCs w:val="0"/>
          <w:sz w:val="24"/>
          <w:szCs w:val="24"/>
          <w:u w:val="none"/>
          <w:lang w:eastAsia="zh-CN"/>
        </w:rPr>
        <w:t>（五）</w:t>
      </w:r>
      <w:r>
        <w:rPr>
          <w:rFonts w:hint="eastAsia" w:ascii="方正楷体_GBK" w:hAnsi="方正楷体_GBK" w:eastAsia="方正楷体_GBK" w:cs="方正楷体_GBK"/>
          <w:b w:val="0"/>
          <w:bCs w:val="0"/>
          <w:i w:val="0"/>
          <w:iCs w:val="0"/>
          <w:sz w:val="24"/>
          <w:szCs w:val="24"/>
          <w:u w:val="none"/>
        </w:rPr>
        <w:t>标引细则</w:t>
      </w:r>
      <w:bookmarkEnd w:id="81"/>
      <w:bookmarkEnd w:id="82"/>
      <w:bookmarkEnd w:id="83"/>
      <w:bookmarkEnd w:id="84"/>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lang w:val="en-US" w:eastAsia="zh-CN"/>
        </w:rPr>
        <w:t>1.</w:t>
      </w:r>
      <w:r>
        <w:rPr>
          <w:rFonts w:hint="eastAsia" w:ascii="方正仿宋_GBK" w:hAnsi="方正仿宋_GBK" w:eastAsia="方正仿宋_GBK" w:cs="方正仿宋_GBK"/>
          <w:b/>
          <w:bCs/>
          <w:i w:val="0"/>
          <w:iCs w:val="0"/>
          <w:sz w:val="24"/>
          <w:szCs w:val="24"/>
          <w:u w:val="none"/>
        </w:rPr>
        <w:t>分类细则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w:t>
      </w: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分类标引时，必须严格遵守文献分类的基本规则，遵照《中国图书馆分类法》中的具体规定操作。严格查重，确保同种书不两入。规范种次号，确保同种书和套书的集中性。</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2关于丛书归类的规定：凡是一次性进馆，按照一定的主题范围汇集多种专著，并题有一个总书名的丛书以及读者对象比较明确的丛书，一般集中归类；如是分散到馆或缺乏内在联系或多主题的丛书，则分散处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3关于目录、索引归类的规定：综合性的目录、索引入Z8有关各类；专科性的目录、索引入相应学科，在学科的类号后再加总论复分号“</w:t>
      </w:r>
      <w:r>
        <w:rPr>
          <w:rFonts w:hint="eastAsia" w:ascii="方正仿宋_GBK" w:hAnsi="方正仿宋_GBK" w:eastAsia="方正仿宋_GBK" w:cs="方正仿宋_GBK"/>
          <w:b w:val="0"/>
          <w:bCs w:val="0"/>
          <w:i w:val="0"/>
          <w:iCs w:val="0"/>
          <w:sz w:val="24"/>
          <w:szCs w:val="24"/>
          <w:u w:val="none"/>
        </w:rPr>
        <w:softHyphen/>
      </w:r>
      <w:r>
        <w:rPr>
          <w:rFonts w:hint="eastAsia" w:ascii="方正仿宋_GBK" w:hAnsi="方正仿宋_GBK" w:eastAsia="方正仿宋_GBK" w:cs="方正仿宋_GBK"/>
          <w:b w:val="0"/>
          <w:bCs w:val="0"/>
          <w:i w:val="0"/>
          <w:iCs w:val="0"/>
          <w:sz w:val="24"/>
          <w:szCs w:val="24"/>
          <w:u w:val="none"/>
        </w:rPr>
        <w:t>-7”。</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4关于年鉴、年刊归类的规定：综合性的年鉴、年刊入Z5有关各类；专科性的年鉴、年刊入相应学科，在学科的类号后再加总论复分号“-54”。</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5关于百科全书归类的规定：综合性的百科全书入Z2有关各类；专科性的百科全书入相应学科，在学科的类号后再加总论复分号“-61”。</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6关于应用学科归类的规定：总论某一学科的应用文献，入该学科的应用类目；专论某一学科在另一学科的应用，入被应用到的学科。</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1.</w:t>
      </w:r>
      <w:r>
        <w:rPr>
          <w:rFonts w:hint="eastAsia" w:ascii="方正仿宋_GBK" w:hAnsi="方正仿宋_GBK" w:eastAsia="方正仿宋_GBK" w:cs="方正仿宋_GBK"/>
          <w:b w:val="0"/>
          <w:bCs w:val="0"/>
          <w:i w:val="0"/>
          <w:iCs w:val="0"/>
          <w:sz w:val="24"/>
          <w:szCs w:val="24"/>
          <w:u w:val="none"/>
        </w:rPr>
        <w:t>7一书的中西文同号出版分册装帧，按同种书复本定义。</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lang w:val="en-US" w:eastAsia="zh-CN"/>
        </w:rPr>
        <w:t>2.</w:t>
      </w:r>
      <w:r>
        <w:rPr>
          <w:rFonts w:hint="eastAsia" w:ascii="方正仿宋_GBK" w:hAnsi="方正仿宋_GBK" w:eastAsia="方正仿宋_GBK" w:cs="方正仿宋_GBK"/>
          <w:b/>
          <w:bCs/>
          <w:i w:val="0"/>
          <w:iCs w:val="0"/>
          <w:sz w:val="24"/>
          <w:szCs w:val="24"/>
          <w:u w:val="none"/>
        </w:rPr>
        <w:t>种次号的取法规定</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2.</w:t>
      </w:r>
      <w:r>
        <w:rPr>
          <w:rFonts w:hint="eastAsia" w:ascii="方正仿宋_GBK" w:hAnsi="方正仿宋_GBK" w:eastAsia="方正仿宋_GBK" w:cs="方正仿宋_GBK"/>
          <w:b w:val="0"/>
          <w:bCs w:val="0"/>
          <w:i w:val="0"/>
          <w:iCs w:val="0"/>
          <w:sz w:val="24"/>
          <w:szCs w:val="24"/>
          <w:u w:val="none"/>
        </w:rPr>
        <w:t>1本馆采用种次号为序次号。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w:t>
      </w:r>
      <w:r>
        <w:rPr>
          <w:rFonts w:hint="eastAsia" w:ascii="方正仿宋_GBK" w:hAnsi="方正仿宋_GBK" w:eastAsia="方正仿宋_GBK" w:cs="方正仿宋_GBK"/>
          <w:b w:val="0"/>
          <w:bCs w:val="0"/>
          <w:i w:val="0"/>
          <w:iCs w:val="0"/>
          <w:sz w:val="24"/>
          <w:szCs w:val="24"/>
          <w:u w:val="none"/>
          <w:lang w:val="en-US" w:eastAsia="zh-CN"/>
        </w:rPr>
        <w:t>2</w:t>
      </w:r>
      <w:r>
        <w:rPr>
          <w:rFonts w:hint="eastAsia" w:ascii="方正仿宋_GBK" w:hAnsi="方正仿宋_GBK" w:eastAsia="方正仿宋_GBK" w:cs="方正仿宋_GBK"/>
          <w:b w:val="0"/>
          <w:bCs w:val="0"/>
          <w:i w:val="0"/>
          <w:iCs w:val="0"/>
          <w:sz w:val="24"/>
          <w:szCs w:val="24"/>
          <w:u w:val="none"/>
        </w:rPr>
        <w:t>本馆因历史原因，目前书目数据库的种次号规范性有待进一步完善，为了方便业务上的组织排架和读者检索方便快捷，特从2019年起，对本馆种次号体系进行修订。</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2.</w:t>
      </w:r>
      <w:r>
        <w:rPr>
          <w:rFonts w:hint="eastAsia" w:ascii="方正仿宋_GBK" w:hAnsi="方正仿宋_GBK" w:eastAsia="方正仿宋_GBK" w:cs="方正仿宋_GBK"/>
          <w:b w:val="0"/>
          <w:bCs w:val="0"/>
          <w:i w:val="0"/>
          <w:iCs w:val="0"/>
          <w:sz w:val="24"/>
          <w:szCs w:val="24"/>
          <w:u w:val="none"/>
        </w:rPr>
        <w:t>3在种次号生成之前，一定严格执行查重工作，查重途径包括题名、责任者、ISBN、出版社等。若题名、责任者相同，则取同一种次号，即跟号同一作者当前书目数据库中同类号下最大种次号。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2.</w:t>
      </w:r>
      <w:r>
        <w:rPr>
          <w:rFonts w:hint="eastAsia" w:ascii="方正仿宋_GBK" w:hAnsi="方正仿宋_GBK" w:eastAsia="方正仿宋_GBK" w:cs="方正仿宋_GBK"/>
          <w:b w:val="0"/>
          <w:bCs w:val="0"/>
          <w:i w:val="0"/>
          <w:iCs w:val="0"/>
          <w:sz w:val="24"/>
          <w:szCs w:val="24"/>
          <w:u w:val="none"/>
        </w:rPr>
        <w:t>4同类文献的区分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（1）同一作者的同一作品，不依版次、译者、改写本、缩写本、图画本、插画本、缩印本、出版社或ISBN号等的不同，采取跟号处理，用“=2、=3……”依次类推，作为区分标识。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（2）同一作者的同类作品，采取跟号处理，用“-2、-3……”依次类推，作为区分标识。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（3）同一作者的同一主题系列作品，采取跟号处理，有明确卷册号的以书上标识序号作为区分标识，若无明确卷册号，可以自行编制序号。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（4）传记类，按主题查重，采取跟号处理，用“=2、=3……”依次类推，作为区分标识。</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lang w:val="en-US" w:eastAsia="zh-CN"/>
        </w:rPr>
        <w:t>3.</w:t>
      </w:r>
      <w:r>
        <w:rPr>
          <w:rFonts w:hint="eastAsia" w:ascii="方正仿宋_GBK" w:hAnsi="方正仿宋_GBK" w:eastAsia="方正仿宋_GBK" w:cs="方正仿宋_GBK"/>
          <w:b/>
          <w:bCs/>
          <w:i w:val="0"/>
          <w:iCs w:val="0"/>
          <w:sz w:val="24"/>
          <w:szCs w:val="24"/>
          <w:u w:val="none"/>
        </w:rPr>
        <w:t>卷(册)号的取法规定</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1卷（册）号的取定是针对文献分册出版或为集中某一主题文献而做出的规定。</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2若文献原始被设分为“上、中、下”或“1、2、3”等，则采用小括号和阿拉伯数字按序号标识于书次号之下。</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3若文献形式为多卷书包含多卷册，则在卷册区分位置上用“：”连接两个卷册号，前为大顺序号，后为小顺序号。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4若文献既有卷册号标识，又有总辑号标识，则以总辑号作为卷（册）区分号。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5若文献没有明确的“卷、册”标识，但又实为多卷书，如以“部分”、“分册”、“科别”作为标识的，应参照出版说明，自拟一个卷（册）序号。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6某一文献的“续编”、“补编”“附录”，若单独成册出版，则视多卷册文献，并为其编取顺序号，以便集中。</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3.</w:t>
      </w:r>
      <w:r>
        <w:rPr>
          <w:rFonts w:hint="eastAsia" w:ascii="方正仿宋_GBK" w:hAnsi="方正仿宋_GBK" w:eastAsia="方正仿宋_GBK" w:cs="方正仿宋_GBK"/>
          <w:b w:val="0"/>
          <w:bCs w:val="0"/>
          <w:i w:val="0"/>
          <w:iCs w:val="0"/>
          <w:sz w:val="24"/>
          <w:szCs w:val="24"/>
          <w:u w:val="none"/>
        </w:rPr>
        <w:t>7若文献题名中的年代具有排检价值，则将其年代作为卷（册）号，并用圆括号标识。如年鉴。</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lang w:val="en-US" w:eastAsia="zh-CN"/>
        </w:rPr>
        <w:t>4.</w:t>
      </w:r>
      <w:r>
        <w:rPr>
          <w:rFonts w:hint="eastAsia" w:ascii="方正仿宋_GBK" w:hAnsi="方正仿宋_GBK" w:eastAsia="方正仿宋_GBK" w:cs="方正仿宋_GBK"/>
          <w:b/>
          <w:bCs/>
          <w:i w:val="0"/>
          <w:iCs w:val="0"/>
          <w:sz w:val="24"/>
          <w:szCs w:val="24"/>
          <w:u w:val="none"/>
        </w:rPr>
        <w:t>主题标引细则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1严格遵照《中国分类主题词表》进行选词。</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2本馆主题标引深度为2-5个词，</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3主题分析必须从概念上进行分析，不能单纯从字面上进行分析。</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4坚持主题词的标引为主，自由词的标引为辅。</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5必须选用词表中与文献内容主题相应的、最专指的主题词标引。</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6当词表中没有最专指的主题词时，则应选用相对泛指的主题词，进行组配标引。</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7当词表中没有专指的主题词，又没有合适的主题词进行组配标引时，则可选用最直接的上位主题词进行上位标引。</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8若文献或数据的内容主题,无法进行以上5.5，5.6，5.7所叙标引，则可采用靠词标引，即将文献的内容主题归入在概念上与之相关的或交叉的或有着某种关系的主题词。靠词标引还应同时标引一个自由词。</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lang w:val="en-US" w:eastAsia="zh-CN"/>
        </w:rPr>
        <w:t>4.</w:t>
      </w:r>
      <w:r>
        <w:rPr>
          <w:rFonts w:hint="eastAsia" w:ascii="方正仿宋_GBK" w:hAnsi="方正仿宋_GBK" w:eastAsia="方正仿宋_GBK" w:cs="方正仿宋_GBK"/>
          <w:b w:val="0"/>
          <w:bCs w:val="0"/>
          <w:i w:val="0"/>
          <w:iCs w:val="0"/>
          <w:sz w:val="24"/>
          <w:szCs w:val="24"/>
          <w:u w:val="none"/>
        </w:rPr>
        <w:t>9当文献或数据的内容主题涉及多主题或多重特征属性主题时，应从多个内容主题或多个特征的角度给出多组主题词，进行多重主题标引，在相应字段中重复录入。</w:t>
      </w:r>
    </w:p>
    <w:p>
      <w:pPr>
        <w:keepNext w:val="0"/>
        <w:keepLines w:val="0"/>
        <w:pageBreakBefore w:val="0"/>
        <w:widowControl w:val="0"/>
        <w:kinsoku/>
        <w:wordWrap/>
        <w:overflowPunct/>
        <w:topLinePunct w:val="0"/>
        <w:autoSpaceDE/>
        <w:autoSpaceDN/>
        <w:bidi w:val="0"/>
        <w:spacing w:line="500" w:lineRule="exact"/>
        <w:ind w:firstLine="480" w:firstLineChars="200"/>
        <w:jc w:val="left"/>
        <w:textAlignment w:val="auto"/>
        <w:outlineLvl w:val="2"/>
        <w:rPr>
          <w:rFonts w:hint="eastAsia" w:ascii="方正黑体_GBK" w:hAnsi="方正黑体_GBK" w:eastAsia="方正黑体_GBK" w:cs="方正黑体_GBK"/>
          <w:b w:val="0"/>
          <w:bCs w:val="0"/>
          <w:i w:val="0"/>
          <w:iCs w:val="0"/>
          <w:sz w:val="24"/>
          <w:szCs w:val="24"/>
          <w:u w:val="none"/>
        </w:rPr>
      </w:pPr>
      <w:r>
        <w:rPr>
          <w:rFonts w:hint="eastAsia" w:ascii="方正黑体_GBK" w:hAnsi="方正黑体_GBK" w:eastAsia="方正黑体_GBK" w:cs="方正黑体_GBK"/>
          <w:b w:val="0"/>
          <w:bCs w:val="0"/>
          <w:i w:val="0"/>
          <w:iCs w:val="0"/>
          <w:sz w:val="24"/>
          <w:szCs w:val="24"/>
          <w:u w:val="none"/>
          <w:lang w:eastAsia="zh-CN"/>
        </w:rPr>
        <w:t>四、</w:t>
      </w:r>
      <w:r>
        <w:rPr>
          <w:rFonts w:hint="eastAsia" w:ascii="方正黑体_GBK" w:hAnsi="方正黑体_GBK" w:eastAsia="方正黑体_GBK" w:cs="方正黑体_GBK"/>
          <w:b w:val="0"/>
          <w:bCs w:val="0"/>
          <w:i w:val="0"/>
          <w:iCs w:val="0"/>
          <w:sz w:val="24"/>
          <w:szCs w:val="24"/>
          <w:u w:val="none"/>
        </w:rPr>
        <w:t>书目数据建设流程和注意事项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rPr>
      </w:pPr>
      <w:r>
        <w:rPr>
          <w:rFonts w:hint="eastAsia" w:ascii="方正楷体_GBK" w:hAnsi="方正楷体_GBK" w:eastAsia="方正楷体_GBK" w:cs="方正楷体_GBK"/>
          <w:b w:val="0"/>
          <w:bCs w:val="0"/>
          <w:i w:val="0"/>
          <w:iCs w:val="0"/>
          <w:sz w:val="24"/>
          <w:szCs w:val="24"/>
          <w:u w:val="none"/>
          <w:lang w:eastAsia="zh-CN"/>
        </w:rPr>
        <w:t>（一）</w:t>
      </w:r>
      <w:r>
        <w:rPr>
          <w:rFonts w:hint="eastAsia" w:ascii="方正楷体_GBK" w:hAnsi="方正楷体_GBK" w:eastAsia="方正楷体_GBK" w:cs="方正楷体_GBK"/>
          <w:b w:val="0"/>
          <w:bCs w:val="0"/>
          <w:i w:val="0"/>
          <w:iCs w:val="0"/>
          <w:sz w:val="24"/>
          <w:szCs w:val="24"/>
          <w:u w:val="none"/>
        </w:rPr>
        <w:t>到馆验收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1.认真验收到馆文献，确保到馆文献与配送单的一一对应；</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2.仔细集中同一作者的同类书和同种书或同一系列文献，以便规范到书处理和科学开展标引工作；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3.按图书适合阅读对象界定成人、青少、低幼图书，并保持一致性。当出现模棱两可时，严格执行查重参考。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（二）文献前期加工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1.遵照《加工工作细则》操作；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2.馆藏章和条形码要求平整、干净，以不覆盖文字信息为前提，特殊情况可以选择适当的位置，或偏右，或居中。</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楷体_GBK" w:hAnsi="方正楷体_GBK" w:eastAsia="方正楷体_GBK" w:cs="方正楷体_GBK"/>
          <w:b w:val="0"/>
          <w:bCs w:val="0"/>
          <w:i w:val="0"/>
          <w:iCs w:val="0"/>
          <w:sz w:val="24"/>
          <w:szCs w:val="24"/>
          <w:u w:val="none"/>
          <w:lang w:eastAsia="zh-CN"/>
        </w:rPr>
      </w:pPr>
      <w:r>
        <w:rPr>
          <w:rFonts w:hint="eastAsia" w:ascii="方正楷体_GBK" w:hAnsi="方正楷体_GBK" w:eastAsia="方正楷体_GBK" w:cs="方正楷体_GBK"/>
          <w:b w:val="0"/>
          <w:bCs w:val="0"/>
          <w:i w:val="0"/>
          <w:iCs w:val="0"/>
          <w:sz w:val="24"/>
          <w:szCs w:val="24"/>
          <w:u w:val="none"/>
          <w:lang w:eastAsia="zh-CN"/>
        </w:rPr>
        <w:t>（三）书目数据建设</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1.设置</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设置，是每做一批新文献或更换一台电脑时需要首先完成的。设置内容包括Marc类型、书目控制区号、Z3950目标地址、验收批次、馆藏地点等。验收批号是书目建设过程中的重要键值，审校、输出书标、统计等以其为键值进行数据提取，因此，需要严格做好批号的设置和管理。本馆验收批次组成：书商代码（两位）+年份（四位）+序号（三位）。</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2.查重</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查重，是确认新到文献是否已建书目数据。确定是否复本的条件包括版本、出版社、译者。若版本、出版社、译者等存在任一不同，则作新书处理。若仅其ISBN号因978或序列号的不同，则作复本处理，但需要增添010字段。译著需要结合出版社和译者同时考虑，只有版本、译者、出版社三者相同时，才确认为复本。</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3.著录和标引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遵照《著录工作规则》和《标引工作规则》操作。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4.馆藏验收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（1）新书：按配送到位的分馆地址入藏，即采访已经做好典藏分配，随配送分馆入藏。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（2）分配单册价格。</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5.审校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审校，是对数据进行全面审核的一项程序。规定审校后的数据才可交送入中央书目库。</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6.执行分类统计、总括登记、个别登记</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对每批次图书进行三项统计，确保一致性。</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7.输出书标</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待准确无误后，即可输出书标。书标输出以批号为键值，并按入藏时间进行数据提取，书标排列顺序是按著录的先后顺序。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8.粘贴书标和保护膜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遵照《加工工作细则》操作。书标与文献一一对应。</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9.输出总括登记账或验收分类单作为交送单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交送单一式三份，文献研究中心、读者服务中心、办公室（档案）各持一份。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10.编制新书推荐</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推荐书目以引领阅读为基本要求，可以从不同的侧面进行一定的推荐。每一期推荐书目需要有一份图片文档和一份word的图文结合文档。新书推荐内容包括目录通用项、封面图、推荐理由、索取号、馆藏地点、延伸（相关）阅读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11.上传云中心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在交送前及时完成上传程序，确保一卡通正常借阅。</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bCs/>
          <w:i w:val="0"/>
          <w:iCs w:val="0"/>
          <w:sz w:val="24"/>
          <w:szCs w:val="24"/>
          <w:u w:val="none"/>
        </w:rPr>
      </w:pPr>
      <w:r>
        <w:rPr>
          <w:rFonts w:hint="eastAsia" w:ascii="方正仿宋_GBK" w:hAnsi="方正仿宋_GBK" w:eastAsia="方正仿宋_GBK" w:cs="方正仿宋_GBK"/>
          <w:b/>
          <w:bCs/>
          <w:i w:val="0"/>
          <w:iCs w:val="0"/>
          <w:sz w:val="24"/>
          <w:szCs w:val="24"/>
          <w:u w:val="none"/>
        </w:rPr>
        <w:t>12.规范档案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b w:val="0"/>
          <w:bCs w:val="0"/>
          <w:i w:val="0"/>
          <w:iCs w:val="0"/>
          <w:sz w:val="24"/>
          <w:szCs w:val="24"/>
          <w:u w:val="none"/>
        </w:rPr>
      </w:pPr>
      <w:r>
        <w:rPr>
          <w:rFonts w:hint="eastAsia" w:ascii="方正仿宋_GBK" w:hAnsi="方正仿宋_GBK" w:eastAsia="方正仿宋_GBK" w:cs="方正仿宋_GBK"/>
          <w:b w:val="0"/>
          <w:bCs w:val="0"/>
          <w:i w:val="0"/>
          <w:iCs w:val="0"/>
          <w:sz w:val="24"/>
          <w:szCs w:val="24"/>
          <w:u w:val="none"/>
        </w:rPr>
        <w:t>及时将每批次图书的采访验收单、个别登记账、总括登记账（或分类统计表）、合作问题等进行集中梳理归档。</w:t>
      </w:r>
    </w:p>
    <w:p>
      <w:pPr>
        <w:rPr>
          <w:rFonts w:hint="eastAsia"/>
        </w:rPr>
      </w:pPr>
    </w:p>
    <w:p>
      <w:pPr>
        <w:pStyle w:val="4"/>
        <w:pageBreakBefore w:val="0"/>
        <w:widowControl w:val="0"/>
        <w:numPr>
          <w:ilvl w:val="2"/>
          <w:numId w:val="0"/>
        </w:numPr>
        <w:kinsoku/>
        <w:wordWrap/>
        <w:overflowPunct/>
        <w:topLinePunct w:val="0"/>
        <w:autoSpaceDE/>
        <w:autoSpaceDN/>
        <w:bidi w:val="0"/>
        <w:adjustRightInd/>
        <w:snapToGrid/>
        <w:spacing w:before="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五、服务期</w:t>
      </w:r>
    </w:p>
    <w:p>
      <w:pPr>
        <w:pStyle w:val="6"/>
        <w:keepNext w:val="0"/>
        <w:keepLines w:val="0"/>
        <w:pageBreakBefore w:val="0"/>
        <w:widowControl w:val="0"/>
        <w:kinsoku/>
        <w:wordWrap/>
        <w:overflowPunct/>
        <w:topLinePunct w:val="0"/>
        <w:autoSpaceDE/>
        <w:autoSpaceDN/>
        <w:bidi w:val="0"/>
        <w:adjustRightInd/>
        <w:snapToGrid/>
        <w:spacing w:after="0" w:afterLines="0" w:line="500" w:lineRule="exact"/>
        <w:ind w:firstLine="480" w:firstLineChars="200"/>
        <w:textAlignment w:val="auto"/>
        <w:outlineLvl w:val="9"/>
        <w:rPr>
          <w:rFonts w:hint="eastAsia"/>
          <w:sz w:val="24"/>
          <w:szCs w:val="24"/>
          <w:lang w:eastAsia="zh-CN"/>
        </w:rPr>
      </w:pPr>
      <w:r>
        <w:rPr>
          <w:rFonts w:hint="eastAsia" w:ascii="方正仿宋_GBK" w:hAnsi="方正仿宋_GBK" w:eastAsia="方正仿宋_GBK" w:cs="方正仿宋_GBK"/>
          <w:sz w:val="24"/>
          <w:szCs w:val="24"/>
        </w:rPr>
        <w:t>在采购合同签订后服务2年</w:t>
      </w:r>
    </w:p>
    <w:p>
      <w:pPr>
        <w:pStyle w:val="4"/>
        <w:pageBreakBefore w:val="0"/>
        <w:widowControl w:val="0"/>
        <w:numPr>
          <w:ilvl w:val="2"/>
          <w:numId w:val="0"/>
        </w:numPr>
        <w:kinsoku/>
        <w:wordWrap/>
        <w:overflowPunct/>
        <w:topLinePunct w:val="0"/>
        <w:autoSpaceDE/>
        <w:autoSpaceDN/>
        <w:bidi w:val="0"/>
        <w:adjustRightInd/>
        <w:snapToGrid/>
        <w:spacing w:before="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六、付款方式</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本项目由重庆市巴南区图书馆付款。具体支付办法为：</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1.合同签订后7日内成交供应商须向采购人缴纳合同总额的10%履约保证金。项目服务期内无质量问题且服务期满后7日内采购人退还给成交供应商履约保证金。（垫付期间不计利息）</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2.合同签订后，成交供应商向采购人出具合同总额的足额正式发票，采购人在15个工</w:t>
      </w:r>
      <w:r>
        <w:rPr>
          <w:rFonts w:hint="eastAsia" w:ascii="方正仿宋_GBK" w:hAnsi="方正仿宋_GBK" w:eastAsia="方正仿宋_GBK" w:cs="方正仿宋_GBK"/>
          <w:sz w:val="24"/>
          <w:szCs w:val="24"/>
          <w:lang w:val="en-US" w:eastAsia="zh-CN"/>
        </w:rPr>
        <w:t>作日内向成交供应商支付合同总额的100%货款。</w:t>
      </w:r>
    </w:p>
    <w:p>
      <w:pPr>
        <w:pStyle w:val="4"/>
        <w:pageBreakBefore w:val="0"/>
        <w:widowControl w:val="0"/>
        <w:numPr>
          <w:ilvl w:val="2"/>
          <w:numId w:val="0"/>
        </w:numPr>
        <w:kinsoku/>
        <w:wordWrap/>
        <w:overflowPunct/>
        <w:topLinePunct w:val="0"/>
        <w:autoSpaceDE/>
        <w:autoSpaceDN/>
        <w:bidi w:val="0"/>
        <w:adjustRightInd/>
        <w:snapToGrid/>
        <w:spacing w:before="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七、联系方式</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采购人：</w:t>
      </w:r>
      <w:r>
        <w:rPr>
          <w:rFonts w:hint="eastAsia" w:ascii="方正仿宋_GBK" w:hAnsi="方正仿宋_GBK" w:eastAsia="方正仿宋_GBK" w:cs="方正仿宋_GBK"/>
          <w:sz w:val="24"/>
          <w:szCs w:val="24"/>
          <w:lang w:eastAsia="zh-CN"/>
        </w:rPr>
        <w:t>重庆市巴南区图书馆</w:t>
      </w:r>
      <w:r>
        <w:rPr>
          <w:rFonts w:hint="eastAsia" w:ascii="方正仿宋_GBK" w:hAnsi="方正仿宋_GBK" w:eastAsia="方正仿宋_GBK" w:cs="方正仿宋_GBK"/>
          <w:sz w:val="24"/>
          <w:szCs w:val="24"/>
          <w:lang w:val="en-US" w:eastAsia="zh-CN"/>
        </w:rPr>
        <w:t xml:space="preserve"> </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联系人：赵老师</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电  话：023-66221825</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地  址：</w:t>
      </w:r>
      <w:r>
        <w:rPr>
          <w:rFonts w:hint="eastAsia" w:ascii="方正仿宋_GBK" w:hAnsi="方正仿宋_GBK" w:eastAsia="方正仿宋_GBK" w:cs="方正仿宋_GBK"/>
          <w:sz w:val="24"/>
          <w:szCs w:val="24"/>
          <w:lang w:eastAsia="zh-CN"/>
        </w:rPr>
        <w:t>重庆市巴南区龙洲湾巴南文化艺术中心</w:t>
      </w:r>
    </w:p>
    <w:p>
      <w:pPr>
        <w:pStyle w:val="4"/>
        <w:pageBreakBefore w:val="0"/>
        <w:widowControl w:val="0"/>
        <w:numPr>
          <w:ilvl w:val="2"/>
          <w:numId w:val="0"/>
        </w:numPr>
        <w:kinsoku/>
        <w:wordWrap/>
        <w:overflowPunct/>
        <w:topLinePunct w:val="0"/>
        <w:autoSpaceDE/>
        <w:autoSpaceDN/>
        <w:bidi w:val="0"/>
        <w:adjustRightInd/>
        <w:snapToGrid/>
        <w:spacing w:before="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八、其它有关规定</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14:textFill>
            <w14:solidFill>
              <w14:schemeClr w14:val="tx1"/>
            </w14:solidFill>
          </w14:textFill>
        </w:rPr>
        <w:t>凡有意参加询比的供应商，请于公告发布之日起至报名截止时间之前，在</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行采家</w:t>
      </w:r>
      <w:r>
        <w:rPr>
          <w:rFonts w:hint="eastAsia" w:ascii="方正仿宋_GBK" w:hAnsi="方正仿宋_GBK" w:eastAsia="方正仿宋_GBK" w:cs="方正仿宋_GBK"/>
          <w:color w:val="000000" w:themeColor="text1"/>
          <w:sz w:val="24"/>
          <w:szCs w:val="24"/>
          <w14:textFill>
            <w14:solidFill>
              <w14:schemeClr w14:val="tx1"/>
            </w14:solidFill>
          </w14:textFill>
        </w:rPr>
        <w:t>下载查看本项目需求文件以及变更公告等询比前公布的所有项目资料，无论供应商下载查看与否，均视为已知晓所有询比实质性要求内容。</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14:textFill>
            <w14:solidFill>
              <w14:schemeClr w14:val="tx1"/>
            </w14:solidFill>
          </w14:textFill>
        </w:rPr>
        <w:t>供应商须</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在</w:t>
      </w:r>
      <w:r>
        <w:rPr>
          <w:rFonts w:hint="eastAsia" w:ascii="方正仿宋_GBK" w:hAnsi="方正仿宋_GBK" w:eastAsia="方正仿宋_GBK" w:cs="方正仿宋_GBK"/>
          <w:color w:val="000000" w:themeColor="text1"/>
          <w:sz w:val="24"/>
          <w:szCs w:val="24"/>
          <w14:textFill>
            <w14:solidFill>
              <w14:schemeClr w14:val="tx1"/>
            </w14:solidFill>
          </w14:textFill>
        </w:rPr>
        <w:t>平台</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上</w:t>
      </w:r>
      <w:r>
        <w:rPr>
          <w:rFonts w:hint="eastAsia" w:ascii="方正仿宋_GBK" w:hAnsi="方正仿宋_GBK" w:eastAsia="方正仿宋_GBK" w:cs="方正仿宋_GBK"/>
          <w:color w:val="000000" w:themeColor="text1"/>
          <w:sz w:val="24"/>
          <w:szCs w:val="24"/>
          <w14:textFill>
            <w14:solidFill>
              <w14:schemeClr w14:val="tx1"/>
            </w14:solidFill>
          </w14:textFill>
        </w:rPr>
        <w:t>报名并</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按要求</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制作并</w:t>
      </w:r>
      <w:r>
        <w:rPr>
          <w:rFonts w:hint="eastAsia" w:ascii="方正仿宋_GBK" w:hAnsi="方正仿宋_GBK" w:eastAsia="方正仿宋_GBK" w:cs="方正仿宋_GBK"/>
          <w:color w:val="000000" w:themeColor="text1"/>
          <w:sz w:val="24"/>
          <w:szCs w:val="24"/>
          <w14:textFill>
            <w14:solidFill>
              <w14:schemeClr w14:val="tx1"/>
            </w14:solidFill>
          </w14:textFill>
        </w:rPr>
        <w:t>上传响应文件</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未按要求提供的为</w:t>
      </w:r>
      <w:r>
        <w:rPr>
          <w:rFonts w:hint="eastAsia" w:ascii="方正仿宋_GBK" w:hAnsi="方正仿宋_GBK" w:eastAsia="方正仿宋_GBK" w:cs="方正仿宋_GBK"/>
          <w:sz w:val="24"/>
          <w:szCs w:val="24"/>
          <w:lang w:val="en-US" w:eastAsia="zh-CN"/>
        </w:rPr>
        <w:t>无效供应商</w:t>
      </w:r>
      <w:r>
        <w:rPr>
          <w:rFonts w:hint="eastAsia" w:ascii="方正仿宋_GBK" w:hAnsi="方正仿宋_GBK" w:eastAsia="方正仿宋_GBK" w:cs="方正仿宋_GBK"/>
          <w:sz w:val="24"/>
          <w:szCs w:val="24"/>
        </w:rPr>
        <w:t>。</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3.</w:t>
      </w:r>
      <w:r>
        <w:rPr>
          <w:rFonts w:hint="eastAsia" w:ascii="方正仿宋_GBK" w:hAnsi="方正仿宋_GBK" w:eastAsia="方正仿宋_GBK" w:cs="方正仿宋_GBK"/>
          <w:sz w:val="24"/>
          <w:szCs w:val="24"/>
        </w:rPr>
        <w:t>无论询比结果如何，供应商参与本项目的所有费用均由自行承担。</w:t>
      </w:r>
    </w:p>
    <w:p>
      <w:pPr>
        <w:pStyle w:val="4"/>
        <w:pageBreakBefore w:val="0"/>
        <w:widowControl w:val="0"/>
        <w:numPr>
          <w:ilvl w:val="2"/>
          <w:numId w:val="0"/>
        </w:numPr>
        <w:kinsoku/>
        <w:wordWrap/>
        <w:overflowPunct/>
        <w:topLinePunct w:val="0"/>
        <w:autoSpaceDE/>
        <w:autoSpaceDN/>
        <w:bidi w:val="0"/>
        <w:adjustRightInd/>
        <w:snapToGrid/>
        <w:spacing w:before="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九、评选方法</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综合评分法：</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按招标文件中规定的评标方法和标准，对资格审查和符合性审查合格的投标文件进行商务和技术评估。提供相同品牌产品且通过资格审查、符合性审查的不同投标人参加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，详见评分标准。</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评标委员会各成员独立对每个有效投标人（通过资格审查、符合性审查的投标人）的投标文件进行评价、打分，然后由评标委员会对各成员打分情况进行核查及复核，个别成员对同一投标人同一评分项的打分偏离较大的，应对投标人的投标文件进行再次核对，确属打分有误的，应及时进行修正。</w:t>
      </w:r>
    </w:p>
    <w:p>
      <w:pPr>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复核后，评标委员会汇总每个投标人每项评分因素的得分。</w:t>
      </w:r>
    </w:p>
    <w:p>
      <w:pPr>
        <w:pStyle w:val="4"/>
        <w:pageBreakBefore w:val="0"/>
        <w:widowControl w:val="0"/>
        <w:numPr>
          <w:ilvl w:val="2"/>
          <w:numId w:val="0"/>
        </w:numPr>
        <w:kinsoku/>
        <w:wordWrap/>
        <w:overflowPunct/>
        <w:topLinePunct w:val="0"/>
        <w:autoSpaceDE/>
        <w:autoSpaceDN/>
        <w:bidi w:val="0"/>
        <w:adjustRightInd/>
        <w:snapToGrid/>
        <w:spacing w:before="0" w:after="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十、评分标准</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786"/>
        <w:gridCol w:w="726"/>
        <w:gridCol w:w="579"/>
        <w:gridCol w:w="4080"/>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0"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序号</w:t>
            </w:r>
          </w:p>
        </w:tc>
        <w:tc>
          <w:tcPr>
            <w:tcW w:w="1512" w:type="dxa"/>
            <w:gridSpan w:val="2"/>
            <w:noWrap w:val="0"/>
            <w:vAlign w:val="center"/>
          </w:tcPr>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评分因素</w:t>
            </w:r>
          </w:p>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及权重</w:t>
            </w:r>
          </w:p>
        </w:tc>
        <w:tc>
          <w:tcPr>
            <w:tcW w:w="579"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分值</w:t>
            </w:r>
          </w:p>
        </w:tc>
        <w:tc>
          <w:tcPr>
            <w:tcW w:w="4080"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评分标准</w:t>
            </w:r>
          </w:p>
        </w:tc>
        <w:tc>
          <w:tcPr>
            <w:tcW w:w="2523"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b/>
                <w:bCs/>
                <w:color w:val="000000"/>
                <w:sz w:val="24"/>
                <w:szCs w:val="24"/>
                <w:lang w:val="zh-CN"/>
              </w:rPr>
            </w:pPr>
            <w:r>
              <w:rPr>
                <w:rFonts w:hint="eastAsia" w:ascii="方正仿宋_GBK" w:hAnsi="方正仿宋_GBK" w:eastAsia="方正仿宋_GBK" w:cs="方正仿宋_GBK"/>
                <w:b/>
                <w:bCs/>
                <w:color w:val="000000"/>
                <w:sz w:val="24"/>
                <w:szCs w:val="24"/>
                <w:lang w:val="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0"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w:t>
            </w:r>
          </w:p>
        </w:tc>
        <w:tc>
          <w:tcPr>
            <w:tcW w:w="1512" w:type="dxa"/>
            <w:gridSpan w:val="2"/>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经济部分</w:t>
            </w:r>
          </w:p>
          <w:p>
            <w:pP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zh-CN"/>
              </w:rPr>
              <w:t>（</w:t>
            </w:r>
            <w:r>
              <w:rPr>
                <w:rFonts w:hint="eastAsia" w:ascii="方正仿宋_GBK" w:hAnsi="方正仿宋_GBK" w:eastAsia="方正仿宋_GBK" w:cs="方正仿宋_GBK"/>
                <w:color w:val="000000"/>
                <w:sz w:val="24"/>
                <w:szCs w:val="24"/>
                <w:lang w:val="en-US" w:eastAsia="zh-CN"/>
              </w:rPr>
              <w:t>30%）</w:t>
            </w:r>
          </w:p>
          <w:p>
            <w:pPr>
              <w:rPr>
                <w:rFonts w:hint="eastAsia" w:ascii="方正仿宋_GBK" w:hAnsi="方正仿宋_GBK" w:eastAsia="方正仿宋_GBK" w:cs="方正仿宋_GBK"/>
                <w:color w:val="000000"/>
                <w:sz w:val="24"/>
                <w:szCs w:val="24"/>
                <w:lang w:val="zh-CN"/>
              </w:rPr>
            </w:pPr>
          </w:p>
        </w:tc>
        <w:tc>
          <w:tcPr>
            <w:tcW w:w="579" w:type="dxa"/>
            <w:tcBorders>
              <w:bottom w:val="single" w:color="000000" w:sz="4" w:space="0"/>
            </w:tcBorders>
            <w:noWrap w:val="0"/>
            <w:vAlign w:val="center"/>
          </w:tcPr>
          <w:p>
            <w:pP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30</w:t>
            </w:r>
          </w:p>
        </w:tc>
        <w:tc>
          <w:tcPr>
            <w:tcW w:w="4080" w:type="dxa"/>
            <w:tcBorders>
              <w:bottom w:val="single" w:color="000000" w:sz="4" w:space="0"/>
            </w:tcBorders>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有效的投标报价中的最低价（本招标文件中的报价指折扣系数）为评标基准价，按照下列公式计算每个投标人的投标价格得分。</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投标报价得分＝（评标基准价/投标报价）×价格权重×100。</w:t>
            </w:r>
          </w:p>
        </w:tc>
        <w:tc>
          <w:tcPr>
            <w:tcW w:w="2523" w:type="dxa"/>
            <w:tcBorders>
              <w:bottom w:val="single" w:color="000000" w:sz="4" w:space="0"/>
            </w:tcBorders>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最低折扣系数的认定：如有A、B、C三位投标人投标，且三位投标人填报的有效折扣系数分别为0.</w:t>
            </w:r>
            <w:r>
              <w:rPr>
                <w:rFonts w:hint="eastAsia" w:ascii="方正仿宋_GBK" w:hAnsi="方正仿宋_GBK" w:eastAsia="方正仿宋_GBK" w:cs="方正仿宋_GBK"/>
                <w:color w:val="000000"/>
                <w:sz w:val="24"/>
                <w:szCs w:val="24"/>
                <w:lang w:val="en-US" w:eastAsia="zh-CN"/>
              </w:rPr>
              <w:t>6</w:t>
            </w:r>
            <w:r>
              <w:rPr>
                <w:rFonts w:hint="eastAsia" w:ascii="方正仿宋_GBK" w:hAnsi="方正仿宋_GBK" w:eastAsia="方正仿宋_GBK" w:cs="方正仿宋_GBK"/>
                <w:color w:val="000000"/>
                <w:sz w:val="24"/>
                <w:szCs w:val="24"/>
                <w:lang w:val="zh-CN"/>
              </w:rPr>
              <w:t>、0.</w:t>
            </w:r>
            <w:r>
              <w:rPr>
                <w:rFonts w:hint="eastAsia" w:ascii="方正仿宋_GBK" w:hAnsi="方正仿宋_GBK" w:eastAsia="方正仿宋_GBK" w:cs="方正仿宋_GBK"/>
                <w:color w:val="000000"/>
                <w:sz w:val="24"/>
                <w:szCs w:val="24"/>
                <w:lang w:val="en-US" w:eastAsia="zh-CN"/>
              </w:rPr>
              <w:t>65</w:t>
            </w:r>
            <w:r>
              <w:rPr>
                <w:rFonts w:hint="eastAsia" w:ascii="方正仿宋_GBK" w:hAnsi="方正仿宋_GBK" w:eastAsia="方正仿宋_GBK" w:cs="方正仿宋_GBK"/>
                <w:color w:val="000000"/>
                <w:sz w:val="24"/>
                <w:szCs w:val="24"/>
                <w:lang w:val="zh-CN"/>
              </w:rPr>
              <w:t>、0.</w:t>
            </w:r>
            <w:r>
              <w:rPr>
                <w:rFonts w:hint="eastAsia" w:ascii="方正仿宋_GBK" w:hAnsi="方正仿宋_GBK" w:eastAsia="方正仿宋_GBK" w:cs="方正仿宋_GBK"/>
                <w:color w:val="000000"/>
                <w:sz w:val="24"/>
                <w:szCs w:val="24"/>
                <w:lang w:val="en-US" w:eastAsia="zh-CN"/>
              </w:rPr>
              <w:t>68</w:t>
            </w:r>
            <w:r>
              <w:rPr>
                <w:rFonts w:hint="eastAsia" w:ascii="方正仿宋_GBK" w:hAnsi="方正仿宋_GBK" w:eastAsia="方正仿宋_GBK" w:cs="方正仿宋_GBK"/>
                <w:color w:val="000000"/>
                <w:sz w:val="24"/>
                <w:szCs w:val="24"/>
                <w:lang w:val="zh-CN"/>
              </w:rPr>
              <w:t>，那么0.6在所有折扣系数中最低，即为最低折扣系数。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470" w:type="dxa"/>
            <w:vMerge w:val="restart"/>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w:t>
            </w:r>
          </w:p>
        </w:tc>
        <w:tc>
          <w:tcPr>
            <w:tcW w:w="786" w:type="dxa"/>
            <w:vMerge w:val="restart"/>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rPr>
              <w:t>技术</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zh-CN"/>
              </w:rPr>
              <w:t>部分（</w:t>
            </w:r>
            <w:r>
              <w:rPr>
                <w:rFonts w:hint="eastAsia" w:ascii="方正仿宋_GBK" w:hAnsi="方正仿宋_GBK" w:eastAsia="方正仿宋_GBK" w:cs="方正仿宋_GBK"/>
                <w:color w:val="000000"/>
                <w:sz w:val="24"/>
                <w:szCs w:val="24"/>
                <w:lang w:val="en-US" w:eastAsia="zh-CN"/>
              </w:rPr>
              <w:t>36%</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26" w:type="dxa"/>
            <w:tcBorders>
              <w:bottom w:val="single" w:color="000000" w:sz="4" w:space="0"/>
            </w:tcBorders>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采访</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能力（</w:t>
            </w:r>
            <w:r>
              <w:rPr>
                <w:rFonts w:hint="eastAsia" w:ascii="方正仿宋_GBK" w:hAnsi="方正仿宋_GBK" w:eastAsia="方正仿宋_GBK" w:cs="方正仿宋_GBK"/>
                <w:color w:val="000000"/>
                <w:sz w:val="24"/>
                <w:szCs w:val="24"/>
                <w:lang w:val="en-US" w:eastAsia="zh-CN"/>
              </w:rPr>
              <w:t>21%）</w:t>
            </w:r>
          </w:p>
        </w:tc>
        <w:tc>
          <w:tcPr>
            <w:tcW w:w="579" w:type="dxa"/>
            <w:tcBorders>
              <w:bottom w:val="single" w:color="000000" w:sz="4" w:space="0"/>
            </w:tcBorders>
            <w:noWrap w:val="0"/>
            <w:vAlign w:val="center"/>
          </w:tcPr>
          <w:p>
            <w:pPr>
              <w:spacing w:after="190" w:afterLines="50" w:line="240" w:lineRule="auto"/>
              <w:ind w:firstLine="0" w:firstLineChars="0"/>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21</w:t>
            </w:r>
          </w:p>
        </w:tc>
        <w:tc>
          <w:tcPr>
            <w:tcW w:w="4080" w:type="dxa"/>
            <w:tcBorders>
              <w:bottom w:val="single" w:color="000000" w:sz="4" w:space="0"/>
            </w:tcBorders>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1.有独立的图书服务门户网站或基于网站的线上选书平台，提供得2分，不提供不得分。</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2．提供与出版社合作的授权书或合作协议（合作期至少至2021年12月31日），300份及以上得5分，200-299份得2分，200份以下得1分，不提供直接取消参评资格。</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3.提供自主经营的现采场地和图书品种，场地5000平米及以上或图书品种10万种及以上得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分，场地3000平米及以上或图书品种5万种及以上得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分，场地低于3000平米或图书品种低于5万种得1分，不提供不得分。</w:t>
            </w:r>
          </w:p>
          <w:p>
            <w:pP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提供2017年以来与国家级出版协会合作举办的大型线下书会，提供一份得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2.5</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分，最高得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分，不提供不得分。</w:t>
            </w:r>
          </w:p>
        </w:tc>
        <w:tc>
          <w:tcPr>
            <w:tcW w:w="2523" w:type="dxa"/>
            <w:tcBorders>
              <w:bottom w:val="single" w:color="000000" w:sz="4" w:space="0"/>
            </w:tcBorders>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1.提供网站首页或网站选书页面截图。</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2.提供出版社授权书或合作协议复印件（原件备查）。</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3.提供场地产权证明或有效期内的租赁协议及图书品种证明材料。</w:t>
            </w:r>
          </w:p>
          <w:p>
            <w:pP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4、提供举办书展合作协议复印件（原件备查）、书会图片。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70"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86"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26" w:type="dxa"/>
            <w:tcBorders>
              <w:bottom w:val="single" w:color="000000" w:sz="4" w:space="0"/>
            </w:tcBorders>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zh-CN"/>
              </w:rPr>
              <w:t>专业性（</w:t>
            </w:r>
            <w:r>
              <w:rPr>
                <w:rFonts w:hint="eastAsia" w:ascii="方正仿宋_GBK" w:hAnsi="方正仿宋_GBK" w:eastAsia="方正仿宋_GBK" w:cs="方正仿宋_GBK"/>
                <w:color w:val="000000"/>
                <w:sz w:val="24"/>
                <w:szCs w:val="24"/>
                <w:lang w:val="en-US" w:eastAsia="zh-CN"/>
              </w:rPr>
              <w:t>15%）</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579" w:type="dxa"/>
            <w:tcBorders>
              <w:bottom w:val="single" w:color="000000" w:sz="4" w:space="0"/>
            </w:tcBorders>
            <w:noWrap w:val="0"/>
            <w:vAlign w:val="center"/>
          </w:tcPr>
          <w:p>
            <w:pPr>
              <w:spacing w:after="190" w:afterLines="50" w:line="240" w:lineRule="auto"/>
              <w:ind w:firstLine="0" w:firstLineChars="0"/>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15</w:t>
            </w:r>
          </w:p>
        </w:tc>
        <w:tc>
          <w:tcPr>
            <w:tcW w:w="4080" w:type="dxa"/>
            <w:tcBorders>
              <w:bottom w:val="single" w:color="000000" w:sz="4" w:space="0"/>
            </w:tcBorders>
            <w:noWrap w:val="0"/>
            <w:vAlign w:val="center"/>
          </w:tcPr>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1．提供正在使用的书目数据著录软件和书目数据MARC格式，保证书目数据在采购人的图书集成化系统上无障碍使用，提供得</w:t>
            </w:r>
            <w:r>
              <w:rPr>
                <w:rFonts w:hint="eastAsia" w:ascii="方正仿宋_GBK" w:hAnsi="方正仿宋_GBK" w:eastAsia="方正仿宋_GBK" w:cs="方正仿宋_GBK"/>
                <w:color w:val="000000"/>
                <w:sz w:val="24"/>
                <w:szCs w:val="24"/>
                <w:lang w:val="en-US" w:eastAsia="zh-CN"/>
              </w:rPr>
              <w:t>3</w:t>
            </w:r>
            <w:r>
              <w:rPr>
                <w:rFonts w:hint="eastAsia" w:ascii="方正仿宋_GBK" w:hAnsi="方正仿宋_GBK" w:eastAsia="方正仿宋_GBK" w:cs="方正仿宋_GBK"/>
                <w:color w:val="000000"/>
                <w:sz w:val="24"/>
                <w:szCs w:val="24"/>
                <w:lang w:val="zh-CN"/>
              </w:rPr>
              <w:t>分，不提供不得分。</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2.根据投标人在第四篇“</w:t>
            </w:r>
            <w:r>
              <w:rPr>
                <w:rFonts w:hint="eastAsia" w:ascii="方正仿宋_GBK" w:hAnsi="方正仿宋_GBK" w:eastAsia="方正仿宋_GBK" w:cs="方正仿宋_GBK"/>
                <w:color w:val="000000"/>
                <w:sz w:val="24"/>
                <w:szCs w:val="24"/>
                <w:lang w:val="en-US" w:eastAsia="zh-CN"/>
              </w:rPr>
              <w:t>建设和采购清单”的质量与服务要求</w:t>
            </w:r>
            <w:r>
              <w:rPr>
                <w:rFonts w:hint="eastAsia" w:ascii="方正仿宋_GBK" w:hAnsi="方正仿宋_GBK" w:eastAsia="方正仿宋_GBK" w:cs="方正仿宋_GBK"/>
                <w:color w:val="000000"/>
                <w:sz w:val="24"/>
                <w:szCs w:val="24"/>
                <w:lang w:val="zh-CN"/>
              </w:rPr>
              <w:t>”拟制的“采访”“配送”“书目数据建设和维护”等业务方案提出对应性响应，措施内容详实完整、重点突出、切实可行得</w:t>
            </w:r>
            <w:r>
              <w:rPr>
                <w:rFonts w:hint="eastAsia" w:ascii="方正仿宋_GBK" w:hAnsi="方正仿宋_GBK" w:eastAsia="方正仿宋_GBK" w:cs="方正仿宋_GBK"/>
                <w:color w:val="000000"/>
                <w:sz w:val="24"/>
                <w:szCs w:val="24"/>
                <w:lang w:val="en-US" w:eastAsia="zh-CN"/>
              </w:rPr>
              <w:t>7</w:t>
            </w:r>
            <w:r>
              <w:rPr>
                <w:rFonts w:hint="eastAsia" w:ascii="方正仿宋_GBK" w:hAnsi="方正仿宋_GBK" w:eastAsia="方正仿宋_GBK" w:cs="方正仿宋_GBK"/>
                <w:color w:val="000000"/>
                <w:sz w:val="24"/>
                <w:szCs w:val="24"/>
                <w:lang w:val="zh-CN"/>
              </w:rPr>
              <w:t>分，方案阐述较为完整、可行性一般得</w:t>
            </w:r>
            <w:r>
              <w:rPr>
                <w:rFonts w:hint="eastAsia" w:ascii="方正仿宋_GBK" w:hAnsi="方正仿宋_GBK" w:eastAsia="方正仿宋_GBK" w:cs="方正仿宋_GBK"/>
                <w:color w:val="000000"/>
                <w:sz w:val="24"/>
                <w:szCs w:val="24"/>
                <w:lang w:val="en-US" w:eastAsia="zh-CN"/>
              </w:rPr>
              <w:t>3</w:t>
            </w:r>
            <w:r>
              <w:rPr>
                <w:rFonts w:hint="eastAsia" w:ascii="方正仿宋_GBK" w:hAnsi="方正仿宋_GBK" w:eastAsia="方正仿宋_GBK" w:cs="方正仿宋_GBK"/>
                <w:color w:val="000000"/>
                <w:sz w:val="24"/>
                <w:szCs w:val="24"/>
                <w:lang w:val="zh-CN"/>
              </w:rPr>
              <w:t>分，方案不完整、不明确或无描述得1分，不响应直接取消参评资格。</w:t>
            </w:r>
          </w:p>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提供</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2019-2021</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年与某一合作客户的文献资源建设与利用分析报告，报告实际、有深度得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分，一般得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分，不提供不得分。</w:t>
            </w:r>
          </w:p>
        </w:tc>
        <w:tc>
          <w:tcPr>
            <w:tcW w:w="2523" w:type="dxa"/>
            <w:tcBorders>
              <w:bottom w:val="single" w:color="000000" w:sz="4" w:space="0"/>
            </w:tcBorders>
            <w:noWrap w:val="0"/>
            <w:vAlign w:val="center"/>
          </w:tcPr>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rPr>
              <w:t>1.</w:t>
            </w:r>
            <w:r>
              <w:rPr>
                <w:rFonts w:hint="eastAsia" w:ascii="方正仿宋_GBK" w:hAnsi="方正仿宋_GBK" w:eastAsia="方正仿宋_GBK" w:cs="方正仿宋_GBK"/>
                <w:color w:val="000000"/>
                <w:sz w:val="24"/>
                <w:szCs w:val="24"/>
                <w:lang w:val="zh-CN"/>
              </w:rPr>
              <w:t>提供软件证明材料和MARC截图（截图应体现不同详简级次的至少5条数据）。</w:t>
            </w:r>
          </w:p>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2.提供相应的服务方案，要求专业、规范描述。</w:t>
            </w:r>
          </w:p>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3</w:t>
            </w:r>
            <w:r>
              <w:rPr>
                <w:rFonts w:hint="eastAsia" w:ascii="方正仿宋_GBK" w:hAnsi="方正仿宋_GBK" w:eastAsia="方正仿宋_GBK" w:cs="方正仿宋_GBK"/>
                <w:color w:val="000000"/>
                <w:sz w:val="24"/>
                <w:szCs w:val="24"/>
              </w:rPr>
              <w:t>.</w:t>
            </w:r>
            <w:r>
              <w:rPr>
                <w:rFonts w:hint="eastAsia" w:ascii="方正仿宋_GBK" w:hAnsi="方正仿宋_GBK" w:eastAsia="方正仿宋_GBK" w:cs="方正仿宋_GBK"/>
                <w:color w:val="000000"/>
                <w:sz w:val="24"/>
                <w:szCs w:val="24"/>
                <w:lang w:val="zh-CN"/>
              </w:rPr>
              <w:t>提供分析报告，并加盖图书馆公章。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0" w:type="dxa"/>
            <w:vMerge w:val="restart"/>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3</w:t>
            </w:r>
          </w:p>
        </w:tc>
        <w:tc>
          <w:tcPr>
            <w:tcW w:w="786" w:type="dxa"/>
            <w:vMerge w:val="restart"/>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商务</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部分（</w:t>
            </w:r>
            <w:r>
              <w:rPr>
                <w:rFonts w:hint="eastAsia" w:ascii="方正仿宋_GBK" w:hAnsi="方正仿宋_GBK" w:eastAsia="方正仿宋_GBK" w:cs="方正仿宋_GBK"/>
                <w:color w:val="000000"/>
                <w:sz w:val="24"/>
                <w:szCs w:val="24"/>
                <w:lang w:val="en-US" w:eastAsia="zh-CN"/>
              </w:rPr>
              <w:t>34%）</w:t>
            </w:r>
          </w:p>
        </w:tc>
        <w:tc>
          <w:tcPr>
            <w:tcW w:w="726"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企业</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信誉</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w:t>
            </w:r>
            <w:r>
              <w:rPr>
                <w:rFonts w:hint="eastAsia" w:ascii="方正仿宋_GBK" w:hAnsi="方正仿宋_GBK" w:eastAsia="方正仿宋_GBK" w:cs="方正仿宋_GBK"/>
                <w:color w:val="000000"/>
                <w:sz w:val="24"/>
                <w:szCs w:val="24"/>
                <w:lang w:val="en-US" w:eastAsia="zh-CN"/>
              </w:rPr>
              <w:t>8</w:t>
            </w:r>
            <w:r>
              <w:rPr>
                <w:rFonts w:hint="eastAsia" w:ascii="方正仿宋_GBK" w:hAnsi="方正仿宋_GBK" w:eastAsia="方正仿宋_GBK" w:cs="方正仿宋_GBK"/>
                <w:color w:val="000000"/>
                <w:sz w:val="24"/>
                <w:szCs w:val="24"/>
                <w:lang w:val="zh-CN"/>
              </w:rPr>
              <w:t>%）</w:t>
            </w:r>
          </w:p>
        </w:tc>
        <w:tc>
          <w:tcPr>
            <w:tcW w:w="579"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8</w:t>
            </w:r>
          </w:p>
        </w:tc>
        <w:tc>
          <w:tcPr>
            <w:tcW w:w="4080" w:type="dxa"/>
            <w:noWrap w:val="0"/>
            <w:vAlign w:val="center"/>
          </w:tcPr>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1．提供</w:t>
            </w:r>
            <w:r>
              <w:rPr>
                <w:rFonts w:hint="eastAsia" w:ascii="方正仿宋_GBK" w:hAnsi="方正仿宋_GBK" w:eastAsia="方正仿宋_GBK" w:cs="方正仿宋_GBK"/>
                <w:color w:val="000000"/>
                <w:sz w:val="24"/>
                <w:szCs w:val="24"/>
              </w:rPr>
              <w:t>2017-2021年</w:t>
            </w:r>
            <w:r>
              <w:rPr>
                <w:rFonts w:hint="eastAsia" w:ascii="方正仿宋_GBK" w:hAnsi="方正仿宋_GBK" w:eastAsia="方正仿宋_GBK" w:cs="方正仿宋_GBK"/>
                <w:color w:val="000000"/>
                <w:sz w:val="24"/>
                <w:szCs w:val="24"/>
                <w:lang w:val="zh-CN"/>
              </w:rPr>
              <w:t>连续五年获得全国范围内的馆配商优秀荣誉得</w:t>
            </w:r>
            <w:r>
              <w:rPr>
                <w:rFonts w:hint="eastAsia" w:ascii="方正仿宋_GBK" w:hAnsi="方正仿宋_GBK" w:eastAsia="方正仿宋_GBK" w:cs="方正仿宋_GBK"/>
                <w:color w:val="000000"/>
                <w:sz w:val="24"/>
                <w:szCs w:val="24"/>
                <w:lang w:val="en-US" w:eastAsia="zh-CN"/>
              </w:rPr>
              <w:t>5</w:t>
            </w:r>
            <w:r>
              <w:rPr>
                <w:rFonts w:hint="eastAsia" w:ascii="方正仿宋_GBK" w:hAnsi="方正仿宋_GBK" w:eastAsia="方正仿宋_GBK" w:cs="方正仿宋_GBK"/>
                <w:color w:val="000000"/>
                <w:sz w:val="24"/>
                <w:szCs w:val="24"/>
                <w:lang w:val="zh-CN"/>
              </w:rPr>
              <w:t>分，获得省级范围内的馆配商优秀荣誉得</w:t>
            </w:r>
            <w:r>
              <w:rPr>
                <w:rFonts w:hint="eastAsia" w:ascii="方正仿宋_GBK" w:hAnsi="方正仿宋_GBK" w:eastAsia="方正仿宋_GBK" w:cs="方正仿宋_GBK"/>
                <w:color w:val="000000"/>
                <w:sz w:val="24"/>
                <w:szCs w:val="24"/>
                <w:lang w:val="en-US" w:eastAsia="zh-CN"/>
              </w:rPr>
              <w:t>2</w:t>
            </w:r>
            <w:r>
              <w:rPr>
                <w:rFonts w:hint="eastAsia" w:ascii="方正仿宋_GBK" w:hAnsi="方正仿宋_GBK" w:eastAsia="方正仿宋_GBK" w:cs="方正仿宋_GBK"/>
                <w:color w:val="000000"/>
                <w:sz w:val="24"/>
                <w:szCs w:val="24"/>
                <w:lang w:val="zh-CN"/>
              </w:rPr>
              <w:t>分，不连续不得分。</w:t>
            </w:r>
          </w:p>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color w:val="000000"/>
                <w:sz w:val="24"/>
                <w:szCs w:val="24"/>
                <w:lang w:val="zh-CN"/>
              </w:rPr>
              <w:t>2．承诺严格控制所配送图书为社版原创作品得</w:t>
            </w:r>
            <w:r>
              <w:rPr>
                <w:rFonts w:hint="eastAsia" w:ascii="方正仿宋_GBK" w:hAnsi="方正仿宋_GBK" w:eastAsia="方正仿宋_GBK" w:cs="方正仿宋_GBK"/>
                <w:color w:val="000000"/>
                <w:sz w:val="24"/>
                <w:szCs w:val="24"/>
                <w:lang w:val="en-US" w:eastAsia="zh-CN"/>
              </w:rPr>
              <w:t>3</w:t>
            </w:r>
            <w:r>
              <w:rPr>
                <w:rFonts w:hint="eastAsia" w:ascii="方正仿宋_GBK" w:hAnsi="方正仿宋_GBK" w:eastAsia="方正仿宋_GBK" w:cs="方正仿宋_GBK"/>
                <w:color w:val="000000"/>
                <w:sz w:val="24"/>
                <w:szCs w:val="24"/>
                <w:lang w:val="zh-CN"/>
              </w:rPr>
              <w:t>分，不承诺不得分。</w:t>
            </w:r>
          </w:p>
        </w:tc>
        <w:tc>
          <w:tcPr>
            <w:tcW w:w="2523" w:type="dxa"/>
            <w:noWrap w:val="0"/>
            <w:vAlign w:val="center"/>
          </w:tcPr>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w:t>
            </w:r>
            <w:r>
              <w:rPr>
                <w:rFonts w:hint="eastAsia" w:ascii="方正仿宋_GBK" w:hAnsi="方正仿宋_GBK" w:eastAsia="方正仿宋_GBK" w:cs="方正仿宋_GBK"/>
                <w:color w:val="000000"/>
                <w:sz w:val="24"/>
                <w:szCs w:val="24"/>
                <w:lang w:val="zh-CN" w:eastAsia="zh-TW"/>
              </w:rPr>
              <w:t>提供</w:t>
            </w:r>
            <w:r>
              <w:rPr>
                <w:rFonts w:hint="eastAsia" w:ascii="方正仿宋_GBK" w:hAnsi="方正仿宋_GBK" w:eastAsia="方正仿宋_GBK" w:cs="方正仿宋_GBK"/>
                <w:color w:val="000000"/>
                <w:sz w:val="24"/>
                <w:szCs w:val="24"/>
                <w:lang w:val="zh-CN"/>
              </w:rPr>
              <w:t>证书复印件（原件备查）。</w:t>
            </w:r>
          </w:p>
          <w:p>
            <w:pP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2．提供承诺书</w:t>
            </w:r>
            <w:r>
              <w:rPr>
                <w:rFonts w:hint="eastAsia" w:ascii="方正仿宋_GBK" w:hAnsi="方正仿宋_GBK" w:eastAsia="方正仿宋_GBK" w:cs="方正仿宋_GBK"/>
                <w:color w:val="000000" w:themeColor="text1"/>
                <w:sz w:val="24"/>
                <w:szCs w:val="24"/>
                <w:lang w:val="zh-CN"/>
                <w14:textFill>
                  <w14:solidFill>
                    <w14:schemeClr w14:val="tx1"/>
                  </w14:solidFill>
                </w14:textFill>
              </w:rPr>
              <w:t>和信息安全管理体系认证证书复印件（原件备查</w:t>
            </w:r>
            <w:r>
              <w:rPr>
                <w:rFonts w:hint="eastAsia" w:ascii="方正仿宋_GBK" w:hAnsi="方正仿宋_GBK" w:eastAsia="方正仿宋_GBK" w:cs="方正仿宋_GBK"/>
                <w:color w:val="000000"/>
                <w:sz w:val="24"/>
                <w:szCs w:val="24"/>
                <w:lang w:val="zh-CN"/>
              </w:rPr>
              <w:t>）。</w:t>
            </w:r>
          </w:p>
          <w:p>
            <w:pPr>
              <w:rPr>
                <w:rFonts w:hint="eastAsia" w:eastAsia="方正仿宋_GBK"/>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70"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86"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26"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履约</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能力（</w:t>
            </w:r>
            <w:r>
              <w:rPr>
                <w:rFonts w:hint="eastAsia" w:ascii="方正仿宋_GBK" w:hAnsi="方正仿宋_GBK" w:eastAsia="方正仿宋_GBK" w:cs="方正仿宋_GBK"/>
                <w:color w:val="000000"/>
                <w:sz w:val="24"/>
                <w:szCs w:val="24"/>
                <w:lang w:val="en-US" w:eastAsia="zh-CN"/>
              </w:rPr>
              <w:t>16%）</w:t>
            </w:r>
          </w:p>
        </w:tc>
        <w:tc>
          <w:tcPr>
            <w:tcW w:w="579" w:type="dxa"/>
            <w:noWrap w:val="0"/>
            <w:vAlign w:val="center"/>
          </w:tcPr>
          <w:p>
            <w:pPr>
              <w:spacing w:after="190" w:afterLines="50" w:line="240" w:lineRule="auto"/>
              <w:ind w:firstLine="0" w:firstLineChars="0"/>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16</w:t>
            </w:r>
          </w:p>
        </w:tc>
        <w:tc>
          <w:tcPr>
            <w:tcW w:w="4080" w:type="dxa"/>
            <w:noWrap w:val="0"/>
            <w:vAlign w:val="center"/>
          </w:tcPr>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sz w:val="24"/>
                <w:szCs w:val="24"/>
                <w:lang w:val="zh-CN"/>
              </w:rPr>
              <w:t>1．提供2019-2021年与馆藏100万册及以上省级馆合作中文纸质图书资源建设合作协议，20份及以上得</w:t>
            </w:r>
            <w:r>
              <w:rPr>
                <w:rFonts w:hint="eastAsia" w:ascii="方正仿宋_GBK" w:hAnsi="方正仿宋_GBK" w:eastAsia="方正仿宋_GBK" w:cs="方正仿宋_GBK"/>
                <w:sz w:val="24"/>
                <w:szCs w:val="24"/>
                <w:lang w:val="en-US" w:eastAsia="zh-CN"/>
              </w:rPr>
              <w:t>10</w:t>
            </w:r>
            <w:r>
              <w:rPr>
                <w:rFonts w:hint="eastAsia" w:ascii="方正仿宋_GBK" w:hAnsi="方正仿宋_GBK" w:eastAsia="方正仿宋_GBK" w:cs="方正仿宋_GBK"/>
                <w:sz w:val="24"/>
                <w:szCs w:val="24"/>
                <w:lang w:val="zh-CN"/>
              </w:rPr>
              <w:t>分，10-19份得</w:t>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lang w:val="zh-CN"/>
              </w:rPr>
              <w:t>分，9份及以下得</w:t>
            </w: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lang w:val="zh-CN"/>
              </w:rPr>
              <w:t>分，不提供不得分。（注：不同年份同一合作图书馆不可累计。）</w:t>
            </w:r>
          </w:p>
          <w:p>
            <w:pPr>
              <w:spacing w:after="190" w:afterLines="50" w:line="240" w:lineRule="auto"/>
              <w:ind w:firstLine="0" w:firstLineChars="0"/>
              <w:rPr>
                <w:rFonts w:hint="eastAsia" w:ascii="方正仿宋_GBK" w:hAnsi="方正仿宋_GBK" w:eastAsia="方正仿宋_GBK" w:cs="方正仿宋_GBK"/>
                <w:sz w:val="24"/>
                <w:szCs w:val="24"/>
                <w:highlight w:val="yellow"/>
                <w:lang w:val="zh-CN"/>
              </w:rPr>
            </w:pP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2.提供2019-2021年连续三年顾客满意度调查（包括到货率、到货质量、到货速度、服务能力等4项），提供图书馆调查表，每增加一家满意得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分，一般和不满意得0分，最多得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w:t>
            </w:r>
          </w:p>
          <w:p>
            <w:pPr>
              <w:spacing w:after="190" w:afterLines="50" w:line="240" w:lineRule="auto"/>
              <w:ind w:firstLine="0" w:firstLineChars="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3.承诺读者点荐的临时性图书配送，已出版图书7天内送达，将出版或无库存图书在当天做出有效回应，得3分，不承诺不得分。</w:t>
            </w:r>
          </w:p>
        </w:tc>
        <w:tc>
          <w:tcPr>
            <w:tcW w:w="2523" w:type="dxa"/>
            <w:noWrap w:val="0"/>
            <w:vAlign w:val="center"/>
          </w:tcPr>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1</w:t>
            </w:r>
            <w:r>
              <w:rPr>
                <w:rFonts w:hint="eastAsia" w:ascii="方正仿宋_GBK" w:hAnsi="方正仿宋_GBK" w:eastAsia="方正仿宋_GBK" w:cs="方正仿宋_GBK"/>
                <w:color w:val="000000"/>
                <w:sz w:val="24"/>
                <w:szCs w:val="24"/>
              </w:rPr>
              <w:t>.</w:t>
            </w:r>
            <w:r>
              <w:rPr>
                <w:rFonts w:hint="eastAsia" w:ascii="方正仿宋_GBK" w:hAnsi="方正仿宋_GBK" w:eastAsia="方正仿宋_GBK" w:cs="方正仿宋_GBK"/>
                <w:color w:val="000000"/>
                <w:sz w:val="24"/>
                <w:szCs w:val="24"/>
                <w:lang w:val="zh-CN"/>
              </w:rPr>
              <w:t>提供相关证明材料和合作协议复印件（原件备查）。</w:t>
            </w:r>
          </w:p>
          <w:p>
            <w:pPr>
              <w:spacing w:after="190" w:afterLines="50" w:line="240" w:lineRule="auto"/>
              <w:ind w:firstLine="0" w:firstLineChars="0"/>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2.提供盖有被调查单位公章的顾客满意度调查表（详见附件一）复印件，加盖投标人鲜章（原件备查）。</w:t>
            </w:r>
          </w:p>
          <w:p>
            <w:pPr>
              <w:spacing w:after="190" w:afterLines="50" w:line="240" w:lineRule="auto"/>
              <w:ind w:firstLine="0" w:firstLineChars="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3.提供承诺书和</w:t>
            </w:r>
            <w:r>
              <w:rPr>
                <w:rFonts w:hint="eastAsia" w:ascii="方正仿宋_GBK" w:hAnsi="方正仿宋_GBK" w:eastAsia="方正仿宋_GBK" w:cs="方正仿宋_GBK"/>
                <w:color w:val="000000" w:themeColor="text1"/>
                <w:sz w:val="24"/>
                <w:szCs w:val="24"/>
                <w14:textFill>
                  <w14:solidFill>
                    <w14:schemeClr w14:val="tx1"/>
                  </w14:solidFill>
                </w14:textFill>
              </w:rPr>
              <w:t>在职人员</w:t>
            </w:r>
            <w:r>
              <w:rPr>
                <w:rFonts w:hint="eastAsia" w:ascii="方正仿宋_GBK" w:hAnsi="方正仿宋_GBK" w:eastAsia="方正仿宋_GBK" w:cs="方正仿宋_GBK"/>
                <w:color w:val="000000" w:themeColor="text1"/>
                <w:sz w:val="24"/>
                <w:szCs w:val="24"/>
                <w:lang w:val="zh-CN"/>
                <w14:textFill>
                  <w14:solidFill>
                    <w14:schemeClr w14:val="tx1"/>
                  </w14:solidFill>
                </w14:textFill>
              </w:rPr>
              <w:t>劳动和社会保障部颁发的《物流师证书》复印件（原件</w:t>
            </w:r>
            <w:r>
              <w:rPr>
                <w:rFonts w:hint="eastAsia" w:ascii="方正仿宋_GBK" w:hAnsi="方正仿宋_GBK" w:eastAsia="方正仿宋_GBK" w:cs="方正仿宋_GBK"/>
                <w:sz w:val="24"/>
                <w:szCs w:val="24"/>
                <w:lang w:val="zh-CN"/>
              </w:rPr>
              <w:t>备查），</w:t>
            </w:r>
            <w:r>
              <w:rPr>
                <w:rFonts w:hint="eastAsia" w:ascii="方正仿宋_GBK" w:hAnsi="方正仿宋_GBK" w:eastAsia="方正仿宋_GBK" w:cs="方正仿宋_GBK"/>
                <w:color w:val="000000"/>
                <w:sz w:val="24"/>
                <w:szCs w:val="24"/>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3" w:hRule="atLeast"/>
          <w:jc w:val="center"/>
        </w:trPr>
        <w:tc>
          <w:tcPr>
            <w:tcW w:w="470"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86" w:type="dxa"/>
            <w:vMerge w:val="continue"/>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p>
        </w:tc>
        <w:tc>
          <w:tcPr>
            <w:tcW w:w="726" w:type="dxa"/>
            <w:noWrap w:val="0"/>
            <w:vAlign w:val="center"/>
          </w:tcPr>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售后</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服务</w:t>
            </w:r>
          </w:p>
          <w:p>
            <w:pPr>
              <w:spacing w:after="190" w:afterLines="50" w:line="240" w:lineRule="auto"/>
              <w:ind w:firstLine="0" w:firstLineChars="0"/>
              <w:jc w:val="center"/>
              <w:rPr>
                <w:rFonts w:hint="eastAsia" w:ascii="方正仿宋_GBK" w:hAnsi="方正仿宋_GBK" w:eastAsia="方正仿宋_GBK" w:cs="方正仿宋_GBK"/>
                <w:color w:val="000000"/>
                <w:sz w:val="24"/>
                <w:szCs w:val="24"/>
                <w:lang w:val="zh-CN"/>
              </w:rPr>
            </w:pPr>
            <w:r>
              <w:rPr>
                <w:rFonts w:hint="eastAsia" w:ascii="方正仿宋_GBK" w:hAnsi="方正仿宋_GBK" w:eastAsia="方正仿宋_GBK" w:cs="方正仿宋_GBK"/>
                <w:color w:val="000000"/>
                <w:sz w:val="24"/>
                <w:szCs w:val="24"/>
                <w:lang w:val="zh-CN"/>
              </w:rPr>
              <w:t>能力（</w:t>
            </w:r>
            <w:r>
              <w:rPr>
                <w:rFonts w:hint="eastAsia" w:ascii="方正仿宋_GBK" w:hAnsi="方正仿宋_GBK" w:eastAsia="方正仿宋_GBK" w:cs="方正仿宋_GBK"/>
                <w:color w:val="000000"/>
                <w:sz w:val="24"/>
                <w:szCs w:val="24"/>
                <w:lang w:val="en-US" w:eastAsia="zh-CN"/>
              </w:rPr>
              <w:t>10%）</w:t>
            </w:r>
          </w:p>
        </w:tc>
        <w:tc>
          <w:tcPr>
            <w:tcW w:w="579" w:type="dxa"/>
            <w:noWrap w:val="0"/>
            <w:vAlign w:val="center"/>
          </w:tcPr>
          <w:p>
            <w:pPr>
              <w:spacing w:after="190" w:afterLines="50" w:line="240" w:lineRule="auto"/>
              <w:ind w:firstLine="0" w:firstLineChars="0"/>
              <w:jc w:val="center"/>
              <w:rPr>
                <w:rFonts w:hint="default"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10</w:t>
            </w:r>
          </w:p>
          <w:p>
            <w:pPr>
              <w:spacing w:after="190" w:afterLines="50" w:line="240" w:lineRule="auto"/>
              <w:ind w:firstLine="0" w:firstLineChars="0"/>
              <w:jc w:val="center"/>
              <w:rPr>
                <w:rFonts w:hint="default" w:ascii="方正仿宋_GBK" w:hAnsi="方正仿宋_GBK" w:eastAsia="方正仿宋_GBK" w:cs="方正仿宋_GBK"/>
                <w:color w:val="000000"/>
                <w:sz w:val="24"/>
                <w:szCs w:val="24"/>
                <w:lang w:val="en-US" w:eastAsia="zh-CN"/>
              </w:rPr>
            </w:pPr>
          </w:p>
        </w:tc>
        <w:tc>
          <w:tcPr>
            <w:tcW w:w="4080" w:type="dxa"/>
            <w:noWrap w:val="0"/>
            <w:vAlign w:val="center"/>
          </w:tcPr>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sz w:val="24"/>
                <w:szCs w:val="24"/>
                <w:lang w:val="zh-CN"/>
              </w:rPr>
              <w:t>1．须在采购人所在城市有常驻办事机构，提供注册地或设分公司得2分，设办事处得1分，不提供不得分。</w:t>
            </w:r>
          </w:p>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2．编目数据质量须符合全国图书馆联合编目中心要求。提供20</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19</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-202</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1</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年与全国图书馆联合编目中心签定的数据上传协议和分配的独立上传账号，连续三年得</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分，其中一年得</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1分，其中两年得2分，</w:t>
            </w:r>
            <w:r>
              <w:rPr>
                <w:rFonts w:hint="eastAsia" w:ascii="方正仿宋_GBK" w:hAnsi="方正仿宋_GBK" w:eastAsia="方正仿宋_GBK" w:cs="方正仿宋_GBK"/>
                <w:color w:val="000000" w:themeColor="text1"/>
                <w:sz w:val="24"/>
                <w:szCs w:val="24"/>
                <w:highlight w:val="none"/>
                <w:lang w:val="zh-CN"/>
                <w14:textFill>
                  <w14:solidFill>
                    <w14:schemeClr w14:val="tx1"/>
                  </w14:solidFill>
                </w14:textFill>
              </w:rPr>
              <w:t>不提供者不得分。</w:t>
            </w:r>
          </w:p>
          <w:p>
            <w:pPr>
              <w:spacing w:after="190" w:afterLines="50" w:line="240" w:lineRule="auto"/>
              <w:ind w:firstLine="0" w:firstLineChars="0"/>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zh-CN"/>
              </w:rPr>
              <w:t>3.提供具有全国图书馆联合编目中心上传资格的编目人员信息，每提供一名人员得0.5分，最高得2分，并承诺配送到书三天内开启书目数据建设工作，不提供不承诺不得分。</w:t>
            </w:r>
          </w:p>
        </w:tc>
        <w:tc>
          <w:tcPr>
            <w:tcW w:w="2523" w:type="dxa"/>
            <w:noWrap w:val="0"/>
            <w:vAlign w:val="center"/>
          </w:tcPr>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sz w:val="24"/>
                <w:szCs w:val="24"/>
                <w:lang w:val="zh-CN"/>
              </w:rPr>
              <w:t>1.注册地在重庆或在重庆设立分公司提供营业执照复印件；在重庆设立办事处的提供办事处照片和房产证明或租赁有效合同复印件，加盖投标人公章。</w:t>
            </w:r>
          </w:p>
          <w:p>
            <w:pPr>
              <w:spacing w:after="190" w:afterLines="50" w:line="240" w:lineRule="auto"/>
              <w:ind w:firstLine="0" w:firstLineChars="0"/>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sz w:val="24"/>
                <w:szCs w:val="24"/>
                <w:lang w:val="zh-CN"/>
              </w:rPr>
              <w:t>2.提供上传协议复印件和上传账号（原件备查）。</w:t>
            </w:r>
          </w:p>
          <w:p>
            <w:pPr>
              <w:pStyle w:val="2"/>
              <w:spacing w:line="240" w:lineRule="auto"/>
              <w:jc w:val="both"/>
              <w:rPr>
                <w:rFonts w:hint="default" w:eastAsia="黑体"/>
                <w:lang w:val="en-US" w:eastAsia="zh-CN"/>
              </w:rPr>
            </w:pPr>
            <w:r>
              <w:rPr>
                <w:rFonts w:hint="eastAsia" w:ascii="方正仿宋_GBK" w:hAnsi="方正仿宋_GBK" w:eastAsia="方正仿宋_GBK" w:cs="方正仿宋_GBK"/>
                <w:kern w:val="2"/>
                <w:sz w:val="24"/>
                <w:szCs w:val="24"/>
                <w:lang w:val="zh-CN" w:eastAsia="zh-CN" w:bidi="ar-SA"/>
              </w:rPr>
              <w:t>3</w:t>
            </w:r>
            <w:r>
              <w:rPr>
                <w:rFonts w:hint="eastAsia" w:ascii="方正仿宋_GBK" w:hAnsi="方正仿宋_GBK" w:eastAsia="方正仿宋_GBK" w:cs="方正仿宋_GBK"/>
                <w:kern w:val="2"/>
                <w:sz w:val="24"/>
                <w:szCs w:val="24"/>
                <w:lang w:val="en-US" w:eastAsia="zh-CN" w:bidi="ar-SA"/>
              </w:rPr>
              <w:t>.</w:t>
            </w:r>
            <w:r>
              <w:rPr>
                <w:rFonts w:hint="eastAsia" w:ascii="方正仿宋_GBK" w:hAnsi="方正仿宋_GBK" w:eastAsia="方正仿宋_GBK" w:cs="方正仿宋_GBK"/>
                <w:kern w:val="2"/>
                <w:sz w:val="24"/>
                <w:szCs w:val="24"/>
                <w:lang w:val="zh-CN" w:eastAsia="zh-CN" w:bidi="ar-SA"/>
              </w:rPr>
              <w:t>提供证书复印件和2</w:t>
            </w:r>
            <w:r>
              <w:rPr>
                <w:rFonts w:hint="eastAsia" w:ascii="方正仿宋_GBK" w:hAnsi="方正仿宋_GBK" w:eastAsia="方正仿宋_GBK" w:cs="方正仿宋_GBK"/>
                <w:kern w:val="2"/>
                <w:sz w:val="24"/>
                <w:szCs w:val="24"/>
                <w:lang w:val="en-US" w:eastAsia="zh-CN" w:bidi="ar-SA"/>
              </w:rPr>
              <w:t>022</w:t>
            </w:r>
            <w:r>
              <w:rPr>
                <w:rFonts w:hint="eastAsia" w:ascii="方正仿宋_GBK" w:hAnsi="方正仿宋_GBK" w:eastAsia="方正仿宋_GBK" w:cs="方正仿宋_GBK"/>
                <w:kern w:val="2"/>
                <w:sz w:val="24"/>
                <w:szCs w:val="24"/>
                <w:lang w:val="zh-CN" w:eastAsia="zh-CN" w:bidi="ar-SA"/>
              </w:rPr>
              <w:t>年</w:t>
            </w:r>
            <w:r>
              <w:rPr>
                <w:rFonts w:hint="eastAsia" w:ascii="方正仿宋_GBK" w:hAnsi="方正仿宋_GBK" w:eastAsia="方正仿宋_GBK" w:cs="方正仿宋_GBK"/>
                <w:kern w:val="2"/>
                <w:sz w:val="24"/>
                <w:szCs w:val="24"/>
                <w:lang w:val="en-US" w:eastAsia="zh-CN" w:bidi="ar-SA"/>
              </w:rPr>
              <w:t>任意连续四个</w:t>
            </w:r>
            <w:r>
              <w:rPr>
                <w:rFonts w:hint="eastAsia" w:ascii="方正仿宋_GBK" w:hAnsi="方正仿宋_GBK" w:eastAsia="方正仿宋_GBK" w:cs="方正仿宋_GBK"/>
                <w:kern w:val="2"/>
                <w:sz w:val="24"/>
                <w:szCs w:val="24"/>
                <w:lang w:val="zh-CN" w:eastAsia="zh-CN" w:bidi="ar-SA"/>
              </w:rPr>
              <w:t>月相应人员的社保缴纳证明材料，提供承诺书。</w:t>
            </w:r>
          </w:p>
        </w:tc>
      </w:tr>
    </w:tbl>
    <w:p>
      <w:pPr>
        <w:pageBreakBefore w:val="0"/>
        <w:kinsoku/>
        <w:wordWrap/>
        <w:overflowPunct/>
        <w:topLinePunct w:val="0"/>
        <w:autoSpaceDE/>
        <w:autoSpaceDN/>
        <w:bidi w:val="0"/>
        <w:snapToGrid w:val="0"/>
        <w:spacing w:line="500" w:lineRule="exact"/>
        <w:ind w:firstLine="480" w:firstLineChars="200"/>
        <w:textAlignment w:val="auto"/>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rPr>
        <w:t>说明：</w:t>
      </w:r>
    </w:p>
    <w:p>
      <w:pPr>
        <w:pageBreakBefore w:val="0"/>
        <w:kinsoku/>
        <w:wordWrap/>
        <w:overflowPunct/>
        <w:topLinePunct w:val="0"/>
        <w:autoSpaceDE/>
        <w:autoSpaceDN/>
        <w:bidi w:val="0"/>
        <w:snapToGrid w:val="0"/>
        <w:spacing w:line="500" w:lineRule="exact"/>
        <w:ind w:firstLine="480" w:firstLineChars="200"/>
        <w:textAlignment w:val="auto"/>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color w:val="000000"/>
          <w:kern w:val="0"/>
          <w:sz w:val="24"/>
          <w:szCs w:val="24"/>
          <w:highlight w:val="none"/>
          <w:lang w:eastAsia="zh-CN"/>
        </w:rPr>
        <w:t>（一）</w:t>
      </w:r>
      <w:r>
        <w:rPr>
          <w:rFonts w:hint="eastAsia" w:ascii="方正仿宋_GBK" w:hAnsi="方正仿宋_GBK" w:eastAsia="方正仿宋_GBK" w:cs="方正仿宋_GBK"/>
          <w:color w:val="000000"/>
          <w:kern w:val="0"/>
          <w:sz w:val="24"/>
          <w:szCs w:val="24"/>
          <w:highlight w:val="none"/>
        </w:rPr>
        <w:t>评标委员会认为，排名在前面的中标候选人的投标报价或者某些分项报价明显不合理或者低于成本，有可能影响服务质量和不能诚信履约的，将要求其在规定的期限内提供书面文件予以解释说明，并提交相关证明材料；否则，评标委员会可以取消该中标候选人资格，按顺序由排在后一位的中标候选人递补，以此类推。</w:t>
      </w:r>
    </w:p>
    <w:p>
      <w:pPr>
        <w:keepNext w:val="0"/>
        <w:keepLines w:val="0"/>
        <w:pageBreakBefore w:val="0"/>
        <w:widowControl/>
        <w:kinsoku/>
        <w:wordWrap/>
        <w:overflowPunct/>
        <w:topLinePunct w:val="0"/>
        <w:autoSpaceDE/>
        <w:autoSpaceDN/>
        <w:bidi w:val="0"/>
        <w:adjustRightInd/>
        <w:spacing w:line="500" w:lineRule="exact"/>
        <w:ind w:firstLine="480" w:firstLineChars="200"/>
        <w:textAlignment w:val="auto"/>
        <w:rPr>
          <w:rFonts w:hint="eastAsia" w:ascii="方正仿宋_GBK" w:hAnsi="方正仿宋_GBK" w:eastAsia="方正仿宋_GBK" w:cs="方正仿宋_GBK"/>
          <w:color w:val="000000"/>
          <w:sz w:val="24"/>
          <w:szCs w:val="24"/>
          <w:lang w:eastAsia="zh-CN"/>
        </w:rPr>
      </w:pPr>
      <w:r>
        <w:rPr>
          <w:rFonts w:hint="eastAsia" w:ascii="方正仿宋_GBK" w:hAnsi="方正仿宋_GBK" w:eastAsia="方正仿宋_GBK" w:cs="方正仿宋_GBK"/>
          <w:color w:val="000000"/>
          <w:sz w:val="24"/>
          <w:szCs w:val="24"/>
          <w:lang w:eastAsia="zh-CN"/>
        </w:rPr>
        <w:t>（</w:t>
      </w:r>
      <w:r>
        <w:rPr>
          <w:rFonts w:hint="eastAsia" w:ascii="方正仿宋_GBK" w:hAnsi="方正仿宋_GBK" w:eastAsia="方正仿宋_GBK" w:cs="方正仿宋_GBK"/>
          <w:color w:val="000000"/>
          <w:sz w:val="24"/>
          <w:szCs w:val="24"/>
          <w:lang w:val="en-US" w:eastAsia="zh-CN"/>
        </w:rPr>
        <w:t>二</w:t>
      </w:r>
      <w:r>
        <w:rPr>
          <w:rFonts w:hint="eastAsia" w:ascii="方正仿宋_GBK" w:hAnsi="方正仿宋_GBK" w:eastAsia="方正仿宋_GBK" w:cs="方正仿宋_GBK"/>
          <w:color w:val="000000"/>
          <w:sz w:val="24"/>
          <w:szCs w:val="24"/>
          <w:lang w:eastAsia="zh-CN"/>
        </w:rPr>
        <w:t>）成交供应商主动放弃中标资格，必须在1个工作日内书面通知采购人。成交供应商无故放弃成交资格，由此而产生的经济损失、经济责任和一切后果由成交供应商承担，并按《中华人民共和国政府采购法》的有关规定进行严肃处理。</w:t>
      </w:r>
    </w:p>
    <w:p>
      <w:pPr>
        <w:keepNext w:val="0"/>
        <w:keepLines w:val="0"/>
        <w:pageBreakBefore w:val="0"/>
        <w:widowControl/>
        <w:kinsoku/>
        <w:wordWrap/>
        <w:overflowPunct/>
        <w:topLinePunct w:val="0"/>
        <w:autoSpaceDE/>
        <w:autoSpaceDN/>
        <w:bidi w:val="0"/>
        <w:adjustRightInd/>
        <w:spacing w:line="500" w:lineRule="exact"/>
        <w:ind w:firstLine="480" w:firstLineChars="200"/>
        <w:textAlignment w:val="auto"/>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eastAsia="zh-CN"/>
        </w:rPr>
        <w:t>（</w:t>
      </w:r>
      <w:r>
        <w:rPr>
          <w:rFonts w:hint="eastAsia" w:ascii="方正仿宋_GBK" w:hAnsi="方正仿宋_GBK" w:eastAsia="方正仿宋_GBK" w:cs="方正仿宋_GBK"/>
          <w:color w:val="000000"/>
          <w:sz w:val="24"/>
          <w:szCs w:val="24"/>
          <w:lang w:val="en-US" w:eastAsia="zh-CN"/>
        </w:rPr>
        <w:t>三</w:t>
      </w:r>
      <w:r>
        <w:rPr>
          <w:rFonts w:hint="eastAsia" w:ascii="方正仿宋_GBK" w:hAnsi="方正仿宋_GBK" w:eastAsia="方正仿宋_GBK" w:cs="方正仿宋_GBK"/>
          <w:color w:val="000000"/>
          <w:sz w:val="24"/>
          <w:szCs w:val="24"/>
          <w:lang w:eastAsia="zh-CN"/>
        </w:rPr>
        <w:t>）</w:t>
      </w:r>
      <w:r>
        <w:rPr>
          <w:rFonts w:hint="eastAsia" w:ascii="方正仿宋_GBK" w:hAnsi="方正仿宋_GBK" w:eastAsia="方正仿宋_GBK" w:cs="方正仿宋_GBK"/>
          <w:color w:val="000000"/>
          <w:sz w:val="24"/>
          <w:szCs w:val="24"/>
          <w:lang w:val="en-US" w:eastAsia="zh-CN"/>
        </w:rPr>
        <w:t>本项目采用线下评审，以投标人上传的电子文档作为评审依据，请相关投标人做好原件的准备。</w:t>
      </w:r>
    </w:p>
    <w:p>
      <w:pPr>
        <w:pStyle w:val="4"/>
        <w:pageBreakBefore w:val="0"/>
        <w:widowControl w:val="0"/>
        <w:numPr>
          <w:ilvl w:val="2"/>
          <w:numId w:val="0"/>
        </w:numPr>
        <w:kinsoku/>
        <w:wordWrap/>
        <w:overflowPunct/>
        <w:topLinePunct w:val="0"/>
        <w:autoSpaceDE/>
        <w:autoSpaceDN/>
        <w:bidi w:val="0"/>
        <w:adjustRightInd/>
        <w:snapToGrid/>
        <w:spacing w:before="0" w:after="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十一、无效投标和废标条款</w:t>
      </w:r>
    </w:p>
    <w:p>
      <w:pPr>
        <w:pStyle w:val="3"/>
        <w:pageBreakBefore w:val="0"/>
        <w:widowControl w:val="0"/>
        <w:kinsoku/>
        <w:wordWrap/>
        <w:overflowPunct/>
        <w:topLinePunct w:val="0"/>
        <w:autoSpaceDE/>
        <w:autoSpaceDN/>
        <w:bidi w:val="0"/>
        <w:spacing w:line="500" w:lineRule="exact"/>
        <w:ind w:firstLine="480" w:firstLineChars="200"/>
        <w:textAlignment w:val="auto"/>
        <w:rPr>
          <w:rFonts w:hint="eastAsia" w:ascii="方正仿宋_GBK" w:hAnsi="宋体" w:eastAsia="方正仿宋_GBK"/>
          <w:b/>
          <w:sz w:val="24"/>
          <w:szCs w:val="24"/>
          <w:lang w:eastAsia="zh-CN"/>
        </w:rPr>
      </w:pPr>
      <w:r>
        <w:rPr>
          <w:rFonts w:hint="eastAsia" w:ascii="方正仿宋_GBK" w:hAnsi="宋体" w:eastAsia="方正仿宋_GBK"/>
          <w:b/>
          <w:sz w:val="24"/>
          <w:szCs w:val="24"/>
          <w:lang w:eastAsia="zh-CN"/>
        </w:rPr>
        <w:t>无效投标</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投标人或其投标文件出现下列情况之一者，应为无效投标：</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一</w:t>
      </w:r>
      <w:r>
        <w:rPr>
          <w:rFonts w:hint="eastAsia" w:ascii="方正仿宋_GBK" w:hAnsi="宋体" w:eastAsia="方正仿宋_GBK"/>
          <w:sz w:val="24"/>
          <w:szCs w:val="24"/>
        </w:rPr>
        <w:t>）投标文件未按招标文件要求签署、盖章的；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二</w:t>
      </w:r>
      <w:r>
        <w:rPr>
          <w:rFonts w:hint="eastAsia" w:ascii="方正仿宋_GBK" w:hAnsi="宋体" w:eastAsia="方正仿宋_GBK"/>
          <w:sz w:val="24"/>
          <w:szCs w:val="24"/>
        </w:rPr>
        <w:t>）不具备招标文件中规定的资格要求的；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三</w:t>
      </w:r>
      <w:r>
        <w:rPr>
          <w:rFonts w:hint="eastAsia" w:ascii="方正仿宋_GBK" w:hAnsi="宋体" w:eastAsia="方正仿宋_GBK"/>
          <w:sz w:val="24"/>
          <w:szCs w:val="24"/>
        </w:rPr>
        <w:t>）报价超过招标文件中规定的预算金额或者最高限价的；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四</w:t>
      </w:r>
      <w:r>
        <w:rPr>
          <w:rFonts w:hint="eastAsia" w:ascii="方正仿宋_GBK" w:hAnsi="宋体" w:eastAsia="方正仿宋_GBK"/>
          <w:sz w:val="24"/>
          <w:szCs w:val="24"/>
        </w:rPr>
        <w:t>）投标文件含有采购人不能接受的附加条件的；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五</w:t>
      </w:r>
      <w:r>
        <w:rPr>
          <w:rFonts w:hint="eastAsia" w:ascii="方正仿宋_GBK" w:hAnsi="宋体" w:eastAsia="方正仿宋_GBK"/>
          <w:sz w:val="24"/>
          <w:szCs w:val="24"/>
        </w:rPr>
        <w:t>）投标人串通投标的；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eastAsia="zh-CN"/>
        </w:rPr>
        <w:t>六</w:t>
      </w:r>
      <w:r>
        <w:rPr>
          <w:rFonts w:hint="eastAsia" w:ascii="方正仿宋_GBK" w:hAnsi="宋体" w:eastAsia="方正仿宋_GBK"/>
          <w:sz w:val="24"/>
          <w:szCs w:val="24"/>
        </w:rPr>
        <w:t>）法律、法规和招标文件规定的其他无效情形。</w:t>
      </w:r>
    </w:p>
    <w:p>
      <w:pPr>
        <w:pStyle w:val="3"/>
        <w:pageBreakBefore w:val="0"/>
        <w:widowControl w:val="0"/>
        <w:kinsoku/>
        <w:wordWrap/>
        <w:overflowPunct/>
        <w:topLinePunct w:val="0"/>
        <w:autoSpaceDE/>
        <w:autoSpaceDN/>
        <w:bidi w:val="0"/>
        <w:spacing w:line="500" w:lineRule="exact"/>
        <w:ind w:firstLine="480" w:firstLineChars="200"/>
        <w:textAlignment w:val="auto"/>
        <w:rPr>
          <w:rFonts w:hint="eastAsia" w:ascii="方正仿宋_GBK" w:eastAsia="方正仿宋_GBK"/>
          <w:b/>
          <w:sz w:val="24"/>
          <w:szCs w:val="24"/>
        </w:rPr>
      </w:pPr>
      <w:bookmarkStart w:id="85" w:name="_Toc75793522"/>
      <w:r>
        <w:rPr>
          <w:rFonts w:hint="eastAsia" w:ascii="方正仿宋_GBK" w:eastAsia="方正仿宋_GBK"/>
          <w:b/>
          <w:sz w:val="24"/>
          <w:szCs w:val="24"/>
        </w:rPr>
        <w:t>废标条款</w:t>
      </w:r>
      <w:bookmarkEnd w:id="85"/>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在招标采购中，出现下列情形之一的，应予废标：</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（一）符合专业条件的投标人或者对招标文件作实质响应的投标人不足</w:t>
      </w:r>
      <w:r>
        <w:rPr>
          <w:rFonts w:hint="eastAsia" w:ascii="方正仿宋_GBK" w:hAnsi="宋体" w:eastAsia="方正仿宋_GBK"/>
          <w:sz w:val="24"/>
          <w:szCs w:val="24"/>
          <w:lang w:eastAsia="zh-CN"/>
        </w:rPr>
        <w:t>两</w:t>
      </w:r>
      <w:r>
        <w:rPr>
          <w:rFonts w:hint="eastAsia" w:ascii="方正仿宋_GBK" w:hAnsi="宋体" w:eastAsia="方正仿宋_GBK"/>
          <w:sz w:val="24"/>
          <w:szCs w:val="24"/>
        </w:rPr>
        <w:t>家的；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（二）投标人的报价均超过了采购预算，采购人不能支付的；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（三）出现影响采购公正的违法、违规行为的；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（四）因重大变故，采购任务取消的。</w:t>
      </w:r>
    </w:p>
    <w:p>
      <w:pPr>
        <w:pageBreakBefore w:val="0"/>
        <w:widowControl w:val="0"/>
        <w:kinsoku/>
        <w:wordWrap/>
        <w:overflowPunct/>
        <w:topLinePunct w:val="0"/>
        <w:autoSpaceDE/>
        <w:autoSpaceDN/>
        <w:bidi w:val="0"/>
        <w:snapToGrid w:val="0"/>
        <w:spacing w:line="500" w:lineRule="exact"/>
        <w:ind w:firstLine="480" w:firstLineChars="200"/>
        <w:textAlignment w:val="auto"/>
        <w:rPr>
          <w:rFonts w:hint="eastAsia" w:ascii="方正仿宋_GBK" w:hAnsi="宋体" w:eastAsia="方正仿宋_GBK"/>
          <w:sz w:val="24"/>
          <w:szCs w:val="24"/>
        </w:rPr>
      </w:pPr>
      <w:r>
        <w:rPr>
          <w:rFonts w:hint="eastAsia" w:ascii="方正仿宋_GBK" w:hAnsi="宋体" w:eastAsia="方正仿宋_GBK"/>
          <w:sz w:val="24"/>
          <w:szCs w:val="24"/>
        </w:rPr>
        <w:t>废标后，除采购任务取消情形外，应当重新组织采购。</w:t>
      </w:r>
    </w:p>
    <w:p>
      <w:pPr>
        <w:pageBreakBefore w:val="0"/>
        <w:widowControl w:val="0"/>
        <w:kinsoku/>
        <w:wordWrap/>
        <w:overflowPunct/>
        <w:topLinePunct w:val="0"/>
        <w:autoSpaceDE/>
        <w:autoSpaceDN/>
        <w:bidi w:val="0"/>
        <w:adjustRightInd/>
        <w:spacing w:line="500" w:lineRule="exact"/>
        <w:ind w:left="0"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十二、其他</w:t>
      </w:r>
    </w:p>
    <w:p>
      <w:pPr>
        <w:pageBreakBefore w:val="0"/>
        <w:widowControl w:val="0"/>
        <w:kinsoku/>
        <w:wordWrap/>
        <w:overflowPunct/>
        <w:topLinePunct w:val="0"/>
        <w:autoSpaceDE/>
        <w:autoSpaceDN/>
        <w:bidi w:val="0"/>
        <w:adjustRightIn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1.</w:t>
      </w:r>
      <w:r>
        <w:rPr>
          <w:rFonts w:hint="eastAsia" w:ascii="方正仿宋_GBK" w:hAnsi="方正仿宋_GBK" w:eastAsia="方正仿宋_GBK" w:cs="方正仿宋_GBK"/>
          <w:sz w:val="24"/>
          <w:szCs w:val="24"/>
        </w:rPr>
        <w:t>供应商必须对以上条款和服务承诺明确列出，承诺内容必须达到要求。</w:t>
      </w:r>
    </w:p>
    <w:p>
      <w:pPr>
        <w:pageBreakBefore w:val="0"/>
        <w:widowControl w:val="0"/>
        <w:kinsoku/>
        <w:wordWrap/>
        <w:overflowPunct/>
        <w:topLinePunct w:val="0"/>
        <w:autoSpaceDE/>
        <w:autoSpaceDN/>
        <w:bidi w:val="0"/>
        <w:adjustRightInd/>
        <w:spacing w:line="500" w:lineRule="exact"/>
        <w:ind w:left="0"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其他未尽事宜由供需双方在采购合同中详细约定。</w:t>
      </w:r>
    </w:p>
    <w:p>
      <w:pPr>
        <w:pStyle w:val="4"/>
        <w:pageBreakBefore w:val="0"/>
        <w:widowControl w:val="0"/>
        <w:numPr>
          <w:ilvl w:val="2"/>
          <w:numId w:val="0"/>
        </w:numPr>
        <w:kinsoku/>
        <w:wordWrap/>
        <w:overflowPunct/>
        <w:topLinePunct w:val="0"/>
        <w:autoSpaceDE/>
        <w:autoSpaceDN/>
        <w:bidi w:val="0"/>
        <w:adjustRightInd/>
        <w:snapToGrid/>
        <w:spacing w:before="0" w:after="0" w:line="500" w:lineRule="exact"/>
        <w:ind w:firstLine="480" w:firstLineChars="200"/>
        <w:textAlignment w:val="auto"/>
        <w:rPr>
          <w:rFonts w:hint="eastAsia" w:ascii="方正黑体_GBK" w:hAnsi="方正黑体_GBK" w:eastAsia="方正黑体_GBK" w:cs="方正黑体_GBK"/>
          <w:b w:val="0"/>
          <w:bCs w:val="0"/>
          <w:kern w:val="2"/>
          <w:sz w:val="24"/>
          <w:szCs w:val="24"/>
          <w:lang w:val="en-US" w:eastAsia="zh-CN" w:bidi="ar-SA"/>
        </w:rPr>
      </w:pPr>
      <w:r>
        <w:rPr>
          <w:rFonts w:hint="eastAsia" w:ascii="方正黑体_GBK" w:hAnsi="方正黑体_GBK" w:eastAsia="方正黑体_GBK" w:cs="方正黑体_GBK"/>
          <w:b w:val="0"/>
          <w:bCs w:val="0"/>
          <w:kern w:val="2"/>
          <w:sz w:val="24"/>
          <w:szCs w:val="24"/>
          <w:lang w:val="en-US" w:eastAsia="zh-CN" w:bidi="ar-SA"/>
        </w:rPr>
        <w:t>十三、供应商提交响应文件</w:t>
      </w:r>
    </w:p>
    <w:p>
      <w:pPr>
        <w:pageBreakBefore w:val="0"/>
        <w:widowControl w:val="0"/>
        <w:kinsoku/>
        <w:wordWrap/>
        <w:overflowPunct/>
        <w:topLinePunct w:val="0"/>
        <w:autoSpaceDE/>
        <w:autoSpaceDN/>
        <w:bidi w:val="0"/>
        <w:adjustRightIn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1.供应商线上报名、报价时需上传盖章后的电子文档一份。</w:t>
      </w:r>
    </w:p>
    <w:p>
      <w:pPr>
        <w:pageBreakBefore w:val="0"/>
        <w:widowControl w:val="0"/>
        <w:kinsoku/>
        <w:wordWrap/>
        <w:overflowPunct/>
        <w:topLinePunct w:val="0"/>
        <w:autoSpaceDE/>
        <w:autoSpaceDN/>
        <w:bidi w:val="0"/>
        <w:adjustRightIn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2.采购人将以平台的线上资料作为评判依据。</w:t>
      </w:r>
    </w:p>
    <w:p>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3.供应商制作的响应文件电子文档，须按照要求制作，规定签字、盖章的地方必须按其规定签字、盖章，未按要求制作响应文件的进行废标处理。</w:t>
      </w:r>
    </w:p>
    <w:p>
      <w:pPr>
        <w:pStyle w:val="6"/>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color w:val="auto"/>
          <w:sz w:val="24"/>
          <w:szCs w:val="24"/>
          <w:lang w:val="en-US" w:eastAsia="zh-CN"/>
        </w:rPr>
      </w:pPr>
      <w:r>
        <w:rPr>
          <w:rFonts w:hint="eastAsia" w:ascii="方正仿宋_GBK" w:hAnsi="方正仿宋_GBK" w:eastAsia="方正仿宋_GBK" w:cs="方正仿宋_GBK"/>
          <w:color w:val="auto"/>
          <w:sz w:val="24"/>
          <w:szCs w:val="24"/>
          <w:lang w:val="en-US" w:eastAsia="zh-CN"/>
        </w:rPr>
        <w:t>4.其他文件</w:t>
      </w:r>
    </w:p>
    <w:p>
      <w:pPr>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br w:type="page"/>
      </w:r>
    </w:p>
    <w:p>
      <w:pPr>
        <w:spacing w:line="312" w:lineRule="auto"/>
        <w:jc w:val="center"/>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供应商编制响应文件要求</w:t>
      </w:r>
    </w:p>
    <w:p>
      <w:pPr>
        <w:pStyle w:val="4"/>
        <w:pageBreakBefore w:val="0"/>
        <w:widowControl w:val="0"/>
        <w:numPr>
          <w:ilvl w:val="2"/>
          <w:numId w:val="0"/>
        </w:numPr>
        <w:kinsoku/>
        <w:wordWrap/>
        <w:overflowPunct/>
        <w:topLinePunct w:val="0"/>
        <w:autoSpaceDE/>
        <w:autoSpaceDN/>
        <w:bidi w:val="0"/>
        <w:adjustRightInd/>
        <w:snapToGrid/>
        <w:spacing w:before="0" w:after="0" w:line="312" w:lineRule="auto"/>
        <w:ind w:firstLine="480" w:firstLineChars="200"/>
        <w:textAlignment w:val="auto"/>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一、报价</w:t>
      </w:r>
    </w:p>
    <w:p>
      <w:pPr>
        <w:tabs>
          <w:tab w:val="left" w:pos="6300"/>
        </w:tabs>
        <w:snapToGrid w:val="0"/>
        <w:spacing w:line="312" w:lineRule="auto"/>
        <w:ind w:firstLine="480" w:firstLineChars="200"/>
        <w:rPr>
          <w:rFonts w:hint="eastAsia" w:ascii="方正仿宋_GBK" w:hAnsi="方正仿宋_GBK" w:eastAsia="方正仿宋_GBK" w:cs="方正仿宋_GBK"/>
          <w:b w:val="0"/>
          <w:bCs/>
          <w:sz w:val="24"/>
          <w:szCs w:val="24"/>
        </w:rPr>
      </w:pPr>
      <w:r>
        <w:rPr>
          <w:rFonts w:hint="eastAsia" w:ascii="方正仿宋_GBK" w:hAnsi="方正仿宋_GBK" w:eastAsia="方正仿宋_GBK" w:cs="方正仿宋_GBK"/>
          <w:b w:val="0"/>
          <w:bCs/>
          <w:sz w:val="24"/>
          <w:szCs w:val="24"/>
          <w:lang w:val="en-US" w:eastAsia="zh-CN"/>
        </w:rPr>
        <w:t>（一）</w:t>
      </w:r>
      <w:r>
        <w:rPr>
          <w:rFonts w:hint="eastAsia" w:ascii="方正仿宋_GBK" w:hAnsi="方正仿宋_GBK" w:eastAsia="方正仿宋_GBK" w:cs="方正仿宋_GBK"/>
          <w:b w:val="0"/>
          <w:bCs/>
          <w:sz w:val="24"/>
          <w:szCs w:val="24"/>
        </w:rPr>
        <w:t>报价函</w:t>
      </w:r>
    </w:p>
    <w:p>
      <w:pPr>
        <w:tabs>
          <w:tab w:val="left" w:pos="6300"/>
        </w:tabs>
        <w:snapToGrid w:val="0"/>
        <w:spacing w:line="360" w:lineRule="auto"/>
        <w:jc w:val="center"/>
        <w:outlineLvl w:val="0"/>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报价函</w:t>
      </w:r>
    </w:p>
    <w:p>
      <w:pPr>
        <w:tabs>
          <w:tab w:val="left" w:pos="6300"/>
        </w:tabs>
        <w:snapToGrid w:val="0"/>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u w:val="single"/>
        </w:rPr>
        <w:t>（采购人名称）</w:t>
      </w:r>
      <w:r>
        <w:rPr>
          <w:rFonts w:hint="eastAsia" w:ascii="方正仿宋_GBK" w:hAnsi="方正仿宋_GBK" w:eastAsia="方正仿宋_GBK" w:cs="方正仿宋_GBK"/>
          <w:sz w:val="24"/>
          <w:szCs w:val="24"/>
        </w:rPr>
        <w:t>：</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我方收到____________________________（项目名称）的询比采购文件，经详细研究，决定参加该项目的询比。</w:t>
      </w:r>
    </w:p>
    <w:p>
      <w:pPr>
        <w:tabs>
          <w:tab w:val="left" w:pos="6300"/>
        </w:tabs>
        <w:snapToGrid w:val="0"/>
        <w:spacing w:line="360" w:lineRule="auto"/>
        <w:ind w:left="10" w:leftChars="5" w:firstLine="458" w:firstLineChars="191"/>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1、愿意按照询比采购文件中的一切要求，提供本项目的技术服务，报价为</w:t>
      </w:r>
      <w:r>
        <w:rPr>
          <w:rFonts w:hint="eastAsia" w:ascii="方正仿宋_GBK" w:hAnsi="方正仿宋_GBK" w:eastAsia="方正仿宋_GBK" w:cs="方正仿宋_GBK"/>
          <w:sz w:val="24"/>
          <w:szCs w:val="24"/>
          <w:lang w:eastAsia="zh-CN"/>
        </w:rPr>
        <w:t>折扣系数</w:t>
      </w:r>
      <w:r>
        <w:rPr>
          <w:rFonts w:hint="eastAsia" w:ascii="方正仿宋_GBK" w:hAnsi="方正仿宋_GBK" w:eastAsia="方正仿宋_GBK" w:cs="方正仿宋_GBK"/>
          <w:sz w:val="24"/>
          <w:szCs w:val="24"/>
          <w:lang w:val="en-US" w:eastAsia="zh-CN"/>
        </w:rPr>
        <w:t>:</w:t>
      </w:r>
      <w:r>
        <w:rPr>
          <w:rFonts w:hint="eastAsia" w:ascii="方正仿宋_GBK" w:hAnsi="方正仿宋_GBK" w:eastAsia="方正仿宋_GBK" w:cs="方正仿宋_GBK"/>
          <w:sz w:val="24"/>
          <w:szCs w:val="24"/>
        </w:rPr>
        <w:t>__________</w:t>
      </w:r>
      <w:r>
        <w:rPr>
          <w:rFonts w:hint="eastAsia" w:ascii="方正仿宋_GBK" w:hAnsi="方正仿宋_GBK" w:eastAsia="方正仿宋_GBK" w:cs="方正仿宋_GBK"/>
          <w:sz w:val="24"/>
          <w:szCs w:val="24"/>
          <w:lang w:eastAsia="zh-CN"/>
        </w:rPr>
        <w:t>（保留两位小数）</w:t>
      </w:r>
      <w:r>
        <w:rPr>
          <w:rFonts w:hint="eastAsia" w:ascii="方正仿宋_GBK" w:hAnsi="方正仿宋_GBK" w:eastAsia="方正仿宋_GBK" w:cs="方正仿宋_GBK"/>
          <w:sz w:val="24"/>
          <w:szCs w:val="24"/>
        </w:rPr>
        <w:t>。</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2、我方现提交的响应文件为：响应文件电子文档壹份。</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3、我方承诺：本次询比的有效期为90天。</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4、我方完全理解和接受贵方询比采购文件的一切规定和要求及评审办法。</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5、在整个询比采购过程中，我方若有违规行为，接受按照</w:t>
      </w:r>
      <w:r>
        <w:rPr>
          <w:rFonts w:hint="eastAsia" w:ascii="方正仿宋_GBK" w:hAnsi="方正仿宋_GBK" w:eastAsia="方正仿宋_GBK" w:cs="方正仿宋_GBK"/>
          <w:sz w:val="24"/>
          <w:szCs w:val="24"/>
          <w:lang w:val="en-US" w:eastAsia="zh-CN"/>
        </w:rPr>
        <w:t>重庆市政府采购·云平台</w:t>
      </w:r>
      <w:r>
        <w:rPr>
          <w:rFonts w:hint="eastAsia" w:ascii="方正仿宋_GBK" w:hAnsi="方正仿宋_GBK" w:eastAsia="方正仿宋_GBK" w:cs="方正仿宋_GBK"/>
          <w:sz w:val="24"/>
          <w:szCs w:val="24"/>
        </w:rPr>
        <w:t>规定给予惩罚。</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6、我方若</w:t>
      </w:r>
      <w:r>
        <w:rPr>
          <w:rFonts w:hint="eastAsia" w:ascii="方正仿宋_GBK" w:hAnsi="方正仿宋_GBK" w:eastAsia="方正仿宋_GBK" w:cs="方正仿宋_GBK"/>
          <w:sz w:val="24"/>
          <w:szCs w:val="24"/>
          <w:lang w:val="en-US" w:eastAsia="zh-CN"/>
        </w:rPr>
        <w:t>中选</w:t>
      </w:r>
      <w:r>
        <w:rPr>
          <w:rFonts w:hint="eastAsia" w:ascii="方正仿宋_GBK" w:hAnsi="方正仿宋_GBK" w:eastAsia="方正仿宋_GBK" w:cs="方正仿宋_GBK"/>
          <w:sz w:val="24"/>
          <w:szCs w:val="24"/>
        </w:rPr>
        <w:t>，将按照询比结果签订合同，并且严格履行合同义务。本承诺函将成为合同不可分割的一部分，与合同具有同等的法律效力。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7、我方理解，最低报价不是成交的唯一条件。</w:t>
      </w:r>
    </w:p>
    <w:p>
      <w:pPr>
        <w:tabs>
          <w:tab w:val="left" w:pos="6300"/>
        </w:tabs>
        <w:snapToGrid w:val="0"/>
        <w:spacing w:line="360" w:lineRule="auto"/>
        <w:ind w:firstLine="570"/>
        <w:rPr>
          <w:rFonts w:hint="eastAsia" w:ascii="方正仿宋_GBK" w:hAnsi="方正仿宋_GBK" w:eastAsia="方正仿宋_GBK" w:cs="方正仿宋_GBK"/>
          <w:sz w:val="24"/>
          <w:szCs w:val="24"/>
        </w:rPr>
      </w:pPr>
    </w:p>
    <w:p>
      <w:pPr>
        <w:tabs>
          <w:tab w:val="left" w:pos="6300"/>
        </w:tabs>
        <w:snapToGrid w:val="0"/>
        <w:spacing w:line="360" w:lineRule="auto"/>
        <w:ind w:firstLine="570"/>
        <w:rPr>
          <w:rFonts w:hint="eastAsia" w:ascii="方正仿宋_GBK" w:hAnsi="方正仿宋_GBK" w:eastAsia="方正仿宋_GBK" w:cs="方正仿宋_GBK"/>
          <w:sz w:val="24"/>
          <w:szCs w:val="24"/>
        </w:rPr>
      </w:pPr>
    </w:p>
    <w:p>
      <w:pPr>
        <w:tabs>
          <w:tab w:val="left" w:pos="6300"/>
        </w:tabs>
        <w:snapToGrid w:val="0"/>
        <w:spacing w:line="360" w:lineRule="auto"/>
        <w:ind w:firstLine="570"/>
        <w:rPr>
          <w:rFonts w:hint="eastAsia" w:ascii="方正仿宋_GBK" w:hAnsi="方正仿宋_GBK" w:eastAsia="方正仿宋_GBK" w:cs="方正仿宋_GBK"/>
          <w:sz w:val="24"/>
          <w:szCs w:val="24"/>
        </w:rPr>
      </w:pPr>
    </w:p>
    <w:p>
      <w:pPr>
        <w:tabs>
          <w:tab w:val="left" w:pos="6300"/>
        </w:tabs>
        <w:snapToGrid w:val="0"/>
        <w:spacing w:line="360" w:lineRule="auto"/>
        <w:ind w:firstLine="570"/>
        <w:rPr>
          <w:rFonts w:hint="eastAsia" w:ascii="方正仿宋_GBK" w:hAnsi="方正仿宋_GBK" w:eastAsia="方正仿宋_GBK" w:cs="方正仿宋_GBK"/>
          <w:sz w:val="24"/>
          <w:szCs w:val="24"/>
        </w:rPr>
      </w:pPr>
    </w:p>
    <w:p>
      <w:pPr>
        <w:tabs>
          <w:tab w:val="left" w:pos="6300"/>
        </w:tabs>
        <w:snapToGrid w:val="0"/>
        <w:spacing w:line="360" w:lineRule="auto"/>
        <w:ind w:firstLine="57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供应商</w:t>
      </w:r>
      <w:r>
        <w:rPr>
          <w:rFonts w:hint="eastAsia" w:ascii="方正仿宋_GBK" w:hAnsi="方正仿宋_GBK" w:eastAsia="方正仿宋_GBK" w:cs="方正仿宋_GBK"/>
          <w:sz w:val="24"/>
          <w:szCs w:val="24"/>
          <w:lang w:val="en-US" w:eastAsia="zh-CN"/>
        </w:rPr>
        <w:t>名称</w:t>
      </w:r>
      <w:r>
        <w:rPr>
          <w:rFonts w:hint="eastAsia" w:ascii="方正仿宋_GBK" w:hAnsi="方正仿宋_GBK" w:eastAsia="方正仿宋_GBK" w:cs="方正仿宋_GBK"/>
          <w:sz w:val="24"/>
          <w:szCs w:val="24"/>
        </w:rPr>
        <w:t>（公章）：</w:t>
      </w:r>
    </w:p>
    <w:p>
      <w:pPr>
        <w:snapToGrid w:val="0"/>
        <w:spacing w:line="360" w:lineRule="auto"/>
        <w:ind w:firstLine="480" w:firstLineChars="200"/>
        <w:rPr>
          <w:rFonts w:hint="eastAsia" w:ascii="方正仿宋_GBK" w:hAnsi="方正仿宋_GBK" w:eastAsia="方正仿宋_GBK" w:cs="方正仿宋_GBK"/>
          <w:sz w:val="24"/>
          <w:szCs w:val="24"/>
        </w:rPr>
        <w:sectPr>
          <w:footerReference r:id="rId3" w:type="default"/>
          <w:pgSz w:w="11907" w:h="16840"/>
          <w:pgMar w:top="1134" w:right="1191" w:bottom="1134" w:left="1304" w:header="851" w:footer="992" w:gutter="0"/>
          <w:pgNumType w:fmt="numberInDash" w:start="1"/>
          <w:cols w:space="720" w:num="1"/>
          <w:docGrid w:linePitch="380" w:charSpace="-5735"/>
        </w:sectPr>
      </w:pPr>
      <w:r>
        <w:rPr>
          <w:rFonts w:hint="eastAsia" w:ascii="方正仿宋_GBK" w:hAnsi="方正仿宋_GBK" w:eastAsia="方正仿宋_GBK" w:cs="方正仿宋_GBK"/>
          <w:sz w:val="24"/>
          <w:szCs w:val="24"/>
        </w:rPr>
        <w:t xml:space="preserve">                                                  年   月   日</w:t>
      </w:r>
    </w:p>
    <w:p>
      <w:pPr>
        <w:tabs>
          <w:tab w:val="left" w:pos="2895"/>
        </w:tabs>
        <w:spacing w:line="312"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（二）明细报价表</w:t>
      </w:r>
    </w:p>
    <w:p>
      <w:pPr>
        <w:tabs>
          <w:tab w:val="left" w:pos="2975"/>
          <w:tab w:val="center" w:pos="4765"/>
        </w:tabs>
        <w:spacing w:line="312" w:lineRule="auto"/>
        <w:jc w:val="left"/>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ab/>
      </w:r>
      <w:r>
        <w:rPr>
          <w:rFonts w:hint="eastAsia" w:ascii="方正仿宋_GBK" w:hAnsi="方正仿宋_GBK" w:eastAsia="方正仿宋_GBK" w:cs="方正仿宋_GBK"/>
          <w:b/>
          <w:sz w:val="24"/>
          <w:szCs w:val="24"/>
        </w:rPr>
        <w:tab/>
      </w:r>
      <w:r>
        <w:rPr>
          <w:rFonts w:hint="eastAsia" w:ascii="方正仿宋_GBK" w:hAnsi="方正仿宋_GBK" w:eastAsia="方正仿宋_GBK" w:cs="方正仿宋_GBK"/>
          <w:b/>
          <w:sz w:val="24"/>
          <w:szCs w:val="24"/>
        </w:rPr>
        <w:t>明细报价表</w:t>
      </w:r>
    </w:p>
    <w:tbl>
      <w:tblPr>
        <w:tblStyle w:val="14"/>
        <w:tblpPr w:leftFromText="180" w:rightFromText="180" w:vertAnchor="text" w:tblpXSpec="center" w:tblpY="1"/>
        <w:tblOverlap w:val="never"/>
        <w:tblW w:w="10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序号</w:t>
            </w:r>
          </w:p>
        </w:tc>
        <w:tc>
          <w:tcPr>
            <w:tcW w:w="1695"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名称</w:t>
            </w:r>
          </w:p>
        </w:tc>
        <w:tc>
          <w:tcPr>
            <w:tcW w:w="3404"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相关信息</w:t>
            </w:r>
          </w:p>
        </w:tc>
        <w:tc>
          <w:tcPr>
            <w:tcW w:w="1344"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数量</w:t>
            </w:r>
          </w:p>
        </w:tc>
        <w:tc>
          <w:tcPr>
            <w:tcW w:w="1344"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单价</w:t>
            </w:r>
          </w:p>
        </w:tc>
        <w:tc>
          <w:tcPr>
            <w:tcW w:w="1344" w:type="dxa"/>
            <w:vAlign w:val="center"/>
          </w:tcPr>
          <w:p>
            <w:pPr>
              <w:jc w:val="cente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211</w:t>
            </w:r>
            <w:r>
              <w:rPr>
                <w:rFonts w:hint="eastAsia" w:ascii="方正仿宋_GBK" w:hAnsi="方正仿宋_GBK" w:eastAsia="方正仿宋_GBK" w:cs="方正仿宋_GBK"/>
                <w:sz w:val="24"/>
                <w:szCs w:val="24"/>
              </w:rPr>
              <w:t>1</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2</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1</w:t>
            </w:r>
            <w:r>
              <w:rPr>
                <w:rFonts w:hint="eastAsia" w:ascii="方正仿宋_GBK" w:hAnsi="方正仿宋_GBK" w:eastAsia="方正仿宋_GBK" w:cs="方正仿宋_GBK"/>
                <w:sz w:val="24"/>
                <w:szCs w:val="24"/>
              </w:rPr>
              <w:t>3</w:t>
            </w:r>
          </w:p>
        </w:tc>
        <w:tc>
          <w:tcPr>
            <w:tcW w:w="1695" w:type="dxa"/>
            <w:vAlign w:val="center"/>
          </w:tcPr>
          <w:p>
            <w:pPr>
              <w:jc w:val="center"/>
              <w:rPr>
                <w:rFonts w:hint="eastAsia" w:ascii="方正仿宋_GBK" w:hAnsi="方正仿宋_GBK" w:eastAsia="方正仿宋_GBK" w:cs="方正仿宋_GBK"/>
                <w:sz w:val="24"/>
                <w:szCs w:val="24"/>
                <w:lang w:val="en-US" w:eastAsia="zh-CN"/>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p>
        </w:tc>
        <w:tc>
          <w:tcPr>
            <w:tcW w:w="1695" w:type="dxa"/>
            <w:vAlign w:val="center"/>
          </w:tcPr>
          <w:p>
            <w:pPr>
              <w:jc w:val="center"/>
              <w:rPr>
                <w:rFonts w:hint="eastAsia" w:ascii="方正仿宋_GBK" w:hAnsi="方正仿宋_GBK" w:eastAsia="方正仿宋_GBK" w:cs="方正仿宋_GBK"/>
                <w:sz w:val="24"/>
                <w:szCs w:val="24"/>
              </w:rPr>
            </w:pP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p>
        </w:tc>
        <w:tc>
          <w:tcPr>
            <w:tcW w:w="1695"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人工费</w:t>
            </w: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w:t>
            </w:r>
          </w:p>
        </w:tc>
        <w:tc>
          <w:tcPr>
            <w:tcW w:w="1695"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各种税费</w:t>
            </w: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w:t>
            </w:r>
          </w:p>
        </w:tc>
        <w:tc>
          <w:tcPr>
            <w:tcW w:w="1695"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其他费用</w:t>
            </w: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11</w:t>
            </w:r>
          </w:p>
        </w:tc>
        <w:tc>
          <w:tcPr>
            <w:tcW w:w="1695"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3404" w:type="dxa"/>
            <w:vAlign w:val="top"/>
          </w:tcPr>
          <w:p>
            <w:pPr>
              <w:jc w:val="center"/>
              <w:rPr>
                <w:rFonts w:hint="eastAsia" w:ascii="方正仿宋_GBK" w:hAnsi="方正仿宋_GBK" w:eastAsia="方正仿宋_GBK" w:cs="方正仿宋_GBK"/>
                <w:sz w:val="24"/>
                <w:szCs w:val="24"/>
              </w:rPr>
            </w:pPr>
          </w:p>
        </w:tc>
        <w:tc>
          <w:tcPr>
            <w:tcW w:w="1344"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344" w:type="dxa"/>
            <w:vAlign w:val="top"/>
          </w:tcPr>
          <w:p>
            <w:pPr>
              <w:jc w:val="center"/>
              <w:rPr>
                <w:rFonts w:hint="eastAsia" w:ascii="方正仿宋_GBK" w:hAnsi="方正仿宋_GBK" w:eastAsia="方正仿宋_GBK" w:cs="方正仿宋_GBK"/>
                <w:sz w:val="24"/>
                <w:szCs w:val="24"/>
              </w:rPr>
            </w:pPr>
          </w:p>
        </w:tc>
        <w:tc>
          <w:tcPr>
            <w:tcW w:w="1344" w:type="dxa"/>
            <w:vAlign w:val="top"/>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8"/>
              <w:spacing w:line="240" w:lineRule="auto"/>
              <w:ind w:left="3920"/>
              <w:jc w:val="center"/>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12</w:t>
            </w:r>
          </w:p>
        </w:tc>
        <w:tc>
          <w:tcPr>
            <w:tcW w:w="1695"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总计</w:t>
            </w:r>
          </w:p>
        </w:tc>
        <w:tc>
          <w:tcPr>
            <w:tcW w:w="7436" w:type="dxa"/>
            <w:gridSpan w:val="4"/>
            <w:vAlign w:val="top"/>
          </w:tcPr>
          <w:p>
            <w:pPr>
              <w:rPr>
                <w:rFonts w:hint="eastAsia" w:ascii="方正仿宋_GBK" w:hAnsi="方正仿宋_GBK" w:eastAsia="方正仿宋_GBK" w:cs="方正仿宋_GBK"/>
                <w:sz w:val="24"/>
                <w:szCs w:val="24"/>
              </w:rPr>
            </w:pPr>
          </w:p>
        </w:tc>
      </w:tr>
    </w:tbl>
    <w:p>
      <w:pPr>
        <w:snapToGrid w:val="0"/>
        <w:spacing w:line="312" w:lineRule="auto"/>
        <w:ind w:firstLine="480" w:firstLineChars="200"/>
        <w:rPr>
          <w:rFonts w:hint="eastAsia" w:ascii="方正仿宋_GBK" w:hAnsi="方正仿宋_GBK" w:eastAsia="方正仿宋_GBK" w:cs="方正仿宋_GBK"/>
          <w:sz w:val="24"/>
          <w:szCs w:val="24"/>
        </w:rPr>
      </w:pPr>
    </w:p>
    <w:p>
      <w:pPr>
        <w:snapToGrid w:val="0"/>
        <w:spacing w:line="312" w:lineRule="auto"/>
        <w:ind w:firstLine="480" w:firstLineChars="200"/>
        <w:rPr>
          <w:rFonts w:hint="eastAsia" w:ascii="方正仿宋_GBK" w:hAnsi="方正仿宋_GBK" w:eastAsia="方正仿宋_GBK" w:cs="方正仿宋_GBK"/>
          <w:sz w:val="24"/>
          <w:szCs w:val="24"/>
        </w:rPr>
      </w:pPr>
    </w:p>
    <w:p>
      <w:pPr>
        <w:snapToGrid w:val="0"/>
        <w:spacing w:line="312"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w:t>
      </w:r>
      <w:r>
        <w:rPr>
          <w:rFonts w:hint="eastAsia" w:ascii="方正仿宋_GBK" w:hAnsi="方正仿宋_GBK" w:eastAsia="方正仿宋_GBK" w:cs="方正仿宋_GBK"/>
          <w:sz w:val="24"/>
          <w:szCs w:val="24"/>
          <w:lang w:val="en-US" w:eastAsia="zh-CN"/>
        </w:rPr>
        <w:t>本表</w:t>
      </w:r>
      <w:r>
        <w:rPr>
          <w:rFonts w:hint="eastAsia" w:ascii="方正仿宋_GBK" w:hAnsi="方正仿宋_GBK" w:eastAsia="方正仿宋_GBK" w:cs="方正仿宋_GBK"/>
          <w:sz w:val="24"/>
          <w:szCs w:val="24"/>
        </w:rPr>
        <w:t>可根据项目实际情况调整</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并逐页盖章。</w:t>
      </w:r>
    </w:p>
    <w:p>
      <w:pPr>
        <w:pStyle w:val="13"/>
        <w:spacing w:line="312" w:lineRule="auto"/>
        <w:ind w:firstLine="480"/>
        <w:rPr>
          <w:rFonts w:hint="eastAsia" w:ascii="方正仿宋_GBK" w:hAnsi="方正仿宋_GBK" w:eastAsia="方正仿宋_GBK" w:cs="方正仿宋_GBK"/>
          <w:sz w:val="24"/>
          <w:szCs w:val="24"/>
        </w:rPr>
      </w:pPr>
    </w:p>
    <w:p>
      <w:pPr>
        <w:pStyle w:val="13"/>
        <w:spacing w:line="312" w:lineRule="auto"/>
        <w:ind w:firstLine="48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p>
    <w:p>
      <w:pPr>
        <w:spacing w:line="312" w:lineRule="auto"/>
        <w:rPr>
          <w:rFonts w:hint="eastAsia" w:ascii="方正仿宋_GBK" w:hAnsi="方正仿宋_GBK" w:eastAsia="方正仿宋_GBK" w:cs="方正仿宋_GBK"/>
          <w:sz w:val="24"/>
          <w:szCs w:val="24"/>
        </w:rPr>
      </w:pPr>
    </w:p>
    <w:p>
      <w:pPr>
        <w:spacing w:line="312"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供应商名称（公章）：</w:t>
      </w:r>
    </w:p>
    <w:p>
      <w:pPr>
        <w:spacing w:line="312" w:lineRule="auto"/>
        <w:ind w:right="480" w:firstLine="6480" w:firstLineChars="27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年     月    日</w:t>
      </w:r>
    </w:p>
    <w:p>
      <w:pPr>
        <w:widowControl w:val="0"/>
        <w:numPr>
          <w:ilvl w:val="0"/>
          <w:numId w:val="0"/>
        </w:numPr>
        <w:spacing w:line="312" w:lineRule="auto"/>
        <w:ind w:firstLine="420" w:firstLineChars="0"/>
        <w:jc w:val="both"/>
        <w:rPr>
          <w:rFonts w:hint="eastAsia" w:ascii="方正仿宋_GBK" w:hAnsi="方正仿宋_GBK" w:eastAsia="方正仿宋_GBK" w:cs="方正仿宋_GBK"/>
          <w:b/>
          <w:bCs w:val="0"/>
          <w:sz w:val="24"/>
          <w:szCs w:val="24"/>
          <w:lang w:val="en-US" w:eastAsia="zh-CN"/>
        </w:rPr>
      </w:pPr>
    </w:p>
    <w:p>
      <w:pPr>
        <w:widowControl w:val="0"/>
        <w:numPr>
          <w:ilvl w:val="0"/>
          <w:numId w:val="0"/>
        </w:numPr>
        <w:spacing w:line="312" w:lineRule="auto"/>
        <w:jc w:val="both"/>
        <w:rPr>
          <w:rFonts w:hint="eastAsia" w:ascii="方正仿宋_GBK" w:hAnsi="方正仿宋_GBK" w:eastAsia="方正仿宋_GBK" w:cs="方正仿宋_GBK"/>
          <w:b/>
          <w:bCs w:val="0"/>
          <w:sz w:val="24"/>
          <w:szCs w:val="24"/>
          <w:lang w:val="en-US" w:eastAsia="zh-CN"/>
        </w:rPr>
      </w:pPr>
    </w:p>
    <w:p>
      <w:pPr>
        <w:widowControl w:val="0"/>
        <w:numPr>
          <w:ilvl w:val="0"/>
          <w:numId w:val="0"/>
        </w:numPr>
        <w:spacing w:line="312" w:lineRule="auto"/>
        <w:jc w:val="both"/>
        <w:rPr>
          <w:rFonts w:hint="eastAsia" w:ascii="方正仿宋_GBK" w:hAnsi="方正仿宋_GBK" w:eastAsia="方正仿宋_GBK" w:cs="方正仿宋_GBK"/>
          <w:b/>
          <w:bCs w:val="0"/>
          <w:sz w:val="24"/>
          <w:szCs w:val="24"/>
          <w:lang w:val="en-US" w:eastAsia="zh-CN"/>
        </w:rPr>
      </w:pPr>
    </w:p>
    <w:p>
      <w:pPr>
        <w:spacing w:line="312" w:lineRule="auto"/>
        <w:ind w:firstLine="480" w:firstLineChars="200"/>
        <w:rPr>
          <w:rFonts w:hint="eastAsia" w:ascii="方正仿宋_GBK" w:hAnsi="方正仿宋_GBK" w:eastAsia="方正仿宋_GBK" w:cs="方正仿宋_GBK"/>
          <w:color w:val="FF0000"/>
          <w:sz w:val="24"/>
          <w:szCs w:val="24"/>
        </w:rPr>
      </w:pPr>
    </w:p>
    <w:p>
      <w:pPr>
        <w:spacing w:line="312" w:lineRule="auto"/>
        <w:ind w:firstLine="480" w:firstLineChars="200"/>
        <w:rPr>
          <w:rFonts w:hint="eastAsia" w:ascii="方正仿宋_GBK" w:hAnsi="方正仿宋_GBK" w:eastAsia="方正仿宋_GBK" w:cs="方正仿宋_GBK"/>
          <w:color w:val="FF0000"/>
          <w:sz w:val="24"/>
          <w:szCs w:val="24"/>
        </w:rPr>
        <w:sectPr>
          <w:headerReference r:id="rId4" w:type="default"/>
          <w:footerReference r:id="rId5" w:type="default"/>
          <w:pgSz w:w="11907" w:h="16840"/>
          <w:pgMar w:top="1134" w:right="1418" w:bottom="1134" w:left="1418" w:header="964" w:footer="992" w:gutter="0"/>
          <w:pgNumType w:fmt="numberInDash"/>
          <w:cols w:space="720" w:num="1"/>
          <w:docGrid w:linePitch="312" w:charSpace="0"/>
        </w:sectPr>
      </w:pPr>
    </w:p>
    <w:p>
      <w:pPr>
        <w:pStyle w:val="4"/>
        <w:pageBreakBefore w:val="0"/>
        <w:widowControl w:val="0"/>
        <w:numPr>
          <w:ilvl w:val="2"/>
          <w:numId w:val="0"/>
        </w:numPr>
        <w:kinsoku/>
        <w:wordWrap/>
        <w:overflowPunct/>
        <w:topLinePunct w:val="0"/>
        <w:autoSpaceDE/>
        <w:autoSpaceDN/>
        <w:bidi w:val="0"/>
        <w:adjustRightInd/>
        <w:snapToGrid/>
        <w:spacing w:before="0" w:after="0" w:line="312" w:lineRule="auto"/>
        <w:textAlignment w:val="auto"/>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二、服务方案</w:t>
      </w:r>
    </w:p>
    <w:p>
      <w:pPr>
        <w:widowControl w:val="0"/>
        <w:numPr>
          <w:ilvl w:val="0"/>
          <w:numId w:val="0"/>
        </w:numPr>
        <w:spacing w:line="312" w:lineRule="auto"/>
        <w:jc w:val="center"/>
        <w:rPr>
          <w:rFonts w:hint="eastAsia" w:ascii="方正仿宋_GBK" w:hAnsi="方正仿宋_GBK" w:eastAsia="方正仿宋_GBK" w:cs="方正仿宋_GBK"/>
          <w:b/>
          <w:bCs w:val="0"/>
          <w:i/>
          <w:iCs/>
          <w:sz w:val="24"/>
          <w:szCs w:val="24"/>
          <w:u w:val="single"/>
          <w:lang w:val="en-US" w:eastAsia="zh-CN"/>
        </w:rPr>
      </w:pPr>
      <w:r>
        <w:rPr>
          <w:rFonts w:hint="eastAsia" w:ascii="方正仿宋_GBK" w:hAnsi="方正仿宋_GBK" w:eastAsia="方正仿宋_GBK" w:cs="方正仿宋_GBK"/>
          <w:i/>
          <w:iCs/>
          <w:sz w:val="24"/>
          <w:szCs w:val="24"/>
          <w:u w:val="single"/>
        </w:rPr>
        <w:t>服务方案（格式自定）</w:t>
      </w:r>
    </w:p>
    <w:p>
      <w:pPr>
        <w:widowControl w:val="0"/>
        <w:numPr>
          <w:ilvl w:val="0"/>
          <w:numId w:val="0"/>
        </w:numPr>
        <w:spacing w:line="312" w:lineRule="auto"/>
        <w:jc w:val="both"/>
        <w:rPr>
          <w:rFonts w:hint="eastAsia" w:ascii="方正仿宋_GBK" w:hAnsi="方正仿宋_GBK" w:eastAsia="方正仿宋_GBK" w:cs="方正仿宋_GBK"/>
          <w:b/>
          <w:bCs w:val="0"/>
          <w:sz w:val="24"/>
          <w:szCs w:val="24"/>
          <w:lang w:val="en-US" w:eastAsia="zh-CN"/>
        </w:rPr>
      </w:pPr>
    </w:p>
    <w:p>
      <w:pPr>
        <w:pStyle w:val="4"/>
        <w:pageBreakBefore w:val="0"/>
        <w:widowControl w:val="0"/>
        <w:numPr>
          <w:ilvl w:val="2"/>
          <w:numId w:val="0"/>
        </w:numPr>
        <w:kinsoku/>
        <w:wordWrap/>
        <w:overflowPunct/>
        <w:topLinePunct w:val="0"/>
        <w:autoSpaceDE/>
        <w:autoSpaceDN/>
        <w:bidi w:val="0"/>
        <w:adjustRightInd/>
        <w:snapToGrid/>
        <w:spacing w:before="0" w:after="0" w:line="312" w:lineRule="auto"/>
        <w:ind w:firstLine="480" w:firstLineChars="200"/>
        <w:textAlignment w:val="auto"/>
        <w:rPr>
          <w:rFonts w:hint="eastAsia" w:ascii="方正仿宋_GBK" w:hAnsi="方正仿宋_GBK" w:eastAsia="方正仿宋_GBK" w:cs="方正仿宋_GBK"/>
          <w:b/>
          <w:bCs/>
          <w:kern w:val="2"/>
          <w:sz w:val="24"/>
          <w:szCs w:val="24"/>
          <w:lang w:val="en-US" w:eastAsia="zh-CN" w:bidi="ar-SA"/>
        </w:rPr>
      </w:pPr>
    </w:p>
    <w:p>
      <w:pPr>
        <w:pStyle w:val="4"/>
        <w:pageBreakBefore w:val="0"/>
        <w:widowControl w:val="0"/>
        <w:numPr>
          <w:ilvl w:val="2"/>
          <w:numId w:val="0"/>
        </w:numPr>
        <w:kinsoku/>
        <w:wordWrap/>
        <w:overflowPunct/>
        <w:topLinePunct w:val="0"/>
        <w:autoSpaceDE/>
        <w:autoSpaceDN/>
        <w:bidi w:val="0"/>
        <w:adjustRightInd/>
        <w:snapToGrid/>
        <w:spacing w:before="0" w:after="0" w:line="312" w:lineRule="auto"/>
        <w:textAlignment w:val="auto"/>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三、资格条件及其他</w:t>
      </w:r>
    </w:p>
    <w:p>
      <w:pPr>
        <w:widowControl w:val="0"/>
        <w:numPr>
          <w:ilvl w:val="0"/>
          <w:numId w:val="0"/>
        </w:numPr>
        <w:spacing w:line="312" w:lineRule="auto"/>
        <w:jc w:val="center"/>
        <w:rPr>
          <w:rFonts w:hint="eastAsia" w:ascii="方正仿宋_GBK" w:hAnsi="方正仿宋_GBK" w:eastAsia="方正仿宋_GBK" w:cs="方正仿宋_GBK"/>
          <w:i/>
          <w:iCs/>
          <w:sz w:val="24"/>
          <w:szCs w:val="24"/>
          <w:u w:val="single"/>
          <w:lang w:val="en-US" w:eastAsia="zh-CN"/>
        </w:rPr>
      </w:pPr>
      <w:r>
        <w:rPr>
          <w:rFonts w:hint="eastAsia" w:ascii="方正仿宋_GBK" w:hAnsi="方正仿宋_GBK" w:eastAsia="方正仿宋_GBK" w:cs="方正仿宋_GBK"/>
          <w:i/>
          <w:iCs/>
          <w:sz w:val="24"/>
          <w:szCs w:val="24"/>
          <w:u w:val="single"/>
          <w:lang w:val="en-US" w:eastAsia="zh-CN"/>
        </w:rPr>
        <w:t>按照采购文件要求提供扫描件</w:t>
      </w:r>
    </w:p>
    <w:p>
      <w:pPr>
        <w:widowControl w:val="0"/>
        <w:numPr>
          <w:ilvl w:val="0"/>
          <w:numId w:val="0"/>
        </w:numPr>
        <w:jc w:val="both"/>
        <w:rPr>
          <w:rFonts w:hint="eastAsia" w:ascii="方正仿宋_GBK" w:hAnsi="方正仿宋_GBK" w:eastAsia="方正仿宋_GBK" w:cs="方正仿宋_GBK"/>
          <w:sz w:val="24"/>
          <w:szCs w:val="24"/>
          <w:lang w:val="en-US" w:eastAsia="zh-CN"/>
        </w:rPr>
      </w:pPr>
    </w:p>
    <w:p>
      <w:pPr>
        <w:pStyle w:val="4"/>
        <w:numPr>
          <w:ilvl w:val="0"/>
          <w:numId w:val="0"/>
        </w:numPr>
        <w:spacing w:before="0" w:after="0" w:line="312" w:lineRule="auto"/>
        <w:ind w:left="851" w:leftChars="0"/>
        <w:rPr>
          <w:rFonts w:hint="eastAsia" w:ascii="方正仿宋_GBK" w:hAnsi="方正仿宋_GBK" w:eastAsia="方正仿宋_GBK" w:cs="方正仿宋_GBK"/>
          <w:sz w:val="24"/>
          <w:szCs w:val="24"/>
          <w:lang w:val="en-US" w:eastAsia="zh-CN"/>
        </w:rPr>
      </w:pPr>
    </w:p>
    <w:p>
      <w:pPr>
        <w:pStyle w:val="4"/>
        <w:pageBreakBefore w:val="0"/>
        <w:widowControl w:val="0"/>
        <w:numPr>
          <w:ilvl w:val="2"/>
          <w:numId w:val="0"/>
        </w:numPr>
        <w:kinsoku/>
        <w:wordWrap/>
        <w:overflowPunct/>
        <w:topLinePunct w:val="0"/>
        <w:autoSpaceDE/>
        <w:autoSpaceDN/>
        <w:bidi w:val="0"/>
        <w:adjustRightInd/>
        <w:snapToGrid/>
        <w:spacing w:before="0" w:after="0" w:line="312" w:lineRule="auto"/>
        <w:textAlignment w:val="auto"/>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四、其他应提供的资料</w:t>
      </w:r>
    </w:p>
    <w:p>
      <w:pPr>
        <w:tabs>
          <w:tab w:val="left" w:pos="6300"/>
        </w:tabs>
        <w:snapToGrid w:val="0"/>
        <w:spacing w:line="312"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（一）其他资料</w:t>
      </w:r>
    </w:p>
    <w:p>
      <w:pPr>
        <w:widowControl w:val="0"/>
        <w:numPr>
          <w:ilvl w:val="0"/>
          <w:numId w:val="0"/>
        </w:numPr>
        <w:jc w:val="both"/>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1、其他与项目有关的资料（自附）：供应商总体情况介绍、其他与本项目有关的资料等。</w:t>
      </w:r>
    </w:p>
    <w:p>
      <w:pPr>
        <w:tabs>
          <w:tab w:val="left" w:pos="6300"/>
        </w:tabs>
        <w:snapToGrid w:val="0"/>
        <w:spacing w:line="312" w:lineRule="auto"/>
        <w:rPr>
          <w:rFonts w:hint="eastAsia" w:ascii="方正仿宋_GBK" w:hAnsi="方正仿宋_GBK" w:eastAsia="方正仿宋_GBK" w:cs="方正仿宋_GBK"/>
          <w:b/>
          <w:bCs/>
          <w:sz w:val="24"/>
          <w:szCs w:val="24"/>
          <w:lang w:val="en-US" w:eastAsia="zh-CN"/>
        </w:rPr>
      </w:pPr>
    </w:p>
    <w:p>
      <w:pPr>
        <w:tabs>
          <w:tab w:val="left" w:pos="6300"/>
        </w:tabs>
        <w:snapToGrid w:val="0"/>
        <w:spacing w:line="312" w:lineRule="auto"/>
        <w:rPr>
          <w:rFonts w:hint="eastAsia" w:ascii="方正仿宋_GBK" w:hAnsi="方正仿宋_GBK" w:eastAsia="方正仿宋_GBK" w:cs="方正仿宋_GBK"/>
          <w:b/>
          <w:bCs/>
          <w:sz w:val="24"/>
          <w:szCs w:val="24"/>
          <w:lang w:val="en-US" w:eastAsia="zh-CN"/>
        </w:rPr>
      </w:pPr>
    </w:p>
    <w:p>
      <w:pPr>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val="en-US" w:eastAsia="zh-CN"/>
        </w:rPr>
        <w:br w:type="page"/>
      </w:r>
    </w:p>
    <w:p>
      <w:pPr>
        <w:pStyle w:val="4"/>
        <w:pageBreakBefore w:val="0"/>
        <w:widowControl w:val="0"/>
        <w:numPr>
          <w:ilvl w:val="2"/>
          <w:numId w:val="0"/>
        </w:numPr>
        <w:kinsoku/>
        <w:wordWrap/>
        <w:overflowPunct/>
        <w:topLinePunct w:val="0"/>
        <w:autoSpaceDE/>
        <w:autoSpaceDN/>
        <w:bidi w:val="0"/>
        <w:adjustRightInd/>
        <w:snapToGrid/>
        <w:spacing w:before="0" w:after="0" w:line="312" w:lineRule="auto"/>
        <w:textAlignment w:val="auto"/>
        <w:rPr>
          <w:rFonts w:hint="eastAsia" w:ascii="方正仿宋_GBK" w:hAnsi="方正仿宋_GBK" w:eastAsia="方正仿宋_GBK" w:cs="方正仿宋_GBK"/>
          <w:b/>
          <w:bCs/>
          <w:kern w:val="2"/>
          <w:sz w:val="24"/>
          <w:szCs w:val="24"/>
          <w:lang w:val="en-US" w:eastAsia="zh-CN" w:bidi="ar-SA"/>
        </w:rPr>
      </w:pPr>
      <w:r>
        <w:rPr>
          <w:rFonts w:hint="eastAsia" w:ascii="方正仿宋_GBK" w:hAnsi="方正仿宋_GBK" w:eastAsia="方正仿宋_GBK" w:cs="方正仿宋_GBK"/>
          <w:b/>
          <w:bCs/>
          <w:kern w:val="2"/>
          <w:sz w:val="24"/>
          <w:szCs w:val="24"/>
          <w:lang w:val="en-US" w:eastAsia="zh-CN" w:bidi="ar-SA"/>
        </w:rPr>
        <w:t>五、法定代表人授权委托书（格式）</w:t>
      </w:r>
    </w:p>
    <w:p>
      <w:pPr>
        <w:tabs>
          <w:tab w:val="left" w:pos="6300"/>
        </w:tabs>
        <w:snapToGrid w:val="0"/>
        <w:spacing w:line="312" w:lineRule="auto"/>
        <w:jc w:val="center"/>
        <w:rPr>
          <w:rFonts w:hint="eastAsia" w:ascii="方正仿宋_GBK" w:hAnsi="方正仿宋_GBK" w:eastAsia="方正仿宋_GBK" w:cs="方正仿宋_GBK"/>
          <w:sz w:val="24"/>
          <w:szCs w:val="24"/>
          <w:lang w:val="en-US" w:eastAsia="zh-CN"/>
        </w:rPr>
      </w:pPr>
    </w:p>
    <w:p>
      <w:pPr>
        <w:tabs>
          <w:tab w:val="left" w:pos="6300"/>
        </w:tabs>
        <w:snapToGrid w:val="0"/>
        <w:spacing w:line="312"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法定代表人授权委托书</w:t>
      </w:r>
    </w:p>
    <w:p>
      <w:pPr>
        <w:tabs>
          <w:tab w:val="left" w:pos="6300"/>
        </w:tabs>
        <w:snapToGrid w:val="0"/>
        <w:spacing w:line="312"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（采购人名称）：</w:t>
      </w:r>
    </w:p>
    <w:p>
      <w:pPr>
        <w:tabs>
          <w:tab w:val="left" w:pos="6300"/>
        </w:tabs>
        <w:snapToGrid w:val="0"/>
        <w:spacing w:line="312"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（法定代表人名称）是</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（供应商名称）的法定代表人，特授权</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（被授权人姓名及身份证代码）</w:t>
      </w:r>
      <w:r>
        <w:rPr>
          <w:rFonts w:hint="eastAsia" w:ascii="方正仿宋_GBK" w:hAnsi="方正仿宋_GBK" w:eastAsia="方正仿宋_GBK" w:cs="方正仿宋_GBK"/>
          <w:sz w:val="24"/>
          <w:szCs w:val="24"/>
          <w:lang w:val="en-US" w:eastAsia="zh-CN"/>
        </w:rPr>
        <w:t>电话</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代表我单位全权办理上述项目的询比、签约等具体工作，并签署全部有关文件、协议及合同。</w:t>
      </w:r>
    </w:p>
    <w:p>
      <w:pPr>
        <w:tabs>
          <w:tab w:val="left" w:pos="6300"/>
        </w:tabs>
        <w:snapToGrid w:val="0"/>
        <w:spacing w:line="312"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我单位对被授权人的签字负全部责任。</w:t>
      </w:r>
    </w:p>
    <w:p>
      <w:pPr>
        <w:tabs>
          <w:tab w:val="left" w:pos="6300"/>
        </w:tabs>
        <w:snapToGrid w:val="0"/>
        <w:spacing w:line="312"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在撤消授权的书面通知以前，本授权书一直有效。被授权人在授权书有效期内签署的所有文件不因授权的撤消而失效。</w:t>
      </w:r>
    </w:p>
    <w:p>
      <w:pPr>
        <w:tabs>
          <w:tab w:val="left" w:pos="6300"/>
        </w:tabs>
        <w:snapToGrid w:val="0"/>
        <w:spacing w:line="312" w:lineRule="auto"/>
        <w:ind w:firstLine="570"/>
        <w:rPr>
          <w:rFonts w:hint="eastAsia" w:ascii="方正仿宋_GBK" w:hAnsi="方正仿宋_GBK" w:eastAsia="方正仿宋_GBK" w:cs="方正仿宋_GBK"/>
          <w:sz w:val="24"/>
          <w:szCs w:val="24"/>
        </w:rPr>
      </w:pPr>
    </w:p>
    <w:p>
      <w:pPr>
        <w:tabs>
          <w:tab w:val="left" w:pos="6300"/>
        </w:tabs>
        <w:snapToGrid w:val="0"/>
        <w:spacing w:line="312" w:lineRule="auto"/>
        <w:ind w:firstLine="570"/>
        <w:rPr>
          <w:rFonts w:hint="eastAsia" w:ascii="方正仿宋_GBK" w:hAnsi="方正仿宋_GBK" w:eastAsia="方正仿宋_GBK" w:cs="方正仿宋_GBK"/>
          <w:sz w:val="24"/>
          <w:szCs w:val="24"/>
        </w:rPr>
      </w:pPr>
    </w:p>
    <w:p>
      <w:pPr>
        <w:tabs>
          <w:tab w:val="left" w:pos="6300"/>
        </w:tabs>
        <w:snapToGrid w:val="0"/>
        <w:spacing w:line="312" w:lineRule="auto"/>
        <w:ind w:firstLine="57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被授权人：                                 法定代表人：</w:t>
      </w:r>
    </w:p>
    <w:p>
      <w:pPr>
        <w:tabs>
          <w:tab w:val="left" w:pos="6300"/>
        </w:tabs>
        <w:snapToGrid w:val="0"/>
        <w:spacing w:line="312" w:lineRule="auto"/>
        <w:ind w:firstLine="57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（签字或盖章）                             （签字或盖章）</w:t>
      </w:r>
    </w:p>
    <w:p>
      <w:pPr>
        <w:tabs>
          <w:tab w:val="left" w:pos="6300"/>
        </w:tabs>
        <w:snapToGrid w:val="0"/>
        <w:spacing w:line="312" w:lineRule="auto"/>
        <w:ind w:firstLine="570"/>
        <w:rPr>
          <w:rFonts w:hint="eastAsia" w:ascii="方正仿宋_GBK" w:hAnsi="方正仿宋_GBK" w:eastAsia="方正仿宋_GBK" w:cs="方正仿宋_GBK"/>
          <w:sz w:val="24"/>
          <w:szCs w:val="24"/>
        </w:rPr>
      </w:pPr>
    </w:p>
    <w:p>
      <w:pPr>
        <w:tabs>
          <w:tab w:val="left" w:pos="6300"/>
        </w:tabs>
        <w:snapToGrid w:val="0"/>
        <w:spacing w:line="312" w:lineRule="auto"/>
        <w:ind w:firstLine="570"/>
        <w:rPr>
          <w:rFonts w:hint="eastAsia" w:ascii="方正仿宋_GBK" w:hAnsi="方正仿宋_GBK" w:eastAsia="方正仿宋_GBK" w:cs="方正仿宋_GBK"/>
          <w:sz w:val="24"/>
          <w:szCs w:val="24"/>
        </w:rPr>
      </w:pPr>
    </w:p>
    <w:p>
      <w:pPr>
        <w:tabs>
          <w:tab w:val="left" w:pos="6300"/>
        </w:tabs>
        <w:snapToGrid w:val="0"/>
        <w:spacing w:line="312" w:lineRule="auto"/>
        <w:ind w:firstLine="57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（附：</w:t>
      </w:r>
      <w:r>
        <w:rPr>
          <w:rFonts w:hint="eastAsia" w:ascii="方正仿宋_GBK" w:hAnsi="方正仿宋_GBK" w:eastAsia="方正仿宋_GBK" w:cs="方正仿宋_GBK"/>
          <w:sz w:val="24"/>
          <w:szCs w:val="24"/>
          <w:lang w:eastAsia="zh-CN"/>
        </w:rPr>
        <w:t>授权人及</w:t>
      </w:r>
      <w:r>
        <w:rPr>
          <w:rFonts w:hint="eastAsia" w:ascii="方正仿宋_GBK" w:hAnsi="方正仿宋_GBK" w:eastAsia="方正仿宋_GBK" w:cs="方正仿宋_GBK"/>
          <w:sz w:val="24"/>
          <w:szCs w:val="24"/>
        </w:rPr>
        <w:t>被授权人身份证正反面复印件）</w:t>
      </w:r>
    </w:p>
    <w:p>
      <w:pPr>
        <w:tabs>
          <w:tab w:val="left" w:pos="6300"/>
        </w:tabs>
        <w:snapToGrid w:val="0"/>
        <w:spacing w:line="312" w:lineRule="auto"/>
        <w:ind w:firstLine="57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p>
    <w:p>
      <w:pPr>
        <w:tabs>
          <w:tab w:val="left" w:pos="6300"/>
        </w:tabs>
        <w:snapToGrid w:val="0"/>
        <w:spacing w:line="312" w:lineRule="auto"/>
        <w:ind w:firstLine="570"/>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（供应商公章）</w:t>
      </w: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年   月   日</w:t>
      </w: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jc w:val="both"/>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right"/>
        <w:rPr>
          <w:rFonts w:hint="eastAsia" w:ascii="方正仿宋_GBK" w:hAnsi="方正仿宋_GBK" w:eastAsia="方正仿宋_GBK" w:cs="方正仿宋_GBK"/>
          <w:sz w:val="24"/>
          <w:szCs w:val="24"/>
        </w:rPr>
      </w:pPr>
    </w:p>
    <w:p>
      <w:pPr>
        <w:tabs>
          <w:tab w:val="left" w:pos="6300"/>
        </w:tabs>
        <w:snapToGrid w:val="0"/>
        <w:spacing w:line="312" w:lineRule="auto"/>
        <w:ind w:right="480" w:firstLine="57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结束</w:t>
      </w:r>
      <w:r>
        <w:rPr>
          <w:rFonts w:hint="eastAsia" w:ascii="方正仿宋_GBK" w:hAnsi="方正仿宋_GBK" w:eastAsia="方正仿宋_GBK" w:cs="方正仿宋_GBK"/>
          <w:sz w:val="24"/>
          <w:szCs w:val="24"/>
          <w:lang w:eastAsia="zh-CN"/>
        </w:rPr>
        <w:t>）</w:t>
      </w:r>
    </w:p>
    <w:sectPr>
      <w:footerReference r:id="rId6" w:type="default"/>
      <w:pgSz w:w="11907" w:h="16840"/>
      <w:pgMar w:top="1417" w:right="1587" w:bottom="1417" w:left="1587" w:header="964" w:footer="992" w:gutter="0"/>
      <w:pgNumType w:fmt="numberInDash"/>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Yu Mincho Light">
    <w:altName w:val="Yu Gothic"/>
    <w:panose1 w:val="00000000000000000000"/>
    <w:charset w:val="80"/>
    <w:family w:val="roman"/>
    <w:pitch w:val="default"/>
    <w:sig w:usb0="00000000" w:usb1="00000000" w:usb2="00000012" w:usb3="00000000" w:csb0="0002009F" w:csb1="00000000"/>
  </w:font>
  <w:font w:name="Yu Gothic">
    <w:panose1 w:val="020B0400000000000000"/>
    <w:charset w:val="80"/>
    <w:family w:val="auto"/>
    <w:pitch w:val="default"/>
    <w:sig w:usb0="E00002FF" w:usb1="2AC7FDFF" w:usb2="00000016" w:usb3="00000000" w:csb0="200200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11"/>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- 1 -</w:t>
                          </w:r>
                          <w:r>
                            <w:rPr>
                              <w:rFonts w:hint="eastAsia" w:ascii="宋体" w:hAnsi="宋体" w:cs="宋体"/>
                              <w:sz w:val="24"/>
                              <w:szCs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outside;mso-position-horizontal-relative:margin;mso-wrap-style:none;z-index:251661312;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pPr>
                      <w:pStyle w:val="11"/>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- 1 -</w:t>
                    </w:r>
                    <w:r>
                      <w:rPr>
                        <w:rFonts w:hint="eastAsia" w:ascii="宋体" w:hAnsi="宋体" w:cs="宋体"/>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86385" cy="14795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11"/>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outside;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Fjx2YgQAgAAEAQAAA4AAAAAAAAAAQAg&#10;AAAAIQEAAGRycy9lMm9Eb2MueG1sUEsFBgAAAAAGAAYAWQEAAKMFAAAAAA==&#10;">
              <v:fill on="f" focussize="0,0"/>
              <v:stroke on="f"/>
              <v:imagedata o:title=""/>
              <o:lock v:ext="edit" aspectratio="f"/>
              <v:textbox inset="0mm,0mm,0mm,0mm" style="mso-fit-shape-to-text:t;">
                <w:txbxContent>
                  <w:p>
                    <w:pPr>
                      <w:pStyle w:val="11"/>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76250" cy="284480"/>
              <wp:effectExtent l="0" t="0" r="0" b="0"/>
              <wp:wrapNone/>
              <wp:docPr id="1" name="矩形 1"/>
              <wp:cNvGraphicFramePr/>
              <a:graphic xmlns:a="http://schemas.openxmlformats.org/drawingml/2006/main">
                <a:graphicData uri="http://schemas.microsoft.com/office/word/2010/wordprocessingShape">
                  <wps:wsp>
                    <wps:cNvSpPr/>
                    <wps:spPr>
                      <a:xfrm>
                        <a:off x="0" y="0"/>
                        <a:ext cx="476250" cy="284480"/>
                      </a:xfrm>
                      <a:prstGeom prst="rect">
                        <a:avLst/>
                      </a:prstGeom>
                      <a:noFill/>
                      <a:ln>
                        <a:noFill/>
                      </a:ln>
                    </wps:spPr>
                    <wps:txbx>
                      <w:txbxContent>
                        <w:p>
                          <w:pPr>
                            <w:pStyle w:val="11"/>
                            <w:ind w:firstLine="360"/>
                            <w:jc w:val="center"/>
                          </w:pPr>
                          <w:r>
                            <w:fldChar w:fldCharType="begin"/>
                          </w:r>
                          <w:r>
                            <w:instrText xml:space="preserve">PAGE   \* MERGEFORMAT</w:instrText>
                          </w:r>
                          <w:r>
                            <w:fldChar w:fldCharType="separate"/>
                          </w:r>
                          <w:r>
                            <w:rPr>
                              <w:lang w:val="zh-CN"/>
                            </w:rPr>
                            <w:t>-</w:t>
                          </w:r>
                          <w:r>
                            <w:t xml:space="preserve"> 19 -</w:t>
                          </w:r>
                          <w:r>
                            <w:fldChar w:fldCharType="end"/>
                          </w:r>
                        </w:p>
                        <w:p>
                          <w:pPr>
                            <w:ind w:firstLine="480"/>
                          </w:pPr>
                        </w:p>
                      </w:txbxContent>
                    </wps:txbx>
                    <wps:bodyPr wrap="none" lIns="0" tIns="0" rIns="0" bIns="0" upright="1">
                      <a:spAutoFit/>
                    </wps:bodyPr>
                  </wps:wsp>
                </a:graphicData>
              </a:graphic>
            </wp:anchor>
          </w:drawing>
        </mc:Choice>
        <mc:Fallback>
          <w:pict>
            <v:rect id="_x0000_s1026" o:spid="_x0000_s1026" o:spt="1" style="position:absolute;left:0pt;margin-top:0pt;height:22.4pt;width:37.5pt;mso-position-horizontal:outside;mso-position-horizontal-relative:margin;mso-wrap-style:none;z-index:251660288;mso-width-relative:page;mso-height-relative:page;" filled="f" stroked="f" coordsize="21600,21600" o:gfxdata="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O29zNEAAAADAQAADwAAAAAAAAABACAAAAAiAAAAZHJzL2Rvd25yZXYueG1sUEsB&#10;AhQAFAAAAAgAh07iQP9Y3XTDAQAAigMAAA4AAAAAAAAAAQAgAAAAIAEAAGRycy9lMm9Eb2MueG1s&#10;UEsFBgAAAAAGAAYAWQEAAFUFAAAAAA==&#10;">
              <v:fill on="f" focussize="0,0"/>
              <v:stroke on="f"/>
              <v:imagedata o:title=""/>
              <o:lock v:ext="edit" aspectratio="f"/>
              <v:textbox inset="0mm,0mm,0mm,0mm" style="mso-fit-shape-to-text:t;">
                <w:txbxContent>
                  <w:p>
                    <w:pPr>
                      <w:pStyle w:val="11"/>
                      <w:ind w:firstLine="360"/>
                      <w:jc w:val="center"/>
                    </w:pPr>
                    <w:r>
                      <w:fldChar w:fldCharType="begin"/>
                    </w:r>
                    <w:r>
                      <w:instrText xml:space="preserve">PAGE   \* MERGEFORMAT</w:instrText>
                    </w:r>
                    <w:r>
                      <w:fldChar w:fldCharType="separate"/>
                    </w:r>
                    <w:r>
                      <w:rPr>
                        <w:lang w:val="zh-CN"/>
                      </w:rPr>
                      <w:t>-</w:t>
                    </w:r>
                    <w:r>
                      <w:t xml:space="preserve"> 19 -</w:t>
                    </w:r>
                    <w:r>
                      <w:fldChar w:fldCharType="end"/>
                    </w:r>
                  </w:p>
                  <w:p>
                    <w:pPr>
                      <w:ind w:firstLine="480"/>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5"/>
      <w:numFmt w:val="chineseCounting"/>
      <w:suff w:val="nothing"/>
      <w:lvlText w:val="（%1）"/>
      <w:lvlJc w:val="left"/>
      <w:rPr>
        <w:lang w:val="en-US"/>
      </w:rPr>
    </w:lvl>
    <w:lvl w:ilvl="1" w:tentative="0">
      <w:start w:val="1"/>
      <w:numFmt w:val="decimal"/>
      <w:lvlText w:val="%1.%2"/>
      <w:lvlJc w:val="left"/>
      <w:pPr>
        <w:ind w:left="993" w:hanging="567"/>
      </w:pPr>
    </w:lvl>
    <w:lvl w:ilvl="2" w:tentative="0">
      <w:start w:val="1"/>
      <w:numFmt w:val="decimal"/>
      <w:pStyle w:val="4"/>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YmJjNDc3MTIwNzRkZGE3MTIwNDg5N2MzY2JjMjcifQ=="/>
  </w:docVars>
  <w:rsids>
    <w:rsidRoot w:val="55875575"/>
    <w:rsid w:val="007A1502"/>
    <w:rsid w:val="0184684A"/>
    <w:rsid w:val="01B36BD0"/>
    <w:rsid w:val="01C864BE"/>
    <w:rsid w:val="022D14F0"/>
    <w:rsid w:val="032D7378"/>
    <w:rsid w:val="04B4025E"/>
    <w:rsid w:val="05244A0D"/>
    <w:rsid w:val="0536723C"/>
    <w:rsid w:val="06257970"/>
    <w:rsid w:val="068F5780"/>
    <w:rsid w:val="07C65DBB"/>
    <w:rsid w:val="0898267C"/>
    <w:rsid w:val="09431E2A"/>
    <w:rsid w:val="0A2C3657"/>
    <w:rsid w:val="0C6236CC"/>
    <w:rsid w:val="0C831DFB"/>
    <w:rsid w:val="0CD43E9E"/>
    <w:rsid w:val="0D5B5C1F"/>
    <w:rsid w:val="0DD0299D"/>
    <w:rsid w:val="0E8C5BDD"/>
    <w:rsid w:val="10AC3378"/>
    <w:rsid w:val="11C10E95"/>
    <w:rsid w:val="12E14DFB"/>
    <w:rsid w:val="14272A04"/>
    <w:rsid w:val="172A3B55"/>
    <w:rsid w:val="17BB6387"/>
    <w:rsid w:val="186430A1"/>
    <w:rsid w:val="18DC3184"/>
    <w:rsid w:val="19703249"/>
    <w:rsid w:val="1C177904"/>
    <w:rsid w:val="1C314E69"/>
    <w:rsid w:val="1C5063B3"/>
    <w:rsid w:val="1C960A17"/>
    <w:rsid w:val="1F3F33F9"/>
    <w:rsid w:val="1F6D7B33"/>
    <w:rsid w:val="200A7E31"/>
    <w:rsid w:val="204C09BA"/>
    <w:rsid w:val="21175BC7"/>
    <w:rsid w:val="225464D8"/>
    <w:rsid w:val="246C2EE2"/>
    <w:rsid w:val="24963DC2"/>
    <w:rsid w:val="26CC5EBA"/>
    <w:rsid w:val="277D788E"/>
    <w:rsid w:val="27D003F3"/>
    <w:rsid w:val="27EB5311"/>
    <w:rsid w:val="283D3788"/>
    <w:rsid w:val="2A440F9E"/>
    <w:rsid w:val="2A585CB7"/>
    <w:rsid w:val="2D9109EF"/>
    <w:rsid w:val="3349219F"/>
    <w:rsid w:val="336C3CFC"/>
    <w:rsid w:val="33A73FF7"/>
    <w:rsid w:val="349176A2"/>
    <w:rsid w:val="349D54D1"/>
    <w:rsid w:val="34A1417C"/>
    <w:rsid w:val="34CC16AF"/>
    <w:rsid w:val="356C7077"/>
    <w:rsid w:val="36963DEF"/>
    <w:rsid w:val="36A71B58"/>
    <w:rsid w:val="37EE1807"/>
    <w:rsid w:val="380B25BB"/>
    <w:rsid w:val="395A55A8"/>
    <w:rsid w:val="3A6C5593"/>
    <w:rsid w:val="3AE775D7"/>
    <w:rsid w:val="3B213BB1"/>
    <w:rsid w:val="3C8A7E05"/>
    <w:rsid w:val="3CB90837"/>
    <w:rsid w:val="3D5A4949"/>
    <w:rsid w:val="3E907376"/>
    <w:rsid w:val="3F7E2517"/>
    <w:rsid w:val="403F2E01"/>
    <w:rsid w:val="406B025B"/>
    <w:rsid w:val="40B80EEF"/>
    <w:rsid w:val="419E1DAA"/>
    <w:rsid w:val="42B25B81"/>
    <w:rsid w:val="43761230"/>
    <w:rsid w:val="439F3158"/>
    <w:rsid w:val="43B04DA0"/>
    <w:rsid w:val="45F42980"/>
    <w:rsid w:val="46E666CD"/>
    <w:rsid w:val="46F42417"/>
    <w:rsid w:val="47290367"/>
    <w:rsid w:val="49044BE8"/>
    <w:rsid w:val="4C6836E0"/>
    <w:rsid w:val="4D422183"/>
    <w:rsid w:val="4DDF3E76"/>
    <w:rsid w:val="4E825560"/>
    <w:rsid w:val="4EAC3D58"/>
    <w:rsid w:val="4F563C4D"/>
    <w:rsid w:val="501B5D06"/>
    <w:rsid w:val="504015DE"/>
    <w:rsid w:val="534C57C9"/>
    <w:rsid w:val="542F70DE"/>
    <w:rsid w:val="54E64B16"/>
    <w:rsid w:val="55875575"/>
    <w:rsid w:val="569970E2"/>
    <w:rsid w:val="58A42EF3"/>
    <w:rsid w:val="593757BC"/>
    <w:rsid w:val="5A091B6B"/>
    <w:rsid w:val="5AE5207E"/>
    <w:rsid w:val="5B155E6E"/>
    <w:rsid w:val="5B500161"/>
    <w:rsid w:val="5CBC407B"/>
    <w:rsid w:val="5D825335"/>
    <w:rsid w:val="5FD326ED"/>
    <w:rsid w:val="5FE30BF0"/>
    <w:rsid w:val="60B74959"/>
    <w:rsid w:val="60BA0556"/>
    <w:rsid w:val="613E7F32"/>
    <w:rsid w:val="61BF63FA"/>
    <w:rsid w:val="625B23FB"/>
    <w:rsid w:val="62980652"/>
    <w:rsid w:val="654640A8"/>
    <w:rsid w:val="66326DE1"/>
    <w:rsid w:val="671C4D8E"/>
    <w:rsid w:val="67716B1A"/>
    <w:rsid w:val="67CA155A"/>
    <w:rsid w:val="68461B28"/>
    <w:rsid w:val="691C0019"/>
    <w:rsid w:val="6962178B"/>
    <w:rsid w:val="69CE02FF"/>
    <w:rsid w:val="6A327325"/>
    <w:rsid w:val="6A820A78"/>
    <w:rsid w:val="6CE34004"/>
    <w:rsid w:val="6D0A63C2"/>
    <w:rsid w:val="6E2C05BA"/>
    <w:rsid w:val="6F317FA6"/>
    <w:rsid w:val="704716DB"/>
    <w:rsid w:val="71526589"/>
    <w:rsid w:val="717210E3"/>
    <w:rsid w:val="717E17C9"/>
    <w:rsid w:val="72BF43C3"/>
    <w:rsid w:val="73036F1B"/>
    <w:rsid w:val="737050E7"/>
    <w:rsid w:val="74E85307"/>
    <w:rsid w:val="758C5651"/>
    <w:rsid w:val="75DD38AF"/>
    <w:rsid w:val="774D2AFE"/>
    <w:rsid w:val="77562C54"/>
    <w:rsid w:val="78486113"/>
    <w:rsid w:val="78A51694"/>
    <w:rsid w:val="7E5B5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qFormat/>
    <w:uiPriority w:val="0"/>
    <w:pPr>
      <w:keepNext/>
      <w:keepLines/>
      <w:numPr>
        <w:ilvl w:val="2"/>
        <w:numId w:val="1"/>
      </w:numPr>
      <w:spacing w:before="120" w:line="360" w:lineRule="auto"/>
      <w:outlineLvl w:val="2"/>
    </w:pPr>
    <w:rPr>
      <w:rFonts w:ascii="微软雅黑" w:hAnsi="微软雅黑" w:eastAsia="微软雅黑"/>
      <w:b/>
      <w:bCs/>
      <w:kern w:val="0"/>
      <w:sz w:val="32"/>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w:basedOn w:val="1"/>
    <w:next w:val="7"/>
    <w:qFormat/>
    <w:uiPriority w:val="0"/>
    <w:pPr>
      <w:spacing w:after="120" w:afterLines="0"/>
    </w:pPr>
  </w:style>
  <w:style w:type="paragraph" w:customStyle="1" w:styleId="7">
    <w:name w:val="目录 83"/>
    <w:next w:val="1"/>
    <w:qFormat/>
    <w:uiPriority w:val="0"/>
    <w:pPr>
      <w:wordWrap w:val="0"/>
      <w:ind w:left="2550"/>
      <w:jc w:val="both"/>
    </w:pPr>
    <w:rPr>
      <w:rFonts w:ascii="Yu Mincho Light" w:hAnsi="Yu Mincho Light" w:eastAsia="仿宋_GB2312" w:cs="Yu Mincho Light"/>
      <w:sz w:val="21"/>
      <w:lang w:val="en-US" w:eastAsia="zh-CN" w:bidi="ar-SA"/>
    </w:rPr>
  </w:style>
  <w:style w:type="paragraph" w:styleId="8">
    <w:name w:val="Body Text Indent"/>
    <w:basedOn w:val="1"/>
    <w:qFormat/>
    <w:uiPriority w:val="0"/>
    <w:pPr>
      <w:widowControl/>
      <w:spacing w:line="360" w:lineRule="auto"/>
      <w:ind w:firstLine="280" w:firstLineChars="100"/>
    </w:pPr>
    <w:rPr>
      <w:rFonts w:ascii="仿宋_GB2312" w:eastAsia="仿宋_GB2312"/>
      <w:kern w:val="0"/>
      <w:sz w:val="30"/>
      <w:szCs w:val="20"/>
    </w:rPr>
  </w:style>
  <w:style w:type="paragraph" w:styleId="9">
    <w:name w:val="Plain Text"/>
    <w:basedOn w:val="1"/>
    <w:qFormat/>
    <w:uiPriority w:val="0"/>
    <w:pPr>
      <w:adjustRightInd w:val="0"/>
      <w:snapToGrid w:val="0"/>
      <w:spacing w:line="360" w:lineRule="auto"/>
    </w:pPr>
    <w:rPr>
      <w:rFonts w:ascii="宋体" w:hAnsi="Courier New"/>
      <w:szCs w:val="20"/>
    </w:rPr>
  </w:style>
  <w:style w:type="paragraph" w:styleId="10">
    <w:name w:val="Body Text Indent 2"/>
    <w:basedOn w:val="1"/>
    <w:qFormat/>
    <w:uiPriority w:val="0"/>
    <w:pPr>
      <w:snapToGrid w:val="0"/>
      <w:spacing w:line="440" w:lineRule="atLeast"/>
      <w:ind w:firstLine="570"/>
    </w:pPr>
    <w:rPr>
      <w:rFonts w:ascii="宋体"/>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0"/>
    <w:pPr>
      <w:spacing w:before="120" w:beforeLines="0" w:after="120" w:afterLines="0"/>
      <w:jc w:val="left"/>
    </w:pPr>
    <w:rPr>
      <w:b/>
      <w:bCs/>
      <w:caps/>
      <w:sz w:val="20"/>
      <w:szCs w:val="20"/>
    </w:rPr>
  </w:style>
  <w:style w:type="character" w:styleId="16">
    <w:name w:val="Hyperlink"/>
    <w:qFormat/>
    <w:uiPriority w:val="99"/>
    <w:rPr>
      <w:color w:val="0563C1"/>
      <w:u w:val="single"/>
    </w:rPr>
  </w:style>
  <w:style w:type="paragraph" w:customStyle="1" w:styleId="17">
    <w:name w:val="Heading1"/>
    <w:basedOn w:val="1"/>
    <w:next w:val="1"/>
    <w:qFormat/>
    <w:uiPriority w:val="0"/>
    <w:pPr>
      <w:keepNext/>
      <w:tabs>
        <w:tab w:val="left" w:pos="3360"/>
      </w:tabs>
      <w:snapToGrid w:val="0"/>
      <w:spacing w:before="312" w:after="156" w:line="800" w:lineRule="atLeast"/>
      <w:jc w:val="center"/>
      <w:textAlignment w:val="baseline"/>
    </w:pPr>
    <w:rPr>
      <w:rFonts w:eastAsia="黑体"/>
      <w:kern w:val="2"/>
      <w:sz w:val="44"/>
      <w:lang w:val="en-US" w:eastAsia="zh-CN" w:bidi="ar-SA"/>
    </w:rPr>
  </w:style>
  <w:style w:type="paragraph" w:customStyle="1" w:styleId="18">
    <w:name w:val="图例"/>
    <w:basedOn w:val="1"/>
    <w:qFormat/>
    <w:uiPriority w:val="0"/>
    <w:pPr>
      <w:spacing w:before="120" w:beforeLines="0" w:beforeAutospacing="0" w:after="120" w:afterLines="0" w:afterAutospacing="0" w:line="360" w:lineRule="auto"/>
      <w:jc w:val="center"/>
    </w:pPr>
    <w:rPr>
      <w:rFonts w:eastAsia="仿宋_GB2312"/>
      <w:b/>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巴南区文化委</Company>
  <Pages>28</Pages>
  <Words>15059</Words>
  <Characters>16047</Characters>
  <Lines>0</Lines>
  <Paragraphs>0</Paragraphs>
  <TotalTime>85</TotalTime>
  <ScaleCrop>false</ScaleCrop>
  <LinksUpToDate>false</LinksUpToDate>
  <CharactersWithSpaces>16558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2021-08-17T06:21:00Z</dcterms:created>
  <dc:creator>Administrator</dc:creator>
  <cp:lastModifiedBy>蒋直勤</cp:lastModifiedBy>
  <cp:lastPrinted>2022-09-13T09:33:00Z</cp:lastPrinted>
  <dcterms:modified xsi:type="dcterms:W3CDTF">2022-09-16T06:42:51Z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79B8F0606C5E42929BDDDAE2861DE6E6</vt:lpwstr>
  </property>
</Properties>
</file>