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EB54BA">
      <w:pPr>
        <w:pStyle w:val="10"/>
        <w:spacing w:line="480" w:lineRule="auto"/>
        <w:ind w:left="0"/>
        <w:jc w:val="both"/>
        <w:rPr>
          <w:rFonts w:hint="eastAsia" w:ascii="仿宋" w:hAnsi="仿宋" w:eastAsia="仿宋" w:cs="仿宋"/>
          <w:color w:val="auto"/>
          <w:sz w:val="15"/>
          <w:szCs w:val="15"/>
          <w:highlight w:val="none"/>
        </w:rPr>
      </w:pPr>
    </w:p>
    <w:p w14:paraId="5BACEDE1">
      <w:pPr>
        <w:pStyle w:val="5"/>
        <w:keepNext w:val="0"/>
        <w:keepLines w:val="0"/>
        <w:widowControl/>
        <w:suppressLineNumbers w:val="0"/>
        <w:spacing w:before="0" w:beforeAutospacing="0" w:after="0" w:afterAutospacing="0" w:line="192" w:lineRule="atLeast"/>
        <w:ind w:left="0" w:right="0"/>
        <w:jc w:val="center"/>
        <w:rPr>
          <w:rFonts w:hint="eastAsia" w:ascii="仿宋" w:hAnsi="仿宋" w:eastAsia="仿宋" w:cs="仿宋"/>
          <w:b w:val="0"/>
          <w:color w:val="auto"/>
          <w:kern w:val="2"/>
          <w:sz w:val="36"/>
          <w:szCs w:val="36"/>
          <w:highlight w:val="none"/>
          <w:lang w:val="en-US" w:eastAsia="zh-CN" w:bidi="ar-SA"/>
        </w:rPr>
      </w:pPr>
    </w:p>
    <w:p w14:paraId="7EA2170C">
      <w:pPr>
        <w:adjustRightInd w:val="0"/>
        <w:jc w:val="center"/>
        <w:rPr>
          <w:rFonts w:hint="eastAsia" w:ascii="仿宋" w:hAnsi="仿宋" w:eastAsia="仿宋" w:cs="仿宋"/>
          <w:b/>
          <w:color w:val="auto"/>
          <w:sz w:val="72"/>
          <w:szCs w:val="72"/>
          <w:highlight w:val="none"/>
        </w:rPr>
      </w:pPr>
    </w:p>
    <w:p w14:paraId="1F61A34E">
      <w:pPr>
        <w:adjustRightInd w:val="0"/>
        <w:jc w:val="center"/>
        <w:rPr>
          <w:rFonts w:hint="eastAsia" w:ascii="仿宋" w:hAnsi="仿宋" w:eastAsia="仿宋" w:cs="仿宋"/>
          <w:b/>
          <w:color w:val="auto"/>
          <w:sz w:val="96"/>
          <w:szCs w:val="96"/>
          <w:highlight w:val="none"/>
        </w:rPr>
      </w:pPr>
    </w:p>
    <w:p w14:paraId="46F2FB6D">
      <w:pPr>
        <w:adjustRightInd w:val="0"/>
        <w:jc w:val="center"/>
        <w:rPr>
          <w:rFonts w:hint="eastAsia" w:ascii="仿宋" w:hAnsi="仿宋" w:eastAsia="仿宋" w:cs="仿宋"/>
          <w:b/>
          <w:color w:val="auto"/>
          <w:sz w:val="96"/>
          <w:szCs w:val="96"/>
          <w:highlight w:val="none"/>
        </w:rPr>
      </w:pPr>
      <w:r>
        <w:rPr>
          <w:rFonts w:hint="eastAsia" w:ascii="仿宋" w:hAnsi="仿宋" w:eastAsia="仿宋" w:cs="仿宋"/>
          <w:b/>
          <w:color w:val="auto"/>
          <w:sz w:val="96"/>
          <w:szCs w:val="96"/>
          <w:highlight w:val="none"/>
        </w:rPr>
        <w:t>竞争性比选文件</w:t>
      </w:r>
    </w:p>
    <w:p w14:paraId="3490A5A6">
      <w:pPr>
        <w:adjustRightInd w:val="0"/>
        <w:jc w:val="center"/>
        <w:rPr>
          <w:rFonts w:hint="eastAsia" w:ascii="仿宋" w:hAnsi="仿宋" w:eastAsia="仿宋" w:cs="仿宋"/>
          <w:b/>
          <w:color w:val="auto"/>
          <w:sz w:val="72"/>
          <w:szCs w:val="72"/>
          <w:highlight w:val="none"/>
        </w:rPr>
      </w:pPr>
    </w:p>
    <w:p w14:paraId="63022445">
      <w:pPr>
        <w:pStyle w:val="5"/>
        <w:jc w:val="both"/>
        <w:rPr>
          <w:rFonts w:hint="eastAsia" w:ascii="仿宋" w:hAnsi="仿宋" w:eastAsia="仿宋" w:cs="仿宋"/>
          <w:color w:val="auto"/>
          <w:highlight w:val="none"/>
        </w:rPr>
      </w:pPr>
    </w:p>
    <w:p w14:paraId="0E725C59">
      <w:pPr>
        <w:spacing w:line="700" w:lineRule="exact"/>
        <w:ind w:firstLine="2249" w:firstLineChars="700"/>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eastAsia="zh-CN"/>
        </w:rPr>
        <w:t>采购执行编号</w:t>
      </w: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val="en-US" w:eastAsia="zh-CN"/>
        </w:rPr>
        <w:t>ZENO24033</w:t>
      </w:r>
    </w:p>
    <w:p w14:paraId="68AE43B7">
      <w:pPr>
        <w:pStyle w:val="10"/>
        <w:spacing w:line="500" w:lineRule="exact"/>
        <w:ind w:left="0"/>
        <w:jc w:val="center"/>
        <w:rPr>
          <w:rFonts w:hint="eastAsia" w:ascii="仿宋" w:hAnsi="仿宋" w:eastAsia="仿宋" w:cs="仿宋"/>
          <w:b/>
          <w:bCs/>
          <w:color w:val="auto"/>
          <w:sz w:val="32"/>
          <w:highlight w:val="none"/>
          <w:lang w:eastAsia="zh-CN"/>
        </w:rPr>
      </w:pPr>
    </w:p>
    <w:p w14:paraId="19A97122">
      <w:pPr>
        <w:pStyle w:val="10"/>
        <w:spacing w:line="500" w:lineRule="exact"/>
        <w:ind w:left="0"/>
        <w:jc w:val="center"/>
        <w:rPr>
          <w:rFonts w:hint="default" w:ascii="仿宋" w:hAnsi="仿宋" w:eastAsia="仿宋" w:cs="仿宋"/>
          <w:b/>
          <w:bCs/>
          <w:color w:val="auto"/>
          <w:kern w:val="2"/>
          <w:sz w:val="32"/>
          <w:szCs w:val="22"/>
          <w:highlight w:val="none"/>
          <w:lang w:val="en-US" w:eastAsia="zh-CN" w:bidi="ar-SA"/>
        </w:rPr>
      </w:pPr>
      <w:r>
        <w:rPr>
          <w:rFonts w:hint="eastAsia" w:ascii="仿宋" w:hAnsi="仿宋" w:eastAsia="仿宋" w:cs="仿宋"/>
          <w:b/>
          <w:bCs/>
          <w:color w:val="auto"/>
          <w:kern w:val="2"/>
          <w:sz w:val="32"/>
          <w:szCs w:val="22"/>
          <w:highlight w:val="none"/>
          <w:lang w:val="en-US" w:eastAsia="zh-CN" w:bidi="ar-SA"/>
        </w:rPr>
        <w:t xml:space="preserve">        项目名称：重庆市九龙坡区渝州路街道社区卫生服务中心医用耗材采购供应商遴选（第二次）</w:t>
      </w:r>
    </w:p>
    <w:p w14:paraId="3DBC39B6">
      <w:pPr>
        <w:pStyle w:val="10"/>
        <w:spacing w:line="500" w:lineRule="exact"/>
        <w:ind w:left="0"/>
        <w:rPr>
          <w:rFonts w:hint="eastAsia" w:ascii="仿宋" w:hAnsi="仿宋" w:eastAsia="仿宋" w:cs="仿宋"/>
          <w:color w:val="auto"/>
          <w:sz w:val="32"/>
          <w:highlight w:val="none"/>
        </w:rPr>
      </w:pPr>
    </w:p>
    <w:p w14:paraId="4CEBECE2">
      <w:pPr>
        <w:spacing w:line="500" w:lineRule="exact"/>
        <w:jc w:val="center"/>
        <w:rPr>
          <w:rFonts w:hint="eastAsia" w:ascii="仿宋" w:hAnsi="仿宋" w:eastAsia="仿宋" w:cs="仿宋"/>
          <w:color w:val="auto"/>
          <w:sz w:val="32"/>
          <w:highlight w:val="none"/>
        </w:rPr>
      </w:pPr>
    </w:p>
    <w:p w14:paraId="6753B336">
      <w:pPr>
        <w:spacing w:line="500" w:lineRule="exact"/>
        <w:jc w:val="center"/>
        <w:outlineLvl w:val="0"/>
        <w:rPr>
          <w:rFonts w:hint="eastAsia" w:ascii="仿宋" w:hAnsi="仿宋" w:eastAsia="仿宋" w:cs="仿宋"/>
          <w:b/>
          <w:bCs/>
          <w:color w:val="auto"/>
          <w:sz w:val="32"/>
          <w:szCs w:val="36"/>
          <w:highlight w:val="none"/>
          <w:lang w:eastAsia="zh-CN"/>
        </w:rPr>
      </w:pPr>
      <w:r>
        <w:rPr>
          <w:rFonts w:hint="eastAsia" w:ascii="仿宋" w:hAnsi="仿宋" w:eastAsia="仿宋" w:cs="仿宋"/>
          <w:b/>
          <w:bCs/>
          <w:color w:val="auto"/>
          <w:sz w:val="36"/>
          <w:szCs w:val="36"/>
          <w:highlight w:val="none"/>
          <w:lang w:val="en-US" w:eastAsia="zh-CN"/>
        </w:rPr>
        <w:t xml:space="preserve">       </w:t>
      </w:r>
      <w:r>
        <w:rPr>
          <w:rFonts w:hint="eastAsia" w:ascii="仿宋" w:hAnsi="仿宋" w:eastAsia="仿宋" w:cs="仿宋"/>
          <w:b/>
          <w:bCs/>
          <w:color w:val="auto"/>
          <w:sz w:val="36"/>
          <w:szCs w:val="36"/>
          <w:highlight w:val="none"/>
        </w:rPr>
        <w:t>采购人：</w:t>
      </w:r>
      <w:r>
        <w:rPr>
          <w:rFonts w:hint="eastAsia" w:ascii="仿宋" w:hAnsi="仿宋" w:eastAsia="仿宋" w:cs="仿宋"/>
          <w:b/>
          <w:bCs/>
          <w:color w:val="auto"/>
          <w:sz w:val="32"/>
          <w:highlight w:val="none"/>
        </w:rPr>
        <w:t>重庆市九龙坡区渝州路街道社区卫生服务中心</w:t>
      </w:r>
    </w:p>
    <w:p w14:paraId="0D0FD6A5">
      <w:pPr>
        <w:snapToGrid w:val="0"/>
        <w:spacing w:line="500" w:lineRule="exact"/>
        <w:ind w:firstLine="1446" w:firstLineChars="400"/>
        <w:rPr>
          <w:rFonts w:hint="eastAsia" w:ascii="仿宋" w:hAnsi="仿宋" w:eastAsia="仿宋" w:cs="仿宋"/>
          <w:b/>
          <w:bCs/>
          <w:color w:val="auto"/>
          <w:sz w:val="36"/>
          <w:szCs w:val="36"/>
          <w:highlight w:val="none"/>
        </w:rPr>
      </w:pPr>
    </w:p>
    <w:p w14:paraId="54F3687A">
      <w:pPr>
        <w:snapToGrid w:val="0"/>
        <w:spacing w:line="500" w:lineRule="exact"/>
        <w:ind w:firstLine="1446" w:firstLineChars="400"/>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采购代理机构：</w:t>
      </w:r>
      <w:r>
        <w:rPr>
          <w:rFonts w:hint="eastAsia" w:ascii="仿宋" w:hAnsi="仿宋" w:eastAsia="仿宋" w:cs="仿宋"/>
          <w:b/>
          <w:bCs/>
          <w:color w:val="auto"/>
          <w:sz w:val="36"/>
          <w:szCs w:val="36"/>
          <w:highlight w:val="none"/>
          <w:lang w:eastAsia="zh-CN"/>
        </w:rPr>
        <w:t>重庆市尊诺项目管理有限公司</w:t>
      </w:r>
    </w:p>
    <w:p w14:paraId="2DC51578">
      <w:pPr>
        <w:snapToGrid w:val="0"/>
        <w:spacing w:line="500" w:lineRule="exact"/>
        <w:jc w:val="center"/>
        <w:rPr>
          <w:rFonts w:hint="eastAsia" w:ascii="仿宋" w:hAnsi="仿宋" w:eastAsia="仿宋" w:cs="仿宋"/>
          <w:color w:val="auto"/>
          <w:sz w:val="36"/>
          <w:highlight w:val="none"/>
        </w:rPr>
      </w:pPr>
    </w:p>
    <w:p w14:paraId="104FEC9C">
      <w:pPr>
        <w:snapToGrid w:val="0"/>
        <w:spacing w:line="500" w:lineRule="exact"/>
        <w:jc w:val="center"/>
        <w:rPr>
          <w:rFonts w:hint="eastAsia" w:ascii="仿宋" w:hAnsi="仿宋" w:eastAsia="仿宋" w:cs="仿宋"/>
          <w:color w:val="auto"/>
          <w:sz w:val="4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134" w:right="1191" w:bottom="1134" w:left="1304" w:header="964" w:footer="992" w:gutter="0"/>
          <w:pgNumType w:start="1"/>
          <w:cols w:space="720" w:num="1"/>
          <w:titlePg/>
          <w:docGrid w:linePitch="312" w:charSpace="0"/>
        </w:sectPr>
      </w:pPr>
      <w:r>
        <w:rPr>
          <w:rFonts w:hint="eastAsia" w:ascii="仿宋" w:hAnsi="仿宋" w:eastAsia="仿宋" w:cs="仿宋"/>
          <w:b/>
          <w:bCs/>
          <w:color w:val="auto"/>
          <w:sz w:val="36"/>
          <w:highlight w:val="none"/>
        </w:rPr>
        <w:t>二〇二</w:t>
      </w:r>
      <w:r>
        <w:rPr>
          <w:rFonts w:hint="eastAsia" w:ascii="仿宋" w:hAnsi="仿宋" w:eastAsia="仿宋" w:cs="仿宋"/>
          <w:b/>
          <w:bCs/>
          <w:color w:val="auto"/>
          <w:sz w:val="36"/>
          <w:highlight w:val="none"/>
          <w:lang w:val="en-US" w:eastAsia="zh-CN"/>
        </w:rPr>
        <w:t>五</w:t>
      </w:r>
      <w:r>
        <w:rPr>
          <w:rFonts w:hint="eastAsia" w:ascii="仿宋" w:hAnsi="仿宋" w:eastAsia="仿宋" w:cs="仿宋"/>
          <w:b/>
          <w:bCs/>
          <w:color w:val="auto"/>
          <w:sz w:val="36"/>
          <w:highlight w:val="none"/>
        </w:rPr>
        <w:t>年</w:t>
      </w:r>
      <w:r>
        <w:rPr>
          <w:rFonts w:hint="eastAsia" w:ascii="仿宋" w:hAnsi="仿宋" w:eastAsia="仿宋" w:cs="仿宋"/>
          <w:b/>
          <w:bCs/>
          <w:color w:val="auto"/>
          <w:sz w:val="36"/>
          <w:highlight w:val="none"/>
          <w:lang w:val="en-US" w:eastAsia="zh-CN"/>
        </w:rPr>
        <w:t>二</w:t>
      </w:r>
      <w:r>
        <w:rPr>
          <w:rFonts w:hint="eastAsia" w:ascii="仿宋" w:hAnsi="仿宋" w:eastAsia="仿宋" w:cs="仿宋"/>
          <w:b/>
          <w:bCs/>
          <w:color w:val="auto"/>
          <w:sz w:val="36"/>
          <w:highlight w:val="none"/>
        </w:rPr>
        <w:t>月</w:t>
      </w:r>
    </w:p>
    <w:p w14:paraId="5D5AACEC">
      <w:pPr>
        <w:jc w:val="center"/>
        <w:rPr>
          <w:rFonts w:hint="eastAsia" w:ascii="仿宋" w:hAnsi="仿宋" w:eastAsia="仿宋" w:cs="仿宋"/>
          <w:color w:val="auto"/>
          <w:sz w:val="44"/>
          <w:szCs w:val="44"/>
          <w:highlight w:val="none"/>
          <w:lang w:eastAsia="zh-CN"/>
        </w:rPr>
      </w:pPr>
    </w:p>
    <w:p w14:paraId="195B3F45">
      <w:pPr>
        <w:jc w:val="center"/>
        <w:rPr>
          <w:rFonts w:hint="eastAsia" w:ascii="仿宋" w:hAnsi="仿宋" w:eastAsia="仿宋" w:cs="仿宋"/>
          <w:color w:val="auto"/>
          <w:sz w:val="44"/>
          <w:szCs w:val="44"/>
          <w:highlight w:val="none"/>
          <w:lang w:eastAsia="zh-CN"/>
        </w:rPr>
      </w:pPr>
      <w:r>
        <w:rPr>
          <w:rFonts w:hint="eastAsia" w:ascii="仿宋" w:hAnsi="仿宋" w:eastAsia="仿宋" w:cs="仿宋"/>
          <w:color w:val="auto"/>
          <w:sz w:val="44"/>
          <w:szCs w:val="44"/>
          <w:highlight w:val="none"/>
          <w:lang w:eastAsia="zh-CN"/>
        </w:rPr>
        <w:t>重庆市尊诺项目管理有限公司</w:t>
      </w:r>
    </w:p>
    <w:p w14:paraId="38F7FCAE">
      <w:pPr>
        <w:jc w:val="center"/>
        <w:rPr>
          <w:rFonts w:hint="eastAsia" w:ascii="仿宋" w:hAnsi="仿宋" w:eastAsia="仿宋" w:cs="仿宋"/>
          <w:b/>
          <w:bCs/>
          <w:color w:val="auto"/>
          <w:spacing w:val="40"/>
          <w:sz w:val="52"/>
          <w:szCs w:val="56"/>
          <w:highlight w:val="none"/>
        </w:rPr>
      </w:pPr>
      <w:r>
        <w:rPr>
          <w:rFonts w:hint="eastAsia" w:ascii="仿宋" w:hAnsi="仿宋" w:eastAsia="仿宋" w:cs="仿宋"/>
          <w:color w:val="auto"/>
          <w:sz w:val="44"/>
          <w:szCs w:val="44"/>
          <w:highlight w:val="none"/>
        </w:rPr>
        <w:t>比选文件发售登记表</w:t>
      </w:r>
    </w:p>
    <w:tbl>
      <w:tblPr>
        <w:tblStyle w:val="23"/>
        <w:tblW w:w="893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1"/>
        <w:gridCol w:w="2391"/>
        <w:gridCol w:w="1596"/>
        <w:gridCol w:w="3039"/>
      </w:tblGrid>
      <w:tr w14:paraId="6A62C4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911" w:type="dxa"/>
            <w:vAlign w:val="center"/>
          </w:tcPr>
          <w:p w14:paraId="2E7728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项目号</w:t>
            </w:r>
          </w:p>
        </w:tc>
        <w:tc>
          <w:tcPr>
            <w:tcW w:w="2391" w:type="dxa"/>
            <w:vAlign w:val="center"/>
          </w:tcPr>
          <w:p w14:paraId="37DCA3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p>
        </w:tc>
        <w:tc>
          <w:tcPr>
            <w:tcW w:w="1596" w:type="dxa"/>
            <w:vAlign w:val="center"/>
          </w:tcPr>
          <w:p w14:paraId="643B21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采购执行编号</w:t>
            </w:r>
          </w:p>
        </w:tc>
        <w:tc>
          <w:tcPr>
            <w:tcW w:w="3039" w:type="dxa"/>
            <w:vAlign w:val="center"/>
          </w:tcPr>
          <w:p w14:paraId="4E5E48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ZENO24033</w:t>
            </w:r>
          </w:p>
        </w:tc>
      </w:tr>
      <w:tr w14:paraId="3104ED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911" w:type="dxa"/>
            <w:vAlign w:val="center"/>
          </w:tcPr>
          <w:p w14:paraId="714DD9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项目名称</w:t>
            </w:r>
          </w:p>
        </w:tc>
        <w:tc>
          <w:tcPr>
            <w:tcW w:w="7026" w:type="dxa"/>
            <w:gridSpan w:val="3"/>
            <w:vAlign w:val="center"/>
          </w:tcPr>
          <w:p w14:paraId="610C9E7A">
            <w:pPr>
              <w:pStyle w:val="10"/>
              <w:spacing w:line="500" w:lineRule="exact"/>
              <w:ind w:left="0"/>
              <w:jc w:val="left"/>
              <w:rPr>
                <w:rFonts w:hint="eastAsia" w:ascii="仿宋" w:hAnsi="仿宋" w:eastAsia="仿宋" w:cs="仿宋"/>
                <w:color w:val="auto"/>
                <w:sz w:val="28"/>
                <w:szCs w:val="28"/>
                <w:highlight w:val="none"/>
                <w:lang w:eastAsia="zh-CN"/>
              </w:rPr>
            </w:pPr>
          </w:p>
        </w:tc>
      </w:tr>
      <w:tr w14:paraId="0846DF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1911" w:type="dxa"/>
            <w:vAlign w:val="center"/>
          </w:tcPr>
          <w:p w14:paraId="7EFC72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名称</w:t>
            </w:r>
          </w:p>
        </w:tc>
        <w:tc>
          <w:tcPr>
            <w:tcW w:w="7026" w:type="dxa"/>
            <w:gridSpan w:val="3"/>
            <w:vAlign w:val="bottom"/>
          </w:tcPr>
          <w:p w14:paraId="19576721">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公章）</w:t>
            </w:r>
          </w:p>
        </w:tc>
      </w:tr>
      <w:tr w14:paraId="5524D8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911" w:type="dxa"/>
            <w:vAlign w:val="center"/>
          </w:tcPr>
          <w:p w14:paraId="0BE967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w:t>
            </w:r>
          </w:p>
        </w:tc>
        <w:tc>
          <w:tcPr>
            <w:tcW w:w="2391" w:type="dxa"/>
            <w:vAlign w:val="center"/>
          </w:tcPr>
          <w:p w14:paraId="419830C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c>
          <w:tcPr>
            <w:tcW w:w="1596" w:type="dxa"/>
            <w:vAlign w:val="center"/>
          </w:tcPr>
          <w:p w14:paraId="5FB91B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手机</w:t>
            </w:r>
          </w:p>
        </w:tc>
        <w:tc>
          <w:tcPr>
            <w:tcW w:w="3039" w:type="dxa"/>
            <w:vAlign w:val="center"/>
          </w:tcPr>
          <w:p w14:paraId="43316E9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4578A1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911" w:type="dxa"/>
            <w:vAlign w:val="center"/>
          </w:tcPr>
          <w:p w14:paraId="57AFE8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办公电话</w:t>
            </w:r>
          </w:p>
        </w:tc>
        <w:tc>
          <w:tcPr>
            <w:tcW w:w="2391" w:type="dxa"/>
            <w:vAlign w:val="center"/>
          </w:tcPr>
          <w:p w14:paraId="3ADD775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c>
          <w:tcPr>
            <w:tcW w:w="1596" w:type="dxa"/>
            <w:vAlign w:val="center"/>
          </w:tcPr>
          <w:p w14:paraId="78CD2D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传真</w:t>
            </w:r>
          </w:p>
        </w:tc>
        <w:tc>
          <w:tcPr>
            <w:tcW w:w="3039" w:type="dxa"/>
            <w:vAlign w:val="center"/>
          </w:tcPr>
          <w:p w14:paraId="57F09BC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56712B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911" w:type="dxa"/>
            <w:vAlign w:val="center"/>
          </w:tcPr>
          <w:p w14:paraId="4A3D7A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E-mail</w:t>
            </w:r>
          </w:p>
        </w:tc>
        <w:tc>
          <w:tcPr>
            <w:tcW w:w="7026" w:type="dxa"/>
            <w:gridSpan w:val="3"/>
            <w:vAlign w:val="center"/>
          </w:tcPr>
          <w:p w14:paraId="5FBD77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34BBD3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911" w:type="dxa"/>
            <w:vAlign w:val="center"/>
          </w:tcPr>
          <w:p w14:paraId="243255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单位地址</w:t>
            </w:r>
          </w:p>
        </w:tc>
        <w:tc>
          <w:tcPr>
            <w:tcW w:w="7026" w:type="dxa"/>
            <w:gridSpan w:val="3"/>
            <w:vAlign w:val="center"/>
          </w:tcPr>
          <w:p w14:paraId="13654E5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09E964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911" w:type="dxa"/>
            <w:vAlign w:val="center"/>
          </w:tcPr>
          <w:p w14:paraId="7FD794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分包号</w:t>
            </w:r>
          </w:p>
        </w:tc>
        <w:tc>
          <w:tcPr>
            <w:tcW w:w="7026" w:type="dxa"/>
            <w:gridSpan w:val="3"/>
            <w:vAlign w:val="center"/>
          </w:tcPr>
          <w:p w14:paraId="6916AD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分包名称</w:t>
            </w:r>
          </w:p>
        </w:tc>
      </w:tr>
      <w:tr w14:paraId="653547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911" w:type="dxa"/>
            <w:vAlign w:val="center"/>
          </w:tcPr>
          <w:p w14:paraId="2AB148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1</w:t>
            </w:r>
          </w:p>
        </w:tc>
        <w:tc>
          <w:tcPr>
            <w:tcW w:w="7026" w:type="dxa"/>
            <w:gridSpan w:val="3"/>
            <w:vAlign w:val="center"/>
          </w:tcPr>
          <w:p w14:paraId="097896B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335D4C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911" w:type="dxa"/>
            <w:vAlign w:val="center"/>
          </w:tcPr>
          <w:p w14:paraId="57F71E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2</w:t>
            </w:r>
          </w:p>
        </w:tc>
        <w:tc>
          <w:tcPr>
            <w:tcW w:w="7026" w:type="dxa"/>
            <w:gridSpan w:val="3"/>
            <w:vAlign w:val="center"/>
          </w:tcPr>
          <w:p w14:paraId="0D53301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68AA15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911" w:type="dxa"/>
            <w:vAlign w:val="center"/>
          </w:tcPr>
          <w:p w14:paraId="6B8670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3</w:t>
            </w:r>
          </w:p>
        </w:tc>
        <w:tc>
          <w:tcPr>
            <w:tcW w:w="7026" w:type="dxa"/>
            <w:gridSpan w:val="3"/>
            <w:vAlign w:val="center"/>
          </w:tcPr>
          <w:p w14:paraId="68178B4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4B08E8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911" w:type="dxa"/>
            <w:vAlign w:val="center"/>
          </w:tcPr>
          <w:p w14:paraId="380395C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c>
          <w:tcPr>
            <w:tcW w:w="7026" w:type="dxa"/>
            <w:gridSpan w:val="3"/>
            <w:vAlign w:val="center"/>
          </w:tcPr>
          <w:p w14:paraId="2F3531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p>
        </w:tc>
      </w:tr>
      <w:tr w14:paraId="7A01CC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937" w:type="dxa"/>
            <w:gridSpan w:val="4"/>
            <w:vAlign w:val="center"/>
          </w:tcPr>
          <w:p w14:paraId="212FC65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购分包号为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的标书，共计</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w:t>
            </w:r>
          </w:p>
        </w:tc>
      </w:tr>
    </w:tbl>
    <w:p w14:paraId="7E41A7FF">
      <w:pPr>
        <w:rPr>
          <w:rFonts w:hint="eastAsia" w:ascii="仿宋" w:hAnsi="仿宋" w:eastAsia="仿宋" w:cs="仿宋"/>
          <w:color w:val="auto"/>
          <w:sz w:val="24"/>
          <w:highlight w:val="none"/>
        </w:rPr>
      </w:pPr>
    </w:p>
    <w:p w14:paraId="69534225">
      <w:pPr>
        <w:ind w:firstLine="360" w:firstLineChars="15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购买人：                       日期：</w:t>
      </w:r>
    </w:p>
    <w:p w14:paraId="4180DFA9">
      <w:pPr>
        <w:rPr>
          <w:rFonts w:hint="eastAsia" w:ascii="仿宋" w:hAnsi="仿宋" w:eastAsia="仿宋" w:cs="仿宋"/>
          <w:color w:val="auto"/>
          <w:sz w:val="44"/>
          <w:highlight w:val="none"/>
        </w:rPr>
      </w:pPr>
      <w:r>
        <w:rPr>
          <w:rFonts w:hint="eastAsia" w:ascii="仿宋" w:hAnsi="仿宋" w:eastAsia="仿宋" w:cs="仿宋"/>
          <w:color w:val="auto"/>
          <w:sz w:val="44"/>
          <w:highlight w:val="none"/>
        </w:rPr>
        <w:br w:type="page"/>
      </w:r>
    </w:p>
    <w:p w14:paraId="749D0785">
      <w:pPr>
        <w:snapToGrid w:val="0"/>
        <w:spacing w:line="500" w:lineRule="exact"/>
        <w:jc w:val="center"/>
        <w:rPr>
          <w:rFonts w:hint="eastAsia" w:ascii="仿宋" w:hAnsi="仿宋" w:eastAsia="仿宋" w:cs="仿宋"/>
          <w:color w:val="auto"/>
          <w:sz w:val="44"/>
          <w:highlight w:val="none"/>
        </w:rPr>
      </w:pPr>
    </w:p>
    <w:p w14:paraId="53B97AF2">
      <w:pPr>
        <w:snapToGrid w:val="0"/>
        <w:spacing w:line="500" w:lineRule="exact"/>
        <w:jc w:val="center"/>
        <w:rPr>
          <w:rFonts w:hint="eastAsia" w:ascii="仿宋" w:hAnsi="仿宋" w:eastAsia="仿宋" w:cs="仿宋"/>
          <w:color w:val="auto"/>
          <w:sz w:val="44"/>
          <w:highlight w:val="none"/>
        </w:rPr>
      </w:pPr>
      <w:r>
        <w:rPr>
          <w:rFonts w:hint="eastAsia" w:ascii="仿宋" w:hAnsi="仿宋" w:eastAsia="仿宋" w:cs="仿宋"/>
          <w:color w:val="auto"/>
          <w:sz w:val="44"/>
          <w:highlight w:val="none"/>
        </w:rPr>
        <w:t>目  录</w:t>
      </w:r>
    </w:p>
    <w:p w14:paraId="0DCF8072">
      <w:pPr>
        <w:pStyle w:val="17"/>
        <w:tabs>
          <w:tab w:val="right" w:leader="dot" w:pos="9412"/>
          <w:tab w:val="clear" w:pos="1260"/>
          <w:tab w:val="clear" w:pos="1685"/>
          <w:tab w:val="clear" w:pos="8400"/>
        </w:tabs>
        <w:ind w:firstLine="240"/>
        <w:rPr>
          <w:rFonts w:hint="eastAsia" w:ascii="仿宋" w:hAnsi="仿宋" w:eastAsia="仿宋" w:cs="仿宋"/>
          <w:color w:val="auto"/>
          <w:sz w:val="24"/>
          <w:szCs w:val="24"/>
          <w:highlight w:val="none"/>
        </w:rPr>
      </w:pPr>
    </w:p>
    <w:p w14:paraId="3E1E90D8">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TOC \o "1-2" \h \z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_Toc12009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rPr>
        <w:t xml:space="preserve">第一篇  </w:t>
      </w:r>
      <w:r>
        <w:rPr>
          <w:rFonts w:hint="eastAsia" w:ascii="仿宋" w:hAnsi="仿宋" w:eastAsia="仿宋" w:cs="仿宋"/>
          <w:color w:val="auto"/>
          <w:szCs w:val="52"/>
          <w:highlight w:val="none"/>
          <w:lang w:eastAsia="zh-CN"/>
        </w:rPr>
        <w:t>比选</w:t>
      </w:r>
      <w:r>
        <w:rPr>
          <w:rFonts w:hint="eastAsia" w:ascii="仿宋" w:hAnsi="仿宋" w:eastAsia="仿宋" w:cs="仿宋"/>
          <w:color w:val="auto"/>
          <w:szCs w:val="52"/>
          <w:highlight w:val="none"/>
        </w:rPr>
        <w:t>邀请书</w:t>
      </w:r>
      <w:r>
        <w:rPr>
          <w:color w:val="auto"/>
          <w:highlight w:val="none"/>
        </w:rPr>
        <w:tab/>
      </w:r>
      <w:r>
        <w:rPr>
          <w:color w:val="auto"/>
          <w:highlight w:val="none"/>
        </w:rPr>
        <w:fldChar w:fldCharType="begin"/>
      </w:r>
      <w:r>
        <w:rPr>
          <w:color w:val="auto"/>
          <w:highlight w:val="none"/>
        </w:rPr>
        <w:instrText xml:space="preserve"> PAGEREF _Toc12009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eastAsia="仿宋" w:cs="仿宋"/>
          <w:color w:val="auto"/>
          <w:szCs w:val="24"/>
          <w:highlight w:val="none"/>
        </w:rPr>
        <w:fldChar w:fldCharType="end"/>
      </w:r>
    </w:p>
    <w:p w14:paraId="1103A82B">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_Toc20308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一、 比选内容</w:t>
      </w:r>
      <w:r>
        <w:rPr>
          <w:color w:val="auto"/>
          <w:highlight w:val="none"/>
        </w:rPr>
        <w:tab/>
      </w:r>
      <w:r>
        <w:rPr>
          <w:color w:val="auto"/>
          <w:highlight w:val="none"/>
        </w:rPr>
        <w:fldChar w:fldCharType="begin"/>
      </w:r>
      <w:r>
        <w:rPr>
          <w:color w:val="auto"/>
          <w:highlight w:val="none"/>
        </w:rPr>
        <w:instrText xml:space="preserve"> PAGEREF _Toc20308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eastAsia="仿宋" w:cs="仿宋"/>
          <w:color w:val="auto"/>
          <w:szCs w:val="24"/>
          <w:highlight w:val="none"/>
        </w:rPr>
        <w:fldChar w:fldCharType="end"/>
      </w:r>
    </w:p>
    <w:p w14:paraId="75688274">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_Toc4268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二、资金来源</w:t>
      </w:r>
      <w:r>
        <w:rPr>
          <w:color w:val="auto"/>
          <w:highlight w:val="none"/>
        </w:rPr>
        <w:tab/>
      </w:r>
      <w:r>
        <w:rPr>
          <w:color w:val="auto"/>
          <w:highlight w:val="none"/>
        </w:rPr>
        <w:fldChar w:fldCharType="begin"/>
      </w:r>
      <w:r>
        <w:rPr>
          <w:color w:val="auto"/>
          <w:highlight w:val="none"/>
        </w:rPr>
        <w:instrText xml:space="preserve"> PAGEREF _Toc4268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eastAsia="仿宋" w:cs="仿宋"/>
          <w:color w:val="auto"/>
          <w:szCs w:val="24"/>
          <w:highlight w:val="none"/>
        </w:rPr>
        <w:fldChar w:fldCharType="end"/>
      </w:r>
    </w:p>
    <w:p w14:paraId="6FF0D2E1">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_Toc16328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三、</w:t>
      </w:r>
      <w:r>
        <w:rPr>
          <w:rFonts w:hint="eastAsia" w:ascii="仿宋" w:hAnsi="仿宋" w:eastAsia="仿宋" w:cs="仿宋"/>
          <w:color w:val="auto"/>
          <w:szCs w:val="24"/>
          <w:highlight w:val="none"/>
          <w:lang w:eastAsia="zh-CN"/>
        </w:rPr>
        <w:t>供应商</w:t>
      </w:r>
      <w:r>
        <w:rPr>
          <w:rFonts w:hint="eastAsia" w:ascii="仿宋" w:hAnsi="仿宋" w:eastAsia="仿宋" w:cs="仿宋"/>
          <w:color w:val="auto"/>
          <w:szCs w:val="24"/>
          <w:highlight w:val="none"/>
        </w:rPr>
        <w:t>资格条件</w:t>
      </w:r>
      <w:r>
        <w:rPr>
          <w:color w:val="auto"/>
          <w:highlight w:val="none"/>
        </w:rPr>
        <w:tab/>
      </w:r>
      <w:r>
        <w:rPr>
          <w:color w:val="auto"/>
          <w:highlight w:val="none"/>
        </w:rPr>
        <w:fldChar w:fldCharType="begin"/>
      </w:r>
      <w:r>
        <w:rPr>
          <w:color w:val="auto"/>
          <w:highlight w:val="none"/>
        </w:rPr>
        <w:instrText xml:space="preserve"> PAGEREF _Toc16328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eastAsia="仿宋" w:cs="仿宋"/>
          <w:color w:val="auto"/>
          <w:szCs w:val="24"/>
          <w:highlight w:val="none"/>
        </w:rPr>
        <w:fldChar w:fldCharType="end"/>
      </w:r>
    </w:p>
    <w:p w14:paraId="2F0E5C6C">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_Toc2110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五、比选保证金</w:t>
      </w:r>
      <w:r>
        <w:rPr>
          <w:color w:val="auto"/>
          <w:highlight w:val="none"/>
        </w:rPr>
        <w:tab/>
      </w:r>
      <w:r>
        <w:rPr>
          <w:color w:val="auto"/>
          <w:highlight w:val="none"/>
        </w:rPr>
        <w:fldChar w:fldCharType="begin"/>
      </w:r>
      <w:r>
        <w:rPr>
          <w:color w:val="auto"/>
          <w:highlight w:val="none"/>
        </w:rPr>
        <w:instrText xml:space="preserve"> PAGEREF _Toc2110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eastAsia="仿宋" w:cs="仿宋"/>
          <w:color w:val="auto"/>
          <w:szCs w:val="24"/>
          <w:highlight w:val="none"/>
        </w:rPr>
        <w:fldChar w:fldCharType="end"/>
      </w:r>
    </w:p>
    <w:p w14:paraId="47853027">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_Toc24557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六、其它有关规定</w:t>
      </w:r>
      <w:r>
        <w:rPr>
          <w:color w:val="auto"/>
          <w:highlight w:val="none"/>
        </w:rPr>
        <w:tab/>
      </w:r>
      <w:r>
        <w:rPr>
          <w:color w:val="auto"/>
          <w:highlight w:val="none"/>
        </w:rPr>
        <w:fldChar w:fldCharType="begin"/>
      </w:r>
      <w:r>
        <w:rPr>
          <w:color w:val="auto"/>
          <w:highlight w:val="none"/>
        </w:rPr>
        <w:instrText xml:space="preserve"> PAGEREF _Toc24557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eastAsia="仿宋" w:cs="仿宋"/>
          <w:color w:val="auto"/>
          <w:szCs w:val="24"/>
          <w:highlight w:val="none"/>
        </w:rPr>
        <w:fldChar w:fldCharType="end"/>
      </w:r>
    </w:p>
    <w:p w14:paraId="16FC0597">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_Toc28248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七、联系方式</w:t>
      </w:r>
      <w:r>
        <w:rPr>
          <w:color w:val="auto"/>
          <w:highlight w:val="none"/>
        </w:rPr>
        <w:tab/>
      </w:r>
      <w:r>
        <w:rPr>
          <w:color w:val="auto"/>
          <w:highlight w:val="none"/>
        </w:rPr>
        <w:fldChar w:fldCharType="begin"/>
      </w:r>
      <w:r>
        <w:rPr>
          <w:color w:val="auto"/>
          <w:highlight w:val="none"/>
        </w:rPr>
        <w:instrText xml:space="preserve"> PAGEREF _Toc28248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eastAsia="仿宋" w:cs="仿宋"/>
          <w:color w:val="auto"/>
          <w:szCs w:val="24"/>
          <w:highlight w:val="none"/>
        </w:rPr>
        <w:fldChar w:fldCharType="end"/>
      </w:r>
    </w:p>
    <w:p w14:paraId="3308955E">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_Toc18589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rPr>
        <w:t>第二篇 项目服务需求</w:t>
      </w:r>
      <w:r>
        <w:rPr>
          <w:color w:val="auto"/>
          <w:highlight w:val="none"/>
        </w:rPr>
        <w:tab/>
      </w:r>
      <w:r>
        <w:rPr>
          <w:color w:val="auto"/>
          <w:highlight w:val="none"/>
        </w:rPr>
        <w:fldChar w:fldCharType="begin"/>
      </w:r>
      <w:r>
        <w:rPr>
          <w:color w:val="auto"/>
          <w:highlight w:val="none"/>
        </w:rPr>
        <w:instrText xml:space="preserve"> PAGEREF _Toc18589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eastAsia="仿宋" w:cs="仿宋"/>
          <w:color w:val="auto"/>
          <w:szCs w:val="24"/>
          <w:highlight w:val="none"/>
        </w:rPr>
        <w:fldChar w:fldCharType="end"/>
      </w:r>
    </w:p>
    <w:p w14:paraId="64DFEDAB">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_Toc5999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一、</w:t>
      </w:r>
      <w:r>
        <w:rPr>
          <w:rFonts w:hint="eastAsia" w:ascii="仿宋" w:hAnsi="仿宋" w:eastAsia="仿宋" w:cs="仿宋"/>
          <w:bCs/>
          <w:color w:val="auto"/>
          <w:szCs w:val="24"/>
          <w:highlight w:val="none"/>
        </w:rPr>
        <w:t>项目</w:t>
      </w:r>
      <w:r>
        <w:rPr>
          <w:rFonts w:hint="eastAsia" w:ascii="仿宋" w:hAnsi="仿宋" w:eastAsia="仿宋" w:cs="仿宋"/>
          <w:bCs/>
          <w:color w:val="auto"/>
          <w:szCs w:val="24"/>
          <w:highlight w:val="none"/>
          <w:lang w:val="en-US" w:eastAsia="zh-CN"/>
        </w:rPr>
        <w:t>一览表</w:t>
      </w:r>
      <w:r>
        <w:rPr>
          <w:color w:val="auto"/>
          <w:highlight w:val="none"/>
        </w:rPr>
        <w:tab/>
      </w:r>
      <w:r>
        <w:rPr>
          <w:color w:val="auto"/>
          <w:highlight w:val="none"/>
        </w:rPr>
        <w:fldChar w:fldCharType="begin"/>
      </w:r>
      <w:r>
        <w:rPr>
          <w:color w:val="auto"/>
          <w:highlight w:val="none"/>
        </w:rPr>
        <w:instrText xml:space="preserve"> PAGEREF _Toc5999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eastAsia="仿宋" w:cs="仿宋"/>
          <w:color w:val="auto"/>
          <w:szCs w:val="24"/>
          <w:highlight w:val="none"/>
        </w:rPr>
        <w:fldChar w:fldCharType="end"/>
      </w:r>
    </w:p>
    <w:p w14:paraId="7DEF50A7">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_Toc1933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包一：口腔科医用耗材</w:t>
      </w:r>
      <w:r>
        <w:rPr>
          <w:color w:val="auto"/>
          <w:highlight w:val="none"/>
        </w:rPr>
        <w:tab/>
      </w:r>
      <w:r>
        <w:rPr>
          <w:color w:val="auto"/>
          <w:highlight w:val="none"/>
        </w:rPr>
        <w:fldChar w:fldCharType="begin"/>
      </w:r>
      <w:r>
        <w:rPr>
          <w:color w:val="auto"/>
          <w:highlight w:val="none"/>
        </w:rPr>
        <w:instrText xml:space="preserve"> PAGEREF _Toc1933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eastAsia="仿宋" w:cs="仿宋"/>
          <w:color w:val="auto"/>
          <w:szCs w:val="24"/>
          <w:highlight w:val="none"/>
        </w:rPr>
        <w:fldChar w:fldCharType="end"/>
      </w:r>
    </w:p>
    <w:p w14:paraId="47AD2672">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_Toc293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rPr>
        <w:t>二、</w:t>
      </w:r>
      <w:r>
        <w:rPr>
          <w:rFonts w:hint="eastAsia" w:ascii="仿宋" w:hAnsi="仿宋" w:eastAsia="仿宋" w:cs="仿宋"/>
          <w:bCs/>
          <w:color w:val="auto"/>
          <w:szCs w:val="24"/>
          <w:highlight w:val="none"/>
          <w:lang w:val="en-US" w:eastAsia="zh-CN"/>
        </w:rPr>
        <w:t>项目</w:t>
      </w:r>
      <w:r>
        <w:rPr>
          <w:rFonts w:hint="eastAsia" w:ascii="仿宋" w:hAnsi="仿宋" w:eastAsia="仿宋" w:cs="仿宋"/>
          <w:bCs/>
          <w:color w:val="auto"/>
          <w:szCs w:val="24"/>
          <w:highlight w:val="none"/>
        </w:rPr>
        <w:t>服务</w:t>
      </w:r>
      <w:r>
        <w:rPr>
          <w:rFonts w:hint="eastAsia" w:ascii="仿宋" w:hAnsi="仿宋" w:eastAsia="仿宋" w:cs="仿宋"/>
          <w:bCs/>
          <w:color w:val="auto"/>
          <w:szCs w:val="24"/>
          <w:highlight w:val="none"/>
          <w:lang w:val="en-US" w:eastAsia="zh-CN"/>
        </w:rPr>
        <w:t>及质量要求</w:t>
      </w:r>
      <w:r>
        <w:rPr>
          <w:color w:val="auto"/>
          <w:highlight w:val="none"/>
        </w:rPr>
        <w:tab/>
      </w:r>
      <w:r>
        <w:rPr>
          <w:color w:val="auto"/>
          <w:highlight w:val="none"/>
        </w:rPr>
        <w:fldChar w:fldCharType="begin"/>
      </w:r>
      <w:r>
        <w:rPr>
          <w:color w:val="auto"/>
          <w:highlight w:val="none"/>
        </w:rPr>
        <w:instrText xml:space="preserve"> PAGEREF _Toc293 \h </w:instrText>
      </w:r>
      <w:r>
        <w:rPr>
          <w:color w:val="auto"/>
          <w:highlight w:val="none"/>
        </w:rPr>
        <w:fldChar w:fldCharType="separate"/>
      </w:r>
      <w:r>
        <w:rPr>
          <w:color w:val="auto"/>
          <w:highlight w:val="none"/>
        </w:rPr>
        <w:t>23</w:t>
      </w:r>
      <w:r>
        <w:rPr>
          <w:color w:val="auto"/>
          <w:highlight w:val="none"/>
        </w:rPr>
        <w:fldChar w:fldCharType="end"/>
      </w:r>
      <w:r>
        <w:rPr>
          <w:rFonts w:hint="eastAsia" w:ascii="仿宋" w:hAnsi="仿宋" w:eastAsia="仿宋" w:cs="仿宋"/>
          <w:color w:val="auto"/>
          <w:szCs w:val="24"/>
          <w:highlight w:val="none"/>
        </w:rPr>
        <w:fldChar w:fldCharType="end"/>
      </w:r>
    </w:p>
    <w:p w14:paraId="45187187">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_Toc22387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rPr>
        <w:t>第三篇 项目商务需求</w:t>
      </w:r>
      <w:r>
        <w:rPr>
          <w:color w:val="auto"/>
          <w:highlight w:val="none"/>
        </w:rPr>
        <w:tab/>
      </w:r>
      <w:r>
        <w:rPr>
          <w:color w:val="auto"/>
          <w:highlight w:val="none"/>
        </w:rPr>
        <w:fldChar w:fldCharType="begin"/>
      </w:r>
      <w:r>
        <w:rPr>
          <w:color w:val="auto"/>
          <w:highlight w:val="none"/>
        </w:rPr>
        <w:instrText xml:space="preserve"> PAGEREF _Toc22387 \h </w:instrText>
      </w:r>
      <w:r>
        <w:rPr>
          <w:color w:val="auto"/>
          <w:highlight w:val="none"/>
        </w:rPr>
        <w:fldChar w:fldCharType="separate"/>
      </w:r>
      <w:r>
        <w:rPr>
          <w:color w:val="auto"/>
          <w:highlight w:val="none"/>
        </w:rPr>
        <w:t>- 23 -</w:t>
      </w:r>
      <w:r>
        <w:rPr>
          <w:color w:val="auto"/>
          <w:highlight w:val="none"/>
        </w:rPr>
        <w:fldChar w:fldCharType="end"/>
      </w:r>
      <w:r>
        <w:rPr>
          <w:rFonts w:hint="eastAsia" w:ascii="仿宋" w:hAnsi="仿宋" w:eastAsia="仿宋" w:cs="仿宋"/>
          <w:color w:val="auto"/>
          <w:szCs w:val="24"/>
          <w:highlight w:val="none"/>
        </w:rPr>
        <w:fldChar w:fldCharType="end"/>
      </w:r>
    </w:p>
    <w:p w14:paraId="6C530926">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_Toc26744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一、服务时间、服务地点及验收方式</w:t>
      </w:r>
      <w:r>
        <w:rPr>
          <w:color w:val="auto"/>
          <w:highlight w:val="none"/>
        </w:rPr>
        <w:tab/>
      </w:r>
      <w:r>
        <w:rPr>
          <w:color w:val="auto"/>
          <w:highlight w:val="none"/>
        </w:rPr>
        <w:fldChar w:fldCharType="begin"/>
      </w:r>
      <w:r>
        <w:rPr>
          <w:color w:val="auto"/>
          <w:highlight w:val="none"/>
        </w:rPr>
        <w:instrText xml:space="preserve"> PAGEREF _Toc26744 \h </w:instrText>
      </w:r>
      <w:r>
        <w:rPr>
          <w:color w:val="auto"/>
          <w:highlight w:val="none"/>
        </w:rPr>
        <w:fldChar w:fldCharType="separate"/>
      </w:r>
      <w:r>
        <w:rPr>
          <w:color w:val="auto"/>
          <w:highlight w:val="none"/>
        </w:rPr>
        <w:t>- 24 -</w:t>
      </w:r>
      <w:r>
        <w:rPr>
          <w:color w:val="auto"/>
          <w:highlight w:val="none"/>
        </w:rPr>
        <w:fldChar w:fldCharType="end"/>
      </w:r>
      <w:r>
        <w:rPr>
          <w:rFonts w:hint="eastAsia" w:ascii="仿宋" w:hAnsi="仿宋" w:eastAsia="仿宋" w:cs="仿宋"/>
          <w:color w:val="auto"/>
          <w:szCs w:val="24"/>
          <w:highlight w:val="none"/>
        </w:rPr>
        <w:fldChar w:fldCharType="end"/>
      </w:r>
    </w:p>
    <w:p w14:paraId="49473D33">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_Toc8715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二、质量保证及售后服务</w:t>
      </w:r>
      <w:r>
        <w:rPr>
          <w:color w:val="auto"/>
          <w:highlight w:val="none"/>
        </w:rPr>
        <w:tab/>
      </w:r>
      <w:r>
        <w:rPr>
          <w:color w:val="auto"/>
          <w:highlight w:val="none"/>
        </w:rPr>
        <w:fldChar w:fldCharType="begin"/>
      </w:r>
      <w:r>
        <w:rPr>
          <w:color w:val="auto"/>
          <w:highlight w:val="none"/>
        </w:rPr>
        <w:instrText xml:space="preserve"> PAGEREF _Toc8715 \h </w:instrText>
      </w:r>
      <w:r>
        <w:rPr>
          <w:color w:val="auto"/>
          <w:highlight w:val="none"/>
        </w:rPr>
        <w:fldChar w:fldCharType="separate"/>
      </w:r>
      <w:r>
        <w:rPr>
          <w:color w:val="auto"/>
          <w:highlight w:val="none"/>
        </w:rPr>
        <w:t>- 24 -</w:t>
      </w:r>
      <w:r>
        <w:rPr>
          <w:color w:val="auto"/>
          <w:highlight w:val="none"/>
        </w:rPr>
        <w:fldChar w:fldCharType="end"/>
      </w:r>
      <w:r>
        <w:rPr>
          <w:rFonts w:hint="eastAsia" w:ascii="仿宋" w:hAnsi="仿宋" w:eastAsia="仿宋" w:cs="仿宋"/>
          <w:color w:val="auto"/>
          <w:szCs w:val="24"/>
          <w:highlight w:val="none"/>
        </w:rPr>
        <w:fldChar w:fldCharType="end"/>
      </w:r>
    </w:p>
    <w:p w14:paraId="59D87431">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_Toc30237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三、报价方式</w:t>
      </w:r>
      <w:r>
        <w:rPr>
          <w:color w:val="auto"/>
          <w:highlight w:val="none"/>
        </w:rPr>
        <w:tab/>
      </w:r>
      <w:r>
        <w:rPr>
          <w:color w:val="auto"/>
          <w:highlight w:val="none"/>
        </w:rPr>
        <w:fldChar w:fldCharType="begin"/>
      </w:r>
      <w:r>
        <w:rPr>
          <w:color w:val="auto"/>
          <w:highlight w:val="none"/>
        </w:rPr>
        <w:instrText xml:space="preserve"> PAGEREF _Toc30237 \h </w:instrText>
      </w:r>
      <w:r>
        <w:rPr>
          <w:color w:val="auto"/>
          <w:highlight w:val="none"/>
        </w:rPr>
        <w:fldChar w:fldCharType="separate"/>
      </w:r>
      <w:r>
        <w:rPr>
          <w:color w:val="auto"/>
          <w:highlight w:val="none"/>
        </w:rPr>
        <w:t>- 25 -</w:t>
      </w:r>
      <w:r>
        <w:rPr>
          <w:color w:val="auto"/>
          <w:highlight w:val="none"/>
        </w:rPr>
        <w:fldChar w:fldCharType="end"/>
      </w:r>
      <w:r>
        <w:rPr>
          <w:rFonts w:hint="eastAsia" w:ascii="仿宋" w:hAnsi="仿宋" w:eastAsia="仿宋" w:cs="仿宋"/>
          <w:color w:val="auto"/>
          <w:szCs w:val="24"/>
          <w:highlight w:val="none"/>
        </w:rPr>
        <w:fldChar w:fldCharType="end"/>
      </w:r>
    </w:p>
    <w:p w14:paraId="74A6CC25">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_Toc25465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四、付款方式</w:t>
      </w:r>
      <w:r>
        <w:rPr>
          <w:color w:val="auto"/>
          <w:highlight w:val="none"/>
        </w:rPr>
        <w:tab/>
      </w:r>
      <w:r>
        <w:rPr>
          <w:color w:val="auto"/>
          <w:highlight w:val="none"/>
        </w:rPr>
        <w:fldChar w:fldCharType="begin"/>
      </w:r>
      <w:r>
        <w:rPr>
          <w:color w:val="auto"/>
          <w:highlight w:val="none"/>
        </w:rPr>
        <w:instrText xml:space="preserve"> PAGEREF _Toc25465 \h </w:instrText>
      </w:r>
      <w:r>
        <w:rPr>
          <w:color w:val="auto"/>
          <w:highlight w:val="none"/>
        </w:rPr>
        <w:fldChar w:fldCharType="separate"/>
      </w:r>
      <w:r>
        <w:rPr>
          <w:color w:val="auto"/>
          <w:highlight w:val="none"/>
        </w:rPr>
        <w:t>- 25 -</w:t>
      </w:r>
      <w:r>
        <w:rPr>
          <w:color w:val="auto"/>
          <w:highlight w:val="none"/>
        </w:rPr>
        <w:fldChar w:fldCharType="end"/>
      </w:r>
      <w:r>
        <w:rPr>
          <w:rFonts w:hint="eastAsia" w:ascii="仿宋" w:hAnsi="仿宋" w:eastAsia="仿宋" w:cs="仿宋"/>
          <w:color w:val="auto"/>
          <w:szCs w:val="24"/>
          <w:highlight w:val="none"/>
        </w:rPr>
        <w:fldChar w:fldCharType="end"/>
      </w:r>
    </w:p>
    <w:p w14:paraId="2B295585">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_Toc23265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五、知识产权</w:t>
      </w:r>
      <w:r>
        <w:rPr>
          <w:color w:val="auto"/>
          <w:highlight w:val="none"/>
        </w:rPr>
        <w:tab/>
      </w:r>
      <w:r>
        <w:rPr>
          <w:color w:val="auto"/>
          <w:highlight w:val="none"/>
        </w:rPr>
        <w:fldChar w:fldCharType="begin"/>
      </w:r>
      <w:r>
        <w:rPr>
          <w:color w:val="auto"/>
          <w:highlight w:val="none"/>
        </w:rPr>
        <w:instrText xml:space="preserve"> PAGEREF _Toc23265 \h </w:instrText>
      </w:r>
      <w:r>
        <w:rPr>
          <w:color w:val="auto"/>
          <w:highlight w:val="none"/>
        </w:rPr>
        <w:fldChar w:fldCharType="separate"/>
      </w:r>
      <w:r>
        <w:rPr>
          <w:color w:val="auto"/>
          <w:highlight w:val="none"/>
        </w:rPr>
        <w:t>- 25 -</w:t>
      </w:r>
      <w:r>
        <w:rPr>
          <w:color w:val="auto"/>
          <w:highlight w:val="none"/>
        </w:rPr>
        <w:fldChar w:fldCharType="end"/>
      </w:r>
      <w:r>
        <w:rPr>
          <w:rFonts w:hint="eastAsia" w:ascii="仿宋" w:hAnsi="仿宋" w:eastAsia="仿宋" w:cs="仿宋"/>
          <w:color w:val="auto"/>
          <w:szCs w:val="24"/>
          <w:highlight w:val="none"/>
        </w:rPr>
        <w:fldChar w:fldCharType="end"/>
      </w:r>
    </w:p>
    <w:p w14:paraId="3702D4E7">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_Toc421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六、其他</w:t>
      </w:r>
      <w:r>
        <w:rPr>
          <w:color w:val="auto"/>
          <w:highlight w:val="none"/>
        </w:rPr>
        <w:tab/>
      </w:r>
      <w:r>
        <w:rPr>
          <w:color w:val="auto"/>
          <w:highlight w:val="none"/>
        </w:rPr>
        <w:fldChar w:fldCharType="begin"/>
      </w:r>
      <w:r>
        <w:rPr>
          <w:color w:val="auto"/>
          <w:highlight w:val="none"/>
        </w:rPr>
        <w:instrText xml:space="preserve"> PAGEREF _Toc421 \h </w:instrText>
      </w:r>
      <w:r>
        <w:rPr>
          <w:color w:val="auto"/>
          <w:highlight w:val="none"/>
        </w:rPr>
        <w:fldChar w:fldCharType="separate"/>
      </w:r>
      <w:r>
        <w:rPr>
          <w:color w:val="auto"/>
          <w:highlight w:val="none"/>
        </w:rPr>
        <w:t>- 25 -</w:t>
      </w:r>
      <w:r>
        <w:rPr>
          <w:color w:val="auto"/>
          <w:highlight w:val="none"/>
        </w:rPr>
        <w:fldChar w:fldCharType="end"/>
      </w:r>
      <w:r>
        <w:rPr>
          <w:rFonts w:hint="eastAsia" w:ascii="仿宋" w:hAnsi="仿宋" w:eastAsia="仿宋" w:cs="仿宋"/>
          <w:color w:val="auto"/>
          <w:szCs w:val="24"/>
          <w:highlight w:val="none"/>
        </w:rPr>
        <w:fldChar w:fldCharType="end"/>
      </w:r>
    </w:p>
    <w:p w14:paraId="79B311CB">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_Toc17429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lang w:val="en-US" w:eastAsia="zh-CN"/>
        </w:rPr>
        <w:t>第</w:t>
      </w:r>
      <w:r>
        <w:rPr>
          <w:rFonts w:hint="eastAsia" w:ascii="仿宋" w:hAnsi="仿宋" w:eastAsia="仿宋" w:cs="仿宋"/>
          <w:color w:val="auto"/>
          <w:szCs w:val="52"/>
          <w:highlight w:val="none"/>
        </w:rPr>
        <w:t>四篇  比选程序及方法、评审标准、无效响应和采购终止</w:t>
      </w:r>
      <w:r>
        <w:rPr>
          <w:color w:val="auto"/>
          <w:highlight w:val="none"/>
        </w:rPr>
        <w:tab/>
      </w:r>
      <w:r>
        <w:rPr>
          <w:color w:val="auto"/>
          <w:highlight w:val="none"/>
        </w:rPr>
        <w:fldChar w:fldCharType="begin"/>
      </w:r>
      <w:r>
        <w:rPr>
          <w:color w:val="auto"/>
          <w:highlight w:val="none"/>
        </w:rPr>
        <w:instrText xml:space="preserve"> PAGEREF _Toc17429 \h </w:instrText>
      </w:r>
      <w:r>
        <w:rPr>
          <w:color w:val="auto"/>
          <w:highlight w:val="none"/>
        </w:rPr>
        <w:fldChar w:fldCharType="separate"/>
      </w:r>
      <w:r>
        <w:rPr>
          <w:color w:val="auto"/>
          <w:highlight w:val="none"/>
        </w:rPr>
        <w:t>- 26 -</w:t>
      </w:r>
      <w:r>
        <w:rPr>
          <w:color w:val="auto"/>
          <w:highlight w:val="none"/>
        </w:rPr>
        <w:fldChar w:fldCharType="end"/>
      </w:r>
      <w:r>
        <w:rPr>
          <w:rFonts w:hint="eastAsia" w:ascii="仿宋" w:hAnsi="仿宋" w:eastAsia="仿宋" w:cs="仿宋"/>
          <w:color w:val="auto"/>
          <w:szCs w:val="24"/>
          <w:highlight w:val="none"/>
        </w:rPr>
        <w:fldChar w:fldCharType="end"/>
      </w:r>
    </w:p>
    <w:p w14:paraId="7A0F91AD">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_Toc32637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一、比选程序及方法</w:t>
      </w:r>
      <w:r>
        <w:rPr>
          <w:color w:val="auto"/>
          <w:highlight w:val="none"/>
        </w:rPr>
        <w:tab/>
      </w:r>
      <w:r>
        <w:rPr>
          <w:color w:val="auto"/>
          <w:highlight w:val="none"/>
        </w:rPr>
        <w:fldChar w:fldCharType="begin"/>
      </w:r>
      <w:r>
        <w:rPr>
          <w:color w:val="auto"/>
          <w:highlight w:val="none"/>
        </w:rPr>
        <w:instrText xml:space="preserve"> PAGEREF _Toc32637 \h </w:instrText>
      </w:r>
      <w:r>
        <w:rPr>
          <w:color w:val="auto"/>
          <w:highlight w:val="none"/>
        </w:rPr>
        <w:fldChar w:fldCharType="separate"/>
      </w:r>
      <w:r>
        <w:rPr>
          <w:color w:val="auto"/>
          <w:highlight w:val="none"/>
        </w:rPr>
        <w:t>- 26 -</w:t>
      </w:r>
      <w:r>
        <w:rPr>
          <w:color w:val="auto"/>
          <w:highlight w:val="none"/>
        </w:rPr>
        <w:fldChar w:fldCharType="end"/>
      </w:r>
      <w:r>
        <w:rPr>
          <w:rFonts w:hint="eastAsia" w:ascii="仿宋" w:hAnsi="仿宋" w:eastAsia="仿宋" w:cs="仿宋"/>
          <w:color w:val="auto"/>
          <w:szCs w:val="24"/>
          <w:highlight w:val="none"/>
        </w:rPr>
        <w:fldChar w:fldCharType="end"/>
      </w:r>
    </w:p>
    <w:p w14:paraId="1A02B80A">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_Toc4170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二、评审标准</w:t>
      </w:r>
      <w:r>
        <w:rPr>
          <w:color w:val="auto"/>
          <w:highlight w:val="none"/>
        </w:rPr>
        <w:tab/>
      </w:r>
      <w:r>
        <w:rPr>
          <w:color w:val="auto"/>
          <w:highlight w:val="none"/>
        </w:rPr>
        <w:fldChar w:fldCharType="begin"/>
      </w:r>
      <w:r>
        <w:rPr>
          <w:color w:val="auto"/>
          <w:highlight w:val="none"/>
        </w:rPr>
        <w:instrText xml:space="preserve"> PAGEREF _Toc4170 \h </w:instrText>
      </w:r>
      <w:r>
        <w:rPr>
          <w:color w:val="auto"/>
          <w:highlight w:val="none"/>
        </w:rPr>
        <w:fldChar w:fldCharType="separate"/>
      </w:r>
      <w:r>
        <w:rPr>
          <w:color w:val="auto"/>
          <w:highlight w:val="none"/>
        </w:rPr>
        <w:t>- 28 -</w:t>
      </w:r>
      <w:r>
        <w:rPr>
          <w:color w:val="auto"/>
          <w:highlight w:val="none"/>
        </w:rPr>
        <w:fldChar w:fldCharType="end"/>
      </w:r>
      <w:r>
        <w:rPr>
          <w:rFonts w:hint="eastAsia" w:ascii="仿宋" w:hAnsi="仿宋" w:eastAsia="仿宋" w:cs="仿宋"/>
          <w:color w:val="auto"/>
          <w:szCs w:val="24"/>
          <w:highlight w:val="none"/>
        </w:rPr>
        <w:fldChar w:fldCharType="end"/>
      </w:r>
    </w:p>
    <w:p w14:paraId="69DFB28B">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_Toc12002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三、无效响应</w:t>
      </w:r>
      <w:r>
        <w:rPr>
          <w:color w:val="auto"/>
          <w:highlight w:val="none"/>
        </w:rPr>
        <w:tab/>
      </w:r>
      <w:r>
        <w:rPr>
          <w:color w:val="auto"/>
          <w:highlight w:val="none"/>
        </w:rPr>
        <w:fldChar w:fldCharType="begin"/>
      </w:r>
      <w:r>
        <w:rPr>
          <w:color w:val="auto"/>
          <w:highlight w:val="none"/>
        </w:rPr>
        <w:instrText xml:space="preserve"> PAGEREF _Toc12002 \h </w:instrText>
      </w:r>
      <w:r>
        <w:rPr>
          <w:color w:val="auto"/>
          <w:highlight w:val="none"/>
        </w:rPr>
        <w:fldChar w:fldCharType="separate"/>
      </w:r>
      <w:r>
        <w:rPr>
          <w:color w:val="auto"/>
          <w:highlight w:val="none"/>
        </w:rPr>
        <w:t>- 30 -</w:t>
      </w:r>
      <w:r>
        <w:rPr>
          <w:color w:val="auto"/>
          <w:highlight w:val="none"/>
        </w:rPr>
        <w:fldChar w:fldCharType="end"/>
      </w:r>
      <w:r>
        <w:rPr>
          <w:rFonts w:hint="eastAsia" w:ascii="仿宋" w:hAnsi="仿宋" w:eastAsia="仿宋" w:cs="仿宋"/>
          <w:color w:val="auto"/>
          <w:szCs w:val="24"/>
          <w:highlight w:val="none"/>
        </w:rPr>
        <w:fldChar w:fldCharType="end"/>
      </w:r>
    </w:p>
    <w:p w14:paraId="5934243A">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_Toc8276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lang w:val="en-US" w:eastAsia="zh-CN"/>
        </w:rPr>
        <w:t>四、采购终止</w:t>
      </w:r>
      <w:r>
        <w:rPr>
          <w:color w:val="auto"/>
          <w:highlight w:val="none"/>
        </w:rPr>
        <w:tab/>
      </w:r>
      <w:r>
        <w:rPr>
          <w:color w:val="auto"/>
          <w:highlight w:val="none"/>
        </w:rPr>
        <w:fldChar w:fldCharType="begin"/>
      </w:r>
      <w:r>
        <w:rPr>
          <w:color w:val="auto"/>
          <w:highlight w:val="none"/>
        </w:rPr>
        <w:instrText xml:space="preserve"> PAGEREF _Toc8276 \h </w:instrText>
      </w:r>
      <w:r>
        <w:rPr>
          <w:color w:val="auto"/>
          <w:highlight w:val="none"/>
        </w:rPr>
        <w:fldChar w:fldCharType="separate"/>
      </w:r>
      <w:r>
        <w:rPr>
          <w:color w:val="auto"/>
          <w:highlight w:val="none"/>
        </w:rPr>
        <w:t>- 30 -</w:t>
      </w:r>
      <w:r>
        <w:rPr>
          <w:color w:val="auto"/>
          <w:highlight w:val="none"/>
        </w:rPr>
        <w:fldChar w:fldCharType="end"/>
      </w:r>
      <w:r>
        <w:rPr>
          <w:rFonts w:hint="eastAsia" w:ascii="仿宋" w:hAnsi="仿宋" w:eastAsia="仿宋" w:cs="仿宋"/>
          <w:color w:val="auto"/>
          <w:szCs w:val="24"/>
          <w:highlight w:val="none"/>
        </w:rPr>
        <w:fldChar w:fldCharType="end"/>
      </w:r>
    </w:p>
    <w:p w14:paraId="5B75ADB7">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_Toc10568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lang w:val="en-US" w:eastAsia="zh-CN"/>
        </w:rPr>
        <w:t>第五篇  供应商须知</w:t>
      </w:r>
      <w:r>
        <w:rPr>
          <w:color w:val="auto"/>
          <w:highlight w:val="none"/>
        </w:rPr>
        <w:tab/>
      </w:r>
      <w:r>
        <w:rPr>
          <w:color w:val="auto"/>
          <w:highlight w:val="none"/>
        </w:rPr>
        <w:fldChar w:fldCharType="begin"/>
      </w:r>
      <w:r>
        <w:rPr>
          <w:color w:val="auto"/>
          <w:highlight w:val="none"/>
        </w:rPr>
        <w:instrText xml:space="preserve"> PAGEREF _Toc10568 \h </w:instrText>
      </w:r>
      <w:r>
        <w:rPr>
          <w:color w:val="auto"/>
          <w:highlight w:val="none"/>
        </w:rPr>
        <w:fldChar w:fldCharType="separate"/>
      </w:r>
      <w:r>
        <w:rPr>
          <w:color w:val="auto"/>
          <w:highlight w:val="none"/>
        </w:rPr>
        <w:t>- 31 -</w:t>
      </w:r>
      <w:r>
        <w:rPr>
          <w:color w:val="auto"/>
          <w:highlight w:val="none"/>
        </w:rPr>
        <w:fldChar w:fldCharType="end"/>
      </w:r>
      <w:r>
        <w:rPr>
          <w:rFonts w:hint="eastAsia" w:ascii="仿宋" w:hAnsi="仿宋" w:eastAsia="仿宋" w:cs="仿宋"/>
          <w:color w:val="auto"/>
          <w:szCs w:val="24"/>
          <w:highlight w:val="none"/>
        </w:rPr>
        <w:fldChar w:fldCharType="end"/>
      </w:r>
    </w:p>
    <w:p w14:paraId="04769B19">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_Toc22530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一、比选费用</w:t>
      </w:r>
      <w:r>
        <w:rPr>
          <w:color w:val="auto"/>
          <w:highlight w:val="none"/>
        </w:rPr>
        <w:tab/>
      </w:r>
      <w:r>
        <w:rPr>
          <w:color w:val="auto"/>
          <w:highlight w:val="none"/>
        </w:rPr>
        <w:fldChar w:fldCharType="begin"/>
      </w:r>
      <w:r>
        <w:rPr>
          <w:color w:val="auto"/>
          <w:highlight w:val="none"/>
        </w:rPr>
        <w:instrText xml:space="preserve"> PAGEREF _Toc22530 \h </w:instrText>
      </w:r>
      <w:r>
        <w:rPr>
          <w:color w:val="auto"/>
          <w:highlight w:val="none"/>
        </w:rPr>
        <w:fldChar w:fldCharType="separate"/>
      </w:r>
      <w:r>
        <w:rPr>
          <w:color w:val="auto"/>
          <w:highlight w:val="none"/>
        </w:rPr>
        <w:t>- 31 -</w:t>
      </w:r>
      <w:r>
        <w:rPr>
          <w:color w:val="auto"/>
          <w:highlight w:val="none"/>
        </w:rPr>
        <w:fldChar w:fldCharType="end"/>
      </w:r>
      <w:r>
        <w:rPr>
          <w:rFonts w:hint="eastAsia" w:ascii="仿宋" w:hAnsi="仿宋" w:eastAsia="仿宋" w:cs="仿宋"/>
          <w:color w:val="auto"/>
          <w:szCs w:val="24"/>
          <w:highlight w:val="none"/>
        </w:rPr>
        <w:fldChar w:fldCharType="end"/>
      </w:r>
    </w:p>
    <w:p w14:paraId="0DA24934">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_Toc2762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二、比选文件</w:t>
      </w:r>
      <w:r>
        <w:rPr>
          <w:color w:val="auto"/>
          <w:highlight w:val="none"/>
        </w:rPr>
        <w:tab/>
      </w:r>
      <w:r>
        <w:rPr>
          <w:color w:val="auto"/>
          <w:highlight w:val="none"/>
        </w:rPr>
        <w:fldChar w:fldCharType="begin"/>
      </w:r>
      <w:r>
        <w:rPr>
          <w:color w:val="auto"/>
          <w:highlight w:val="none"/>
        </w:rPr>
        <w:instrText xml:space="preserve"> PAGEREF _Toc2762 \h </w:instrText>
      </w:r>
      <w:r>
        <w:rPr>
          <w:color w:val="auto"/>
          <w:highlight w:val="none"/>
        </w:rPr>
        <w:fldChar w:fldCharType="separate"/>
      </w:r>
      <w:r>
        <w:rPr>
          <w:color w:val="auto"/>
          <w:highlight w:val="none"/>
        </w:rPr>
        <w:t>- 31 -</w:t>
      </w:r>
      <w:r>
        <w:rPr>
          <w:color w:val="auto"/>
          <w:highlight w:val="none"/>
        </w:rPr>
        <w:fldChar w:fldCharType="end"/>
      </w:r>
      <w:r>
        <w:rPr>
          <w:rFonts w:hint="eastAsia" w:ascii="仿宋" w:hAnsi="仿宋" w:eastAsia="仿宋" w:cs="仿宋"/>
          <w:color w:val="auto"/>
          <w:szCs w:val="24"/>
          <w:highlight w:val="none"/>
        </w:rPr>
        <w:fldChar w:fldCharType="end"/>
      </w:r>
    </w:p>
    <w:p w14:paraId="7885807D">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_Toc8829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三、比选要求</w:t>
      </w:r>
      <w:r>
        <w:rPr>
          <w:color w:val="auto"/>
          <w:highlight w:val="none"/>
        </w:rPr>
        <w:tab/>
      </w:r>
      <w:r>
        <w:rPr>
          <w:color w:val="auto"/>
          <w:highlight w:val="none"/>
        </w:rPr>
        <w:fldChar w:fldCharType="begin"/>
      </w:r>
      <w:r>
        <w:rPr>
          <w:color w:val="auto"/>
          <w:highlight w:val="none"/>
        </w:rPr>
        <w:instrText xml:space="preserve"> PAGEREF _Toc8829 \h </w:instrText>
      </w:r>
      <w:r>
        <w:rPr>
          <w:color w:val="auto"/>
          <w:highlight w:val="none"/>
        </w:rPr>
        <w:fldChar w:fldCharType="separate"/>
      </w:r>
      <w:r>
        <w:rPr>
          <w:color w:val="auto"/>
          <w:highlight w:val="none"/>
        </w:rPr>
        <w:t>- 31 -</w:t>
      </w:r>
      <w:r>
        <w:rPr>
          <w:color w:val="auto"/>
          <w:highlight w:val="none"/>
        </w:rPr>
        <w:fldChar w:fldCharType="end"/>
      </w:r>
      <w:r>
        <w:rPr>
          <w:rFonts w:hint="eastAsia" w:ascii="仿宋" w:hAnsi="仿宋" w:eastAsia="仿宋" w:cs="仿宋"/>
          <w:color w:val="auto"/>
          <w:szCs w:val="24"/>
          <w:highlight w:val="none"/>
        </w:rPr>
        <w:fldChar w:fldCharType="end"/>
      </w:r>
    </w:p>
    <w:p w14:paraId="6DF5EB21">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_Toc17519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四、</w:t>
      </w:r>
      <w:r>
        <w:rPr>
          <w:rFonts w:hint="eastAsia" w:ascii="仿宋" w:hAnsi="仿宋" w:eastAsia="仿宋" w:cs="仿宋"/>
          <w:color w:val="auto"/>
          <w:szCs w:val="24"/>
          <w:highlight w:val="none"/>
          <w:lang w:eastAsia="zh-CN"/>
        </w:rPr>
        <w:t>中标人</w:t>
      </w:r>
      <w:r>
        <w:rPr>
          <w:rFonts w:hint="eastAsia" w:ascii="仿宋" w:hAnsi="仿宋" w:eastAsia="仿宋" w:cs="仿宋"/>
          <w:color w:val="auto"/>
          <w:szCs w:val="24"/>
          <w:highlight w:val="none"/>
        </w:rPr>
        <w:t>的确认和变更</w:t>
      </w:r>
      <w:r>
        <w:rPr>
          <w:color w:val="auto"/>
          <w:highlight w:val="none"/>
        </w:rPr>
        <w:tab/>
      </w:r>
      <w:r>
        <w:rPr>
          <w:color w:val="auto"/>
          <w:highlight w:val="none"/>
        </w:rPr>
        <w:fldChar w:fldCharType="begin"/>
      </w:r>
      <w:r>
        <w:rPr>
          <w:color w:val="auto"/>
          <w:highlight w:val="none"/>
        </w:rPr>
        <w:instrText xml:space="preserve"> PAGEREF _Toc17519 \h </w:instrText>
      </w:r>
      <w:r>
        <w:rPr>
          <w:color w:val="auto"/>
          <w:highlight w:val="none"/>
        </w:rPr>
        <w:fldChar w:fldCharType="separate"/>
      </w:r>
      <w:r>
        <w:rPr>
          <w:color w:val="auto"/>
          <w:highlight w:val="none"/>
        </w:rPr>
        <w:t>- 32 -</w:t>
      </w:r>
      <w:r>
        <w:rPr>
          <w:color w:val="auto"/>
          <w:highlight w:val="none"/>
        </w:rPr>
        <w:fldChar w:fldCharType="end"/>
      </w:r>
      <w:r>
        <w:rPr>
          <w:rFonts w:hint="eastAsia" w:ascii="仿宋" w:hAnsi="仿宋" w:eastAsia="仿宋" w:cs="仿宋"/>
          <w:color w:val="auto"/>
          <w:szCs w:val="24"/>
          <w:highlight w:val="none"/>
        </w:rPr>
        <w:fldChar w:fldCharType="end"/>
      </w:r>
    </w:p>
    <w:p w14:paraId="63E35743">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_Toc30697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五、</w:t>
      </w:r>
      <w:r>
        <w:rPr>
          <w:rFonts w:hint="eastAsia" w:ascii="仿宋" w:hAnsi="仿宋" w:eastAsia="仿宋" w:cs="仿宋"/>
          <w:color w:val="auto"/>
          <w:szCs w:val="24"/>
          <w:highlight w:val="none"/>
          <w:lang w:val="en-US" w:eastAsia="zh-CN"/>
        </w:rPr>
        <w:t>成交（</w:t>
      </w:r>
      <w:r>
        <w:rPr>
          <w:rFonts w:hint="eastAsia" w:ascii="仿宋" w:hAnsi="仿宋" w:eastAsia="仿宋" w:cs="仿宋"/>
          <w:color w:val="auto"/>
          <w:szCs w:val="24"/>
          <w:highlight w:val="none"/>
          <w:lang w:eastAsia="zh-CN"/>
        </w:rPr>
        <w:t>中标）</w:t>
      </w:r>
      <w:r>
        <w:rPr>
          <w:rFonts w:hint="eastAsia" w:ascii="仿宋" w:hAnsi="仿宋" w:eastAsia="仿宋" w:cs="仿宋"/>
          <w:color w:val="auto"/>
          <w:szCs w:val="24"/>
          <w:highlight w:val="none"/>
        </w:rPr>
        <w:t>通知</w:t>
      </w:r>
      <w:r>
        <w:rPr>
          <w:color w:val="auto"/>
          <w:highlight w:val="none"/>
        </w:rPr>
        <w:tab/>
      </w:r>
      <w:r>
        <w:rPr>
          <w:color w:val="auto"/>
          <w:highlight w:val="none"/>
        </w:rPr>
        <w:fldChar w:fldCharType="begin"/>
      </w:r>
      <w:r>
        <w:rPr>
          <w:color w:val="auto"/>
          <w:highlight w:val="none"/>
        </w:rPr>
        <w:instrText xml:space="preserve"> PAGEREF _Toc30697 \h </w:instrText>
      </w:r>
      <w:r>
        <w:rPr>
          <w:color w:val="auto"/>
          <w:highlight w:val="none"/>
        </w:rPr>
        <w:fldChar w:fldCharType="separate"/>
      </w:r>
      <w:r>
        <w:rPr>
          <w:color w:val="auto"/>
          <w:highlight w:val="none"/>
        </w:rPr>
        <w:t>- 33 -</w:t>
      </w:r>
      <w:r>
        <w:rPr>
          <w:color w:val="auto"/>
          <w:highlight w:val="none"/>
        </w:rPr>
        <w:fldChar w:fldCharType="end"/>
      </w:r>
      <w:r>
        <w:rPr>
          <w:rFonts w:hint="eastAsia" w:ascii="仿宋" w:hAnsi="仿宋" w:eastAsia="仿宋" w:cs="仿宋"/>
          <w:color w:val="auto"/>
          <w:szCs w:val="24"/>
          <w:highlight w:val="none"/>
        </w:rPr>
        <w:fldChar w:fldCharType="end"/>
      </w:r>
    </w:p>
    <w:p w14:paraId="1F23D20B">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_Toc21561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六、关于质疑和投诉</w:t>
      </w:r>
      <w:r>
        <w:rPr>
          <w:color w:val="auto"/>
          <w:highlight w:val="none"/>
        </w:rPr>
        <w:tab/>
      </w:r>
      <w:r>
        <w:rPr>
          <w:color w:val="auto"/>
          <w:highlight w:val="none"/>
        </w:rPr>
        <w:fldChar w:fldCharType="begin"/>
      </w:r>
      <w:r>
        <w:rPr>
          <w:color w:val="auto"/>
          <w:highlight w:val="none"/>
        </w:rPr>
        <w:instrText xml:space="preserve"> PAGEREF _Toc21561 \h </w:instrText>
      </w:r>
      <w:r>
        <w:rPr>
          <w:color w:val="auto"/>
          <w:highlight w:val="none"/>
        </w:rPr>
        <w:fldChar w:fldCharType="separate"/>
      </w:r>
      <w:r>
        <w:rPr>
          <w:color w:val="auto"/>
          <w:highlight w:val="none"/>
        </w:rPr>
        <w:t>- 33 -</w:t>
      </w:r>
      <w:r>
        <w:rPr>
          <w:color w:val="auto"/>
          <w:highlight w:val="none"/>
        </w:rPr>
        <w:fldChar w:fldCharType="end"/>
      </w:r>
      <w:r>
        <w:rPr>
          <w:rFonts w:hint="eastAsia" w:ascii="仿宋" w:hAnsi="仿宋" w:eastAsia="仿宋" w:cs="仿宋"/>
          <w:color w:val="auto"/>
          <w:szCs w:val="24"/>
          <w:highlight w:val="none"/>
        </w:rPr>
        <w:fldChar w:fldCharType="end"/>
      </w:r>
    </w:p>
    <w:p w14:paraId="734DE4DA">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_Toc21249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七、采购代理服务费</w:t>
      </w:r>
      <w:r>
        <w:rPr>
          <w:color w:val="auto"/>
          <w:highlight w:val="none"/>
        </w:rPr>
        <w:tab/>
      </w:r>
      <w:r>
        <w:rPr>
          <w:color w:val="auto"/>
          <w:highlight w:val="none"/>
        </w:rPr>
        <w:fldChar w:fldCharType="begin"/>
      </w:r>
      <w:r>
        <w:rPr>
          <w:color w:val="auto"/>
          <w:highlight w:val="none"/>
        </w:rPr>
        <w:instrText xml:space="preserve"> PAGEREF _Toc21249 \h </w:instrText>
      </w:r>
      <w:r>
        <w:rPr>
          <w:color w:val="auto"/>
          <w:highlight w:val="none"/>
        </w:rPr>
        <w:fldChar w:fldCharType="separate"/>
      </w:r>
      <w:r>
        <w:rPr>
          <w:color w:val="auto"/>
          <w:highlight w:val="none"/>
        </w:rPr>
        <w:t>- 34 -</w:t>
      </w:r>
      <w:r>
        <w:rPr>
          <w:color w:val="auto"/>
          <w:highlight w:val="none"/>
        </w:rPr>
        <w:fldChar w:fldCharType="end"/>
      </w:r>
      <w:r>
        <w:rPr>
          <w:rFonts w:hint="eastAsia" w:ascii="仿宋" w:hAnsi="仿宋" w:eastAsia="仿宋" w:cs="仿宋"/>
          <w:color w:val="auto"/>
          <w:szCs w:val="24"/>
          <w:highlight w:val="none"/>
        </w:rPr>
        <w:fldChar w:fldCharType="end"/>
      </w:r>
    </w:p>
    <w:p w14:paraId="75B0B5F3">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_Toc29616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24"/>
          <w:highlight w:val="none"/>
        </w:rPr>
        <w:t>八、签订合同</w:t>
      </w:r>
      <w:r>
        <w:rPr>
          <w:color w:val="auto"/>
          <w:highlight w:val="none"/>
        </w:rPr>
        <w:tab/>
      </w:r>
      <w:r>
        <w:rPr>
          <w:color w:val="auto"/>
          <w:highlight w:val="none"/>
        </w:rPr>
        <w:fldChar w:fldCharType="begin"/>
      </w:r>
      <w:r>
        <w:rPr>
          <w:color w:val="auto"/>
          <w:highlight w:val="none"/>
        </w:rPr>
        <w:instrText xml:space="preserve"> PAGEREF _Toc29616 \h </w:instrText>
      </w:r>
      <w:r>
        <w:rPr>
          <w:color w:val="auto"/>
          <w:highlight w:val="none"/>
        </w:rPr>
        <w:fldChar w:fldCharType="separate"/>
      </w:r>
      <w:r>
        <w:rPr>
          <w:color w:val="auto"/>
          <w:highlight w:val="none"/>
        </w:rPr>
        <w:t>- 34 -</w:t>
      </w:r>
      <w:r>
        <w:rPr>
          <w:color w:val="auto"/>
          <w:highlight w:val="none"/>
        </w:rPr>
        <w:fldChar w:fldCharType="end"/>
      </w:r>
      <w:r>
        <w:rPr>
          <w:rFonts w:hint="eastAsia" w:ascii="仿宋" w:hAnsi="仿宋" w:eastAsia="仿宋" w:cs="仿宋"/>
          <w:color w:val="auto"/>
          <w:szCs w:val="24"/>
          <w:highlight w:val="none"/>
        </w:rPr>
        <w:fldChar w:fldCharType="end"/>
      </w:r>
    </w:p>
    <w:p w14:paraId="68EA2B1E">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_Toc29181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lang w:val="en-US" w:eastAsia="zh-CN"/>
        </w:rPr>
        <w:t>第六篇  采购合同</w:t>
      </w:r>
      <w:r>
        <w:rPr>
          <w:color w:val="auto"/>
          <w:highlight w:val="none"/>
        </w:rPr>
        <w:tab/>
      </w:r>
      <w:r>
        <w:rPr>
          <w:color w:val="auto"/>
          <w:highlight w:val="none"/>
        </w:rPr>
        <w:fldChar w:fldCharType="begin"/>
      </w:r>
      <w:r>
        <w:rPr>
          <w:color w:val="auto"/>
          <w:highlight w:val="none"/>
        </w:rPr>
        <w:instrText xml:space="preserve"> PAGEREF _Toc29181 \h </w:instrText>
      </w:r>
      <w:r>
        <w:rPr>
          <w:color w:val="auto"/>
          <w:highlight w:val="none"/>
        </w:rPr>
        <w:fldChar w:fldCharType="separate"/>
      </w:r>
      <w:r>
        <w:rPr>
          <w:color w:val="auto"/>
          <w:highlight w:val="none"/>
        </w:rPr>
        <w:t>- 36 -</w:t>
      </w:r>
      <w:r>
        <w:rPr>
          <w:color w:val="auto"/>
          <w:highlight w:val="none"/>
        </w:rPr>
        <w:fldChar w:fldCharType="end"/>
      </w:r>
      <w:r>
        <w:rPr>
          <w:rFonts w:hint="eastAsia" w:ascii="仿宋" w:hAnsi="仿宋" w:eastAsia="仿宋" w:cs="仿宋"/>
          <w:color w:val="auto"/>
          <w:szCs w:val="24"/>
          <w:highlight w:val="none"/>
        </w:rPr>
        <w:fldChar w:fldCharType="end"/>
      </w:r>
    </w:p>
    <w:p w14:paraId="1269FBA6">
      <w:pPr>
        <w:pStyle w:val="17"/>
        <w:tabs>
          <w:tab w:val="right" w:leader="dot" w:pos="9639"/>
          <w:tab w:val="clear" w:pos="1260"/>
          <w:tab w:val="clear" w:pos="1685"/>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_Toc28597 </w:instrText>
      </w:r>
      <w:r>
        <w:rPr>
          <w:rFonts w:hint="eastAsia" w:ascii="仿宋" w:hAnsi="仿宋" w:eastAsia="仿宋" w:cs="仿宋"/>
          <w:color w:val="auto"/>
          <w:szCs w:val="24"/>
          <w:highlight w:val="none"/>
        </w:rPr>
        <w:fldChar w:fldCharType="separate"/>
      </w:r>
      <w:r>
        <w:rPr>
          <w:rFonts w:hint="eastAsia" w:ascii="仿宋" w:hAnsi="仿宋" w:eastAsia="仿宋" w:cs="仿宋"/>
          <w:color w:val="auto"/>
          <w:szCs w:val="52"/>
          <w:highlight w:val="none"/>
          <w:lang w:val="en-US" w:eastAsia="zh-CN"/>
        </w:rPr>
        <w:t>第七篇  投标文件编制要求</w:t>
      </w:r>
      <w:r>
        <w:rPr>
          <w:color w:val="auto"/>
          <w:highlight w:val="none"/>
        </w:rPr>
        <w:tab/>
      </w:r>
      <w:r>
        <w:rPr>
          <w:color w:val="auto"/>
          <w:highlight w:val="none"/>
        </w:rPr>
        <w:fldChar w:fldCharType="begin"/>
      </w:r>
      <w:r>
        <w:rPr>
          <w:color w:val="auto"/>
          <w:highlight w:val="none"/>
        </w:rPr>
        <w:instrText xml:space="preserve"> PAGEREF _Toc28597 \h </w:instrText>
      </w:r>
      <w:r>
        <w:rPr>
          <w:color w:val="auto"/>
          <w:highlight w:val="none"/>
        </w:rPr>
        <w:fldChar w:fldCharType="separate"/>
      </w:r>
      <w:r>
        <w:rPr>
          <w:color w:val="auto"/>
          <w:highlight w:val="none"/>
        </w:rPr>
        <w:t>- 37 -</w:t>
      </w:r>
      <w:r>
        <w:rPr>
          <w:color w:val="auto"/>
          <w:highlight w:val="none"/>
        </w:rPr>
        <w:fldChar w:fldCharType="end"/>
      </w:r>
      <w:r>
        <w:rPr>
          <w:rFonts w:hint="eastAsia" w:ascii="仿宋" w:hAnsi="仿宋" w:eastAsia="仿宋" w:cs="仿宋"/>
          <w:color w:val="auto"/>
          <w:szCs w:val="24"/>
          <w:highlight w:val="none"/>
        </w:rPr>
        <w:fldChar w:fldCharType="end"/>
      </w:r>
    </w:p>
    <w:p w14:paraId="7175FE51">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_Toc32669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rPr>
        <w:t>一、经济部分</w:t>
      </w:r>
      <w:r>
        <w:rPr>
          <w:color w:val="auto"/>
          <w:highlight w:val="none"/>
        </w:rPr>
        <w:tab/>
      </w:r>
      <w:r>
        <w:rPr>
          <w:color w:val="auto"/>
          <w:highlight w:val="none"/>
        </w:rPr>
        <w:fldChar w:fldCharType="begin"/>
      </w:r>
      <w:r>
        <w:rPr>
          <w:color w:val="auto"/>
          <w:highlight w:val="none"/>
        </w:rPr>
        <w:instrText xml:space="preserve"> PAGEREF _Toc32669 \h </w:instrText>
      </w:r>
      <w:r>
        <w:rPr>
          <w:color w:val="auto"/>
          <w:highlight w:val="none"/>
        </w:rPr>
        <w:fldChar w:fldCharType="separate"/>
      </w:r>
      <w:r>
        <w:rPr>
          <w:color w:val="auto"/>
          <w:highlight w:val="none"/>
        </w:rPr>
        <w:t>- 39 -</w:t>
      </w:r>
      <w:r>
        <w:rPr>
          <w:color w:val="auto"/>
          <w:highlight w:val="none"/>
        </w:rPr>
        <w:fldChar w:fldCharType="end"/>
      </w:r>
      <w:r>
        <w:rPr>
          <w:rFonts w:hint="eastAsia" w:ascii="仿宋" w:hAnsi="仿宋" w:eastAsia="仿宋" w:cs="仿宋"/>
          <w:color w:val="auto"/>
          <w:szCs w:val="24"/>
          <w:highlight w:val="none"/>
        </w:rPr>
        <w:fldChar w:fldCharType="end"/>
      </w:r>
    </w:p>
    <w:p w14:paraId="6E0907FD">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_Toc7142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rPr>
        <w:t>二、服务部分</w:t>
      </w:r>
      <w:r>
        <w:rPr>
          <w:color w:val="auto"/>
          <w:highlight w:val="none"/>
        </w:rPr>
        <w:tab/>
      </w:r>
      <w:r>
        <w:rPr>
          <w:color w:val="auto"/>
          <w:highlight w:val="none"/>
        </w:rPr>
        <w:fldChar w:fldCharType="begin"/>
      </w:r>
      <w:r>
        <w:rPr>
          <w:color w:val="auto"/>
          <w:highlight w:val="none"/>
        </w:rPr>
        <w:instrText xml:space="preserve"> PAGEREF _Toc7142 \h </w:instrText>
      </w:r>
      <w:r>
        <w:rPr>
          <w:color w:val="auto"/>
          <w:highlight w:val="none"/>
        </w:rPr>
        <w:fldChar w:fldCharType="separate"/>
      </w:r>
      <w:r>
        <w:rPr>
          <w:color w:val="auto"/>
          <w:highlight w:val="none"/>
        </w:rPr>
        <w:t>- 40 -</w:t>
      </w:r>
      <w:r>
        <w:rPr>
          <w:color w:val="auto"/>
          <w:highlight w:val="none"/>
        </w:rPr>
        <w:fldChar w:fldCharType="end"/>
      </w:r>
      <w:r>
        <w:rPr>
          <w:rFonts w:hint="eastAsia" w:ascii="仿宋" w:hAnsi="仿宋" w:eastAsia="仿宋" w:cs="仿宋"/>
          <w:color w:val="auto"/>
          <w:szCs w:val="24"/>
          <w:highlight w:val="none"/>
        </w:rPr>
        <w:fldChar w:fldCharType="end"/>
      </w:r>
    </w:p>
    <w:p w14:paraId="11579F48">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_Toc28029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rPr>
        <w:t>三、商务部分</w:t>
      </w:r>
      <w:r>
        <w:rPr>
          <w:color w:val="auto"/>
          <w:highlight w:val="none"/>
        </w:rPr>
        <w:tab/>
      </w:r>
      <w:r>
        <w:rPr>
          <w:color w:val="auto"/>
          <w:highlight w:val="none"/>
        </w:rPr>
        <w:fldChar w:fldCharType="begin"/>
      </w:r>
      <w:r>
        <w:rPr>
          <w:color w:val="auto"/>
          <w:highlight w:val="none"/>
        </w:rPr>
        <w:instrText xml:space="preserve"> PAGEREF _Toc28029 \h </w:instrText>
      </w:r>
      <w:r>
        <w:rPr>
          <w:color w:val="auto"/>
          <w:highlight w:val="none"/>
        </w:rPr>
        <w:fldChar w:fldCharType="separate"/>
      </w:r>
      <w:r>
        <w:rPr>
          <w:color w:val="auto"/>
          <w:highlight w:val="none"/>
        </w:rPr>
        <w:t>- 43 -</w:t>
      </w:r>
      <w:r>
        <w:rPr>
          <w:color w:val="auto"/>
          <w:highlight w:val="none"/>
        </w:rPr>
        <w:fldChar w:fldCharType="end"/>
      </w:r>
      <w:r>
        <w:rPr>
          <w:rFonts w:hint="eastAsia" w:ascii="仿宋" w:hAnsi="仿宋" w:eastAsia="仿宋" w:cs="仿宋"/>
          <w:color w:val="auto"/>
          <w:szCs w:val="24"/>
          <w:highlight w:val="none"/>
        </w:rPr>
        <w:fldChar w:fldCharType="end"/>
      </w:r>
    </w:p>
    <w:p w14:paraId="093D544D">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_Toc9748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rPr>
        <w:t>四、资格条件及其他</w:t>
      </w:r>
      <w:r>
        <w:rPr>
          <w:color w:val="auto"/>
          <w:highlight w:val="none"/>
        </w:rPr>
        <w:tab/>
      </w:r>
      <w:r>
        <w:rPr>
          <w:color w:val="auto"/>
          <w:highlight w:val="none"/>
        </w:rPr>
        <w:fldChar w:fldCharType="begin"/>
      </w:r>
      <w:r>
        <w:rPr>
          <w:color w:val="auto"/>
          <w:highlight w:val="none"/>
        </w:rPr>
        <w:instrText xml:space="preserve"> PAGEREF _Toc9748 \h </w:instrText>
      </w:r>
      <w:r>
        <w:rPr>
          <w:color w:val="auto"/>
          <w:highlight w:val="none"/>
        </w:rPr>
        <w:fldChar w:fldCharType="separate"/>
      </w:r>
      <w:r>
        <w:rPr>
          <w:color w:val="auto"/>
          <w:highlight w:val="none"/>
        </w:rPr>
        <w:t>46</w:t>
      </w:r>
      <w:r>
        <w:rPr>
          <w:color w:val="auto"/>
          <w:highlight w:val="none"/>
        </w:rPr>
        <w:fldChar w:fldCharType="end"/>
      </w:r>
      <w:r>
        <w:rPr>
          <w:rFonts w:hint="eastAsia" w:ascii="仿宋" w:hAnsi="仿宋" w:eastAsia="仿宋" w:cs="仿宋"/>
          <w:color w:val="auto"/>
          <w:szCs w:val="24"/>
          <w:highlight w:val="none"/>
        </w:rPr>
        <w:fldChar w:fldCharType="end"/>
      </w:r>
    </w:p>
    <w:p w14:paraId="1BCBB4BE">
      <w:pPr>
        <w:pStyle w:val="18"/>
        <w:tabs>
          <w:tab w:val="right" w:leader="dot" w:pos="9639"/>
          <w:tab w:val="clear" w:pos="8400"/>
        </w:tabs>
        <w:rPr>
          <w:color w:val="auto"/>
          <w:highlight w:val="none"/>
        </w:rPr>
      </w:pPr>
      <w:r>
        <w:rPr>
          <w:rFonts w:hint="eastAsia" w:ascii="仿宋" w:hAnsi="仿宋" w:eastAsia="仿宋" w:cs="仿宋"/>
          <w:color w:val="auto"/>
          <w:szCs w:val="24"/>
          <w:highlight w:val="none"/>
        </w:rPr>
        <w:fldChar w:fldCharType="begin"/>
      </w:r>
      <w:r>
        <w:rPr>
          <w:rFonts w:hint="eastAsia" w:ascii="仿宋" w:hAnsi="仿宋" w:eastAsia="仿宋" w:cs="仿宋"/>
          <w:color w:val="auto"/>
          <w:szCs w:val="24"/>
          <w:highlight w:val="none"/>
        </w:rPr>
        <w:instrText xml:space="preserve"> HYPERLINK \l _Toc21027 </w:instrText>
      </w:r>
      <w:r>
        <w:rPr>
          <w:rFonts w:hint="eastAsia" w:ascii="仿宋" w:hAnsi="仿宋" w:eastAsia="仿宋" w:cs="仿宋"/>
          <w:color w:val="auto"/>
          <w:szCs w:val="24"/>
          <w:highlight w:val="none"/>
        </w:rPr>
        <w:fldChar w:fldCharType="separate"/>
      </w:r>
      <w:r>
        <w:rPr>
          <w:rFonts w:hint="eastAsia" w:ascii="仿宋" w:hAnsi="仿宋" w:eastAsia="仿宋" w:cs="仿宋"/>
          <w:bCs/>
          <w:color w:val="auto"/>
          <w:szCs w:val="24"/>
          <w:highlight w:val="none"/>
        </w:rPr>
        <w:t>五、其他资料</w:t>
      </w:r>
      <w:r>
        <w:rPr>
          <w:color w:val="auto"/>
          <w:highlight w:val="none"/>
        </w:rPr>
        <w:tab/>
      </w:r>
      <w:r>
        <w:rPr>
          <w:color w:val="auto"/>
          <w:highlight w:val="none"/>
        </w:rPr>
        <w:fldChar w:fldCharType="begin"/>
      </w:r>
      <w:r>
        <w:rPr>
          <w:color w:val="auto"/>
          <w:highlight w:val="none"/>
        </w:rPr>
        <w:instrText xml:space="preserve"> PAGEREF _Toc21027 \h </w:instrText>
      </w:r>
      <w:r>
        <w:rPr>
          <w:color w:val="auto"/>
          <w:highlight w:val="none"/>
        </w:rPr>
        <w:fldChar w:fldCharType="separate"/>
      </w:r>
      <w:r>
        <w:rPr>
          <w:color w:val="auto"/>
          <w:highlight w:val="none"/>
        </w:rPr>
        <w:t>51</w:t>
      </w:r>
      <w:r>
        <w:rPr>
          <w:color w:val="auto"/>
          <w:highlight w:val="none"/>
        </w:rPr>
        <w:fldChar w:fldCharType="end"/>
      </w:r>
      <w:r>
        <w:rPr>
          <w:rFonts w:hint="eastAsia" w:ascii="仿宋" w:hAnsi="仿宋" w:eastAsia="仿宋" w:cs="仿宋"/>
          <w:color w:val="auto"/>
          <w:szCs w:val="24"/>
          <w:highlight w:val="none"/>
        </w:rPr>
        <w:fldChar w:fldCharType="end"/>
      </w:r>
    </w:p>
    <w:p w14:paraId="58D4EE1B">
      <w:pPr>
        <w:pStyle w:val="17"/>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Cs w:val="24"/>
          <w:highlight w:val="none"/>
        </w:rPr>
        <w:fldChar w:fldCharType="end"/>
      </w:r>
      <w:r>
        <w:rPr>
          <w:rFonts w:hint="eastAsia" w:ascii="仿宋" w:hAnsi="仿宋" w:eastAsia="仿宋" w:cs="仿宋"/>
          <w:color w:val="auto"/>
          <w:sz w:val="24"/>
          <w:szCs w:val="24"/>
          <w:highlight w:val="none"/>
        </w:rPr>
        <w:br w:type="page"/>
      </w:r>
    </w:p>
    <w:p w14:paraId="764E8976">
      <w:pPr>
        <w:pStyle w:val="3"/>
        <w:spacing w:before="0" w:beforeLines="0" w:after="0" w:afterLines="0" w:line="360" w:lineRule="auto"/>
        <w:rPr>
          <w:rFonts w:hint="eastAsia" w:ascii="仿宋" w:hAnsi="仿宋" w:eastAsia="仿宋" w:cs="仿宋"/>
          <w:color w:val="auto"/>
          <w:highlight w:val="none"/>
        </w:rPr>
      </w:pPr>
      <w:bookmarkStart w:id="0" w:name="_Toc12009"/>
      <w:r>
        <w:rPr>
          <w:rFonts w:hint="eastAsia" w:ascii="仿宋" w:hAnsi="仿宋" w:eastAsia="仿宋" w:cs="仿宋"/>
          <w:color w:val="auto"/>
          <w:sz w:val="52"/>
          <w:szCs w:val="52"/>
          <w:highlight w:val="none"/>
        </w:rPr>
        <w:t xml:space="preserve">第一篇  </w:t>
      </w:r>
      <w:r>
        <w:rPr>
          <w:rFonts w:hint="eastAsia" w:ascii="仿宋" w:hAnsi="仿宋" w:eastAsia="仿宋" w:cs="仿宋"/>
          <w:color w:val="auto"/>
          <w:sz w:val="52"/>
          <w:szCs w:val="52"/>
          <w:highlight w:val="none"/>
          <w:lang w:eastAsia="zh-CN"/>
        </w:rPr>
        <w:t>比选</w:t>
      </w:r>
      <w:r>
        <w:rPr>
          <w:rFonts w:hint="eastAsia" w:ascii="仿宋" w:hAnsi="仿宋" w:eastAsia="仿宋" w:cs="仿宋"/>
          <w:color w:val="auto"/>
          <w:sz w:val="52"/>
          <w:szCs w:val="52"/>
          <w:highlight w:val="none"/>
        </w:rPr>
        <w:t>邀请书</w:t>
      </w:r>
      <w:bookmarkEnd w:id="0"/>
    </w:p>
    <w:p w14:paraId="5238C24E">
      <w:pPr>
        <w:pStyle w:val="10"/>
        <w:pageBreakBefore w:val="0"/>
        <w:kinsoku/>
        <w:wordWrap/>
        <w:overflowPunct/>
        <w:topLinePunct w:val="0"/>
        <w:autoSpaceDE/>
        <w:autoSpaceDN/>
        <w:bidi w:val="0"/>
        <w:spacing w:line="400" w:lineRule="exact"/>
        <w:ind w:left="0"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eastAsia="zh-CN"/>
        </w:rPr>
        <w:t>重庆市尊诺项目管理有限公司</w:t>
      </w:r>
      <w:r>
        <w:rPr>
          <w:rFonts w:hint="eastAsia" w:ascii="仿宋" w:hAnsi="仿宋" w:eastAsia="仿宋" w:cs="仿宋"/>
          <w:color w:val="auto"/>
          <w:sz w:val="24"/>
          <w:szCs w:val="24"/>
          <w:highlight w:val="none"/>
        </w:rPr>
        <w:t>(以下简称：采购代理机构)受</w:t>
      </w:r>
      <w:r>
        <w:rPr>
          <w:rFonts w:hint="eastAsia" w:ascii="仿宋" w:hAnsi="仿宋" w:eastAsia="仿宋" w:cs="仿宋"/>
          <w:color w:val="auto"/>
          <w:sz w:val="24"/>
          <w:szCs w:val="24"/>
          <w:highlight w:val="none"/>
          <w:u w:val="single"/>
          <w:lang w:eastAsia="zh-CN"/>
        </w:rPr>
        <w:t>重庆市九龙坡区渝州路街道社区卫生服务中心</w:t>
      </w:r>
      <w:r>
        <w:rPr>
          <w:rFonts w:hint="eastAsia" w:ascii="仿宋" w:hAnsi="仿宋" w:eastAsia="仿宋" w:cs="仿宋"/>
          <w:color w:val="auto"/>
          <w:sz w:val="24"/>
          <w:szCs w:val="24"/>
          <w:highlight w:val="none"/>
          <w:u w:val="none"/>
          <w:lang w:eastAsia="zh-CN"/>
        </w:rPr>
        <w:t>（</w:t>
      </w:r>
      <w:r>
        <w:rPr>
          <w:rFonts w:hint="eastAsia" w:ascii="仿宋" w:hAnsi="仿宋" w:eastAsia="仿宋" w:cs="仿宋"/>
          <w:color w:val="auto"/>
          <w:sz w:val="24"/>
          <w:szCs w:val="24"/>
          <w:highlight w:val="none"/>
          <w:u w:val="none"/>
          <w:lang w:val="en-US" w:eastAsia="zh-CN"/>
        </w:rPr>
        <w:t>以下简称：采购人</w:t>
      </w:r>
      <w:r>
        <w:rPr>
          <w:rFonts w:hint="eastAsia" w:ascii="仿宋" w:hAnsi="仿宋" w:eastAsia="仿宋" w:cs="仿宋"/>
          <w:color w:val="auto"/>
          <w:sz w:val="24"/>
          <w:szCs w:val="24"/>
          <w:highlight w:val="none"/>
          <w:u w:val="none"/>
          <w:lang w:eastAsia="zh-CN"/>
        </w:rPr>
        <w:t>）</w:t>
      </w:r>
      <w:r>
        <w:rPr>
          <w:rFonts w:hint="eastAsia" w:ascii="仿宋" w:hAnsi="仿宋" w:eastAsia="仿宋" w:cs="仿宋"/>
          <w:color w:val="auto"/>
          <w:sz w:val="24"/>
          <w:szCs w:val="24"/>
          <w:highlight w:val="none"/>
        </w:rPr>
        <w:t>的委托，对</w:t>
      </w:r>
      <w:r>
        <w:rPr>
          <w:rFonts w:hint="eastAsia" w:ascii="仿宋" w:hAnsi="仿宋" w:eastAsia="仿宋" w:cs="仿宋"/>
          <w:color w:val="auto"/>
          <w:sz w:val="24"/>
          <w:szCs w:val="24"/>
          <w:highlight w:val="none"/>
          <w:u w:val="single"/>
          <w:lang w:val="en-US" w:eastAsia="zh-CN"/>
        </w:rPr>
        <w:t>重庆市九龙坡区渝州路街道社区卫生服务中心医用耗材供应商遴选（第二次）</w:t>
      </w:r>
      <w:r>
        <w:rPr>
          <w:rFonts w:hint="eastAsia" w:ascii="仿宋" w:hAnsi="仿宋" w:eastAsia="仿宋" w:cs="仿宋"/>
          <w:color w:val="auto"/>
          <w:sz w:val="24"/>
          <w:szCs w:val="24"/>
          <w:highlight w:val="none"/>
        </w:rPr>
        <w:t>（项目号</w:t>
      </w:r>
      <w:r>
        <w:rPr>
          <w:rFonts w:hint="eastAsia" w:ascii="仿宋" w:hAnsi="仿宋" w:eastAsia="仿宋" w:cs="仿宋"/>
          <w:color w:val="auto"/>
          <w:sz w:val="24"/>
          <w:szCs w:val="24"/>
          <w:highlight w:val="none"/>
          <w:u w:val="single"/>
        </w:rPr>
        <w:t>：</w:t>
      </w:r>
      <w:r>
        <w:rPr>
          <w:rFonts w:hint="eastAsia" w:ascii="仿宋" w:hAnsi="仿宋" w:eastAsia="仿宋" w:cs="仿宋"/>
          <w:color w:val="auto"/>
          <w:sz w:val="24"/>
          <w:szCs w:val="24"/>
          <w:highlight w:val="none"/>
          <w:u w:val="single"/>
          <w:lang w:val="en-US" w:eastAsia="zh-CN"/>
        </w:rPr>
        <w:t>ZENO24033</w:t>
      </w:r>
      <w:r>
        <w:rPr>
          <w:rFonts w:hint="eastAsia" w:ascii="仿宋" w:hAnsi="仿宋" w:eastAsia="仿宋" w:cs="仿宋"/>
          <w:color w:val="auto"/>
          <w:sz w:val="24"/>
          <w:szCs w:val="24"/>
          <w:highlight w:val="none"/>
        </w:rPr>
        <w:t>）进行比选。欢迎有资格的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前来参加比选。</w:t>
      </w:r>
    </w:p>
    <w:p w14:paraId="7E74D210">
      <w:pPr>
        <w:pStyle w:val="4"/>
        <w:pageBreakBefore w:val="0"/>
        <w:widowControl w:val="0"/>
        <w:numPr>
          <w:ilvl w:val="0"/>
          <w:numId w:val="1"/>
        </w:numPr>
        <w:kinsoku/>
        <w:wordWrap/>
        <w:overflowPunct/>
        <w:topLinePunct w:val="0"/>
        <w:autoSpaceDE/>
        <w:autoSpaceDN/>
        <w:bidi w:val="0"/>
        <w:spacing w:line="400" w:lineRule="exact"/>
        <w:ind w:left="0" w:firstLine="482" w:firstLineChars="200"/>
        <w:textAlignment w:val="auto"/>
        <w:rPr>
          <w:rFonts w:hint="eastAsia" w:ascii="仿宋" w:hAnsi="仿宋" w:eastAsia="仿宋" w:cs="仿宋"/>
          <w:color w:val="auto"/>
          <w:sz w:val="24"/>
          <w:szCs w:val="24"/>
          <w:highlight w:val="none"/>
        </w:rPr>
      </w:pPr>
      <w:bookmarkStart w:id="1" w:name="_Toc20308"/>
      <w:r>
        <w:rPr>
          <w:rFonts w:hint="eastAsia" w:ascii="仿宋" w:hAnsi="仿宋" w:eastAsia="仿宋" w:cs="仿宋"/>
          <w:b/>
          <w:color w:val="auto"/>
          <w:sz w:val="24"/>
          <w:szCs w:val="24"/>
          <w:highlight w:val="none"/>
        </w:rPr>
        <w:t>比选内容</w:t>
      </w:r>
      <w:bookmarkEnd w:id="1"/>
    </w:p>
    <w:tbl>
      <w:tblPr>
        <w:tblStyle w:val="23"/>
        <w:tblW w:w="8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5"/>
        <w:gridCol w:w="3104"/>
        <w:gridCol w:w="2250"/>
        <w:gridCol w:w="2175"/>
      </w:tblGrid>
      <w:tr w14:paraId="5924C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85" w:type="dxa"/>
            <w:tcBorders>
              <w:top w:val="single" w:color="auto" w:sz="4" w:space="0"/>
              <w:left w:val="single" w:color="auto" w:sz="4" w:space="0"/>
              <w:right w:val="single" w:color="auto" w:sz="4" w:space="0"/>
            </w:tcBorders>
            <w:noWrap w:val="0"/>
            <w:vAlign w:val="center"/>
          </w:tcPr>
          <w:p w14:paraId="761F4B93">
            <w:pPr>
              <w:pageBreakBefore w:val="0"/>
              <w:widowControl/>
              <w:kinsoku/>
              <w:wordWrap/>
              <w:overflowPunct/>
              <w:topLinePunct w:val="0"/>
              <w:autoSpaceDE/>
              <w:autoSpaceDN/>
              <w:bidi w:val="0"/>
              <w:spacing w:line="400" w:lineRule="exact"/>
              <w:jc w:val="both"/>
              <w:textAlignment w:val="auto"/>
              <w:rPr>
                <w:rFonts w:hint="eastAsia" w:ascii="仿宋" w:hAnsi="仿宋" w:eastAsia="仿宋" w:cs="仿宋"/>
                <w:b/>
                <w:bCs/>
                <w:color w:val="auto"/>
                <w:kern w:val="0"/>
                <w:sz w:val="24"/>
                <w:szCs w:val="24"/>
                <w:highlight w:val="none"/>
                <w:lang w:val="en-US" w:eastAsia="zh-CN"/>
              </w:rPr>
            </w:pPr>
            <w:r>
              <w:rPr>
                <w:rFonts w:hint="eastAsia" w:ascii="仿宋" w:hAnsi="仿宋" w:eastAsia="仿宋" w:cs="仿宋"/>
                <w:b/>
                <w:bCs/>
                <w:color w:val="auto"/>
                <w:kern w:val="0"/>
                <w:sz w:val="24"/>
                <w:szCs w:val="24"/>
                <w:highlight w:val="none"/>
                <w:lang w:val="en-US" w:eastAsia="zh-CN"/>
              </w:rPr>
              <w:t>分包号</w:t>
            </w:r>
          </w:p>
        </w:tc>
        <w:tc>
          <w:tcPr>
            <w:tcW w:w="3104" w:type="dxa"/>
            <w:tcBorders>
              <w:top w:val="single" w:color="auto" w:sz="4" w:space="0"/>
              <w:left w:val="single" w:color="auto" w:sz="4" w:space="0"/>
              <w:right w:val="single" w:color="auto" w:sz="4" w:space="0"/>
            </w:tcBorders>
            <w:noWrap w:val="0"/>
            <w:vAlign w:val="center"/>
          </w:tcPr>
          <w:p w14:paraId="6E029C28">
            <w:pPr>
              <w:pageBreakBefore w:val="0"/>
              <w:widowControl/>
              <w:kinsoku/>
              <w:wordWrap/>
              <w:overflowPunct/>
              <w:topLinePunct w:val="0"/>
              <w:autoSpaceDE/>
              <w:autoSpaceDN/>
              <w:bidi w:val="0"/>
              <w:spacing w:line="400" w:lineRule="exact"/>
              <w:ind w:left="0" w:firstLine="1205" w:firstLineChars="500"/>
              <w:jc w:val="both"/>
              <w:textAlignment w:val="auto"/>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lang w:val="en-US" w:eastAsia="zh-CN"/>
              </w:rPr>
              <w:t>分包</w:t>
            </w:r>
            <w:r>
              <w:rPr>
                <w:rFonts w:hint="eastAsia" w:ascii="仿宋" w:hAnsi="仿宋" w:eastAsia="仿宋" w:cs="仿宋"/>
                <w:b/>
                <w:bCs/>
                <w:color w:val="auto"/>
                <w:kern w:val="0"/>
                <w:sz w:val="24"/>
                <w:szCs w:val="24"/>
                <w:highlight w:val="none"/>
              </w:rPr>
              <w:t>名称</w:t>
            </w:r>
          </w:p>
        </w:tc>
        <w:tc>
          <w:tcPr>
            <w:tcW w:w="2250" w:type="dxa"/>
            <w:tcBorders>
              <w:top w:val="single" w:color="auto" w:sz="4" w:space="0"/>
              <w:left w:val="single" w:color="auto" w:sz="4" w:space="0"/>
              <w:right w:val="single" w:color="auto" w:sz="4" w:space="0"/>
            </w:tcBorders>
            <w:noWrap w:val="0"/>
            <w:vAlign w:val="center"/>
          </w:tcPr>
          <w:p w14:paraId="3DE2F504">
            <w:pPr>
              <w:pageBreakBefore w:val="0"/>
              <w:kinsoku/>
              <w:wordWrap/>
              <w:overflowPunct/>
              <w:topLinePunct w:val="0"/>
              <w:autoSpaceDE/>
              <w:autoSpaceDN/>
              <w:bidi w:val="0"/>
              <w:spacing w:line="400" w:lineRule="exact"/>
              <w:ind w:left="0" w:hanging="482" w:hangingChars="200"/>
              <w:jc w:val="both"/>
              <w:textAlignment w:val="auto"/>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lang w:eastAsia="zh-CN"/>
              </w:rPr>
              <w:t>中标人</w:t>
            </w:r>
            <w:r>
              <w:rPr>
                <w:rFonts w:hint="eastAsia" w:ascii="仿宋" w:hAnsi="仿宋" w:eastAsia="仿宋" w:cs="仿宋"/>
                <w:b/>
                <w:bCs/>
                <w:color w:val="auto"/>
                <w:kern w:val="0"/>
                <w:sz w:val="24"/>
                <w:szCs w:val="24"/>
                <w:highlight w:val="none"/>
              </w:rPr>
              <w:t>数量（名）</w:t>
            </w:r>
          </w:p>
        </w:tc>
        <w:tc>
          <w:tcPr>
            <w:tcW w:w="2175" w:type="dxa"/>
            <w:tcBorders>
              <w:top w:val="single" w:color="auto" w:sz="4" w:space="0"/>
              <w:left w:val="single" w:color="auto" w:sz="4" w:space="0"/>
              <w:right w:val="single" w:color="auto" w:sz="4" w:space="0"/>
            </w:tcBorders>
            <w:noWrap w:val="0"/>
            <w:vAlign w:val="center"/>
          </w:tcPr>
          <w:p w14:paraId="6705A94F">
            <w:pPr>
              <w:pageBreakBefore w:val="0"/>
              <w:kinsoku/>
              <w:wordWrap/>
              <w:overflowPunct/>
              <w:topLinePunct w:val="0"/>
              <w:autoSpaceDE/>
              <w:autoSpaceDN/>
              <w:bidi w:val="0"/>
              <w:spacing w:line="400" w:lineRule="exact"/>
              <w:ind w:left="0"/>
              <w:jc w:val="center"/>
              <w:textAlignment w:val="auto"/>
              <w:rPr>
                <w:rFonts w:hint="eastAsia" w:ascii="仿宋" w:hAnsi="仿宋" w:eastAsia="仿宋" w:cs="仿宋"/>
                <w:b/>
                <w:bCs/>
                <w:color w:val="auto"/>
                <w:kern w:val="0"/>
                <w:sz w:val="24"/>
                <w:szCs w:val="24"/>
                <w:highlight w:val="none"/>
                <w:lang w:val="en-US" w:eastAsia="zh-CN"/>
              </w:rPr>
            </w:pPr>
            <w:r>
              <w:rPr>
                <w:rFonts w:hint="eastAsia" w:ascii="仿宋" w:hAnsi="仿宋" w:eastAsia="仿宋" w:cs="仿宋"/>
                <w:b/>
                <w:bCs/>
                <w:color w:val="auto"/>
                <w:kern w:val="0"/>
                <w:sz w:val="24"/>
                <w:szCs w:val="24"/>
                <w:highlight w:val="none"/>
                <w:lang w:val="en-US" w:eastAsia="zh-CN"/>
              </w:rPr>
              <w:t>备注</w:t>
            </w:r>
          </w:p>
        </w:tc>
      </w:tr>
      <w:tr w14:paraId="74ED3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385" w:type="dxa"/>
            <w:tcBorders>
              <w:top w:val="single" w:color="auto" w:sz="4" w:space="0"/>
              <w:left w:val="single" w:color="auto" w:sz="4" w:space="0"/>
              <w:bottom w:val="single" w:color="auto" w:sz="4" w:space="0"/>
              <w:right w:val="single" w:color="auto" w:sz="4" w:space="0"/>
            </w:tcBorders>
            <w:noWrap w:val="0"/>
            <w:vAlign w:val="center"/>
          </w:tcPr>
          <w:p w14:paraId="2D30EBF5">
            <w:pPr>
              <w:pageBreakBefore w:val="0"/>
              <w:widowControl/>
              <w:numPr>
                <w:ilvl w:val="0"/>
                <w:numId w:val="0"/>
              </w:numPr>
              <w:kinsoku/>
              <w:wordWrap/>
              <w:overflowPunct/>
              <w:topLinePunct w:val="0"/>
              <w:autoSpaceDE/>
              <w:autoSpaceDN/>
              <w:bidi w:val="0"/>
              <w:spacing w:line="400" w:lineRule="exact"/>
              <w:ind w:left="0"/>
              <w:jc w:val="left"/>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包一</w:t>
            </w:r>
          </w:p>
        </w:tc>
        <w:tc>
          <w:tcPr>
            <w:tcW w:w="3104" w:type="dxa"/>
            <w:tcBorders>
              <w:top w:val="single" w:color="auto" w:sz="4" w:space="0"/>
              <w:left w:val="single" w:color="auto" w:sz="4" w:space="0"/>
              <w:bottom w:val="single" w:color="auto" w:sz="4" w:space="0"/>
              <w:right w:val="single" w:color="auto" w:sz="4" w:space="0"/>
            </w:tcBorders>
            <w:noWrap w:val="0"/>
            <w:vAlign w:val="center"/>
          </w:tcPr>
          <w:p w14:paraId="60D93F51">
            <w:pPr>
              <w:pageBreakBefore w:val="0"/>
              <w:widowControl/>
              <w:numPr>
                <w:ilvl w:val="0"/>
                <w:numId w:val="0"/>
              </w:numPr>
              <w:kinsoku/>
              <w:wordWrap/>
              <w:overflowPunct/>
              <w:topLinePunct w:val="0"/>
              <w:autoSpaceDE/>
              <w:autoSpaceDN/>
              <w:bidi w:val="0"/>
              <w:spacing w:line="400" w:lineRule="exact"/>
              <w:ind w:left="0"/>
              <w:jc w:val="left"/>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color w:val="auto"/>
                <w:sz w:val="24"/>
                <w:szCs w:val="24"/>
                <w:highlight w:val="none"/>
                <w:u w:val="none"/>
                <w:lang w:val="en-US" w:eastAsia="zh-CN"/>
              </w:rPr>
              <w:t>口腔医用耗材类</w:t>
            </w:r>
          </w:p>
        </w:tc>
        <w:tc>
          <w:tcPr>
            <w:tcW w:w="2250" w:type="dxa"/>
            <w:tcBorders>
              <w:top w:val="single" w:color="auto" w:sz="4" w:space="0"/>
              <w:left w:val="single" w:color="auto" w:sz="4" w:space="0"/>
              <w:bottom w:val="single" w:color="auto" w:sz="4" w:space="0"/>
              <w:right w:val="single" w:color="auto" w:sz="4" w:space="0"/>
            </w:tcBorders>
            <w:noWrap w:val="0"/>
            <w:vAlign w:val="center"/>
          </w:tcPr>
          <w:p w14:paraId="1748189F">
            <w:pPr>
              <w:pageBreakBefore w:val="0"/>
              <w:kinsoku/>
              <w:wordWrap/>
              <w:overflowPunct/>
              <w:topLinePunct w:val="0"/>
              <w:autoSpaceDE/>
              <w:autoSpaceDN/>
              <w:bidi w:val="0"/>
              <w:spacing w:line="400" w:lineRule="exact"/>
              <w:ind w:left="0"/>
              <w:jc w:val="center"/>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4E73CB4D">
            <w:pPr>
              <w:pageBreakBefore w:val="0"/>
              <w:kinsoku/>
              <w:wordWrap/>
              <w:overflowPunct/>
              <w:topLinePunct w:val="0"/>
              <w:autoSpaceDE/>
              <w:autoSpaceDN/>
              <w:bidi w:val="0"/>
              <w:spacing w:line="400" w:lineRule="exact"/>
              <w:ind w:left="0"/>
              <w:jc w:val="both"/>
              <w:textAlignment w:val="auto"/>
              <w:rPr>
                <w:rFonts w:hint="eastAsia" w:ascii="仿宋" w:hAnsi="仿宋" w:eastAsia="仿宋" w:cs="仿宋"/>
                <w:b w:val="0"/>
                <w:bCs w:val="0"/>
                <w:color w:val="auto"/>
                <w:sz w:val="24"/>
                <w:szCs w:val="24"/>
                <w:highlight w:val="none"/>
                <w:lang w:val="en-US" w:eastAsia="zh-CN"/>
              </w:rPr>
            </w:pPr>
          </w:p>
        </w:tc>
      </w:tr>
      <w:tr w14:paraId="356C1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385" w:type="dxa"/>
            <w:tcBorders>
              <w:top w:val="single" w:color="auto" w:sz="4" w:space="0"/>
              <w:left w:val="single" w:color="auto" w:sz="4" w:space="0"/>
              <w:bottom w:val="single" w:color="auto" w:sz="4" w:space="0"/>
              <w:right w:val="single" w:color="auto" w:sz="4" w:space="0"/>
            </w:tcBorders>
            <w:noWrap w:val="0"/>
            <w:vAlign w:val="center"/>
          </w:tcPr>
          <w:p w14:paraId="42692CBA">
            <w:pPr>
              <w:pageBreakBefore w:val="0"/>
              <w:widowControl/>
              <w:numPr>
                <w:ilvl w:val="0"/>
                <w:numId w:val="0"/>
              </w:numPr>
              <w:kinsoku/>
              <w:wordWrap/>
              <w:overflowPunct/>
              <w:topLinePunct w:val="0"/>
              <w:autoSpaceDE/>
              <w:autoSpaceDN/>
              <w:bidi w:val="0"/>
              <w:spacing w:line="400" w:lineRule="exact"/>
              <w:ind w:left="0"/>
              <w:jc w:val="left"/>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包二</w:t>
            </w:r>
          </w:p>
        </w:tc>
        <w:tc>
          <w:tcPr>
            <w:tcW w:w="31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0EB0EF">
            <w:pPr>
              <w:pageBreakBefore w:val="0"/>
              <w:widowControl/>
              <w:numPr>
                <w:ilvl w:val="0"/>
                <w:numId w:val="0"/>
              </w:numPr>
              <w:kinsoku/>
              <w:wordWrap/>
              <w:overflowPunct/>
              <w:topLinePunct w:val="0"/>
              <w:autoSpaceDE/>
              <w:autoSpaceDN/>
              <w:bidi w:val="0"/>
              <w:spacing w:line="400" w:lineRule="exact"/>
              <w:ind w:left="0"/>
              <w:jc w:val="left"/>
              <w:textAlignment w:val="auto"/>
              <w:rPr>
                <w:rFonts w:hint="eastAsia" w:ascii="仿宋" w:hAnsi="仿宋" w:eastAsia="仿宋" w:cs="仿宋"/>
                <w:b w:val="0"/>
                <w:bCs w:val="0"/>
                <w:color w:val="auto"/>
                <w:sz w:val="24"/>
                <w:szCs w:val="24"/>
                <w:highlight w:val="none"/>
                <w:u w:val="none"/>
                <w:lang w:val="en-US" w:eastAsia="zh-CN"/>
              </w:rPr>
            </w:pPr>
            <w:r>
              <w:rPr>
                <w:rFonts w:hint="eastAsia" w:ascii="仿宋" w:hAnsi="仿宋" w:eastAsia="仿宋" w:cs="仿宋"/>
                <w:b w:val="0"/>
                <w:bCs w:val="0"/>
                <w:color w:val="auto"/>
                <w:sz w:val="24"/>
                <w:szCs w:val="24"/>
                <w:highlight w:val="none"/>
                <w:lang w:val="en-US" w:eastAsia="zh-CN"/>
              </w:rPr>
              <w:t>医用试剂类</w:t>
            </w:r>
          </w:p>
        </w:tc>
        <w:tc>
          <w:tcPr>
            <w:tcW w:w="2250" w:type="dxa"/>
            <w:tcBorders>
              <w:top w:val="single" w:color="auto" w:sz="4" w:space="0"/>
              <w:left w:val="single" w:color="auto" w:sz="4" w:space="0"/>
              <w:bottom w:val="single" w:color="auto" w:sz="4" w:space="0"/>
              <w:right w:val="single" w:color="auto" w:sz="4" w:space="0"/>
            </w:tcBorders>
            <w:noWrap w:val="0"/>
            <w:vAlign w:val="center"/>
          </w:tcPr>
          <w:p w14:paraId="42EA6406">
            <w:pPr>
              <w:pageBreakBefore w:val="0"/>
              <w:kinsoku/>
              <w:wordWrap/>
              <w:overflowPunct/>
              <w:topLinePunct w:val="0"/>
              <w:autoSpaceDE/>
              <w:autoSpaceDN/>
              <w:bidi w:val="0"/>
              <w:spacing w:line="400" w:lineRule="exact"/>
              <w:ind w:left="0"/>
              <w:jc w:val="center"/>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29B3A3E2">
            <w:pPr>
              <w:pageBreakBefore w:val="0"/>
              <w:kinsoku/>
              <w:wordWrap/>
              <w:overflowPunct/>
              <w:topLinePunct w:val="0"/>
              <w:autoSpaceDE/>
              <w:autoSpaceDN/>
              <w:bidi w:val="0"/>
              <w:spacing w:line="400" w:lineRule="exact"/>
              <w:ind w:left="0"/>
              <w:jc w:val="both"/>
              <w:textAlignment w:val="auto"/>
              <w:rPr>
                <w:rFonts w:hint="eastAsia" w:ascii="仿宋" w:hAnsi="仿宋" w:eastAsia="仿宋" w:cs="仿宋"/>
                <w:b w:val="0"/>
                <w:bCs w:val="0"/>
                <w:color w:val="auto"/>
                <w:sz w:val="24"/>
                <w:szCs w:val="24"/>
                <w:highlight w:val="none"/>
                <w:lang w:val="en-US" w:eastAsia="zh-CN"/>
              </w:rPr>
            </w:pPr>
          </w:p>
        </w:tc>
      </w:tr>
      <w:tr w14:paraId="54CC3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385" w:type="dxa"/>
            <w:tcBorders>
              <w:top w:val="single" w:color="auto" w:sz="4" w:space="0"/>
              <w:left w:val="single" w:color="auto" w:sz="4" w:space="0"/>
              <w:bottom w:val="single" w:color="auto" w:sz="4" w:space="0"/>
              <w:right w:val="single" w:color="auto" w:sz="4" w:space="0"/>
            </w:tcBorders>
            <w:noWrap w:val="0"/>
            <w:vAlign w:val="center"/>
          </w:tcPr>
          <w:p w14:paraId="16FCA405">
            <w:pPr>
              <w:pageBreakBefore w:val="0"/>
              <w:widowControl/>
              <w:numPr>
                <w:ilvl w:val="0"/>
                <w:numId w:val="0"/>
              </w:numPr>
              <w:kinsoku/>
              <w:wordWrap/>
              <w:overflowPunct/>
              <w:topLinePunct w:val="0"/>
              <w:autoSpaceDE/>
              <w:autoSpaceDN/>
              <w:bidi w:val="0"/>
              <w:spacing w:line="400" w:lineRule="exact"/>
              <w:ind w:left="0"/>
              <w:jc w:val="left"/>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包三</w:t>
            </w:r>
          </w:p>
        </w:tc>
        <w:tc>
          <w:tcPr>
            <w:tcW w:w="31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8E5A13">
            <w:pPr>
              <w:pageBreakBefore w:val="0"/>
              <w:widowControl/>
              <w:numPr>
                <w:ilvl w:val="0"/>
                <w:numId w:val="0"/>
              </w:numPr>
              <w:kinsoku/>
              <w:wordWrap/>
              <w:overflowPunct/>
              <w:topLinePunct w:val="0"/>
              <w:autoSpaceDE/>
              <w:autoSpaceDN/>
              <w:bidi w:val="0"/>
              <w:spacing w:line="400" w:lineRule="exact"/>
              <w:ind w:left="0"/>
              <w:jc w:val="left"/>
              <w:textAlignment w:val="auto"/>
              <w:rPr>
                <w:rFonts w:hint="eastAsia" w:ascii="仿宋" w:hAnsi="仿宋" w:eastAsia="仿宋" w:cs="仿宋"/>
                <w:b w:val="0"/>
                <w:bCs w:val="0"/>
                <w:color w:val="auto"/>
                <w:sz w:val="24"/>
                <w:szCs w:val="24"/>
                <w:highlight w:val="none"/>
                <w:u w:val="none"/>
                <w:lang w:val="en-US" w:eastAsia="zh-CN"/>
              </w:rPr>
            </w:pPr>
            <w:r>
              <w:rPr>
                <w:rFonts w:hint="eastAsia" w:ascii="仿宋" w:hAnsi="仿宋" w:eastAsia="仿宋" w:cs="仿宋"/>
                <w:b w:val="0"/>
                <w:bCs w:val="0"/>
                <w:color w:val="auto"/>
                <w:sz w:val="24"/>
                <w:szCs w:val="24"/>
                <w:highlight w:val="none"/>
                <w:lang w:val="en-US" w:eastAsia="zh-CN"/>
              </w:rPr>
              <w:t>医疗辅助性器械或物品类</w:t>
            </w:r>
          </w:p>
        </w:tc>
        <w:tc>
          <w:tcPr>
            <w:tcW w:w="2250" w:type="dxa"/>
            <w:tcBorders>
              <w:top w:val="single" w:color="auto" w:sz="4" w:space="0"/>
              <w:left w:val="single" w:color="auto" w:sz="4" w:space="0"/>
              <w:bottom w:val="single" w:color="auto" w:sz="4" w:space="0"/>
              <w:right w:val="single" w:color="auto" w:sz="4" w:space="0"/>
            </w:tcBorders>
            <w:noWrap w:val="0"/>
            <w:vAlign w:val="center"/>
          </w:tcPr>
          <w:p w14:paraId="033CDB79">
            <w:pPr>
              <w:pageBreakBefore w:val="0"/>
              <w:kinsoku/>
              <w:wordWrap/>
              <w:overflowPunct/>
              <w:topLinePunct w:val="0"/>
              <w:autoSpaceDE/>
              <w:autoSpaceDN/>
              <w:bidi w:val="0"/>
              <w:spacing w:line="400" w:lineRule="exact"/>
              <w:ind w:left="0"/>
              <w:jc w:val="center"/>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2A2B77D4">
            <w:pPr>
              <w:pageBreakBefore w:val="0"/>
              <w:kinsoku/>
              <w:wordWrap/>
              <w:overflowPunct/>
              <w:topLinePunct w:val="0"/>
              <w:autoSpaceDE/>
              <w:autoSpaceDN/>
              <w:bidi w:val="0"/>
              <w:spacing w:line="400" w:lineRule="exact"/>
              <w:ind w:left="0"/>
              <w:jc w:val="both"/>
              <w:textAlignment w:val="auto"/>
              <w:rPr>
                <w:rFonts w:hint="eastAsia" w:ascii="仿宋" w:hAnsi="仿宋" w:eastAsia="仿宋" w:cs="仿宋"/>
                <w:b w:val="0"/>
                <w:bCs w:val="0"/>
                <w:color w:val="auto"/>
                <w:sz w:val="24"/>
                <w:szCs w:val="24"/>
                <w:highlight w:val="none"/>
                <w:lang w:val="en-US" w:eastAsia="zh-CN"/>
              </w:rPr>
            </w:pPr>
          </w:p>
        </w:tc>
      </w:tr>
      <w:tr w14:paraId="61629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914" w:type="dxa"/>
            <w:gridSpan w:val="4"/>
            <w:tcBorders>
              <w:top w:val="single" w:color="auto" w:sz="4" w:space="0"/>
              <w:left w:val="single" w:color="auto" w:sz="4" w:space="0"/>
              <w:bottom w:val="single" w:color="auto" w:sz="4" w:space="0"/>
              <w:right w:val="single" w:color="auto" w:sz="4" w:space="0"/>
            </w:tcBorders>
            <w:noWrap w:val="0"/>
            <w:vAlign w:val="center"/>
          </w:tcPr>
          <w:p w14:paraId="35F1FB1C">
            <w:pPr>
              <w:pStyle w:val="4"/>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b w:val="0"/>
                <w:bCs w:val="0"/>
                <w:color w:val="auto"/>
                <w:sz w:val="24"/>
                <w:szCs w:val="24"/>
                <w:highlight w:val="none"/>
                <w:lang w:val="en-US" w:eastAsia="zh-CN"/>
              </w:rPr>
            </w:pPr>
            <w:bookmarkStart w:id="2" w:name="_Toc4268"/>
            <w:r>
              <w:rPr>
                <w:rFonts w:hint="eastAsia" w:ascii="仿宋" w:hAnsi="仿宋" w:eastAsia="仿宋" w:cs="仿宋"/>
                <w:color w:val="auto"/>
                <w:kern w:val="2"/>
                <w:sz w:val="24"/>
                <w:szCs w:val="24"/>
                <w:highlight w:val="none"/>
                <w:lang w:val="en-US" w:eastAsia="zh-CN" w:bidi="ar-SA"/>
              </w:rPr>
              <w:t>注：供应商可以投一个分包，也可以同时投多个分包，但只能中标一个分包。若某分包中标供应商因特殊情况无法完成供货，采购人可以向其它分包的中标供应商采购或者向第三方供应商询价采购。</w:t>
            </w:r>
          </w:p>
        </w:tc>
      </w:tr>
    </w:tbl>
    <w:p w14:paraId="7A4FCE89">
      <w:pPr>
        <w:pStyle w:val="4"/>
        <w:pageBreakBefore w:val="0"/>
        <w:widowControl w:val="0"/>
        <w:kinsoku/>
        <w:wordWrap/>
        <w:overflowPunct/>
        <w:topLinePunct w:val="0"/>
        <w:autoSpaceDE/>
        <w:autoSpaceDN/>
        <w:bidi w:val="0"/>
        <w:spacing w:line="400" w:lineRule="exact"/>
        <w:ind w:left="0"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二、资金来源</w:t>
      </w:r>
      <w:bookmarkEnd w:id="2"/>
    </w:p>
    <w:p w14:paraId="2C7A3294">
      <w:pPr>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自筹资金。</w:t>
      </w:r>
    </w:p>
    <w:p w14:paraId="6452569D">
      <w:pPr>
        <w:pStyle w:val="4"/>
        <w:pageBreakBefore w:val="0"/>
        <w:widowControl w:val="0"/>
        <w:kinsoku/>
        <w:wordWrap/>
        <w:overflowPunct/>
        <w:topLinePunct w:val="0"/>
        <w:autoSpaceDE/>
        <w:autoSpaceDN/>
        <w:bidi w:val="0"/>
        <w:spacing w:line="400" w:lineRule="exact"/>
        <w:ind w:left="0" w:firstLine="482" w:firstLineChars="200"/>
        <w:textAlignment w:val="auto"/>
        <w:rPr>
          <w:rFonts w:hint="eastAsia" w:ascii="仿宋" w:hAnsi="仿宋" w:eastAsia="仿宋" w:cs="仿宋"/>
          <w:b/>
          <w:color w:val="auto"/>
          <w:sz w:val="24"/>
          <w:szCs w:val="24"/>
          <w:highlight w:val="none"/>
        </w:rPr>
      </w:pPr>
      <w:bookmarkStart w:id="3" w:name="_Toc16328"/>
      <w:r>
        <w:rPr>
          <w:rFonts w:hint="eastAsia" w:ascii="仿宋" w:hAnsi="仿宋" w:eastAsia="仿宋" w:cs="仿宋"/>
          <w:b/>
          <w:color w:val="auto"/>
          <w:sz w:val="24"/>
          <w:szCs w:val="24"/>
          <w:highlight w:val="none"/>
        </w:rPr>
        <w:t>三、</w:t>
      </w:r>
      <w:r>
        <w:rPr>
          <w:rFonts w:hint="eastAsia" w:ascii="仿宋" w:hAnsi="仿宋" w:eastAsia="仿宋" w:cs="仿宋"/>
          <w:b/>
          <w:color w:val="auto"/>
          <w:sz w:val="24"/>
          <w:szCs w:val="24"/>
          <w:highlight w:val="none"/>
          <w:lang w:eastAsia="zh-CN"/>
        </w:rPr>
        <w:t>供应商</w:t>
      </w:r>
      <w:r>
        <w:rPr>
          <w:rFonts w:hint="eastAsia" w:ascii="仿宋" w:hAnsi="仿宋" w:eastAsia="仿宋" w:cs="仿宋"/>
          <w:b/>
          <w:color w:val="auto"/>
          <w:sz w:val="24"/>
          <w:szCs w:val="24"/>
          <w:highlight w:val="none"/>
        </w:rPr>
        <w:t>资格条件</w:t>
      </w:r>
      <w:bookmarkEnd w:id="3"/>
    </w:p>
    <w:p w14:paraId="461F0A0A">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bookmarkStart w:id="4" w:name="_Toc9978"/>
      <w:bookmarkStart w:id="5" w:name="_Toc31712"/>
      <w:bookmarkStart w:id="6" w:name="_Toc8408"/>
      <w:bookmarkStart w:id="7" w:name="_Toc38532846"/>
      <w:r>
        <w:rPr>
          <w:rFonts w:hint="eastAsia" w:ascii="仿宋" w:hAnsi="仿宋" w:eastAsia="仿宋" w:cs="仿宋"/>
          <w:color w:val="auto"/>
          <w:sz w:val="24"/>
          <w:szCs w:val="24"/>
          <w:highlight w:val="none"/>
        </w:rPr>
        <w:t>（一）基本资格条件</w:t>
      </w:r>
    </w:p>
    <w:p w14:paraId="27EAFD8D">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p w14:paraId="14F529C1">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p w14:paraId="2968D55C">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3、具有履行合同所必需的设备和专业技术能力；</w:t>
      </w:r>
    </w:p>
    <w:p w14:paraId="39FDCB06">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4、有依法缴纳税收和社会保障资金的良好记录；</w:t>
      </w:r>
    </w:p>
    <w:p w14:paraId="1FB8F82E">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5、参加政府采购活动前三年内，在经营活动中没有重大违法记录；</w:t>
      </w:r>
    </w:p>
    <w:p w14:paraId="063A0CE9">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6、法律、行政法规规定的其他条件。</w:t>
      </w:r>
    </w:p>
    <w:p w14:paraId="62B5DEC7">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（二）特定资格条件</w:t>
      </w:r>
      <w:r>
        <w:rPr>
          <w:rFonts w:hint="eastAsia" w:ascii="仿宋" w:hAnsi="仿宋" w:eastAsia="仿宋" w:cs="仿宋"/>
          <w:color w:val="auto"/>
          <w:sz w:val="24"/>
          <w:szCs w:val="24"/>
          <w:highlight w:val="none"/>
          <w:lang w:val="en-US" w:eastAsia="zh-CN"/>
        </w:rPr>
        <w:t xml:space="preserve"> </w:t>
      </w:r>
    </w:p>
    <w:p w14:paraId="58435AC9">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供应商为所投</w:t>
      </w:r>
      <w:r>
        <w:rPr>
          <w:rFonts w:hint="eastAsia" w:ascii="仿宋" w:hAnsi="仿宋" w:eastAsia="仿宋" w:cs="仿宋"/>
          <w:color w:val="auto"/>
          <w:sz w:val="24"/>
          <w:szCs w:val="24"/>
          <w:highlight w:val="none"/>
          <w:lang w:val="en-US" w:eastAsia="zh-CN"/>
        </w:rPr>
        <w:t>产品</w:t>
      </w:r>
      <w:r>
        <w:rPr>
          <w:rFonts w:hint="eastAsia" w:ascii="仿宋" w:hAnsi="仿宋" w:eastAsia="仿宋" w:cs="仿宋"/>
          <w:color w:val="auto"/>
          <w:sz w:val="24"/>
          <w:szCs w:val="24"/>
          <w:highlight w:val="none"/>
        </w:rPr>
        <w:t>的制造商时，提供《医疗器械生产许可证》（进口除外</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供应商非所投</w:t>
      </w:r>
      <w:r>
        <w:rPr>
          <w:rFonts w:hint="eastAsia" w:ascii="仿宋" w:hAnsi="仿宋" w:eastAsia="仿宋" w:cs="仿宋"/>
          <w:color w:val="auto"/>
          <w:sz w:val="24"/>
          <w:szCs w:val="24"/>
          <w:highlight w:val="none"/>
          <w:lang w:val="en-US" w:eastAsia="zh-CN"/>
        </w:rPr>
        <w:t>产品</w:t>
      </w:r>
      <w:r>
        <w:rPr>
          <w:rFonts w:hint="eastAsia" w:ascii="仿宋" w:hAnsi="仿宋" w:eastAsia="仿宋" w:cs="仿宋"/>
          <w:color w:val="auto"/>
          <w:sz w:val="24"/>
          <w:szCs w:val="24"/>
          <w:highlight w:val="none"/>
        </w:rPr>
        <w:t>的制造商时，应提供《医疗器械经营许可证》(适用第三类医疗器械)或者《第二类医疗器械经营备案凭证》(适用第二类医疗器械)。</w:t>
      </w:r>
    </w:p>
    <w:p w14:paraId="0AB86C57">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产品提供有效期内的《中华人民共和国医疗器械注册证》或《中华人民共和国进口医疗器械注册证明》（进口器械）（适用第二、三类医疗器械），或《医疗器械备案凭证》（适用第一类国产医疗器械）。</w:t>
      </w:r>
    </w:p>
    <w:p w14:paraId="5EC63C8C">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响应产品属于医用试剂</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耗材</w:t>
      </w:r>
      <w:r>
        <w:rPr>
          <w:rFonts w:hint="eastAsia" w:ascii="仿宋" w:hAnsi="仿宋" w:eastAsia="仿宋" w:cs="仿宋"/>
          <w:color w:val="auto"/>
          <w:sz w:val="24"/>
          <w:szCs w:val="24"/>
          <w:highlight w:val="none"/>
        </w:rPr>
        <w:t>的还需具有医用试剂、耗材生产企业质检部门医用试剂、耗材检验报告书</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产品彩页资料或生产厂家提供的产品白皮书</w:t>
      </w:r>
      <w:r>
        <w:rPr>
          <w:rFonts w:hint="eastAsia" w:ascii="仿宋" w:hAnsi="仿宋" w:eastAsia="仿宋" w:cs="仿宋"/>
          <w:color w:val="auto"/>
          <w:sz w:val="24"/>
          <w:szCs w:val="24"/>
          <w:highlight w:val="none"/>
        </w:rPr>
        <w:t>等全套资料。</w:t>
      </w:r>
    </w:p>
    <w:p w14:paraId="7CC7F701">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投标产品若属于进口器械的，需提供制造商或中国境内授权代理授权书</w:t>
      </w:r>
      <w:r>
        <w:rPr>
          <w:rFonts w:hint="eastAsia" w:ascii="仿宋" w:hAnsi="仿宋" w:eastAsia="仿宋" w:cs="仿宋"/>
          <w:color w:val="auto"/>
          <w:sz w:val="24"/>
          <w:szCs w:val="24"/>
          <w:highlight w:val="none"/>
          <w:lang w:val="en-US" w:eastAsia="zh-CN"/>
        </w:rPr>
        <w:t>和 《口岸药检所检验报告书》</w:t>
      </w:r>
      <w:r>
        <w:rPr>
          <w:rFonts w:hint="eastAsia" w:ascii="仿宋" w:hAnsi="仿宋" w:eastAsia="仿宋" w:cs="仿宋"/>
          <w:color w:val="auto"/>
          <w:sz w:val="24"/>
          <w:szCs w:val="24"/>
          <w:highlight w:val="none"/>
        </w:rPr>
        <w:t>。国产产品招标时厂家授权不作为资格要求，但是合同签订时，必须提供厂家授权。</w:t>
      </w:r>
    </w:p>
    <w:p w14:paraId="5D5CE251">
      <w:pPr>
        <w:keepNext w:val="0"/>
        <w:keepLines w:val="0"/>
        <w:pageBreakBefore w:val="0"/>
        <w:widowControl w:val="0"/>
        <w:tabs>
          <w:tab w:val="center" w:pos="4706"/>
        </w:tabs>
        <w:kinsoku/>
        <w:wordWrap/>
        <w:overflowPunct/>
        <w:topLinePunct w:val="0"/>
        <w:autoSpaceDE/>
        <w:autoSpaceDN/>
        <w:bidi w:val="0"/>
        <w:adjustRightInd/>
        <w:snapToGrid/>
        <w:spacing w:line="400" w:lineRule="exact"/>
        <w:ind w:lef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（以上证明材料的复印件加盖</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lang w:eastAsia="zh-CN"/>
        </w:rPr>
        <w:t>公章）</w:t>
      </w:r>
    </w:p>
    <w:p w14:paraId="29F16366">
      <w:pPr>
        <w:pStyle w:val="2"/>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eastAsia" w:eastAsia="仿宋"/>
          <w:b/>
          <w:bCs/>
          <w:highlight w:val="none"/>
          <w:lang w:eastAsia="zh-CN"/>
        </w:rPr>
      </w:pPr>
      <w:r>
        <w:rPr>
          <w:rFonts w:hint="eastAsia" w:ascii="仿宋" w:hAnsi="仿宋" w:eastAsia="仿宋" w:cs="仿宋"/>
          <w:b/>
          <w:bCs/>
          <w:color w:val="auto"/>
          <w:sz w:val="24"/>
          <w:szCs w:val="24"/>
          <w:highlight w:val="none"/>
          <w:lang w:val="en-US" w:eastAsia="zh-CN"/>
        </w:rPr>
        <w:t>特别说明：</w:t>
      </w:r>
      <w:r>
        <w:rPr>
          <w:rFonts w:hint="eastAsia" w:ascii="仿宋" w:hAnsi="仿宋" w:eastAsia="仿宋" w:cs="仿宋"/>
          <w:b/>
          <w:bCs/>
          <w:color w:val="auto"/>
          <w:sz w:val="24"/>
          <w:szCs w:val="24"/>
          <w:highlight w:val="none"/>
        </w:rPr>
        <w:t>特定资格条件中第2条、第3条的要求，可以不在投标文件中提供，但是合同签订时，必须提供</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否则采购人有权拒签合同</w:t>
      </w:r>
      <w:r>
        <w:rPr>
          <w:rFonts w:hint="eastAsia" w:ascii="仿宋" w:hAnsi="仿宋" w:eastAsia="仿宋" w:cs="仿宋"/>
          <w:b/>
          <w:bCs/>
          <w:color w:val="auto"/>
          <w:sz w:val="24"/>
          <w:szCs w:val="24"/>
          <w:highlight w:val="none"/>
          <w:lang w:eastAsia="zh-CN"/>
        </w:rPr>
        <w:t>。</w:t>
      </w:r>
    </w:p>
    <w:p w14:paraId="1DAA9011">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四、比选有关说明</w:t>
      </w:r>
      <w:bookmarkEnd w:id="4"/>
      <w:bookmarkEnd w:id="5"/>
      <w:bookmarkEnd w:id="6"/>
      <w:bookmarkEnd w:id="7"/>
      <w:bookmarkStart w:id="8" w:name="_Toc373860294"/>
    </w:p>
    <w:bookmarkEnd w:id="8"/>
    <w:p w14:paraId="37461FB6">
      <w:pPr>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（一）凡有意参加比选的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，请自行在</w:t>
      </w:r>
      <w:r>
        <w:rPr>
          <w:rFonts w:hint="eastAsia" w:ascii="仿宋" w:hAnsi="仿宋" w:eastAsia="仿宋" w:cs="仿宋"/>
          <w:color w:val="auto"/>
          <w:kern w:val="0"/>
          <w:sz w:val="24"/>
          <w:szCs w:val="24"/>
          <w:highlight w:val="none"/>
        </w:rPr>
        <w:t>行采家（https://www.gec123.com/）</w:t>
      </w:r>
      <w:r>
        <w:rPr>
          <w:rFonts w:hint="eastAsia" w:ascii="仿宋" w:hAnsi="仿宋" w:eastAsia="仿宋" w:cs="仿宋"/>
          <w:color w:val="auto"/>
          <w:sz w:val="24"/>
          <w:szCs w:val="24"/>
          <w:highlight w:val="none"/>
        </w:rPr>
        <w:t>上下载本项目比选文件及图纸、补遗等比选前公布的所有项目资料，无论</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下载与否，均视为已知晓所有比选实质性要求内容。</w:t>
      </w:r>
    </w:p>
    <w:p w14:paraId="3E7F9421">
      <w:pPr>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（二）比选文件公告期限：自比选公告发布之日（202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14</w:t>
      </w:r>
      <w:r>
        <w:rPr>
          <w:rFonts w:hint="eastAsia" w:ascii="仿宋" w:hAnsi="仿宋" w:eastAsia="仿宋" w:cs="仿宋"/>
          <w:color w:val="auto"/>
          <w:sz w:val="24"/>
          <w:szCs w:val="24"/>
          <w:highlight w:val="none"/>
        </w:rPr>
        <w:t>日）起三个工作日。</w:t>
      </w:r>
    </w:p>
    <w:p w14:paraId="069E4D35">
      <w:pPr>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drawing>
          <wp:anchor distT="0" distB="0" distL="114300" distR="114300" simplePos="0" relativeHeight="251660288" behindDoc="0" locked="0" layoutInCell="1" allowOverlap="1">
            <wp:simplePos x="0" y="0"/>
            <wp:positionH relativeFrom="column">
              <wp:posOffset>4953000</wp:posOffset>
            </wp:positionH>
            <wp:positionV relativeFrom="paragraph">
              <wp:posOffset>135255</wp:posOffset>
            </wp:positionV>
            <wp:extent cx="1320800" cy="1385570"/>
            <wp:effectExtent l="0" t="0" r="12700" b="5080"/>
            <wp:wrapSquare wrapText="bothSides"/>
            <wp:docPr id="6" name="图片 6" descr="收款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收款码"/>
                    <pic:cNvPicPr>
                      <a:picLocks noChangeAspect="1"/>
                    </pic:cNvPicPr>
                  </pic:nvPicPr>
                  <pic:blipFill>
                    <a:blip r:embed="rId11"/>
                    <a:stretch>
                      <a:fillRect/>
                    </a:stretch>
                  </pic:blipFill>
                  <pic:spPr>
                    <a:xfrm>
                      <a:off x="0" y="0"/>
                      <a:ext cx="1320800" cy="1385570"/>
                    </a:xfrm>
                    <a:prstGeom prst="rect">
                      <a:avLst/>
                    </a:prstGeom>
                  </pic:spPr>
                </pic:pic>
              </a:graphicData>
            </a:graphic>
          </wp:anchor>
        </w:drawing>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）比选文件售</w:t>
      </w:r>
      <w:r>
        <w:rPr>
          <w:rFonts w:hint="eastAsia" w:ascii="仿宋" w:hAnsi="仿宋" w:eastAsia="仿宋" w:cs="仿宋"/>
          <w:color w:val="auto"/>
          <w:sz w:val="24"/>
          <w:szCs w:val="24"/>
          <w:highlight w:val="none"/>
          <w:lang w:val="en-US" w:eastAsia="zh-CN"/>
        </w:rPr>
        <w:t>价： 300 元/分包</w:t>
      </w:r>
      <w:r>
        <w:rPr>
          <w:rFonts w:hint="eastAsia" w:ascii="仿宋" w:hAnsi="仿宋" w:eastAsia="仿宋" w:cs="仿宋"/>
          <w:color w:val="auto"/>
          <w:sz w:val="24"/>
          <w:szCs w:val="24"/>
          <w:highlight w:val="none"/>
        </w:rPr>
        <w:t>（售后不退）</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 xml:space="preserve">                                                                                                </w:t>
      </w:r>
    </w:p>
    <w:p w14:paraId="67097602">
      <w:pPr>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四）报名方式</w:t>
      </w:r>
      <w:r>
        <w:rPr>
          <w:rFonts w:hint="eastAsia" w:ascii="仿宋" w:hAnsi="仿宋" w:eastAsia="仿宋" w:cs="仿宋"/>
          <w:color w:val="auto"/>
          <w:sz w:val="24"/>
          <w:szCs w:val="24"/>
          <w:highlight w:val="none"/>
        </w:rPr>
        <w:t>：</w:t>
      </w:r>
    </w:p>
    <w:p w14:paraId="5EA7418F">
      <w:pPr>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在本项目</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发售期内，</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lang w:val="en-US" w:eastAsia="zh-CN"/>
        </w:rPr>
        <w:t>应按时缴纳</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购买费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推荐使用微信支付，备注公司简称、采购执行编号</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发售登记表》（加盖</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公章）扫描后发送至：</w:t>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HYPERLINK "mailto:1983517329@qq.com"</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3055198377</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qq</w:t>
      </w:r>
      <w:r>
        <w:rPr>
          <w:rFonts w:hint="eastAsia" w:ascii="仿宋" w:hAnsi="仿宋" w:eastAsia="仿宋" w:cs="仿宋"/>
          <w:color w:val="auto"/>
          <w:sz w:val="24"/>
          <w:szCs w:val="24"/>
          <w:highlight w:val="none"/>
        </w:rPr>
        <w:t>.com</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t>，否则不予受理。</w:t>
      </w:r>
    </w:p>
    <w:p w14:paraId="7BAE47F6">
      <w:pPr>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报名有效期：</w:t>
      </w:r>
      <w:r>
        <w:rPr>
          <w:rFonts w:hint="eastAsia" w:ascii="仿宋" w:hAnsi="仿宋" w:eastAsia="仿宋" w:cs="仿宋"/>
          <w:color w:val="auto"/>
          <w:sz w:val="24"/>
          <w:szCs w:val="24"/>
          <w:highlight w:val="none"/>
          <w:lang w:eastAsia="zh-CN"/>
        </w:rPr>
        <w:t>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lang w:eastAsia="zh-CN"/>
        </w:rPr>
        <w:t>年</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14</w:t>
      </w:r>
      <w:r>
        <w:rPr>
          <w:rFonts w:hint="eastAsia" w:ascii="仿宋" w:hAnsi="仿宋" w:eastAsia="仿宋" w:cs="仿宋"/>
          <w:color w:val="auto"/>
          <w:sz w:val="24"/>
          <w:szCs w:val="24"/>
          <w:highlight w:val="none"/>
        </w:rPr>
        <w:t>日-</w:t>
      </w:r>
      <w:r>
        <w:rPr>
          <w:rFonts w:hint="eastAsia" w:ascii="仿宋" w:hAnsi="仿宋" w:eastAsia="仿宋" w:cs="仿宋"/>
          <w:color w:val="auto"/>
          <w:sz w:val="24"/>
          <w:szCs w:val="24"/>
          <w:highlight w:val="none"/>
          <w:lang w:eastAsia="zh-CN"/>
        </w:rPr>
        <w:t>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lang w:eastAsia="zh-CN"/>
        </w:rPr>
        <w:t>年</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19</w:t>
      </w:r>
      <w:r>
        <w:rPr>
          <w:rFonts w:hint="eastAsia" w:ascii="仿宋" w:hAnsi="仿宋" w:eastAsia="仿宋" w:cs="仿宋"/>
          <w:color w:val="auto"/>
          <w:sz w:val="24"/>
          <w:szCs w:val="24"/>
          <w:highlight w:val="none"/>
        </w:rPr>
        <w:t>日</w:t>
      </w:r>
      <w:r>
        <w:rPr>
          <w:rFonts w:hint="eastAsia" w:ascii="仿宋" w:hAnsi="仿宋" w:eastAsia="仿宋" w:cs="仿宋"/>
          <w:color w:val="auto"/>
          <w:sz w:val="24"/>
          <w:szCs w:val="24"/>
          <w:highlight w:val="none"/>
          <w:lang w:val="en-US" w:eastAsia="zh-CN"/>
        </w:rPr>
        <w:t>17：30(北京时间)</w:t>
      </w:r>
      <w:r>
        <w:rPr>
          <w:rFonts w:hint="eastAsia" w:ascii="仿宋" w:hAnsi="仿宋" w:eastAsia="仿宋" w:cs="仿宋"/>
          <w:color w:val="auto"/>
          <w:sz w:val="24"/>
          <w:szCs w:val="24"/>
          <w:highlight w:val="none"/>
        </w:rPr>
        <w:t>，超过规定的报名时间，报名无效，其投标文件将会被拒收</w:t>
      </w:r>
      <w:r>
        <w:rPr>
          <w:rFonts w:hint="eastAsia" w:ascii="仿宋" w:hAnsi="仿宋" w:eastAsia="仿宋" w:cs="仿宋"/>
          <w:color w:val="auto"/>
          <w:sz w:val="24"/>
          <w:szCs w:val="24"/>
          <w:highlight w:val="none"/>
          <w:lang w:eastAsia="zh-CN"/>
        </w:rPr>
        <w:t>。</w:t>
      </w:r>
    </w:p>
    <w:p w14:paraId="5DA06ED9">
      <w:pPr>
        <w:pStyle w:val="2"/>
        <w:keepNext w:val="0"/>
        <w:keepLines w:val="0"/>
        <w:pageBreakBefore w:val="0"/>
        <w:kinsoku/>
        <w:wordWrap/>
        <w:overflowPunct/>
        <w:topLinePunct w:val="0"/>
        <w:autoSpaceDE/>
        <w:autoSpaceDN/>
        <w:bidi w:val="0"/>
        <w:adjustRightInd/>
        <w:spacing w:line="400" w:lineRule="exact"/>
        <w:ind w:left="0"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w:t>
      </w:r>
      <w:r>
        <w:rPr>
          <w:rFonts w:hint="eastAsia" w:ascii="仿宋" w:hAnsi="仿宋" w:eastAsia="仿宋" w:cs="仿宋"/>
          <w:b/>
          <w:bCs/>
          <w:color w:val="auto"/>
          <w:sz w:val="24"/>
          <w:szCs w:val="24"/>
          <w:highlight w:val="none"/>
          <w:lang w:val="en-US" w:eastAsia="zh-CN"/>
        </w:rPr>
        <w:t>五</w:t>
      </w:r>
      <w:r>
        <w:rPr>
          <w:rFonts w:hint="eastAsia" w:ascii="仿宋" w:hAnsi="仿宋" w:eastAsia="仿宋" w:cs="仿宋"/>
          <w:b/>
          <w:bCs/>
          <w:color w:val="auto"/>
          <w:sz w:val="24"/>
          <w:szCs w:val="24"/>
          <w:highlight w:val="none"/>
        </w:rPr>
        <w:t>）</w:t>
      </w:r>
      <w:r>
        <w:rPr>
          <w:rFonts w:hint="eastAsia" w:ascii="仿宋" w:hAnsi="仿宋" w:eastAsia="仿宋" w:cs="仿宋"/>
          <w:b/>
          <w:bCs/>
          <w:color w:val="auto"/>
          <w:sz w:val="24"/>
          <w:szCs w:val="24"/>
          <w:highlight w:val="none"/>
          <w:lang w:eastAsia="zh-CN"/>
        </w:rPr>
        <w:t>投标文件</w:t>
      </w:r>
      <w:r>
        <w:rPr>
          <w:rFonts w:hint="eastAsia" w:ascii="仿宋" w:hAnsi="仿宋" w:eastAsia="仿宋" w:cs="仿宋"/>
          <w:b/>
          <w:bCs/>
          <w:color w:val="auto"/>
          <w:sz w:val="24"/>
          <w:szCs w:val="24"/>
          <w:highlight w:val="none"/>
        </w:rPr>
        <w:t>提交规则</w:t>
      </w:r>
    </w:p>
    <w:p w14:paraId="6A712AE7">
      <w:pPr>
        <w:pStyle w:val="19"/>
        <w:keepNext w:val="0"/>
        <w:keepLines w:val="0"/>
        <w:pageBreakBefore w:val="0"/>
        <w:kinsoku/>
        <w:wordWrap/>
        <w:overflowPunct/>
        <w:topLinePunct w:val="0"/>
        <w:autoSpaceDE/>
        <w:autoSpaceDN/>
        <w:bidi w:val="0"/>
        <w:adjustRightInd/>
        <w:spacing w:after="0" w:afterLines="0" w:line="400" w:lineRule="exact"/>
        <w:ind w:left="0" w:firstLine="480" w:firstLineChars="200"/>
        <w:jc w:val="left"/>
        <w:textAlignment w:val="auto"/>
        <w:rPr>
          <w:rFonts w:hint="eastAsia" w:ascii="仿宋" w:hAnsi="仿宋" w:eastAsia="仿宋" w:cs="仿宋"/>
          <w:b w:val="0"/>
          <w:smallCaps w:val="0"/>
          <w:color w:val="auto"/>
          <w:kern w:val="2"/>
          <w:sz w:val="24"/>
          <w:szCs w:val="24"/>
          <w:highlight w:val="none"/>
          <w:lang w:val="en-US" w:eastAsia="zh-CN" w:bidi="ar-SA"/>
        </w:rPr>
      </w:pPr>
      <w:r>
        <w:rPr>
          <w:rFonts w:hint="eastAsia" w:ascii="仿宋" w:hAnsi="仿宋" w:eastAsia="仿宋" w:cs="仿宋"/>
          <w:b w:val="0"/>
          <w:smallCaps w:val="0"/>
          <w:color w:val="auto"/>
          <w:kern w:val="2"/>
          <w:sz w:val="24"/>
          <w:szCs w:val="24"/>
          <w:highlight w:val="none"/>
          <w:lang w:val="en-US" w:eastAsia="zh-CN" w:bidi="ar-SA"/>
        </w:rPr>
        <w:t>本项目采取线上线下相结合的方式进行投标报价，供应商须在规定时间内完成平台电子投标文件及现场纸质投标文件的提交，且线上线下递交的投标文件内容须保持一致。缺少任意一项均视为无效响应，投标文件提交规则如下。</w:t>
      </w:r>
    </w:p>
    <w:p w14:paraId="5AFBB58B">
      <w:pPr>
        <w:pStyle w:val="2"/>
        <w:keepNext w:val="0"/>
        <w:keepLines w:val="0"/>
        <w:pageBreakBefore w:val="0"/>
        <w:kinsoku/>
        <w:wordWrap/>
        <w:overflowPunct/>
        <w:topLinePunct w:val="0"/>
        <w:autoSpaceDE/>
        <w:autoSpaceDN/>
        <w:bidi w:val="0"/>
        <w:adjustRightInd/>
        <w:spacing w:line="400" w:lineRule="exact"/>
        <w:ind w:left="0" w:firstLine="482" w:firstLineChars="200"/>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1、线上（行采家竞争性比选电子竞采模式）投标文件提交规则：</w:t>
      </w:r>
    </w:p>
    <w:p w14:paraId="72D46C6C">
      <w:pPr>
        <w:keepNext w:val="0"/>
        <w:keepLines w:val="0"/>
        <w:pageBreakBefore w:val="0"/>
        <w:widowControl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供应商须同时在线上上传盖章后的电子文档一份（电子文档内容应与纸质文件正本一致）。</w:t>
      </w:r>
    </w:p>
    <w:p w14:paraId="4F65FF4C">
      <w:pPr>
        <w:pStyle w:val="2"/>
        <w:keepNext w:val="0"/>
        <w:keepLines w:val="0"/>
        <w:pageBreakBefore w:val="0"/>
        <w:kinsoku/>
        <w:wordWrap/>
        <w:overflowPunct/>
        <w:topLinePunct w:val="0"/>
        <w:autoSpaceDE/>
        <w:autoSpaceDN/>
        <w:bidi w:val="0"/>
        <w:adjustRightInd/>
        <w:spacing w:line="400" w:lineRule="exact"/>
        <w:ind w:left="0" w:firstLine="482" w:firstLineChars="200"/>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2、线下（投标现场）投标文件提交规则：</w:t>
      </w:r>
    </w:p>
    <w:p w14:paraId="2A290791">
      <w:pPr>
        <w:keepNext w:val="0"/>
        <w:keepLines w:val="0"/>
        <w:pageBreakBefore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（1）投标文件一式二份，其中正本一份，副本一份，副本可为正本的复印件，应与正本一致。</w:t>
      </w:r>
    </w:p>
    <w:p w14:paraId="7B24C2A3">
      <w:pPr>
        <w:keepNext w:val="0"/>
        <w:keepLines w:val="0"/>
        <w:pageBreakBefore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（2）在投标文件正本中，第七篇投标文件格式中规定签字、盖章的地方必须按其规定签字、盖章。</w:t>
      </w:r>
    </w:p>
    <w:p w14:paraId="2F3DA0F7">
      <w:pPr>
        <w:keepNext w:val="0"/>
        <w:keepLines w:val="0"/>
        <w:pageBreakBefore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（3）投标文件的密封与标记</w:t>
      </w:r>
    </w:p>
    <w:p w14:paraId="4CA8E37D">
      <w:pPr>
        <w:keepNext w:val="0"/>
        <w:keepLines w:val="0"/>
        <w:pageBreakBefore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投标文件的正本、副本均应密封送达竞采地点，应在封套上注明项目名称、供应商名称。若正本、副本分别进行密封的，还应在封套上注明“正本”、“副本”字样。</w:t>
      </w:r>
    </w:p>
    <w:p w14:paraId="13F999B7">
      <w:pPr>
        <w:keepNext w:val="0"/>
        <w:keepLines w:val="0"/>
        <w:pageBreakBefore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（4）如果未按上述规定进行密封的，采购人、采购代理机构将拒收其投标文件。</w:t>
      </w:r>
    </w:p>
    <w:p w14:paraId="3A2A51C7">
      <w:pPr>
        <w:keepNext w:val="0"/>
        <w:keepLines w:val="0"/>
        <w:pageBreakBefore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5）投标文件投递截止时间：供应商在提交投标文件截止时间前，可以对所提交的投标文件进行补充、修改或者撤回，并书面通知采购人、采购代理机构。补充、修改的内容作为投标文件的组成部分。补充、修改的内容与投标文件不一致的，以补充、修改的内容为准。</w:t>
      </w:r>
    </w:p>
    <w:p w14:paraId="63EC86AE">
      <w:pPr>
        <w:keepNext w:val="0"/>
        <w:keepLines w:val="0"/>
        <w:pageBreakBefore w:val="0"/>
        <w:widowControl w:val="0"/>
        <w:kinsoku/>
        <w:wordWrap/>
        <w:overflowPunct/>
        <w:topLinePunct w:val="0"/>
        <w:autoSpaceDE/>
        <w:autoSpaceDN/>
        <w:bidi w:val="0"/>
        <w:adjustRightInd/>
        <w:snapToGrid w:val="0"/>
        <w:spacing w:line="400" w:lineRule="exact"/>
        <w:ind w:left="0" w:firstLine="482" w:firstLineChars="200"/>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（六）线上竞采报价时间：2025年2月20日9:00-2025年2月20日11:00（北京时间）</w:t>
      </w:r>
    </w:p>
    <w:p w14:paraId="4E0AC274">
      <w:pPr>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线下</w:t>
      </w:r>
      <w:r>
        <w:rPr>
          <w:rFonts w:hint="eastAsia" w:ascii="仿宋" w:hAnsi="仿宋" w:eastAsia="仿宋" w:cs="仿宋"/>
          <w:color w:val="auto"/>
          <w:sz w:val="24"/>
          <w:szCs w:val="24"/>
          <w:highlight w:val="none"/>
        </w:rPr>
        <w:t>递交投标文件开始时间：</w:t>
      </w:r>
      <w:r>
        <w:rPr>
          <w:rFonts w:hint="eastAsia" w:ascii="仿宋" w:hAnsi="仿宋" w:eastAsia="仿宋" w:cs="仿宋"/>
          <w:b/>
          <w:bCs/>
          <w:color w:val="auto"/>
          <w:sz w:val="24"/>
          <w:szCs w:val="24"/>
          <w:highlight w:val="none"/>
          <w:lang w:eastAsia="zh-CN"/>
        </w:rPr>
        <w:t>202</w:t>
      </w:r>
      <w:r>
        <w:rPr>
          <w:rFonts w:hint="eastAsia" w:ascii="仿宋" w:hAnsi="仿宋" w:eastAsia="仿宋" w:cs="仿宋"/>
          <w:b/>
          <w:bCs/>
          <w:color w:val="auto"/>
          <w:sz w:val="24"/>
          <w:szCs w:val="24"/>
          <w:highlight w:val="none"/>
          <w:lang w:val="en-US" w:eastAsia="zh-CN"/>
        </w:rPr>
        <w:t>5</w:t>
      </w:r>
      <w:r>
        <w:rPr>
          <w:rFonts w:hint="eastAsia" w:ascii="仿宋" w:hAnsi="仿宋" w:eastAsia="仿宋" w:cs="仿宋"/>
          <w:b/>
          <w:bCs/>
          <w:color w:val="auto"/>
          <w:sz w:val="24"/>
          <w:szCs w:val="24"/>
          <w:highlight w:val="none"/>
          <w:lang w:eastAsia="zh-CN"/>
        </w:rPr>
        <w:t>年</w:t>
      </w: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20</w:t>
      </w:r>
      <w:r>
        <w:rPr>
          <w:rFonts w:hint="eastAsia" w:ascii="仿宋" w:hAnsi="仿宋" w:eastAsia="仿宋" w:cs="仿宋"/>
          <w:b/>
          <w:bCs/>
          <w:color w:val="auto"/>
          <w:sz w:val="24"/>
          <w:szCs w:val="24"/>
          <w:highlight w:val="none"/>
        </w:rPr>
        <w:t>日</w:t>
      </w:r>
      <w:r>
        <w:rPr>
          <w:rFonts w:hint="eastAsia" w:ascii="仿宋" w:hAnsi="仿宋" w:eastAsia="仿宋" w:cs="仿宋"/>
          <w:b/>
          <w:bCs/>
          <w:color w:val="auto"/>
          <w:sz w:val="24"/>
          <w:szCs w:val="24"/>
          <w:highlight w:val="none"/>
          <w:lang w:val="en-US" w:eastAsia="zh-CN"/>
        </w:rPr>
        <w:t>14</w:t>
      </w:r>
      <w:r>
        <w:rPr>
          <w:rFonts w:hint="eastAsia" w:ascii="仿宋" w:hAnsi="仿宋" w:eastAsia="仿宋" w:cs="仿宋"/>
          <w:b/>
          <w:bCs/>
          <w:color w:val="auto"/>
          <w:sz w:val="24"/>
          <w:szCs w:val="24"/>
          <w:highlight w:val="none"/>
        </w:rPr>
        <w:t>时</w:t>
      </w:r>
      <w:r>
        <w:rPr>
          <w:rFonts w:hint="eastAsia" w:ascii="仿宋" w:hAnsi="仿宋" w:eastAsia="仿宋" w:cs="仿宋"/>
          <w:b/>
          <w:bCs/>
          <w:color w:val="auto"/>
          <w:sz w:val="24"/>
          <w:szCs w:val="24"/>
          <w:highlight w:val="none"/>
          <w:lang w:val="en-US" w:eastAsia="zh-CN"/>
        </w:rPr>
        <w:t>0</w:t>
      </w:r>
      <w:r>
        <w:rPr>
          <w:rFonts w:hint="eastAsia" w:ascii="仿宋" w:hAnsi="仿宋" w:eastAsia="仿宋" w:cs="仿宋"/>
          <w:b/>
          <w:bCs/>
          <w:color w:val="auto"/>
          <w:sz w:val="24"/>
          <w:szCs w:val="24"/>
          <w:highlight w:val="none"/>
        </w:rPr>
        <w:t>0分（北京时间）。</w:t>
      </w:r>
    </w:p>
    <w:p w14:paraId="01E32890">
      <w:pPr>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八</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线下</w:t>
      </w:r>
      <w:r>
        <w:rPr>
          <w:rFonts w:hint="eastAsia" w:ascii="仿宋" w:hAnsi="仿宋" w:eastAsia="仿宋" w:cs="仿宋"/>
          <w:color w:val="auto"/>
          <w:sz w:val="24"/>
          <w:szCs w:val="24"/>
          <w:highlight w:val="none"/>
        </w:rPr>
        <w:t>递交投标文件截止时间：</w:t>
      </w:r>
      <w:r>
        <w:rPr>
          <w:rFonts w:hint="eastAsia" w:ascii="仿宋" w:hAnsi="仿宋" w:eastAsia="仿宋" w:cs="仿宋"/>
          <w:b/>
          <w:bCs/>
          <w:color w:val="auto"/>
          <w:sz w:val="24"/>
          <w:szCs w:val="24"/>
          <w:highlight w:val="none"/>
          <w:lang w:eastAsia="zh-CN"/>
        </w:rPr>
        <w:t>202</w:t>
      </w:r>
      <w:r>
        <w:rPr>
          <w:rFonts w:hint="eastAsia" w:ascii="仿宋" w:hAnsi="仿宋" w:eastAsia="仿宋" w:cs="仿宋"/>
          <w:b/>
          <w:bCs/>
          <w:color w:val="auto"/>
          <w:sz w:val="24"/>
          <w:szCs w:val="24"/>
          <w:highlight w:val="none"/>
          <w:lang w:val="en-US" w:eastAsia="zh-CN"/>
        </w:rPr>
        <w:t>5</w:t>
      </w:r>
      <w:r>
        <w:rPr>
          <w:rFonts w:hint="eastAsia" w:ascii="仿宋" w:hAnsi="仿宋" w:eastAsia="仿宋" w:cs="仿宋"/>
          <w:b/>
          <w:bCs/>
          <w:color w:val="auto"/>
          <w:sz w:val="24"/>
          <w:szCs w:val="24"/>
          <w:highlight w:val="none"/>
          <w:lang w:eastAsia="zh-CN"/>
        </w:rPr>
        <w:t>年</w:t>
      </w: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20</w:t>
      </w:r>
      <w:r>
        <w:rPr>
          <w:rFonts w:hint="eastAsia" w:ascii="仿宋" w:hAnsi="仿宋" w:eastAsia="仿宋" w:cs="仿宋"/>
          <w:b/>
          <w:bCs/>
          <w:color w:val="auto"/>
          <w:sz w:val="24"/>
          <w:szCs w:val="24"/>
          <w:highlight w:val="none"/>
        </w:rPr>
        <w:t>日1</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时</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0分（北京时间）。</w:t>
      </w:r>
    </w:p>
    <w:p w14:paraId="337D6758">
      <w:pPr>
        <w:pStyle w:val="21"/>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九</w:t>
      </w:r>
      <w:r>
        <w:rPr>
          <w:rFonts w:hint="eastAsia" w:ascii="仿宋" w:hAnsi="仿宋" w:eastAsia="仿宋" w:cs="仿宋"/>
          <w:color w:val="auto"/>
          <w:sz w:val="24"/>
          <w:szCs w:val="24"/>
          <w:highlight w:val="none"/>
        </w:rPr>
        <w:t>）比选开始时间：</w:t>
      </w:r>
      <w:r>
        <w:rPr>
          <w:rFonts w:hint="eastAsia" w:ascii="仿宋" w:hAnsi="仿宋" w:eastAsia="仿宋" w:cs="仿宋"/>
          <w:b/>
          <w:bCs/>
          <w:color w:val="auto"/>
          <w:sz w:val="24"/>
          <w:szCs w:val="24"/>
          <w:highlight w:val="none"/>
          <w:lang w:eastAsia="zh-CN"/>
        </w:rPr>
        <w:t>202</w:t>
      </w:r>
      <w:r>
        <w:rPr>
          <w:rFonts w:hint="eastAsia" w:ascii="仿宋" w:hAnsi="仿宋" w:eastAsia="仿宋" w:cs="仿宋"/>
          <w:b/>
          <w:bCs/>
          <w:color w:val="auto"/>
          <w:sz w:val="24"/>
          <w:szCs w:val="24"/>
          <w:highlight w:val="none"/>
          <w:lang w:val="en-US" w:eastAsia="zh-CN"/>
        </w:rPr>
        <w:t>5</w:t>
      </w:r>
      <w:r>
        <w:rPr>
          <w:rFonts w:hint="eastAsia" w:ascii="仿宋" w:hAnsi="仿宋" w:eastAsia="仿宋" w:cs="仿宋"/>
          <w:b/>
          <w:bCs/>
          <w:color w:val="auto"/>
          <w:sz w:val="24"/>
          <w:szCs w:val="24"/>
          <w:highlight w:val="none"/>
          <w:lang w:eastAsia="zh-CN"/>
        </w:rPr>
        <w:t>年</w:t>
      </w: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20</w:t>
      </w:r>
      <w:r>
        <w:rPr>
          <w:rFonts w:hint="eastAsia" w:ascii="仿宋" w:hAnsi="仿宋" w:eastAsia="仿宋" w:cs="仿宋"/>
          <w:b/>
          <w:bCs/>
          <w:color w:val="auto"/>
          <w:sz w:val="24"/>
          <w:szCs w:val="24"/>
          <w:highlight w:val="none"/>
        </w:rPr>
        <w:t>日1</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时</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0分（北京时间）。</w:t>
      </w:r>
    </w:p>
    <w:p w14:paraId="4ECD0335">
      <w:pPr>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十</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线下</w:t>
      </w:r>
      <w:r>
        <w:rPr>
          <w:rFonts w:hint="eastAsia" w:ascii="仿宋" w:hAnsi="仿宋" w:eastAsia="仿宋" w:cs="仿宋"/>
          <w:color w:val="auto"/>
          <w:sz w:val="24"/>
          <w:szCs w:val="24"/>
          <w:highlight w:val="none"/>
        </w:rPr>
        <w:t>递交投标文件地点：</w:t>
      </w:r>
      <w:r>
        <w:rPr>
          <w:rFonts w:hint="eastAsia" w:ascii="仿宋" w:hAnsi="仿宋" w:eastAsia="仿宋" w:cs="仿宋"/>
          <w:color w:val="auto"/>
          <w:sz w:val="24"/>
          <w:szCs w:val="24"/>
          <w:highlight w:val="none"/>
          <w:u w:val="none"/>
          <w:lang w:val="en-US" w:eastAsia="zh-CN"/>
        </w:rPr>
        <w:t>九龙坡区渝州路街道社区卫生服务中心二楼会议室</w:t>
      </w:r>
    </w:p>
    <w:p w14:paraId="3D10DC79">
      <w:pPr>
        <w:keepNext w:val="0"/>
        <w:keepLines w:val="0"/>
        <w:pageBreakBefore w:val="0"/>
        <w:widowControl w:val="0"/>
        <w:kinsoku/>
        <w:wordWrap/>
        <w:overflowPunct/>
        <w:topLinePunct w:val="0"/>
        <w:autoSpaceDE/>
        <w:autoSpaceDN/>
        <w:bidi w:val="0"/>
        <w:adjustRightInd/>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十一</w:t>
      </w:r>
      <w:r>
        <w:rPr>
          <w:rFonts w:hint="eastAsia" w:ascii="仿宋" w:hAnsi="仿宋" w:eastAsia="仿宋" w:cs="仿宋"/>
          <w:color w:val="auto"/>
          <w:sz w:val="24"/>
          <w:szCs w:val="24"/>
          <w:highlight w:val="none"/>
        </w:rPr>
        <w:t>）比选地点：</w:t>
      </w:r>
      <w:r>
        <w:rPr>
          <w:rFonts w:hint="eastAsia" w:ascii="仿宋" w:hAnsi="仿宋" w:eastAsia="仿宋" w:cs="仿宋"/>
          <w:b/>
          <w:bCs/>
          <w:color w:val="auto"/>
          <w:sz w:val="24"/>
          <w:szCs w:val="24"/>
          <w:highlight w:val="none"/>
        </w:rPr>
        <w:t>同递交投标文件地点。</w:t>
      </w:r>
    </w:p>
    <w:p w14:paraId="443649A3">
      <w:pPr>
        <w:pStyle w:val="4"/>
        <w:pageBreakBefore w:val="0"/>
        <w:widowControl w:val="0"/>
        <w:kinsoku/>
        <w:wordWrap/>
        <w:overflowPunct/>
        <w:topLinePunct w:val="0"/>
        <w:autoSpaceDE/>
        <w:autoSpaceDN/>
        <w:bidi w:val="0"/>
        <w:spacing w:line="400" w:lineRule="exact"/>
        <w:ind w:left="0" w:firstLine="482" w:firstLineChars="200"/>
        <w:textAlignment w:val="auto"/>
        <w:rPr>
          <w:rFonts w:hint="eastAsia" w:ascii="仿宋" w:hAnsi="仿宋" w:eastAsia="仿宋" w:cs="仿宋"/>
          <w:b/>
          <w:color w:val="auto"/>
          <w:sz w:val="24"/>
          <w:szCs w:val="24"/>
          <w:highlight w:val="none"/>
        </w:rPr>
      </w:pPr>
      <w:bookmarkStart w:id="9" w:name="_Toc19692"/>
      <w:bookmarkStart w:id="10" w:name="_Toc8938"/>
      <w:bookmarkStart w:id="11" w:name="_Toc41896028"/>
      <w:bookmarkStart w:id="12" w:name="_Toc2110"/>
      <w:bookmarkStart w:id="13" w:name="_Toc7597"/>
      <w:bookmarkStart w:id="14" w:name="_Toc19256"/>
      <w:bookmarkStart w:id="15" w:name="_Toc3347"/>
      <w:r>
        <w:rPr>
          <w:rFonts w:hint="eastAsia" w:ascii="仿宋" w:hAnsi="仿宋" w:eastAsia="仿宋" w:cs="仿宋"/>
          <w:b/>
          <w:color w:val="auto"/>
          <w:sz w:val="24"/>
          <w:szCs w:val="24"/>
          <w:highlight w:val="none"/>
        </w:rPr>
        <w:t>五、比选保证金</w:t>
      </w:r>
      <w:bookmarkEnd w:id="9"/>
      <w:bookmarkEnd w:id="10"/>
      <w:bookmarkEnd w:id="11"/>
      <w:bookmarkEnd w:id="12"/>
      <w:bookmarkEnd w:id="13"/>
      <w:bookmarkEnd w:id="14"/>
      <w:bookmarkEnd w:id="15"/>
    </w:p>
    <w:p w14:paraId="1DA9BD6D">
      <w:pPr>
        <w:pageBreakBefore w:val="0"/>
        <w:widowControl w:val="0"/>
        <w:kinsoku/>
        <w:wordWrap/>
        <w:overflowPunct/>
        <w:topLinePunct w:val="0"/>
        <w:autoSpaceDE/>
        <w:autoSpaceDN/>
        <w:bidi w:val="0"/>
        <w:spacing w:line="400" w:lineRule="exact"/>
        <w:ind w:left="0" w:firstLine="480" w:firstLineChars="200"/>
        <w:textAlignment w:val="auto"/>
        <w:rPr>
          <w:rFonts w:hint="eastAsia" w:ascii="仿宋" w:hAnsi="仿宋" w:eastAsia="仿宋" w:cs="仿宋"/>
          <w:color w:val="auto"/>
          <w:sz w:val="24"/>
          <w:szCs w:val="24"/>
          <w:highlight w:val="none"/>
          <w:lang w:val="en-US" w:eastAsia="zh-CN"/>
        </w:rPr>
      </w:pPr>
      <w:bookmarkStart w:id="16" w:name="_Toc20652"/>
      <w:bookmarkStart w:id="17" w:name="_Toc41896029"/>
      <w:bookmarkStart w:id="18" w:name="_Toc26638"/>
      <w:bookmarkStart w:id="19" w:name="_Toc26138"/>
      <w:bookmarkStart w:id="20" w:name="_Toc8089"/>
      <w:bookmarkStart w:id="21" w:name="_Toc2967"/>
      <w:r>
        <w:rPr>
          <w:rFonts w:hint="eastAsia" w:ascii="仿宋" w:hAnsi="仿宋" w:eastAsia="仿宋" w:cs="仿宋"/>
          <w:color w:val="auto"/>
          <w:sz w:val="24"/>
          <w:szCs w:val="24"/>
          <w:highlight w:val="none"/>
          <w:lang w:val="en-US" w:eastAsia="zh-CN"/>
        </w:rPr>
        <w:t>本项目免收比选保证金。</w:t>
      </w:r>
    </w:p>
    <w:p w14:paraId="7497C631">
      <w:pPr>
        <w:pStyle w:val="4"/>
        <w:pageBreakBefore w:val="0"/>
        <w:widowControl w:val="0"/>
        <w:kinsoku/>
        <w:wordWrap/>
        <w:overflowPunct/>
        <w:topLinePunct w:val="0"/>
        <w:autoSpaceDE/>
        <w:autoSpaceDN/>
        <w:bidi w:val="0"/>
        <w:spacing w:line="400" w:lineRule="exact"/>
        <w:ind w:left="0" w:firstLine="482" w:firstLineChars="200"/>
        <w:textAlignment w:val="auto"/>
        <w:rPr>
          <w:rFonts w:hint="eastAsia" w:ascii="仿宋" w:hAnsi="仿宋" w:eastAsia="仿宋" w:cs="仿宋"/>
          <w:b/>
          <w:color w:val="auto"/>
          <w:sz w:val="24"/>
          <w:szCs w:val="24"/>
          <w:highlight w:val="none"/>
        </w:rPr>
      </w:pPr>
      <w:bookmarkStart w:id="22" w:name="_Toc24557"/>
      <w:r>
        <w:rPr>
          <w:rFonts w:hint="eastAsia" w:ascii="仿宋" w:hAnsi="仿宋" w:eastAsia="仿宋" w:cs="仿宋"/>
          <w:b/>
          <w:color w:val="auto"/>
          <w:sz w:val="24"/>
          <w:szCs w:val="24"/>
          <w:highlight w:val="none"/>
        </w:rPr>
        <w:t>六、其它有关规定</w:t>
      </w:r>
      <w:bookmarkEnd w:id="16"/>
      <w:bookmarkEnd w:id="17"/>
      <w:bookmarkEnd w:id="18"/>
      <w:bookmarkEnd w:id="19"/>
      <w:bookmarkEnd w:id="20"/>
      <w:bookmarkEnd w:id="21"/>
      <w:bookmarkEnd w:id="22"/>
    </w:p>
    <w:p w14:paraId="1EE4D42B">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，不得参加同一合同项（分包）下的比选活动，否则均为无效比选。</w:t>
      </w:r>
    </w:p>
    <w:p w14:paraId="2939DB8C">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（二）为项目提供整体设计、规范编制或者项目管理、监理、检测等服务的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，不得再参加该项目的其他比选活动。</w:t>
      </w:r>
    </w:p>
    <w:p w14:paraId="34CBC478">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（三）本项目的补遗文件（如果有）一律在</w:t>
      </w:r>
      <w:r>
        <w:rPr>
          <w:rFonts w:hint="eastAsia" w:ascii="仿宋" w:hAnsi="仿宋" w:eastAsia="仿宋" w:cs="仿宋"/>
          <w:color w:val="auto"/>
          <w:kern w:val="0"/>
          <w:sz w:val="24"/>
          <w:szCs w:val="24"/>
          <w:highlight w:val="none"/>
        </w:rPr>
        <w:t>行采家（https://www.gec123.com/）</w:t>
      </w:r>
      <w:r>
        <w:rPr>
          <w:rFonts w:hint="eastAsia" w:ascii="仿宋" w:hAnsi="仿宋" w:eastAsia="仿宋" w:cs="仿宋"/>
          <w:color w:val="auto"/>
          <w:sz w:val="24"/>
          <w:szCs w:val="24"/>
          <w:highlight w:val="none"/>
        </w:rPr>
        <w:t>上发布，请各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注意自行下载；无论</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下载与否，均视同</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已知晓本项目补遗文件（如果有）的内容。</w:t>
      </w:r>
    </w:p>
    <w:p w14:paraId="05FE60CC">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（四）超过比选文件截止时间递交的投标文件，恕不接收。</w:t>
      </w:r>
    </w:p>
    <w:p w14:paraId="7287F5D2">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（五）比选费用：无论比选结果如何，</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参与本项目比选的所有费用均应由</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自行承担。</w:t>
      </w:r>
    </w:p>
    <w:p w14:paraId="2A580125">
      <w:pPr>
        <w:keepNext w:val="0"/>
        <w:keepLines w:val="0"/>
        <w:pageBreakBefore w:val="0"/>
        <w:widowControl w:val="0"/>
        <w:kinsoku/>
        <w:wordWrap/>
        <w:overflowPunct/>
        <w:topLinePunct w:val="0"/>
        <w:autoSpaceDE/>
        <w:autoSpaceDN/>
        <w:bidi w:val="0"/>
        <w:adjustRightInd/>
        <w:spacing w:line="400" w:lineRule="exact"/>
        <w:ind w:left="0" w:firstLine="482" w:firstLineChars="200"/>
        <w:contextualSpacing/>
        <w:textAlignment w:val="auto"/>
        <w:rPr>
          <w:rFonts w:hint="eastAsia" w:ascii="仿宋" w:hAnsi="仿宋" w:eastAsia="仿宋" w:cs="仿宋"/>
          <w:b/>
          <w:bCs/>
          <w:color w:val="auto"/>
          <w:sz w:val="24"/>
          <w:szCs w:val="24"/>
          <w:highlight w:val="none"/>
        </w:rPr>
      </w:pPr>
      <w:r>
        <w:rPr>
          <w:rFonts w:hint="eastAsia" w:ascii="仿宋" w:hAnsi="仿宋" w:eastAsia="仿宋" w:cs="仿宋"/>
          <w:b/>
          <w:color w:val="auto"/>
          <w:sz w:val="24"/>
          <w:szCs w:val="24"/>
          <w:highlight w:val="none"/>
        </w:rPr>
        <w:t>（六）本项目不接受联合体参与比选</w:t>
      </w:r>
      <w:r>
        <w:rPr>
          <w:rFonts w:hint="eastAsia" w:ascii="仿宋" w:hAnsi="仿宋" w:eastAsia="仿宋" w:cs="仿宋"/>
          <w:b/>
          <w:bCs/>
          <w:color w:val="auto"/>
          <w:kern w:val="2"/>
          <w:sz w:val="24"/>
          <w:szCs w:val="24"/>
          <w:highlight w:val="none"/>
          <w:lang w:val="en-US" w:eastAsia="zh-CN" w:bidi="ar-SA"/>
        </w:rPr>
        <w:t>，否则按无效响应处理。</w:t>
      </w:r>
    </w:p>
    <w:p w14:paraId="1B62DB7D">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（七）本项目不接受合同分包，否则按无效响应处理。</w:t>
      </w:r>
    </w:p>
    <w:p w14:paraId="24CBEA8D">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八</w:t>
      </w:r>
      <w:r>
        <w:rPr>
          <w:rFonts w:hint="eastAsia" w:ascii="仿宋" w:hAnsi="仿宋" w:eastAsia="仿宋" w:cs="仿宋"/>
          <w:color w:val="auto"/>
          <w:sz w:val="24"/>
          <w:szCs w:val="24"/>
          <w:highlight w:val="none"/>
        </w:rPr>
        <w:t>）列入失信被执行人、重大税收违法案件当事人名单、政府采购严重违法失信行为记录名单及其他不符合《中华人民共和国政府采购法》第二十二条规定条件的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，将拒绝其参与比选活动。</w:t>
      </w:r>
    </w:p>
    <w:p w14:paraId="652726A6">
      <w:pPr>
        <w:pStyle w:val="4"/>
        <w:pageBreakBefore w:val="0"/>
        <w:widowControl w:val="0"/>
        <w:kinsoku/>
        <w:wordWrap/>
        <w:overflowPunct/>
        <w:topLinePunct w:val="0"/>
        <w:autoSpaceDE/>
        <w:autoSpaceDN/>
        <w:bidi w:val="0"/>
        <w:spacing w:line="400" w:lineRule="exact"/>
        <w:ind w:left="0" w:firstLine="482" w:firstLineChars="200"/>
        <w:textAlignment w:val="auto"/>
        <w:rPr>
          <w:rFonts w:hint="eastAsia" w:ascii="仿宋" w:hAnsi="仿宋" w:eastAsia="仿宋" w:cs="仿宋"/>
          <w:b/>
          <w:color w:val="auto"/>
          <w:sz w:val="24"/>
          <w:szCs w:val="24"/>
          <w:highlight w:val="none"/>
        </w:rPr>
      </w:pPr>
      <w:bookmarkStart w:id="23" w:name="_Toc20501"/>
      <w:bookmarkStart w:id="24" w:name="_Toc10824"/>
      <w:bookmarkStart w:id="25" w:name="_Toc41896030"/>
      <w:bookmarkStart w:id="26" w:name="_Toc24760"/>
      <w:bookmarkStart w:id="27" w:name="_Toc9761"/>
      <w:bookmarkStart w:id="28" w:name="_Toc1273"/>
      <w:bookmarkStart w:id="29" w:name="_Toc28248"/>
      <w:r>
        <w:rPr>
          <w:rFonts w:hint="eastAsia" w:ascii="仿宋" w:hAnsi="仿宋" w:eastAsia="仿宋" w:cs="仿宋"/>
          <w:b/>
          <w:color w:val="auto"/>
          <w:sz w:val="24"/>
          <w:szCs w:val="24"/>
          <w:highlight w:val="none"/>
        </w:rPr>
        <w:t>七、联系方式</w:t>
      </w:r>
      <w:bookmarkEnd w:id="23"/>
      <w:bookmarkEnd w:id="24"/>
      <w:bookmarkEnd w:id="25"/>
      <w:bookmarkEnd w:id="26"/>
      <w:bookmarkEnd w:id="27"/>
      <w:bookmarkEnd w:id="28"/>
      <w:bookmarkEnd w:id="29"/>
    </w:p>
    <w:p w14:paraId="07A10BCC">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（一）采购人：</w:t>
      </w:r>
      <w:r>
        <w:rPr>
          <w:rFonts w:hint="eastAsia" w:ascii="仿宋" w:hAnsi="仿宋" w:eastAsia="仿宋" w:cs="仿宋"/>
          <w:color w:val="auto"/>
          <w:sz w:val="24"/>
          <w:szCs w:val="24"/>
          <w:highlight w:val="none"/>
          <w:lang w:eastAsia="zh-CN"/>
        </w:rPr>
        <w:t>重庆市九龙坡区渝州路街道社区卫生服务中心</w:t>
      </w:r>
    </w:p>
    <w:p w14:paraId="64D18FD4">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联系人：</w:t>
      </w:r>
      <w:r>
        <w:rPr>
          <w:rFonts w:hint="eastAsia" w:ascii="仿宋" w:hAnsi="仿宋" w:eastAsia="仿宋" w:cs="仿宋"/>
          <w:color w:val="auto"/>
          <w:sz w:val="24"/>
          <w:szCs w:val="24"/>
          <w:highlight w:val="none"/>
          <w:lang w:val="en-US" w:eastAsia="zh-CN"/>
        </w:rPr>
        <w:t xml:space="preserve">冯老师 </w:t>
      </w:r>
    </w:p>
    <w:p w14:paraId="064CEA29">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电话：</w:t>
      </w:r>
      <w:r>
        <w:rPr>
          <w:rFonts w:hint="eastAsia" w:ascii="仿宋" w:hAnsi="仿宋" w:eastAsia="仿宋" w:cs="仿宋"/>
          <w:color w:val="auto"/>
          <w:sz w:val="24"/>
          <w:szCs w:val="24"/>
          <w:highlight w:val="none"/>
          <w:lang w:val="en-US" w:eastAsia="zh-CN"/>
        </w:rPr>
        <w:t xml:space="preserve"> 18523062810</w:t>
      </w:r>
    </w:p>
    <w:p w14:paraId="25206A86">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地址：九龙坡区渝州路73号3号楼</w:t>
      </w:r>
    </w:p>
    <w:p w14:paraId="0062A80B">
      <w:pPr>
        <w:pageBreakBefore w:val="0"/>
        <w:widowControl w:val="0"/>
        <w:kinsoku/>
        <w:wordWrap/>
        <w:overflowPunct/>
        <w:topLinePunct w:val="0"/>
        <w:autoSpaceDE/>
        <w:autoSpaceDN/>
        <w:bidi w:val="0"/>
        <w:snapToGrid w:val="0"/>
        <w:spacing w:line="400" w:lineRule="exact"/>
        <w:ind w:left="0" w:firstLine="480" w:firstLineChars="200"/>
        <w:textAlignment w:val="auto"/>
        <w:rPr>
          <w:rFonts w:hint="eastAsia" w:ascii="仿宋" w:hAnsi="仿宋" w:eastAsia="仿宋" w:cs="仿宋"/>
          <w:color w:val="auto"/>
          <w:sz w:val="24"/>
          <w:szCs w:val="24"/>
          <w:highlight w:val="none"/>
        </w:rPr>
      </w:pPr>
    </w:p>
    <w:p w14:paraId="514CFB51">
      <w:pPr>
        <w:pageBreakBefore w:val="0"/>
        <w:widowControl w:val="0"/>
        <w:kinsoku/>
        <w:wordWrap/>
        <w:overflowPunct/>
        <w:topLinePunct w:val="0"/>
        <w:autoSpaceDE/>
        <w:autoSpaceDN/>
        <w:bidi w:val="0"/>
        <w:snapToGrid w:val="0"/>
        <w:spacing w:line="400" w:lineRule="exact"/>
        <w:ind w:lef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（二）采购代理机构：</w:t>
      </w:r>
      <w:r>
        <w:rPr>
          <w:rFonts w:hint="eastAsia" w:ascii="仿宋" w:hAnsi="仿宋" w:eastAsia="仿宋" w:cs="仿宋"/>
          <w:color w:val="auto"/>
          <w:sz w:val="24"/>
          <w:szCs w:val="24"/>
          <w:highlight w:val="none"/>
          <w:lang w:eastAsia="zh-CN"/>
        </w:rPr>
        <w:t>重庆市尊诺项目管理有限公司</w:t>
      </w:r>
    </w:p>
    <w:p w14:paraId="75BD8F01">
      <w:pPr>
        <w:pageBreakBefore w:val="0"/>
        <w:widowControl w:val="0"/>
        <w:kinsoku/>
        <w:wordWrap/>
        <w:overflowPunct/>
        <w:topLinePunct w:val="0"/>
        <w:autoSpaceDE/>
        <w:autoSpaceDN/>
        <w:bidi w:val="0"/>
        <w:snapToGrid w:val="0"/>
        <w:spacing w:line="400" w:lineRule="exact"/>
        <w:ind w:left="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韦平</w:t>
      </w:r>
    </w:p>
    <w:p w14:paraId="195A56AC">
      <w:pPr>
        <w:pageBreakBefore w:val="0"/>
        <w:widowControl w:val="0"/>
        <w:kinsoku/>
        <w:wordWrap/>
        <w:overflowPunct/>
        <w:topLinePunct w:val="0"/>
        <w:autoSpaceDE/>
        <w:autoSpaceDN/>
        <w:bidi w:val="0"/>
        <w:snapToGrid w:val="0"/>
        <w:spacing w:line="400" w:lineRule="exact"/>
        <w:ind w:left="0"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电话：</w:t>
      </w:r>
      <w:r>
        <w:rPr>
          <w:rFonts w:hint="eastAsia" w:ascii="仿宋" w:hAnsi="仿宋" w:eastAsia="仿宋" w:cs="仿宋"/>
          <w:color w:val="auto"/>
          <w:sz w:val="24"/>
          <w:szCs w:val="24"/>
          <w:highlight w:val="none"/>
          <w:lang w:val="en-US" w:eastAsia="zh-CN"/>
        </w:rPr>
        <w:t>15923421562</w:t>
      </w:r>
    </w:p>
    <w:p w14:paraId="3BAC9759">
      <w:pPr>
        <w:pageBreakBefore w:val="0"/>
        <w:widowControl w:val="0"/>
        <w:kinsoku/>
        <w:wordWrap/>
        <w:overflowPunct/>
        <w:topLinePunct w:val="0"/>
        <w:autoSpaceDE/>
        <w:autoSpaceDN/>
        <w:bidi w:val="0"/>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地址：重庆市南岸区南兴路64号</w:t>
      </w:r>
    </w:p>
    <w:p w14:paraId="63B39A52">
      <w:pPr>
        <w:pStyle w:val="3"/>
        <w:keepNext/>
        <w:keepLines w:val="0"/>
        <w:pageBreakBefore w:val="0"/>
        <w:widowControl w:val="0"/>
        <w:tabs>
          <w:tab w:val="left" w:pos="1530"/>
        </w:tabs>
        <w:kinsoku/>
        <w:wordWrap/>
        <w:overflowPunct/>
        <w:topLinePunct w:val="0"/>
        <w:autoSpaceDE/>
        <w:autoSpaceDN/>
        <w:bidi w:val="0"/>
        <w:adjustRightInd/>
        <w:snapToGrid w:val="0"/>
        <w:spacing w:before="0" w:beforeLines="0" w:after="0" w:afterLines="0" w:line="400" w:lineRule="exact"/>
        <w:ind w:firstLine="480" w:firstLineChars="200"/>
        <w:jc w:val="center"/>
        <w:textAlignment w:val="auto"/>
        <w:rPr>
          <w:rFonts w:hint="eastAsia" w:ascii="仿宋" w:hAnsi="仿宋" w:eastAsia="仿宋" w:cs="仿宋"/>
          <w:color w:val="auto"/>
          <w:sz w:val="24"/>
          <w:szCs w:val="24"/>
          <w:highlight w:val="none"/>
        </w:rPr>
      </w:pPr>
      <w:bookmarkStart w:id="30" w:name="_Toc30387"/>
      <w:r>
        <w:rPr>
          <w:rFonts w:hint="eastAsia" w:ascii="仿宋" w:hAnsi="仿宋" w:eastAsia="仿宋" w:cs="仿宋"/>
          <w:color w:val="auto"/>
          <w:sz w:val="24"/>
          <w:szCs w:val="24"/>
          <w:highlight w:val="none"/>
        </w:rPr>
        <w:br w:type="page"/>
      </w:r>
    </w:p>
    <w:p w14:paraId="6D7C723F">
      <w:pPr>
        <w:pStyle w:val="3"/>
        <w:spacing w:before="0" w:beforeLines="0" w:after="0" w:afterLines="0" w:line="360" w:lineRule="auto"/>
        <w:rPr>
          <w:rFonts w:hint="eastAsia" w:ascii="仿宋" w:hAnsi="仿宋" w:eastAsia="仿宋" w:cs="仿宋"/>
          <w:color w:val="auto"/>
          <w:sz w:val="52"/>
          <w:szCs w:val="52"/>
          <w:highlight w:val="none"/>
        </w:rPr>
      </w:pPr>
      <w:bookmarkStart w:id="31" w:name="_Toc18589"/>
      <w:r>
        <w:rPr>
          <w:rFonts w:hint="eastAsia" w:ascii="仿宋" w:hAnsi="仿宋" w:eastAsia="仿宋" w:cs="仿宋"/>
          <w:color w:val="auto"/>
          <w:sz w:val="52"/>
          <w:szCs w:val="52"/>
          <w:highlight w:val="none"/>
        </w:rPr>
        <w:t>第二篇 项目服务需求</w:t>
      </w:r>
      <w:bookmarkEnd w:id="31"/>
    </w:p>
    <w:p w14:paraId="0850EB42">
      <w:pPr>
        <w:pageBreakBefore w:val="0"/>
        <w:kinsoku/>
        <w:wordWrap/>
        <w:overflowPunct/>
        <w:topLinePunct w:val="0"/>
        <w:autoSpaceDE/>
        <w:autoSpaceDN/>
        <w:bidi w:val="0"/>
        <w:snapToGrid w:val="0"/>
        <w:spacing w:line="400" w:lineRule="exact"/>
        <w:ind w:left="0" w:leftChars="0"/>
        <w:textAlignment w:val="auto"/>
        <w:rPr>
          <w:rFonts w:hint="eastAsia" w:ascii="仿宋" w:hAnsi="仿宋" w:eastAsia="仿宋" w:cs="仿宋"/>
          <w:color w:val="auto"/>
          <w:sz w:val="24"/>
          <w:szCs w:val="24"/>
          <w:highlight w:val="none"/>
        </w:rPr>
      </w:pPr>
      <w:bookmarkStart w:id="32" w:name="_Toc24780"/>
      <w:bookmarkStart w:id="33" w:name="_Toc28331"/>
      <w:bookmarkStart w:id="34" w:name="_Toc22060"/>
      <w:r>
        <w:rPr>
          <w:rFonts w:hint="eastAsia" w:ascii="仿宋" w:hAnsi="仿宋" w:eastAsia="仿宋" w:cs="仿宋"/>
          <w:b/>
          <w:bCs/>
          <w:color w:val="auto"/>
          <w:sz w:val="24"/>
          <w:szCs w:val="24"/>
          <w:highlight w:val="none"/>
        </w:rPr>
        <w:t>注：</w:t>
      </w:r>
      <w:r>
        <w:rPr>
          <w:rFonts w:hint="eastAsia" w:ascii="仿宋" w:hAnsi="仿宋" w:eastAsia="仿宋" w:cs="仿宋"/>
          <w:color w:val="auto"/>
          <w:kern w:val="0"/>
          <w:sz w:val="24"/>
          <w:szCs w:val="24"/>
          <w:highlight w:val="none"/>
        </w:rPr>
        <w:t>本篇的</w:t>
      </w:r>
      <w:r>
        <w:rPr>
          <w:rFonts w:hint="eastAsia" w:ascii="仿宋" w:hAnsi="仿宋" w:eastAsia="仿宋" w:cs="仿宋"/>
          <w:color w:val="auto"/>
          <w:kern w:val="0"/>
          <w:sz w:val="24"/>
          <w:szCs w:val="24"/>
          <w:highlight w:val="none"/>
          <w:lang w:eastAsia="zh-CN"/>
        </w:rPr>
        <w:t>项目服务需求</w:t>
      </w:r>
      <w:r>
        <w:rPr>
          <w:rFonts w:hint="eastAsia" w:ascii="仿宋" w:hAnsi="仿宋" w:eastAsia="仿宋" w:cs="仿宋"/>
          <w:color w:val="auto"/>
          <w:kern w:val="0"/>
          <w:sz w:val="24"/>
          <w:szCs w:val="24"/>
          <w:highlight w:val="none"/>
        </w:rPr>
        <w:t>为符合性审查中的实质性要求，若不满足按</w:t>
      </w:r>
      <w:r>
        <w:rPr>
          <w:rFonts w:hint="eastAsia" w:ascii="仿宋" w:hAnsi="仿宋" w:eastAsia="仿宋" w:cs="仿宋"/>
          <w:color w:val="auto"/>
          <w:kern w:val="0"/>
          <w:sz w:val="24"/>
          <w:szCs w:val="24"/>
          <w:highlight w:val="none"/>
          <w:lang w:eastAsia="zh-CN"/>
        </w:rPr>
        <w:t>无效响应</w:t>
      </w:r>
      <w:r>
        <w:rPr>
          <w:rFonts w:hint="eastAsia" w:ascii="仿宋" w:hAnsi="仿宋" w:eastAsia="仿宋" w:cs="仿宋"/>
          <w:color w:val="auto"/>
          <w:kern w:val="0"/>
          <w:sz w:val="24"/>
          <w:szCs w:val="24"/>
          <w:highlight w:val="none"/>
        </w:rPr>
        <w:t>处理。</w:t>
      </w:r>
    </w:p>
    <w:bookmarkEnd w:id="32"/>
    <w:p w14:paraId="4B7C9AC9">
      <w:pPr>
        <w:pStyle w:val="4"/>
        <w:pageBreakBefore w:val="0"/>
        <w:widowControl w:val="0"/>
        <w:numPr>
          <w:ilvl w:val="0"/>
          <w:numId w:val="0"/>
        </w:numPr>
        <w:kinsoku/>
        <w:wordWrap/>
        <w:overflowPunct/>
        <w:topLinePunct w:val="0"/>
        <w:autoSpaceDE/>
        <w:autoSpaceDN/>
        <w:bidi w:val="0"/>
        <w:spacing w:line="400" w:lineRule="exact"/>
        <w:ind w:left="0" w:leftChars="0"/>
        <w:textAlignment w:val="auto"/>
        <w:rPr>
          <w:rFonts w:hint="eastAsia" w:ascii="仿宋" w:hAnsi="仿宋" w:eastAsia="仿宋" w:cs="仿宋"/>
          <w:b/>
          <w:bCs/>
          <w:color w:val="auto"/>
          <w:sz w:val="24"/>
          <w:szCs w:val="24"/>
          <w:highlight w:val="none"/>
          <w:lang w:val="en-US" w:eastAsia="zh-CN"/>
        </w:rPr>
      </w:pPr>
      <w:bookmarkStart w:id="35" w:name="_Toc5999"/>
      <w:r>
        <w:rPr>
          <w:rFonts w:hint="eastAsia" w:ascii="仿宋" w:hAnsi="仿宋" w:eastAsia="仿宋" w:cs="仿宋"/>
          <w:b/>
          <w:bCs/>
          <w:color w:val="auto"/>
          <w:sz w:val="24"/>
          <w:szCs w:val="24"/>
          <w:highlight w:val="none"/>
          <w:lang w:val="en-US" w:eastAsia="zh-CN"/>
        </w:rPr>
        <w:t>一、</w:t>
      </w:r>
      <w:r>
        <w:rPr>
          <w:rFonts w:hint="eastAsia" w:ascii="仿宋" w:hAnsi="仿宋" w:eastAsia="仿宋" w:cs="仿宋"/>
          <w:b/>
          <w:bCs/>
          <w:color w:val="auto"/>
          <w:sz w:val="24"/>
          <w:szCs w:val="24"/>
          <w:highlight w:val="none"/>
        </w:rPr>
        <w:t>项目</w:t>
      </w:r>
      <w:bookmarkEnd w:id="33"/>
      <w:bookmarkEnd w:id="34"/>
      <w:r>
        <w:rPr>
          <w:rFonts w:hint="eastAsia" w:ascii="仿宋" w:hAnsi="仿宋" w:eastAsia="仿宋" w:cs="仿宋"/>
          <w:b/>
          <w:bCs/>
          <w:color w:val="auto"/>
          <w:sz w:val="24"/>
          <w:szCs w:val="24"/>
          <w:highlight w:val="none"/>
          <w:lang w:val="en-US" w:eastAsia="zh-CN"/>
        </w:rPr>
        <w:t>一览表</w:t>
      </w:r>
      <w:bookmarkEnd w:id="35"/>
    </w:p>
    <w:p w14:paraId="1F85FFBE">
      <w:pPr>
        <w:pStyle w:val="4"/>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bCs/>
          <w:color w:val="auto"/>
          <w:sz w:val="24"/>
          <w:szCs w:val="24"/>
          <w:highlight w:val="none"/>
          <w:lang w:val="en-US" w:eastAsia="zh-CN"/>
        </w:rPr>
      </w:pPr>
      <w:bookmarkStart w:id="36" w:name="_Toc1933"/>
      <w:bookmarkStart w:id="37" w:name="_Toc18345"/>
      <w:bookmarkStart w:id="38" w:name="_Toc29681"/>
      <w:r>
        <w:rPr>
          <w:rFonts w:hint="eastAsia" w:ascii="仿宋" w:hAnsi="仿宋" w:eastAsia="仿宋" w:cs="仿宋"/>
          <w:b/>
          <w:bCs/>
          <w:color w:val="auto"/>
          <w:sz w:val="24"/>
          <w:szCs w:val="24"/>
          <w:highlight w:val="none"/>
          <w:lang w:val="en-US" w:eastAsia="zh-CN"/>
        </w:rPr>
        <w:t>包一：口腔科医用耗材</w:t>
      </w:r>
      <w:bookmarkEnd w:id="36"/>
    </w:p>
    <w:tbl>
      <w:tblPr>
        <w:tblStyle w:val="23"/>
        <w:tblpPr w:leftFromText="180" w:rightFromText="180" w:vertAnchor="text" w:horzAnchor="page" w:tblpXSpec="center" w:tblpY="297"/>
        <w:tblOverlap w:val="never"/>
        <w:tblW w:w="91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1"/>
        <w:gridCol w:w="3614"/>
        <w:gridCol w:w="2324"/>
        <w:gridCol w:w="918"/>
        <w:gridCol w:w="1427"/>
      </w:tblGrid>
      <w:tr w14:paraId="300C4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3FB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序号</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E765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名称</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3227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规格</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9D65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单位</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861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4"/>
                <w:szCs w:val="24"/>
                <w:highlight w:val="none"/>
                <w:u w:val="none"/>
                <w:lang w:val="en-US" w:eastAsia="zh-CN" w:bidi="ar"/>
              </w:rPr>
              <w:t>价格（元）</w:t>
            </w:r>
          </w:p>
        </w:tc>
      </w:tr>
      <w:tr w14:paraId="3A9F2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13DC0">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B1E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1203技工腊膜型雕刻刀</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B0C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46#</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2B08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6FBF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18.5</w:t>
            </w:r>
          </w:p>
        </w:tc>
      </w:tr>
      <w:tr w14:paraId="59255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826DA">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748B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1403粘固粉充填器</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F8D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0CC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FC51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17.6</w:t>
            </w:r>
          </w:p>
        </w:tc>
      </w:tr>
      <w:tr w14:paraId="25C7C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86954">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E321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3M光固化复合树脂(Z250XT)</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4DF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4g A3</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2CE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8486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180</w:t>
            </w:r>
          </w:p>
        </w:tc>
      </w:tr>
      <w:tr w14:paraId="571FC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119A">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9BE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3M通用粘接系统</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EC93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617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73C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380</w:t>
            </w:r>
          </w:p>
        </w:tc>
      </w:tr>
      <w:tr w14:paraId="6058D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ACC4E">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2310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DMG临时冠桥（枪混）</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7C85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枪打型Automix Plus 76g</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BDA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280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520</w:t>
            </w:r>
          </w:p>
        </w:tc>
      </w:tr>
      <w:tr w14:paraId="0EF01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9BBF9">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B3B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KKK超硬石膏（红中H）</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B7AB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1KG/袋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C7C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9E04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w:t>
            </w:r>
          </w:p>
        </w:tc>
      </w:tr>
      <w:tr w14:paraId="5A9BC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21FC">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EACF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拔髓针00</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60A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12支/盒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41D3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509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22.4</w:t>
            </w:r>
          </w:p>
        </w:tc>
      </w:tr>
      <w:tr w14:paraId="684D3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DEC7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E1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拔髓针柄</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0D3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圆形1444型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5E26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9506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w:t>
            </w:r>
          </w:p>
        </w:tc>
      </w:tr>
      <w:tr w14:paraId="77674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3AA9">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8AF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笔形光固化机保护套</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A5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M号  500个/盒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84D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6BFC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w:t>
            </w:r>
          </w:p>
        </w:tc>
      </w:tr>
      <w:tr w14:paraId="7C4D1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40526">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C27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玻璃纤维桩（补充装）</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B7EB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 10支/盒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634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0AB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3B92F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9D931">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DB0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玻璃纤维桩（补充装）</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7F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 10支/盒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4398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71D1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07B97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C6A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E42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玻璃纤维桩（补充装）</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B79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 10支/盒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4597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AD0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35A21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26EE">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EE87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不锈钢有孔牙托</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CFC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1478-M（中）</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117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付</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EE7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w:t>
            </w:r>
          </w:p>
        </w:tc>
      </w:tr>
      <w:tr w14:paraId="304E3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B7C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BB2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成形片</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2C81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570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710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22</w:t>
            </w:r>
          </w:p>
        </w:tc>
      </w:tr>
      <w:tr w14:paraId="24E4D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DDDD">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5B4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成形片</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562C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大</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468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CC9B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22</w:t>
            </w:r>
          </w:p>
        </w:tc>
      </w:tr>
      <w:tr w14:paraId="7CCEF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237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A08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齿科用根管充填材料</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5B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2g</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0579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6B9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280</w:t>
            </w:r>
          </w:p>
        </w:tc>
      </w:tr>
      <w:tr w14:paraId="7C110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4464">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AE0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唇勾</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818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585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71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w:t>
            </w:r>
          </w:p>
        </w:tc>
      </w:tr>
      <w:tr w14:paraId="36842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EAB2">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B156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打磨抛光组件-复合陶瓷专用</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B24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TH0303</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306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套</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6720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80</w:t>
            </w:r>
          </w:p>
        </w:tc>
      </w:tr>
      <w:tr w14:paraId="2B234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9FE6">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3D17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导光棒防污护套</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7C3D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105*78mm（适合7-8mm的机头）</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BD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EB90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5B92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A2DC1">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20</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5131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低速涡轮手机（按压式）</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E2E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Rose 201-M4(ICAP)</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C1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D424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200</w:t>
            </w:r>
          </w:p>
        </w:tc>
      </w:tr>
      <w:tr w14:paraId="2043E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C41B">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75A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复合碘抑菌液</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520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7F69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447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r>
      <w:tr w14:paraId="64329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E14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388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干髓糊抑菌糊剂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CC9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3g</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73F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FD95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w:t>
            </w:r>
          </w:p>
        </w:tc>
      </w:tr>
      <w:tr w14:paraId="671F9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28D6">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A59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高速气涡轮手机</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314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T200-P</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D9D7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C351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380</w:t>
            </w:r>
          </w:p>
        </w:tc>
      </w:tr>
      <w:tr w14:paraId="643A2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7F59">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F572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高速气涡轮手机</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819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T100-PC（45度）</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9F9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025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480</w:t>
            </w:r>
          </w:p>
        </w:tc>
      </w:tr>
      <w:tr w14:paraId="1CB62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29F9">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2E2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根管充填材料-AH Plus</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A4AA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pasteA:3ml：pasteB：3ml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7D6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E6A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280</w:t>
            </w:r>
          </w:p>
        </w:tc>
      </w:tr>
      <w:tr w14:paraId="753AF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29B8">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E84C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光固化复合树脂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116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A3（4.6g/2ml）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FED5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9D2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125</w:t>
            </w:r>
          </w:p>
        </w:tc>
      </w:tr>
      <w:tr w14:paraId="37AC1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69D9">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1D7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光固化复合树脂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1E1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A2（4.6g/2ml）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98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FB4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110</w:t>
            </w:r>
          </w:p>
        </w:tc>
      </w:tr>
      <w:tr w14:paraId="211C3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BBFCC">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263C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光固化护髓垫底材料</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BEC0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1g</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6B1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3BB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200</w:t>
            </w:r>
          </w:p>
        </w:tc>
      </w:tr>
      <w:tr w14:paraId="77BD7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9DF15">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29C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幻彩光固化复合树脂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1F2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前牙A3</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1EE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5BF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125</w:t>
            </w:r>
          </w:p>
        </w:tc>
      </w:tr>
      <w:tr w14:paraId="146D3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1BCE9">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30</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7EB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机用根管锉</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7D5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Primary 25mm 1*6</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C5A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B89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135</w:t>
            </w:r>
          </w:p>
        </w:tc>
      </w:tr>
      <w:tr w14:paraId="1DDD1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21AD">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3F8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机用根管锉</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8AF6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SX-F3 19-21mm(混装)</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35AF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11B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350</w:t>
            </w:r>
          </w:p>
        </w:tc>
      </w:tr>
      <w:tr w14:paraId="42C40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376C">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8D19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机用根管锉</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38D2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P2 21mm06/25(4*1)</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92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16C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230</w:t>
            </w:r>
          </w:p>
        </w:tc>
      </w:tr>
      <w:tr w14:paraId="1341C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17296">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0D62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甲醛甲酚口腔抑菌液</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FBF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525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5F9C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w:t>
            </w:r>
          </w:p>
        </w:tc>
      </w:tr>
      <w:tr w14:paraId="63A6D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C1BD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F899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聚羧酸锌水门汀</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D33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粉30g 液15ml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5193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2286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w:t>
            </w:r>
          </w:p>
        </w:tc>
      </w:tr>
      <w:tr w14:paraId="70449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A1E5">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AED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可吸收外科缝线</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6CF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12包/盒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FF00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09A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r>
      <w:tr w14:paraId="031F1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30E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79C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口腔抑菌液（除丁克）</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AA0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0AB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5DB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90</w:t>
            </w:r>
          </w:p>
        </w:tc>
      </w:tr>
      <w:tr w14:paraId="0C565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CCF1">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9928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蓝色保护膜</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4F2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薄款1200片</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A38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卷</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8FA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05BC5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4A13">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044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朗力牌（Ⅰ型）抑菌液（CP）</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13A8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671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32B0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r>
      <w:tr w14:paraId="3CA05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2E1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EC0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连柄砂轮（砂石针）</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E49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10*1-20#</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EFC5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DE2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12.5</w:t>
            </w:r>
          </w:p>
        </w:tc>
      </w:tr>
      <w:tr w14:paraId="36C26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7DA8">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40</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297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磷酸锌水门汀（粉）</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73A9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30g/瓶</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CBB0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601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r>
      <w:tr w14:paraId="013D5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C591">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644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磷酸锌水门汀（液）</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D64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15ml/瓶</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280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372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w:t>
            </w:r>
          </w:p>
        </w:tc>
      </w:tr>
      <w:tr w14:paraId="3E255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DFC4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B831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铝有孔牙托</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183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DC9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付</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1614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w:t>
            </w:r>
          </w:p>
        </w:tc>
      </w:tr>
      <w:tr w14:paraId="67F51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8A36">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92A2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铝有孔牙托</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21D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7B3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付</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2D3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w:t>
            </w:r>
          </w:p>
        </w:tc>
      </w:tr>
      <w:tr w14:paraId="62069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2C38">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A7A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铝有孔牙托</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748D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3C3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付</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AC4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w:t>
            </w:r>
          </w:p>
        </w:tc>
      </w:tr>
      <w:tr w14:paraId="0B8CD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E8926">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EF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麒隆牌医用消毒灭菌袋</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706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55mm*200m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DCC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EEC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55</w:t>
            </w:r>
          </w:p>
        </w:tc>
      </w:tr>
      <w:tr w14:paraId="74E4D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58B9A">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835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氢氧化钙根管消毒材料（Ⅰ）</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885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粉剂5g液体6ml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997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1C5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w:t>
            </w:r>
          </w:p>
        </w:tc>
      </w:tr>
      <w:tr w14:paraId="4DF16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17A0">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ED4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热熔牙胶充填注胶针</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4E4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23G/25G*24mm，23G*28mm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D36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06CF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320</w:t>
            </w:r>
          </w:p>
        </w:tc>
      </w:tr>
      <w:tr w14:paraId="42FCC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F035B">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5814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树脂卷装成形片</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6DA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15m 透明聚酯</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3E58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5B87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w:t>
            </w:r>
          </w:p>
        </w:tc>
      </w:tr>
      <w:tr w14:paraId="1934A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B5BE8">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A05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塑料牙托</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2A7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4DB6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付</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0614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w:t>
            </w:r>
          </w:p>
        </w:tc>
      </w:tr>
      <w:tr w14:paraId="17510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3B8E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50</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7F5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无砷失活抑菌剂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07F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1g/支</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2DA8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95D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20F9B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3BE3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50BE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压力蒸汽灭菌化学指示卡</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B9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134℃  200片/盒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718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3B4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38</w:t>
            </w:r>
          </w:p>
        </w:tc>
      </w:tr>
      <w:tr w14:paraId="4B0AE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98FA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E294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牙胶充填器（硅胶枪）</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CBD8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10：1（弯嘴，胶枪）</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D45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1C6C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90</w:t>
            </w:r>
          </w:p>
        </w:tc>
      </w:tr>
      <w:tr w14:paraId="052A0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DC9E">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0C87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牙科根管锉针</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90C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Mtwo21mm*IS025</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C8F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700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320</w:t>
            </w:r>
          </w:p>
        </w:tc>
      </w:tr>
      <w:tr w14:paraId="03D81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296A">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4E0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牙科抛光条</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837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Ⅰ型细（蓝色 6m*4mm）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D62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31FB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w:t>
            </w:r>
          </w:p>
        </w:tc>
      </w:tr>
      <w:tr w14:paraId="257B3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5331">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96B1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牙科用多酶清洗液</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509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1000ml方瓶</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6EE2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618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65</w:t>
            </w:r>
          </w:p>
        </w:tc>
      </w:tr>
      <w:tr w14:paraId="30E3D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2E9C7">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5E9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牙科用剪（金冠剪）</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D1B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弯</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BFBE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501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40.8</w:t>
            </w:r>
          </w:p>
        </w:tc>
      </w:tr>
      <w:tr w14:paraId="3E995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421D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2E2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牙科用抛光膏</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3F5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36g   50支/件</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DFF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B81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r>
      <w:tr w14:paraId="3134E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771D3">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FB6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牙线</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C59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尼龙 50m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41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A06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w:t>
            </w:r>
          </w:p>
        </w:tc>
      </w:tr>
      <w:tr w14:paraId="32769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E5E0">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A7A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牙用填充器</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AB2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Ⅱ型（5色/盒）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CC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套</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8257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450</w:t>
            </w:r>
          </w:p>
        </w:tc>
      </w:tr>
      <w:tr w14:paraId="210C3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D8C5">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60</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269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咬合纸（蓝色0.1mm）</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6D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55*18mm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F3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C55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0A608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1EB9B">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61</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44F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咬合纸（蓝色0.1mm）</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96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110*21mm*200片/盒</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473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FAB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w:t>
            </w:r>
          </w:p>
        </w:tc>
      </w:tr>
      <w:tr w14:paraId="74E41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539F">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62</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C9F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一次性无菌手术刀片</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3221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4F0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C66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0.45</w:t>
            </w:r>
          </w:p>
        </w:tc>
      </w:tr>
      <w:tr w14:paraId="0716F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C9F6B">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63</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053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一次性无菌手术刀片</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5CE9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F93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F190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0.45</w:t>
            </w:r>
          </w:p>
        </w:tc>
      </w:tr>
      <w:tr w14:paraId="52D5A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2414">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64</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0714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一次性牙科注射针</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8EC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0.3*21mm（100支*50盒/件）</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E06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E81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70</w:t>
            </w:r>
          </w:p>
        </w:tc>
      </w:tr>
      <w:tr w14:paraId="08BFA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091D">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65</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A889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一次性牙科注射针</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3E0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0.3*25mm</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A86E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655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w:t>
            </w:r>
          </w:p>
        </w:tc>
      </w:tr>
      <w:tr w14:paraId="31C8B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88B0">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66</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2ED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暂时填充材料</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D8AB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15g</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66BD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49C3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63127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F5CF0">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67</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674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暂时填充材料</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C1F2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30g</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146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F9AA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w:t>
            </w:r>
          </w:p>
        </w:tc>
      </w:tr>
      <w:tr w14:paraId="4F14E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A5F5">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68</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B56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樟脑苯酚口腔抑菌液</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2B9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20ml</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C07B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5DBC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r>
      <w:tr w14:paraId="754F5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08B3A">
            <w:pPr>
              <w:keepNext w:val="0"/>
              <w:keepLines w:val="0"/>
              <w:pageBreakBefore w:val="0"/>
              <w:widowControl/>
              <w:numPr>
                <w:ilvl w:val="0"/>
                <w:numId w:val="2"/>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69</w:t>
            </w:r>
          </w:p>
        </w:tc>
        <w:tc>
          <w:tcPr>
            <w:tcW w:w="3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1F5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1443成形片夹</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404A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钳式</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24E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96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30.4</w:t>
            </w:r>
          </w:p>
        </w:tc>
      </w:tr>
    </w:tbl>
    <w:tbl>
      <w:tblPr>
        <w:tblStyle w:val="23"/>
        <w:tblW w:w="9108" w:type="dxa"/>
        <w:tblInd w:w="2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3660"/>
        <w:gridCol w:w="2325"/>
        <w:gridCol w:w="930"/>
        <w:gridCol w:w="1383"/>
      </w:tblGrid>
      <w:tr w14:paraId="6F222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CBC2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393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3M光固化复合树脂(Z350XT)</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0F91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A3*4g/支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E5DC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47D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215</w:t>
            </w:r>
          </w:p>
        </w:tc>
      </w:tr>
      <w:tr w14:paraId="1144E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78C79">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611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齿科藻酸盐印模材（翡翠）</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5905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普通凝固型 908g/桶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125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桶</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1DA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64.13</w:t>
            </w:r>
          </w:p>
        </w:tc>
      </w:tr>
      <w:tr w14:paraId="23A8C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480DC">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8E5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多乐氟氟化钠护齿剂</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D9E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10ml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29A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4EE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239</w:t>
            </w:r>
          </w:p>
        </w:tc>
      </w:tr>
      <w:tr w14:paraId="3157A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7A9D">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011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根管用钻头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86A8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P钻32mm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8F5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F91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65.56</w:t>
            </w:r>
          </w:p>
        </w:tc>
      </w:tr>
      <w:tr w14:paraId="46561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FCF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EA4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根管用钻头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DE5E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P钻28mm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AC9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EDC4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65.56</w:t>
            </w:r>
          </w:p>
        </w:tc>
      </w:tr>
      <w:tr w14:paraId="03124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A420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437D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根管用钻头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094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G钻32mm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052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77E8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65.1</w:t>
            </w:r>
          </w:p>
        </w:tc>
      </w:tr>
      <w:tr w14:paraId="4C630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F23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2E8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根管用钻头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FE9C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G钻28mm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B52D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05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65.1</w:t>
            </w:r>
          </w:p>
        </w:tc>
      </w:tr>
      <w:tr w14:paraId="7B32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2D115">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60B1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金刚砂高速车针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058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BR-40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15F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A96E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58.36</w:t>
            </w:r>
          </w:p>
        </w:tc>
      </w:tr>
      <w:tr w14:paraId="3794A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3BFC">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EF01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口腔涂药棒（小号）</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C8D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M6500SF(小)：100支/瓶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ECF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95F5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19.97</w:t>
            </w:r>
          </w:p>
        </w:tc>
      </w:tr>
      <w:tr w14:paraId="00EE8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59560">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1E77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水枪头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CF2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AWT03:200支/盒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E0F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9BA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64.01</w:t>
            </w:r>
          </w:p>
        </w:tc>
      </w:tr>
      <w:tr w14:paraId="64C36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888F3">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CBD0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窝沟封闭剂</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053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2g/支*3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642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4C1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200</w:t>
            </w:r>
          </w:p>
        </w:tc>
      </w:tr>
      <w:tr w14:paraId="208FB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5D77">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1A4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牙根管塞尖</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CE9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25#(04锥度)120支/盒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FBC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048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45.03</w:t>
            </w:r>
          </w:p>
        </w:tc>
      </w:tr>
      <w:tr w14:paraId="25192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6C3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418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牙根管塞尖</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BFF2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25#(06锥度)120支/盒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8257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31A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45.03</w:t>
            </w:r>
          </w:p>
        </w:tc>
      </w:tr>
      <w:tr w14:paraId="3BAA2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CB1F">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9A3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5B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 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5E96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036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1738C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55FB">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F3A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67B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 15#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172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CA0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4A7A8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9ACB">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8BD1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077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 25#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E0C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80FF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74A80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59C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1A3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E4A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 25#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3B0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353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005B7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ACFA">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CE0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541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 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E9A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6D9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0FE07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FB85">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E95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E56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 20#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223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7A1F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47DE3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C9F25">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090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01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 15#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08DD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E75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3E548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0265">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FBF8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DE4E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 20#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D72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8A37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24BB5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B800">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1E8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1C3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 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019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550D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7CBC2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DE4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B62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牙用锉K锉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926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 6#</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7AB1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D839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60F09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6C1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02A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一次性使用口腔器械盒</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3415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KQH III (8*1)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7A3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套</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E8D7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1.28</w:t>
            </w:r>
          </w:p>
        </w:tc>
      </w:tr>
      <w:tr w14:paraId="61160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3951C">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3F2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一次性使用口腔涂药棒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D2D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M6500F(中)：100支/瓶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BF5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7D9E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19.97</w:t>
            </w:r>
          </w:p>
        </w:tc>
      </w:tr>
      <w:tr w14:paraId="4AB38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D02FF">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0CA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一次性吸唾管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F55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弱吸 100支/袋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D249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89D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w:t>
            </w:r>
          </w:p>
        </w:tc>
      </w:tr>
      <w:tr w14:paraId="5AB11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A6BF">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F48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印模材料口内注射头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0EAF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MT290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BA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C6D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55</w:t>
            </w:r>
          </w:p>
        </w:tc>
      </w:tr>
      <w:tr w14:paraId="27EE3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C50A">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D2D9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EDTA根管润滑剂</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6807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B49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3CDA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62.95</w:t>
            </w:r>
          </w:p>
        </w:tc>
      </w:tr>
      <w:tr w14:paraId="65AF7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D81A">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B57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A42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塑料柄 B柄 7#</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195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CD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268</w:t>
            </w:r>
          </w:p>
        </w:tc>
      </w:tr>
      <w:tr w14:paraId="4E43F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39A2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3E6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ABA1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塑料柄 B柄 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779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9C12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298</w:t>
            </w:r>
          </w:p>
        </w:tc>
      </w:tr>
      <w:tr w14:paraId="3A15D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906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CD6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E940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塑料柄 B柄 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234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3A0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260</w:t>
            </w:r>
          </w:p>
        </w:tc>
      </w:tr>
      <w:tr w14:paraId="09FAD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52843">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901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BA53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塑料柄 B柄 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6E46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610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298</w:t>
            </w:r>
          </w:p>
        </w:tc>
      </w:tr>
      <w:tr w14:paraId="4BA8A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1C1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ED9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05F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塑料柄 B柄 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67F1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819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298</w:t>
            </w:r>
          </w:p>
        </w:tc>
      </w:tr>
      <w:tr w14:paraId="4927A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994C">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331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C896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塑料柄 B柄 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A1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98B7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268</w:t>
            </w:r>
          </w:p>
        </w:tc>
      </w:tr>
      <w:tr w14:paraId="41BD3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F8E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E10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拔牙钳</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5CD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664B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495A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70027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33167">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7244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拔牙钳</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907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222#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0AD3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2AC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1E450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9E8C7">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9848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齿科填充用复合树脂（松风）</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86F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F00-A3 2.2g（3支/袋）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6C8B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D64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180</w:t>
            </w:r>
          </w:p>
        </w:tc>
      </w:tr>
      <w:tr w14:paraId="02C8F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FBED">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9815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儿童拔牙钳</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978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274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3F87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20DDA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2E253">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AC4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非吸收性外科缝线（丝线）</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5E60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1.5*75cm  10根/盒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A18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F7CF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w:t>
            </w:r>
          </w:p>
        </w:tc>
      </w:tr>
      <w:tr w14:paraId="7FD80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A949">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FF6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F50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H锉25mm*25#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FC4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ED80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682D5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95B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D91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CE92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H锉25mm*20#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59CA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BCEE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7C6CB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F04C">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A21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2EB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F2 （25mm*6支/板）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C85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AC60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350</w:t>
            </w:r>
          </w:p>
        </w:tc>
      </w:tr>
      <w:tr w14:paraId="1D56D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4A96B">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10AB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8E2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H锉21mm*25#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96F7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2048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6C593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CF11">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EC7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BE3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H锉21mm*20#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14A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ACE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528D7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5CE2C">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7FFA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F50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K锉21mm*30#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9E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E7B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1CE51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EE451">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1E2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CB4B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C锉21mm*08#（不锈钢）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316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AD7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w:t>
            </w:r>
          </w:p>
        </w:tc>
      </w:tr>
      <w:tr w14:paraId="3C6A5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EF3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1625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3F3F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k锉25mm*30#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4802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3CB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23</w:t>
            </w:r>
          </w:p>
        </w:tc>
      </w:tr>
      <w:tr w14:paraId="3C21C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B7D5">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E0BC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992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25mm*15#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FF9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2200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27CC1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8AAA">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D16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E49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21mm*20#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730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7685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51721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5AA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7E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B98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21mm*25#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8C5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75E2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43FCD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338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111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C1A9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25mm*25#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7590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DD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45F65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C6E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3DA4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11A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21mm*10#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0AA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92D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49D34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B3F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D75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A44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25mm*20#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6906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CBF0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0D0AA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302B1">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36F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74B2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25mm*10#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E8B6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3C1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59DC4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2DAA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4765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根管锉K锉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634B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21mm*15# 6支/盒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6FB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5B3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284AA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2261">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DCA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光固化牙体粘接剂</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9115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035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05E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297</w:t>
            </w:r>
          </w:p>
        </w:tc>
      </w:tr>
      <w:tr w14:paraId="3632A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BBF0">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407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7B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FO-21（5支/板）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F4D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9C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35</w:t>
            </w:r>
          </w:p>
        </w:tc>
      </w:tr>
      <w:tr w14:paraId="2B0E4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C4465">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2785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51E2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EX-23(5支/板）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6512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C0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4D061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A37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EE2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0B04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FO-S21（5支/板）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2B6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C601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35</w:t>
            </w:r>
          </w:p>
        </w:tc>
      </w:tr>
      <w:tr w14:paraId="1B08E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1ECE1">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E39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410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FO-25（5支/板）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A10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DB2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33004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8B0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DF0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325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EX-17（5支/板）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524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C14B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23CAC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D408">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E481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2F0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TR-11EF（5支/板）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19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6A18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5D94F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EB9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45B8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924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CD-61F（5支/板）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B08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108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31270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3EAA7">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DD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53C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TF-14（5支/板）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951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14B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2447E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531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6AD9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9D60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WR-13（5支/板）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06D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板</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3E1C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6E4CF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9699">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CCA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金刚砂高速车针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9BC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TC-SS21（5支/板）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CAF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457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35</w:t>
            </w:r>
          </w:p>
        </w:tc>
      </w:tr>
      <w:tr w14:paraId="7B20B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C92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D0EF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金刚砂高速车针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727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TF-11.5（5支/板）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11B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AB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35</w:t>
            </w:r>
          </w:p>
        </w:tc>
      </w:tr>
      <w:tr w14:paraId="29E37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00E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F870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金刚砂高速车针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9C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BR-S45(5支/板)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B11C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33F8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35</w:t>
            </w:r>
          </w:p>
        </w:tc>
      </w:tr>
      <w:tr w14:paraId="49DC4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F627">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138</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BBB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美佳印弹性体印模材料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254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初次模 O型 250ml*2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B7F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DF8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251.47</w:t>
            </w:r>
          </w:p>
        </w:tc>
      </w:tr>
      <w:tr w14:paraId="729A2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52A4A">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139</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132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美佳印弹性体印模材料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803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轻体3型(二次印模)50ml*2支/盒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C9B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99FC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79.5</w:t>
            </w:r>
          </w:p>
        </w:tc>
      </w:tr>
      <w:tr w14:paraId="76D0B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209F">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140</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69D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牙科车针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1DC5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FG-556.（5支/盒）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1F04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E25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w:t>
            </w:r>
          </w:p>
        </w:tc>
      </w:tr>
      <w:tr w14:paraId="41A30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835E">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141</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8AC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牙科磷酸酸蚀剂</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18F1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E37  3ml*2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F162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758D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54</w:t>
            </w:r>
          </w:p>
        </w:tc>
      </w:tr>
      <w:tr w14:paraId="6FC92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E82F">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142</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915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牙科吸潮纸尖</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E240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25#（06锥度） 100支/盒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523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1D6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w:t>
            </w:r>
          </w:p>
        </w:tc>
      </w:tr>
      <w:tr w14:paraId="54F0E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31514">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143</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F3A3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牙科吸潮纸尖</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A3A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25#（02锥度） 200支/盒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56E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B03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w:t>
            </w:r>
          </w:p>
        </w:tc>
      </w:tr>
      <w:tr w14:paraId="0213C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B3152">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144</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FCD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义齿基托树脂2型1类（牙托粉）</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9D8E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100g 色号2ST</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BBA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7B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w:t>
            </w:r>
          </w:p>
        </w:tc>
      </w:tr>
      <w:tr w14:paraId="58770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FE3A0">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145</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975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义齿基托树脂2型1类（牙托水）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A42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B252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412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w:t>
            </w:r>
          </w:p>
        </w:tc>
      </w:tr>
      <w:tr w14:paraId="13738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4D096">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146</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BDA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印模材料口内注射头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6D4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MT250 :50只/袋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C5F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6433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62.43</w:t>
            </w:r>
          </w:p>
        </w:tc>
      </w:tr>
      <w:tr w14:paraId="74283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2E9D1">
            <w:pPr>
              <w:keepNext w:val="0"/>
              <w:keepLines w:val="0"/>
              <w:pageBreakBefore w:val="0"/>
              <w:widowControl/>
              <w:numPr>
                <w:ilvl w:val="0"/>
                <w:numId w:val="3"/>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147</w:t>
            </w:r>
          </w:p>
        </w:tc>
        <w:tc>
          <w:tcPr>
            <w:tcW w:w="3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EAE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印模材料口内注射头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50B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MT200 :50只/袋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FBDE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1A7D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62.43</w:t>
            </w:r>
          </w:p>
        </w:tc>
      </w:tr>
    </w:tbl>
    <w:p w14:paraId="39C4F447">
      <w:pPr>
        <w:pageBreakBefore w:val="0"/>
        <w:kinsoku/>
        <w:wordWrap/>
        <w:overflowPunct/>
        <w:topLinePunct w:val="0"/>
        <w:autoSpaceDE/>
        <w:autoSpaceDN/>
        <w:bidi w:val="0"/>
        <w:spacing w:line="400" w:lineRule="exact"/>
        <w:ind w:left="0" w:leftChars="0"/>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包二：医用试剂</w:t>
      </w:r>
    </w:p>
    <w:tbl>
      <w:tblPr>
        <w:tblStyle w:val="23"/>
        <w:tblW w:w="90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1"/>
        <w:gridCol w:w="3069"/>
        <w:gridCol w:w="2453"/>
        <w:gridCol w:w="1296"/>
        <w:gridCol w:w="1507"/>
      </w:tblGrid>
      <w:tr w14:paraId="3E9E7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F3CE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序号</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47A8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名称</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DC53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规格</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27C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单位</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983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价格（元）</w:t>
            </w:r>
          </w:p>
        </w:tc>
      </w:tr>
      <w:tr w14:paraId="15581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2A2C9">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9B8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25-羟基维生素D测定试剂盒（免疫荧光干式定量法）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14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C5A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4647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1400</w:t>
            </w:r>
          </w:p>
        </w:tc>
      </w:tr>
      <w:tr w14:paraId="1CE67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94F5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102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ABO血型正定型&amp;RHD血型定型试剂</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E7C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D59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020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242.6</w:t>
            </w:r>
          </w:p>
        </w:tc>
      </w:tr>
      <w:tr w14:paraId="1426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4975">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1C0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D-二聚体测定试剂盒（免疫荧光干式定量法）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4B0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1人份*25/盒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2565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2B1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444.25</w:t>
            </w:r>
          </w:p>
        </w:tc>
      </w:tr>
      <w:tr w14:paraId="578CE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FD45">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119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γ-谷氨酰基转移酶测定试剂盒（GCANA底物法）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FCD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40mL*5 试剂二 10mL*5</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8D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962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109.08</w:t>
            </w:r>
          </w:p>
        </w:tc>
      </w:tr>
      <w:tr w14:paraId="6A69B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824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746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白蛋白测定试剂盒（溴甲酚绿法）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AC9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45mL*6/校准品1mL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E21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182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25.49</w:t>
            </w:r>
          </w:p>
        </w:tc>
      </w:tr>
      <w:tr w14:paraId="498E0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C76EC">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EDD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便隐血检测试剂盒</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A2E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F760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A1C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2.47</w:t>
            </w:r>
          </w:p>
        </w:tc>
      </w:tr>
      <w:tr w14:paraId="449C3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4C75">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4D54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丙氨酸氨基转移酶测定试剂盒（丙氨酸底物法）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F37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120mL 试剂二 60mL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F7F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F09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43.61</w:t>
            </w:r>
          </w:p>
        </w:tc>
      </w:tr>
      <w:tr w14:paraId="3A3FE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112C">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630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常规生化多项复合校准品</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221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B9BD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BF3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236.17</w:t>
            </w:r>
          </w:p>
        </w:tc>
      </w:tr>
      <w:tr w14:paraId="26FC1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AA22F">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9AA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常规生化多项复合质控品</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206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007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78D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207.93</w:t>
            </w:r>
          </w:p>
        </w:tc>
      </w:tr>
      <w:tr w14:paraId="590DF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51008">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675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胆固醇测定试剂盒（脂酶-过氧化物酶法）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88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300mL 校准品 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9A0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8EC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105.45</w:t>
            </w:r>
          </w:p>
        </w:tc>
      </w:tr>
      <w:tr w14:paraId="52B3C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535D">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620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低密度脂蛋白胆固醇测定试剂盒（直接法-表面活性剂清除法）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F57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试剂一45ml*3，试剂二15ml*3，校准品 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921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936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508.63</w:t>
            </w:r>
          </w:p>
        </w:tc>
      </w:tr>
      <w:tr w14:paraId="76741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5626">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A8D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电解质分析仪专用配套试剂（离子选择电极法）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269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E31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2FA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182</w:t>
            </w:r>
          </w:p>
        </w:tc>
      </w:tr>
      <w:tr w14:paraId="6E3A1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652D0">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50B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肺炎支原体IgM抗体检测试剂盒（胶体金法）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D26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1人份*20/盒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2DF2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D57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15.752</w:t>
            </w:r>
          </w:p>
        </w:tc>
      </w:tr>
      <w:tr w14:paraId="0D254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7DF2D">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A6F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甘油三酯检测试剂盒（酶法）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61A6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试剂一200mL；试剂二50mL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FDEC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DBA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161.43</w:t>
            </w:r>
          </w:p>
        </w:tc>
      </w:tr>
      <w:tr w14:paraId="424A1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F8088">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9A8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高密度脂蛋白胆固醇测定试剂盒（直接法-选择抑制法）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509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试剂一45ml*3，试剂二15ml*3，校准品1ml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303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69F3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339.16</w:t>
            </w:r>
          </w:p>
        </w:tc>
      </w:tr>
      <w:tr w14:paraId="3F636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2BDCF">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CED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肌酐检测试剂盒（酶法）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619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试剂一135mL;试剂二45mL；校准品1mL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224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E6B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1815.22</w:t>
            </w:r>
          </w:p>
        </w:tc>
      </w:tr>
      <w:tr w14:paraId="35DED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6BE5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17</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788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碱性磷酸酶测定试剂盒（NPP底物-AMP缓冲液法）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B12D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200mL 试剂二 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1133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B796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77.95</w:t>
            </w:r>
          </w:p>
        </w:tc>
      </w:tr>
      <w:tr w14:paraId="69826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47B09">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18</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F21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轮状病毒抗原检测试剂盒</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547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679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E18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192.25</w:t>
            </w:r>
          </w:p>
        </w:tc>
      </w:tr>
      <w:tr w14:paraId="749CE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1BCA">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19</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243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尿半乳糖检测试剂盒</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C32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821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6585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481.28</w:t>
            </w:r>
          </w:p>
        </w:tc>
      </w:tr>
      <w:tr w14:paraId="195A8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D71B">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20</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AA1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尿干化学试纸11G</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9FB2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100/条</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C2E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956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175.22</w:t>
            </w:r>
          </w:p>
        </w:tc>
      </w:tr>
      <w:tr w14:paraId="408D3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331A">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21</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815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尿干质控UQ11</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572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8ml*3支</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0EA3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3349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173.61</w:t>
            </w:r>
          </w:p>
        </w:tc>
      </w:tr>
      <w:tr w14:paraId="747F8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BD49">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22</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1267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尿素检测试剂盒（脲酶连续监测法）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4EB6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200mL 试剂二 50mL 校准品 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48E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DF1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424.78</w:t>
            </w:r>
          </w:p>
        </w:tc>
      </w:tr>
      <w:tr w14:paraId="27063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EFA6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23</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4C7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尿酸检测试剂盒（尿酸酶法）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358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200mL 试剂二 50mL 校准品 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2314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99F9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440.67</w:t>
            </w:r>
          </w:p>
        </w:tc>
      </w:tr>
      <w:tr w14:paraId="0DA00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3303">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24</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69C8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尿液干化学分析质控物</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5E98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UQ11</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FD7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361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173.61</w:t>
            </w:r>
          </w:p>
        </w:tc>
      </w:tr>
      <w:tr w14:paraId="70788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45CA3">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25</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907B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凝血多项测定试剂盒4项</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D27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4项  50人份/盒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1D64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AA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1304.2</w:t>
            </w:r>
          </w:p>
        </w:tc>
      </w:tr>
      <w:tr w14:paraId="6A7DB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82B8">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26</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933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凝血多项测定试剂盒5项</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FC1E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50人份x5测试</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CE4F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BE9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2200</w:t>
            </w:r>
          </w:p>
        </w:tc>
      </w:tr>
      <w:tr w14:paraId="73E26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87FB">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27</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EBEE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漂移校正液A</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EBAB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C3C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4B3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174</w:t>
            </w:r>
          </w:p>
        </w:tc>
      </w:tr>
      <w:tr w14:paraId="2121D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956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28</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7AF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葡萄糖测定试剂盒（氧化酶法）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5B3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300mL 校准品1mL </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C6E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8A38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254.24</w:t>
            </w:r>
          </w:p>
        </w:tc>
      </w:tr>
      <w:tr w14:paraId="0D965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ACEF4">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29</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559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7B36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URIT-DCI  20L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EBD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箱</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308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284.56</w:t>
            </w:r>
          </w:p>
        </w:tc>
      </w:tr>
      <w:tr w14:paraId="42FF7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BC38">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30</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C8D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99F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URIT-D46  20L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33B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EFED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777.71</w:t>
            </w:r>
          </w:p>
        </w:tc>
      </w:tr>
      <w:tr w14:paraId="6490D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3D690">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31</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391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全程C反应蛋白测定试剂盒（免疫荧光干式定量法）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BDE6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048E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486B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437.36</w:t>
            </w:r>
          </w:p>
        </w:tc>
      </w:tr>
      <w:tr w14:paraId="7F5F6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BF65">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32</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D96E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全血呼吸道五联检测试剂盒（胶体金法）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443D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1人份*20/盒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EFD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D558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73.0925</w:t>
            </w:r>
          </w:p>
        </w:tc>
      </w:tr>
      <w:tr w14:paraId="5E2FE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C332E">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33</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163E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人绒毛膜促性腺激素（HGG)检测试纸</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61F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条型10A*100人份/盒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213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7F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68</w:t>
            </w:r>
          </w:p>
        </w:tc>
      </w:tr>
      <w:tr w14:paraId="6465F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A7900">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34</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0FD4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乳酸脱氢酶测定试剂盒（乳酸底物法）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A854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200mL 试剂二 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E56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5BE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104.08</w:t>
            </w:r>
          </w:p>
        </w:tc>
      </w:tr>
      <w:tr w14:paraId="143E9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62CFC">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35</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CEF1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生化分析仪用碱性清洗液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D83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URIT-DC1 500mL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7BF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FBE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284.56</w:t>
            </w:r>
          </w:p>
        </w:tc>
      </w:tr>
      <w:tr w14:paraId="15AF3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5901">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36</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1A3F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探头清洗液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A3D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URIT-D43 100mL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0FA2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4AD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240</w:t>
            </w:r>
          </w:p>
        </w:tc>
      </w:tr>
      <w:tr w14:paraId="3AFE2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02BE">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37</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7026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天门冬氨酸氨基转移酶测定试剂盒（天门冬氨酸底物法）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F2C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120mL 试剂二 60mL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785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3B0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43.87</w:t>
            </w:r>
          </w:p>
        </w:tc>
      </w:tr>
      <w:tr w14:paraId="19DD6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AC718">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38</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6A3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微量元素测定试剂盒</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08B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200人份</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925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套</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E59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7797.33</w:t>
            </w:r>
          </w:p>
        </w:tc>
      </w:tr>
      <w:tr w14:paraId="0FB39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53F9">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39</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197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斜率校正液B</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782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FC26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135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174</w:t>
            </w:r>
          </w:p>
        </w:tc>
      </w:tr>
      <w:tr w14:paraId="26ADB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76B91">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40</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EFF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血清淀粉样蛋白A(SAA)测定试剂盒（免疫荧光干式定量法）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A05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50人份/盒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19F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B6E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608.09</w:t>
            </w:r>
          </w:p>
        </w:tc>
      </w:tr>
      <w:tr w14:paraId="045B2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750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41</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78F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血细胞分析仪清洗液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5A3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URIT-D46 20L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4E6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01F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757.39</w:t>
            </w:r>
          </w:p>
        </w:tc>
      </w:tr>
      <w:tr w14:paraId="58A43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3B71">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42</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960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血细胞分析仪用溶血剂</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22D6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 5L 11*1L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BDB7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46AA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1129.63</w:t>
            </w:r>
          </w:p>
        </w:tc>
      </w:tr>
      <w:tr w14:paraId="7C103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D6CD">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43</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DED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血细胞分析仪用质控物</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F1E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3ml/支</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4F7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C6B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453.03</w:t>
            </w:r>
          </w:p>
        </w:tc>
      </w:tr>
      <w:tr w14:paraId="35B26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C673">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44</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F9C2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血细胞分析用鞘液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A21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 5S 11*20L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490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箱</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A33D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2844.35</w:t>
            </w:r>
          </w:p>
        </w:tc>
      </w:tr>
      <w:tr w14:paraId="339FE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39EB">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45</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7AE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血细胞分析用稀释液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C7F9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URIT 5D 11*20L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4494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箱</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EA04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352.4</w:t>
            </w:r>
          </w:p>
        </w:tc>
      </w:tr>
      <w:tr w14:paraId="3AA4A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667EF">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46</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7B0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阴道组织多胺检测试剂盒（干化学法）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8E5F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20人/盒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9A7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2439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113.11</w:t>
            </w:r>
          </w:p>
        </w:tc>
      </w:tr>
      <w:tr w14:paraId="485B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B39A">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47</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C71B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载脂蛋白A1测定试剂盒（免疫比浊法）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2CF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270mL校准品 1mL </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B247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9D0B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2573.62</w:t>
            </w:r>
          </w:p>
        </w:tc>
      </w:tr>
      <w:tr w14:paraId="4BC65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B25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48</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75C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载脂蛋白B测定试剂盒（免疫浊法）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1CB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270mL 校准品1mL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25F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7ED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2568.67</w:t>
            </w:r>
          </w:p>
        </w:tc>
      </w:tr>
      <w:tr w14:paraId="2EB9A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A067">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49</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0964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直接胆红素测定试剂盒</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14B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200mL 试剂二 50mL 校准品 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1FB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E3AC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102.33</w:t>
            </w:r>
          </w:p>
        </w:tc>
      </w:tr>
      <w:tr w14:paraId="35E78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7D85">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50</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C14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总胆红素测定试剂盒（钒酸盐氧化法）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5C8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试剂一 200mL 试剂二 50mL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E6D9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DE29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89.13</w:t>
            </w:r>
          </w:p>
        </w:tc>
      </w:tr>
      <w:tr w14:paraId="4B601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CF18">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51</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B25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总蛋白测定试剂盒（双缩脲法）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D8C4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45mL *6/校准品1mL</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5F1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71D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27.49</w:t>
            </w:r>
          </w:p>
        </w:tc>
      </w:tr>
      <w:tr w14:paraId="45203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D1E96">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52</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5A1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人类免疫缺陷病毒抗体（HIV/2）检测试剂</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1702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50人/盒</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F1D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D54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296.09</w:t>
            </w:r>
          </w:p>
        </w:tc>
      </w:tr>
      <w:tr w14:paraId="65301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A19A3">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53</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632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甲型/乙型流感病毒抗原检测试剂盒（胶体金法）</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A946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1人份</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503A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份</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2E93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54.4165</w:t>
            </w:r>
          </w:p>
        </w:tc>
      </w:tr>
      <w:tr w14:paraId="4D4C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CAFD">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54</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BA3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XLC（X1m）清洗液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CE0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600ML*18瓶</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CE65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箱</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26B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853</w:t>
            </w:r>
          </w:p>
        </w:tc>
      </w:tr>
      <w:tr w14:paraId="653FB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5256">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55</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FA5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XLC（X2m）清洗液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9D7B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6.5ML*10</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534C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3B3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184</w:t>
            </w:r>
          </w:p>
        </w:tc>
      </w:tr>
      <w:tr w14:paraId="79CB2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B41BE">
            <w:pPr>
              <w:keepNext w:val="0"/>
              <w:keepLines w:val="0"/>
              <w:pageBreakBefore w:val="0"/>
              <w:widowControl/>
              <w:numPr>
                <w:ilvl w:val="0"/>
                <w:numId w:val="4"/>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56</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95C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XLC（X3）清洗液</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25F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6.5ML*10</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D63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盒</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22C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211</w:t>
            </w:r>
          </w:p>
        </w:tc>
      </w:tr>
    </w:tbl>
    <w:p w14:paraId="63111BDF">
      <w:pPr>
        <w:pStyle w:val="2"/>
        <w:pageBreakBefore w:val="0"/>
        <w:kinsoku/>
        <w:wordWrap/>
        <w:overflowPunct/>
        <w:topLinePunct w:val="0"/>
        <w:autoSpaceDE/>
        <w:autoSpaceDN/>
        <w:bidi w:val="0"/>
        <w:spacing w:line="400" w:lineRule="exact"/>
        <w:ind w:left="0" w:leftChars="0"/>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包三：医疗辅助性器械或物品</w:t>
      </w:r>
    </w:p>
    <w:tbl>
      <w:tblPr>
        <w:tblStyle w:val="23"/>
        <w:tblW w:w="90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2"/>
        <w:gridCol w:w="13"/>
        <w:gridCol w:w="3000"/>
        <w:gridCol w:w="27"/>
        <w:gridCol w:w="2441"/>
        <w:gridCol w:w="14"/>
        <w:gridCol w:w="1268"/>
        <w:gridCol w:w="1553"/>
      </w:tblGrid>
      <w:tr w14:paraId="64B8F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ED60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序号</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F892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名称</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D38B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规格</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0FDB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单位</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05C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kern w:val="0"/>
                <w:sz w:val="24"/>
                <w:szCs w:val="24"/>
                <w:highlight w:val="none"/>
                <w:u w:val="none"/>
                <w:lang w:val="en-US" w:eastAsia="zh-CN" w:bidi="ar"/>
              </w:rPr>
              <w:t>价格（元）</w:t>
            </w:r>
          </w:p>
        </w:tc>
      </w:tr>
      <w:tr w14:paraId="1F0DF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4D8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DDBC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血氧仪</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EE50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JZK-301</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5E3F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7DE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155</w:t>
            </w:r>
          </w:p>
        </w:tc>
      </w:tr>
      <w:tr w14:paraId="3D5A2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5B5B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8F9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一次性真空采血管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7CFD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5ml（红头 无添加剂）100支/板</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F77C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8D8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0.87</w:t>
            </w:r>
          </w:p>
        </w:tc>
      </w:tr>
      <w:tr w14:paraId="33622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79F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C2D7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75%酒精</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6A97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100ml  100瓶/件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5C65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03F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3.9</w:t>
            </w:r>
          </w:p>
        </w:tc>
      </w:tr>
      <w:tr w14:paraId="30636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FA6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B3F74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75%酒精</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33BC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86E2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56F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w:t>
            </w:r>
          </w:p>
        </w:tc>
      </w:tr>
      <w:tr w14:paraId="477B5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0D91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F463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95%酒精</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2FA9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500ml </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3477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219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w:t>
            </w:r>
          </w:p>
        </w:tc>
      </w:tr>
      <w:tr w14:paraId="136ED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B07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CC767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艾灸艾条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BFBA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高级10条/盒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7585E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400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w:t>
            </w:r>
          </w:p>
        </w:tc>
      </w:tr>
      <w:tr w14:paraId="444CA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43A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C86CA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艾柱</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DAA4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108柱/盒 60盒/件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59A7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855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48</w:t>
            </w:r>
          </w:p>
        </w:tc>
      </w:tr>
      <w:tr w14:paraId="596C8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15B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881AF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爱尔碘皮肤消毒液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8F76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18CD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EE11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4.2</w:t>
            </w:r>
          </w:p>
        </w:tc>
      </w:tr>
      <w:tr w14:paraId="51B11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D0B2">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FBDDB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白凡士林</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06D3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BF15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0E5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13.9</w:t>
            </w:r>
          </w:p>
        </w:tc>
      </w:tr>
      <w:tr w14:paraId="2ABA6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C8E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B6BC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冰醋酸溶液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5B45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5%：250ml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62758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FF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22</w:t>
            </w:r>
          </w:p>
        </w:tc>
      </w:tr>
      <w:tr w14:paraId="76C02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EBF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D7AE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不锈钢弯盘</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7A54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DB80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1861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w:t>
            </w:r>
          </w:p>
        </w:tc>
      </w:tr>
      <w:tr w14:paraId="5CEE8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CB7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1A14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不锈钢治疗盘</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10EF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300*198*50（11.5寸）</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94CE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AC2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58</w:t>
            </w:r>
          </w:p>
        </w:tc>
      </w:tr>
      <w:tr w14:paraId="7B143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147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9FEA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出诊箱</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D0A1F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14寸</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A962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67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589BB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16D45">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E5B0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带轮输液架</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6361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201材质</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EB12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CBE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106</w:t>
            </w:r>
          </w:p>
        </w:tc>
      </w:tr>
      <w:tr w14:paraId="509E1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AB14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AC928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碘伏棉签</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512F7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0.15ml/支 50支/盒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A8AC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D4A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16.5</w:t>
            </w:r>
          </w:p>
        </w:tc>
      </w:tr>
      <w:tr w14:paraId="2EA46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61A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C2E9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碘伏棉球</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6C1A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25粒/瓶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83DC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EA5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10263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C4AE">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EE63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碘伏消毒液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BBEF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C31B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7C0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7.9</w:t>
            </w:r>
          </w:p>
        </w:tc>
      </w:tr>
      <w:tr w14:paraId="5A062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2230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C761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碘伏消毒液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0F12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69FF9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4C5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4.19</w:t>
            </w:r>
          </w:p>
        </w:tc>
      </w:tr>
      <w:tr w14:paraId="22E01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DB9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19455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固定胶带</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FBF9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7.5cm*5m 加宽</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46F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卷</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537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14.5</w:t>
            </w:r>
          </w:p>
        </w:tc>
      </w:tr>
      <w:tr w14:paraId="5DDDE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3FBF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EA8E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过氧化氢抑菌液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3854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D59B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069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r>
      <w:tr w14:paraId="3032C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4E6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F5A7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过氧化氢抑菌液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A5CE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93C8B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72D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3.9</w:t>
            </w:r>
          </w:p>
        </w:tc>
      </w:tr>
      <w:tr w14:paraId="26EA7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FCE3">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D4E5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简易呼吸器</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0963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成人型PVC型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0D66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套</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64FD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w:t>
            </w:r>
          </w:p>
        </w:tc>
      </w:tr>
      <w:tr w14:paraId="53477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912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C5214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抗菌洗手液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97C1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500ml  30瓶/件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595E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51B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12.5</w:t>
            </w:r>
          </w:p>
        </w:tc>
      </w:tr>
      <w:tr w14:paraId="3A375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83B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D8F3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可吸收外科缝线</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5C498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2*10cm 100根/盒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A66F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B4EE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r>
      <w:tr w14:paraId="7E150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3C8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8FEF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口咽通气道</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1D9B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中央通道9cm黄</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B71D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B19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w:t>
            </w:r>
          </w:p>
        </w:tc>
      </w:tr>
      <w:tr w14:paraId="0702D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1F4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4EE62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口咽通气道</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ED7C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中央通道7cm白</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F423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18F7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w:t>
            </w:r>
          </w:p>
        </w:tc>
      </w:tr>
      <w:tr w14:paraId="09FB9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E24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C8B6F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口咽通气道</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E68E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中央通道8cm绿</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C3A81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34F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w:t>
            </w:r>
          </w:p>
        </w:tc>
      </w:tr>
      <w:tr w14:paraId="7127B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AA69E">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BAD3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口咽通气道</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E92C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中央通道10cm红</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946F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E357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w:t>
            </w:r>
          </w:p>
        </w:tc>
      </w:tr>
      <w:tr w14:paraId="054FD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66E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95E01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雷火灸</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19DD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2.8*10cm</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6B4AA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1574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w:t>
            </w:r>
          </w:p>
        </w:tc>
      </w:tr>
      <w:tr w14:paraId="7403A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28A4A">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D24C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立式吊瓶网</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B8FB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100ml绿色</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FE8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E8F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0.5</w:t>
            </w:r>
          </w:p>
        </w:tc>
      </w:tr>
      <w:tr w14:paraId="7CFC2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B65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B573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利尔康消毒酒精</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E309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04DC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EA1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w:t>
            </w:r>
          </w:p>
        </w:tc>
      </w:tr>
      <w:tr w14:paraId="669D0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02B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C020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利器盒</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669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6Y方型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EA9D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8638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12.8</w:t>
            </w:r>
          </w:p>
        </w:tc>
      </w:tr>
      <w:tr w14:paraId="19D1E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B1342">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4AFA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利器盒</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AECA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摇盖8L方形19*19*32cm</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B84D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50A6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w:t>
            </w:r>
          </w:p>
        </w:tc>
      </w:tr>
      <w:tr w14:paraId="7420D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6841">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F3C4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利器盒</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3809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5L方型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6E27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47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3574F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D65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F4E5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利器盒</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60C8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3L椭圆形 16*24cm</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9576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3C2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w:t>
            </w:r>
          </w:p>
        </w:tc>
      </w:tr>
      <w:tr w14:paraId="2CBFD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F99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F15F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利器盒</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382B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无盖8L方形19*19*25cm</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2F53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CAD3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w:t>
            </w:r>
          </w:p>
        </w:tc>
      </w:tr>
      <w:tr w14:paraId="0B904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BA2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35AF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利器盒</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D4CF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6L圆形 100个/件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83A0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A4F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66541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7AC3">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firstLine="24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338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9ADCF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卢戈氏溶液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85966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2AC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15D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68</w:t>
            </w:r>
          </w:p>
        </w:tc>
      </w:tr>
      <w:tr w14:paraId="798D8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71C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7900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免洗手消毒液</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88FF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500ml  30瓶/件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9CDF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093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w:t>
            </w:r>
          </w:p>
        </w:tc>
      </w:tr>
      <w:tr w14:paraId="7EA09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909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9311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尿沉渣试管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54CE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12ml（螺旋盖 不带勺）</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F8AB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682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0.75</w:t>
            </w:r>
          </w:p>
        </w:tc>
      </w:tr>
      <w:tr w14:paraId="3B421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0941">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0355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泡腾含氯消毒片</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C5FC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1g*100#/瓶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687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26E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31B3B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11A8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C8E52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三角巾急救包</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2684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82型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728E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C76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r>
      <w:tr w14:paraId="6E313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4CB0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116CE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舌钳</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A38C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17cm</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E500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3B1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65</w:t>
            </w:r>
          </w:p>
        </w:tc>
      </w:tr>
      <w:tr w14:paraId="46A55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048A">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D05D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石膏绷带</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6C4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150mm*6m</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34A3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010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w:t>
            </w:r>
          </w:p>
        </w:tc>
      </w:tr>
      <w:tr w14:paraId="06F08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BDE1">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6C27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输液贴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E7E38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70mm*35mm  100片/盒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41DA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EB7E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5.2</w:t>
            </w:r>
          </w:p>
        </w:tc>
      </w:tr>
      <w:tr w14:paraId="06FDC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479D">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3B21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听诊器</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17D8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多功能型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58206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D3C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6EF06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7A2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8B39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推注式灌注器（鼻饰空针）</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31C8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DD710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54D1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1.95</w:t>
            </w:r>
          </w:p>
        </w:tc>
      </w:tr>
      <w:tr w14:paraId="771CB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09A9">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7446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脱脂棉球</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1F13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0.3g*5粒/袋*100</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990E3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BE38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0.6</w:t>
            </w:r>
          </w:p>
        </w:tc>
      </w:tr>
      <w:tr w14:paraId="67250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A122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0452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脱脂棉球</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4EC0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石蜡</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ED4C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276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w:t>
            </w:r>
          </w:p>
        </w:tc>
      </w:tr>
      <w:tr w14:paraId="493BA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788B">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BE4B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污物袋</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D6A5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F299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扎</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04E5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93</w:t>
            </w:r>
          </w:p>
        </w:tc>
      </w:tr>
      <w:tr w14:paraId="53AC8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5E9E">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F484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污物袋</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B6C3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47317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扎</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657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70</w:t>
            </w:r>
          </w:p>
        </w:tc>
      </w:tr>
      <w:tr w14:paraId="73B49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453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A21F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污物袋</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746A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15L*100个/把</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50E4D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3300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w:t>
            </w:r>
          </w:p>
        </w:tc>
      </w:tr>
      <w:tr w14:paraId="4870A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AD32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AA2D3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污物桶</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4CB8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527C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90B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w:t>
            </w:r>
          </w:p>
        </w:tc>
      </w:tr>
      <w:tr w14:paraId="67D34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A050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6790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污物桶</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EF7E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5CA3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58D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52</w:t>
            </w:r>
          </w:p>
        </w:tc>
      </w:tr>
      <w:tr w14:paraId="79370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6168">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D1F7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污物桶</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C0D2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663E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FC5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75</w:t>
            </w:r>
          </w:p>
        </w:tc>
      </w:tr>
      <w:tr w14:paraId="57FE7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8815">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8D6A1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消毒剂浓度试纸</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F16A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G-1型 20本/盒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D826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6842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110</w:t>
            </w:r>
          </w:p>
        </w:tc>
      </w:tr>
      <w:tr w14:paraId="72DC6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9AB2">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4B5A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消毒浸泡桶</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BA54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6L  带盖</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F0A5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F17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w:t>
            </w:r>
          </w:p>
        </w:tc>
      </w:tr>
      <w:tr w14:paraId="24E97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4855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7183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0887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铜柄0.35*75mm 100支/盒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0C16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F4F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180</w:t>
            </w:r>
          </w:p>
        </w:tc>
      </w:tr>
      <w:tr w14:paraId="5AB6D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3E61">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D386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6248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铜柄0.35*50mm 100支/盒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1A723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5F80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160</w:t>
            </w:r>
          </w:p>
        </w:tc>
      </w:tr>
      <w:tr w14:paraId="180B5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C548D">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1BED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心电图机专用记录纸</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C5010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210mm*30m 1卷装</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8CB90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4B1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23</w:t>
            </w:r>
          </w:p>
        </w:tc>
      </w:tr>
      <w:tr w14:paraId="298F6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AAF8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EED75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玄黄砭石罐</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7DD6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小号（莲华）</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76F4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5576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850</w:t>
            </w:r>
          </w:p>
        </w:tc>
      </w:tr>
      <w:tr w14:paraId="39013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BAFF2">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9AA6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玄黄砭石罐</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ABB3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中号（刀锋）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9F82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5440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980</w:t>
            </w:r>
          </w:p>
        </w:tc>
      </w:tr>
      <w:tr w14:paraId="0633D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6869">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9C1C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玄黄砭石罐</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C221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面部（莲花）</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C1C9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895B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750</w:t>
            </w:r>
          </w:p>
        </w:tc>
      </w:tr>
      <w:tr w14:paraId="07A33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5749">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2E509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血压袖套</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AE98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13.1*23.5cm（成人单管）</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636F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B11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70</w:t>
            </w:r>
          </w:p>
        </w:tc>
      </w:tr>
      <w:tr w14:paraId="3283B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A2542">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6E6A9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一次性浮针贴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4459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38*38mm  50片/袋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E7E2E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3BFA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w:t>
            </w:r>
          </w:p>
        </w:tc>
      </w:tr>
      <w:tr w14:paraId="023B2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4A97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729F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一次性埋线针 </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4EB3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50支/盒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D0A4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E7EE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4.8</w:t>
            </w:r>
          </w:p>
        </w:tc>
      </w:tr>
      <w:tr w14:paraId="66BB5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4EDDE">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EDDB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一次性尿杯</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BC2E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40ml*400个/袋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BC35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D144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0.08</w:t>
            </w:r>
          </w:p>
        </w:tc>
      </w:tr>
      <w:tr w14:paraId="27908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9E4D3">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DB873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一次性使用抗凝管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9263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0.5ml/支  2000支/包</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CA7F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E65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0.12</w:t>
            </w:r>
          </w:p>
        </w:tc>
      </w:tr>
      <w:tr w14:paraId="1E1AE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D78A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69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B8689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一次性使用离心管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E0A0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EP0.5ml:1000支/袋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9B349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BA68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0.07</w:t>
            </w:r>
          </w:p>
        </w:tc>
      </w:tr>
      <w:tr w14:paraId="1B8E3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5D366">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F155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一次性使用末梢采血针</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1BE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26G*50支</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CBDE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02D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26.5</w:t>
            </w:r>
          </w:p>
        </w:tc>
      </w:tr>
      <w:tr w14:paraId="1B481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8E13">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2A9C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一次性使用末梢采血针</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532D6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28G*50支</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8ED4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879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26.5</w:t>
            </w:r>
          </w:p>
        </w:tc>
      </w:tr>
      <w:tr w14:paraId="34CCC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FEF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E0AE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一次性使用尿管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9F73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12ml   200支/盒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C165C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85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0.75</w:t>
            </w:r>
          </w:p>
        </w:tc>
      </w:tr>
      <w:tr w14:paraId="1B981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9FA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4E66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一次性使用输氧面罩</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E224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儿童N-B-3</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E5E0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019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w:t>
            </w:r>
          </w:p>
        </w:tc>
      </w:tr>
      <w:tr w14:paraId="7AEBA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D1D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A718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一次性使用输氧面罩</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CD28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成人N-B-5</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C872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D2D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w:t>
            </w:r>
          </w:p>
        </w:tc>
      </w:tr>
      <w:tr w14:paraId="6960B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0875">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2A61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一次性使用吸头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B74D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1000ul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06AF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4F8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0.09</w:t>
            </w:r>
          </w:p>
        </w:tc>
      </w:tr>
      <w:tr w14:paraId="2CD5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709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CE19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一次性使用吸头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5914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200ul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1574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160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0.05</w:t>
            </w:r>
          </w:p>
        </w:tc>
      </w:tr>
      <w:tr w14:paraId="75BB1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EAD5">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12C0A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一次性使用心电电极片</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902B1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915T50  50枚/盒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E571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3C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47.5</w:t>
            </w:r>
          </w:p>
        </w:tc>
      </w:tr>
      <w:tr w14:paraId="05A65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A6C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A759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一次性使用样品杯</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16FF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16*38  500只/袋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2F8F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BC6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0.13</w:t>
            </w:r>
          </w:p>
        </w:tc>
      </w:tr>
      <w:tr w14:paraId="1E558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A786A">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44FA1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一次性使用引流管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10D5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蘑菇头HR-GL中型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BE7E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9DF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w:t>
            </w:r>
          </w:p>
        </w:tc>
      </w:tr>
      <w:tr w14:paraId="7E3C9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D826">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7096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一次性塑料试管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7C2E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Φ12*100mm*500支/盒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AF05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FCA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w:t>
            </w:r>
          </w:p>
        </w:tc>
      </w:tr>
      <w:tr w14:paraId="38A13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30B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44AA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一次性咬嘴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81BF2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1759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28B8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w:t>
            </w:r>
          </w:p>
        </w:tc>
      </w:tr>
      <w:tr w14:paraId="2AE8A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7B910">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1CEC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一次性载玻片</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FC8B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50片/盒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63CF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366D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r>
      <w:tr w14:paraId="25BE3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B942">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D261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一次性真空采血管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D302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2ml（灰头氟化钠EDTA）100支/板</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A2BF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82F9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0.9</w:t>
            </w:r>
          </w:p>
        </w:tc>
      </w:tr>
      <w:tr w14:paraId="37650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D75D4">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9D4C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医用薄膜（PE）检查手套</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E49F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60只*10包/盒*中号 10盒/件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42CD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3EB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w:t>
            </w:r>
          </w:p>
        </w:tc>
      </w:tr>
      <w:tr w14:paraId="28677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2C7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50804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医用冲洗头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27D1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B-20白色配件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3A4B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CC2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6D745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CD9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2F72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余氯试纸</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7115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0-10mg/L(50片)</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1F12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B78A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58</w:t>
            </w:r>
          </w:p>
        </w:tc>
      </w:tr>
      <w:tr w14:paraId="7EAD4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C181">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AD84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圆性创口贴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39839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25mm  100片/盒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BF42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3F49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9.5</w:t>
            </w:r>
          </w:p>
        </w:tc>
      </w:tr>
      <w:tr w14:paraId="61A7F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5D26">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F30A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真空采血管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32AC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2ml（蓝头枸橼酸钠）100支/板</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F518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541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0.97</w:t>
            </w:r>
          </w:p>
        </w:tc>
      </w:tr>
      <w:tr w14:paraId="4A070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B27B7">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89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ACB93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止血带</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423C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4*6  40米/袋</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BDE36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D3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3.5</w:t>
            </w:r>
          </w:p>
        </w:tc>
      </w:tr>
      <w:tr w14:paraId="0D673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907EF">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045E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紫外线灯管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AC6C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30w</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E1C8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D5DC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w:t>
            </w:r>
          </w:p>
        </w:tc>
      </w:tr>
      <w:tr w14:paraId="6EDC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A70A">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CC4F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紫外线强度指示卡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4DDE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100片/盒</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F2B6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39A7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w:t>
            </w:r>
          </w:p>
        </w:tc>
      </w:tr>
      <w:tr w14:paraId="63989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1272D">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432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弹力网状绷带帽</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3CC1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6CC7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DBD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w:t>
            </w:r>
          </w:p>
        </w:tc>
      </w:tr>
      <w:tr w14:paraId="567EB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04EA">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F5A2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浮标式氧气吸入器</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A20E5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XY-98BⅢ</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B269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FDC1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190</w:t>
            </w:r>
          </w:p>
        </w:tc>
      </w:tr>
      <w:tr w14:paraId="2C43D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83B3">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4AB6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骨折固定夹板</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782C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成人（中号）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1296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E533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8.5</w:t>
            </w:r>
          </w:p>
        </w:tc>
      </w:tr>
      <w:tr w14:paraId="1073A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0095">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8E0B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骨折固定夹板</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5DB3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成人（小号）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0DEC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D16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8.5</w:t>
            </w:r>
          </w:p>
        </w:tc>
      </w:tr>
      <w:tr w14:paraId="75879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1A9E">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96</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732A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骨折固定夹板</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B523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成人（大号）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F954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584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8.5</w:t>
            </w:r>
          </w:p>
        </w:tc>
      </w:tr>
      <w:tr w14:paraId="511B1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EF37C">
            <w:pPr>
              <w:keepNext w:val="0"/>
              <w:keepLines w:val="0"/>
              <w:pageBreakBefore w:val="0"/>
              <w:widowControl/>
              <w:numPr>
                <w:ilvl w:val="0"/>
                <w:numId w:val="5"/>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97</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0229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颈托</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CAF4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成人中号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9553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CF8D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w:t>
            </w:r>
          </w:p>
        </w:tc>
      </w:tr>
      <w:tr w14:paraId="27AB1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84F7">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98</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DC8ED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颈托</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1CEE9">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成人小号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B0C10">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51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w:t>
            </w:r>
          </w:p>
        </w:tc>
      </w:tr>
      <w:tr w14:paraId="37271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749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99</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977011">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酒精灯</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EF634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250ml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98511">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A828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r>
      <w:tr w14:paraId="4CD3A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756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100</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E004A">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刻度吸管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7DD28">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BADD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54C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w:t>
            </w:r>
          </w:p>
        </w:tc>
      </w:tr>
      <w:tr w14:paraId="0B712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830B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101</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4C154">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刻度吸管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5E662C">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5ML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82E9A">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3DDC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w:t>
            </w:r>
          </w:p>
        </w:tc>
      </w:tr>
      <w:tr w14:paraId="559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1EEA7">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102</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DC7B9">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手术刀柄J11030</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90E2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64232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把</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36A9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39</w:t>
            </w:r>
          </w:p>
        </w:tc>
      </w:tr>
      <w:tr w14:paraId="377A9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903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103</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711C0">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洗耳球</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4DD0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中号</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7FEEF">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C141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r>
      <w:tr w14:paraId="76D54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C03C">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104</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E5677">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一次性使用吸管</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B85A4">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3ml</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C81F3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5B4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w:t>
            </w:r>
          </w:p>
        </w:tc>
      </w:tr>
      <w:tr w14:paraId="6C2E8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505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105</w:t>
            </w:r>
          </w:p>
        </w:tc>
        <w:tc>
          <w:tcPr>
            <w:tcW w:w="3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413CB">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一次性使用吸头</w:t>
            </w:r>
          </w:p>
        </w:tc>
        <w:tc>
          <w:tcPr>
            <w:tcW w:w="2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5C9DA">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FT 6*52（500颗*110/件）</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2920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E27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w:t>
            </w:r>
          </w:p>
        </w:tc>
      </w:tr>
      <w:tr w14:paraId="0240E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E794F">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106</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BB45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弹性绷带</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1C4E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75*4500</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5980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卷</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980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4.64</w:t>
            </w:r>
          </w:p>
        </w:tc>
      </w:tr>
      <w:tr w14:paraId="41E57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FA561">
            <w:pPr>
              <w:keepNext w:val="0"/>
              <w:keepLines w:val="0"/>
              <w:pageBreakBefore w:val="0"/>
              <w:widowControl/>
              <w:numPr>
                <w:ilvl w:val="0"/>
                <w:numId w:val="0"/>
              </w:numPr>
              <w:suppressLineNumbers w:val="0"/>
              <w:kinsoku/>
              <w:wordWrap/>
              <w:overflowPunct/>
              <w:topLinePunct w:val="0"/>
              <w:autoSpaceDE/>
              <w:autoSpaceDN/>
              <w:bidi w:val="0"/>
              <w:spacing w:line="400" w:lineRule="exact"/>
              <w:jc w:val="both"/>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107</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7625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留置针Y管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7A800C">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26G*16mm/Y-G  50支/盒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ACF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A7E4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4.8</w:t>
            </w:r>
          </w:p>
        </w:tc>
      </w:tr>
      <w:tr w14:paraId="6B3E7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6C05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both"/>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108</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96F5CC">
            <w:pPr>
              <w:keepNext w:val="0"/>
              <w:keepLines w:val="0"/>
              <w:pageBreakBefore w:val="0"/>
              <w:widowControl/>
              <w:suppressLineNumbers w:val="0"/>
              <w:kinsoku/>
              <w:wordWrap/>
              <w:overflowPunct/>
              <w:topLinePunct w:val="0"/>
              <w:autoSpaceDE/>
              <w:autoSpaceDN/>
              <w:bidi w:val="0"/>
              <w:spacing w:line="400" w:lineRule="exact"/>
              <w:ind w:left="0" w:leftChars="0"/>
              <w:jc w:val="both"/>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灭菌橡胶外科手套</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19570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无粉7# 50副/盒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08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163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2.49</w:t>
            </w:r>
          </w:p>
        </w:tc>
      </w:tr>
      <w:tr w14:paraId="7F0C7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7203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109</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387D3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灭菌橡胶外科手套</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12ADA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无粉6.5#  50副/盒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AB1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EE2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2.46</w:t>
            </w:r>
          </w:p>
        </w:tc>
      </w:tr>
      <w:tr w14:paraId="2DC67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D865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110</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4941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纱布绷带</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B03BB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8cm*600cm*10个/包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5CC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AF1B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2.56</w:t>
            </w:r>
          </w:p>
        </w:tc>
      </w:tr>
      <w:tr w14:paraId="5ED5F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B80A8">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111</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5007E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头皮针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69F6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524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89A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0.25</w:t>
            </w:r>
          </w:p>
        </w:tc>
      </w:tr>
      <w:tr w14:paraId="0E7FE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091579">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112</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DD12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头皮针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D3B1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5.5#</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416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FD3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0.25</w:t>
            </w:r>
          </w:p>
        </w:tc>
      </w:tr>
      <w:tr w14:paraId="6C89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046E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113</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5E63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脱脂棉球</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7021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500g/袋</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6FC0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658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30.09</w:t>
            </w:r>
          </w:p>
        </w:tc>
      </w:tr>
      <w:tr w14:paraId="1AE4C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F54101">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114</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B553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无菌敷贴</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7C94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6*7cm  50片/盒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169F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C29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1.05</w:t>
            </w:r>
          </w:p>
        </w:tc>
      </w:tr>
      <w:tr w14:paraId="36A41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A590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115</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E6C3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D594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0.6*80mm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A5F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4693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1.52</w:t>
            </w:r>
          </w:p>
        </w:tc>
      </w:tr>
      <w:tr w14:paraId="2D46B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9B6E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116</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5B795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55DF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0.35*50mm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A6EC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4DD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115</w:t>
            </w:r>
          </w:p>
        </w:tc>
      </w:tr>
      <w:tr w14:paraId="4D084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9DCB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117</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2589A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60E0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0.35*75mm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9D6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669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174</w:t>
            </w:r>
          </w:p>
        </w:tc>
      </w:tr>
      <w:tr w14:paraId="25FA6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EC020">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118</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8466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1F50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0.60*50mm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0CB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75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219</w:t>
            </w:r>
          </w:p>
        </w:tc>
      </w:tr>
      <w:tr w14:paraId="41106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2C901">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119</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D1E4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血糖试纸条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4054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50支/盒  60盒/箱</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DCB4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9BA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115</w:t>
            </w:r>
          </w:p>
        </w:tc>
      </w:tr>
      <w:tr w14:paraId="160FE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FD2BB">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120</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B4B68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压舌板</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B290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150mm*18mm*200块/包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A2FF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E420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0.14</w:t>
            </w:r>
          </w:p>
        </w:tc>
      </w:tr>
      <w:tr w14:paraId="5397C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35A91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121</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F078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一次性使用鼻氧管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DB5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双鼻式1.8m  50支/包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A736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7172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1.16</w:t>
            </w:r>
          </w:p>
        </w:tc>
      </w:tr>
      <w:tr w14:paraId="35E17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8BA2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122</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4FE1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一次性使用导尿包</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AEBD8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16Fr 50只/件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E2C8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4935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20.44</w:t>
            </w:r>
          </w:p>
        </w:tc>
      </w:tr>
      <w:tr w14:paraId="1B2E8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3276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123</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0627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一次性使用防逆流引流袋</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86B5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1000ML 20只/盒 160/件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091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E86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8.95</w:t>
            </w:r>
          </w:p>
        </w:tc>
      </w:tr>
      <w:tr w14:paraId="58D42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90AAF">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124</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B659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一次性使用敷贴</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78C1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10*20cm 25片/盒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CE9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257C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w:t>
            </w:r>
          </w:p>
        </w:tc>
      </w:tr>
      <w:tr w14:paraId="7473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CB00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125</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D308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一次性使用浮针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32611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中号 50支/盒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518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B04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9.3</w:t>
            </w:r>
          </w:p>
        </w:tc>
      </w:tr>
      <w:tr w14:paraId="139F9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28D1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126</w:t>
            </w:r>
          </w:p>
        </w:tc>
        <w:tc>
          <w:tcPr>
            <w:tcW w:w="3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B1CEC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一次性使用静脉采血针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09DC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AⅡ-01型0.55-19RWLB</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534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919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w:t>
            </w:r>
          </w:p>
        </w:tc>
      </w:tr>
      <w:tr w14:paraId="35BB4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E9D4">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127</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FB8BB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一次性使用静脉采血针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485D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蝶翼型0.7*25mm  100支/包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7087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543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0.27</w:t>
            </w:r>
          </w:p>
        </w:tc>
      </w:tr>
      <w:tr w14:paraId="4601C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F8BF">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128</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CC774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一次性使用静脉输液针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24E21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0.55# 50支/袋</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E29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F529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0.18</w:t>
            </w:r>
          </w:p>
        </w:tc>
      </w:tr>
      <w:tr w14:paraId="1C38E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F3AC1">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129</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59F44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一次性使用溶药器 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09BA0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20ml 1.6*30TWXZ 100支/箱</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DB4A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2A9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0.76</w:t>
            </w:r>
          </w:p>
        </w:tc>
      </w:tr>
      <w:tr w14:paraId="6DDDB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35C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130</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CBB31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一次性使用输液器带针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D68C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0.7*25 （双管） 18套/包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1D5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套</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5BDF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1.52</w:t>
            </w:r>
          </w:p>
        </w:tc>
      </w:tr>
      <w:tr w14:paraId="7E5BA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71E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131</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297DC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一次性使用微量采血管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20DE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40ul</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492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3F2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34.41</w:t>
            </w:r>
          </w:p>
        </w:tc>
      </w:tr>
      <w:tr w14:paraId="46EFB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8B4C">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132</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0A00E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一次性使用微量采血管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1640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20ul</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C69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822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38.14</w:t>
            </w:r>
          </w:p>
        </w:tc>
      </w:tr>
      <w:tr w14:paraId="7C369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BBB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133</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7C80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一次性使用胃管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6DFF8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16Fr</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F105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E149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32</w:t>
            </w:r>
          </w:p>
        </w:tc>
      </w:tr>
      <w:tr w14:paraId="3C072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DDF8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134</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64C74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一次性使用无菌硅胶导尿管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7E3F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双腔18Fr 12支/盒 240/件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9C5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D6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20.92</w:t>
            </w:r>
          </w:p>
        </w:tc>
      </w:tr>
      <w:tr w14:paraId="28FD2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E934">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135</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85A5D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一次性使用无菌硅胶导尿管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A4A2C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双腔14Fr 12支/盒 240/件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F05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2BF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19.33</w:t>
            </w:r>
          </w:p>
        </w:tc>
      </w:tr>
      <w:tr w14:paraId="6F2CE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BD9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136</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C6B48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一次性使用无菌硅胶导尿管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DB81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双腔16Fr 12支/盒 240/件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5F2F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2AD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20.06</w:t>
            </w:r>
          </w:p>
        </w:tc>
      </w:tr>
      <w:tr w14:paraId="5D1C0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1D92">
            <w:pPr>
              <w:keepNext w:val="0"/>
              <w:keepLines w:val="0"/>
              <w:pageBreakBefore w:val="0"/>
              <w:widowControl/>
              <w:numPr>
                <w:ilvl w:val="0"/>
                <w:numId w:val="0"/>
              </w:numPr>
              <w:suppressLineNumbers w:val="0"/>
              <w:kinsoku/>
              <w:wordWrap/>
              <w:overflowPunct/>
              <w:topLinePunct w:val="0"/>
              <w:autoSpaceDE/>
              <w:autoSpaceDN/>
              <w:bidi w:val="0"/>
              <w:spacing w:line="400" w:lineRule="exact"/>
              <w:jc w:val="left"/>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137</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2EC2E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一次性使用无菌换药包 </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95F8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HG-HYB无剪刀</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134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DBF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3.9</w:t>
            </w:r>
          </w:p>
        </w:tc>
      </w:tr>
      <w:tr w14:paraId="6C1FE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D10B">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138</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BB401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EEDE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0.8*80mm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2BA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D71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w:t>
            </w:r>
          </w:p>
        </w:tc>
      </w:tr>
      <w:tr w14:paraId="5C98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9747B">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139</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27E49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小针刀</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FF4D8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0.8*50mm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02B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F0B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1.93</w:t>
            </w:r>
          </w:p>
        </w:tc>
      </w:tr>
      <w:tr w14:paraId="1BC0B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AA134">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140</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612F9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一次性使用无菌医用垫单</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7355E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50*60cm单片40片/包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CEF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9A91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0.61</w:t>
            </w:r>
          </w:p>
        </w:tc>
      </w:tr>
      <w:tr w14:paraId="3D906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538E">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141</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D00CE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一次性使用无菌医用垫单</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A6C1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100cm*200cm  2片/包350片/件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7527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81E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3.11</w:t>
            </w:r>
          </w:p>
        </w:tc>
      </w:tr>
      <w:tr w14:paraId="72E87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D738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142</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1EC95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一次性使用无菌医用垫单</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065A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40cm*50cm  20片/包3800片/件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2304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4E7BD">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0.37</w:t>
            </w:r>
          </w:p>
        </w:tc>
      </w:tr>
      <w:tr w14:paraId="4084B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BCC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143</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C0F63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一次性使用无菌针灸针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E3F52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0.30*75mm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2A2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353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18.5</w:t>
            </w:r>
          </w:p>
        </w:tc>
      </w:tr>
      <w:tr w14:paraId="23F0E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B6C1">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144</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93A66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一次性使用无菌针灸针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5AAC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0.30*25mm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D303">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4EE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w:t>
            </w:r>
          </w:p>
        </w:tc>
      </w:tr>
      <w:tr w14:paraId="650AA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2366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145</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D426C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一次性使用无菌针灸针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830E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0.30*50mm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4FD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0891">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17.1</w:t>
            </w:r>
          </w:p>
        </w:tc>
      </w:tr>
      <w:tr w14:paraId="79A11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427D7">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146</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69C7D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一次性使用无菌针灸针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55A58">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0.20*25 100支/盒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981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07A2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w:t>
            </w:r>
          </w:p>
        </w:tc>
      </w:tr>
      <w:tr w14:paraId="1A31A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1AB64">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147</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99B45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0B5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5ml 0.7*32  200支/盒 </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BA7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E5A5">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0.29</w:t>
            </w:r>
          </w:p>
        </w:tc>
      </w:tr>
      <w:tr w14:paraId="6034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5AF3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148</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5859E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E843A">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20ml 1.6*30  100支/盒 </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CCF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01D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0.71</w:t>
            </w:r>
          </w:p>
        </w:tc>
      </w:tr>
      <w:tr w14:paraId="2BFAE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1A59">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149</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806C1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AFB8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10ml 0.8*32  200支/盒 </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C4F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239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0.58</w:t>
            </w:r>
          </w:p>
        </w:tc>
      </w:tr>
      <w:tr w14:paraId="20134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55C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150</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3BC2A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4013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1ml*200支</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47FB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955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0.31</w:t>
            </w:r>
          </w:p>
        </w:tc>
      </w:tr>
      <w:tr w14:paraId="64AB6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95B9A">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151</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56BE1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5324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2.5ml 0.6*25  200支/盒 </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CF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D50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0.28</w:t>
            </w:r>
          </w:p>
        </w:tc>
      </w:tr>
      <w:tr w14:paraId="091EC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E0BC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152</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F83F2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一次性使用无菌注射器带针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32BE2">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 0.5*38  200支 /盒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A75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C1D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w:t>
            </w:r>
          </w:p>
        </w:tc>
      </w:tr>
      <w:tr w14:paraId="6512F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6D4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153</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BEA9A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一次性使用无菌注射针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F869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0.6*25TWLB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6B2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8DF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0.17</w:t>
            </w:r>
          </w:p>
        </w:tc>
      </w:tr>
      <w:tr w14:paraId="6E06B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64A9">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154</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D42F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一次性使用吸痰管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54CB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Fr8（2.67mm）*50支/袋</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BB01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根</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E8EA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0.54</w:t>
            </w:r>
          </w:p>
        </w:tc>
      </w:tr>
      <w:tr w14:paraId="1FF97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D91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155</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97854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一次性手术单</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A858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B型 洞巾50*60cm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152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张</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6A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0.61</w:t>
            </w:r>
          </w:p>
        </w:tc>
      </w:tr>
      <w:tr w14:paraId="0721E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5DC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156</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33345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一次性无菌手术刀片</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AD45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21#</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C20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片</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51DC">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0.42</w:t>
            </w:r>
          </w:p>
        </w:tc>
      </w:tr>
      <w:tr w14:paraId="3FCFD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D8DEF">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157</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065B5E">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一次性医用灭菌棉签</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6724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20cm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4901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包</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B86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19.19</w:t>
            </w:r>
          </w:p>
        </w:tc>
      </w:tr>
      <w:tr w14:paraId="31DD4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6B66">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158</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CDBEE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一次性医用灭菌棉签</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0B5C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12cm*0.25cm:50包，25袋/件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345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袋</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BCFE">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19.67</w:t>
            </w:r>
          </w:p>
        </w:tc>
      </w:tr>
      <w:tr w14:paraId="0D1B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7AF2">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159</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A808DD">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一次性阴道扩张器</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5AF1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中号</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FDBF">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6ED8">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0.92</w:t>
            </w:r>
          </w:p>
        </w:tc>
      </w:tr>
      <w:tr w14:paraId="3F1DA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95435">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160</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4C3CE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一次性针灸针</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6A885">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0.30*75mm  100支/盒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373A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3E0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18.5</w:t>
            </w:r>
          </w:p>
        </w:tc>
      </w:tr>
      <w:tr w14:paraId="6F5EA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8A87">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161</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390BD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一次性真空采血管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2BAE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2ml (紫头EDTA.K2 ）100支/板</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953A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B5B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0.89</w:t>
            </w:r>
          </w:p>
        </w:tc>
      </w:tr>
      <w:tr w14:paraId="2455E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16E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162</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2C9A2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一次性真空采血管</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F8E3B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5ml（橙头 促凝剂）100支/板</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5F0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支</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0E94">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0.86</w:t>
            </w:r>
          </w:p>
        </w:tc>
      </w:tr>
      <w:tr w14:paraId="46BE2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5EB7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163</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C528F1">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医用超声耦合剂</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083F8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20g* 50支/盒</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B51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盒</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BCB0A">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256</w:t>
            </w:r>
          </w:p>
        </w:tc>
      </w:tr>
      <w:tr w14:paraId="18E13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7F9A">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164</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586E1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医用超声耦合剂</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3B2FD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250ml</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8B65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瓶</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927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2.9</w:t>
            </w:r>
          </w:p>
        </w:tc>
      </w:tr>
      <w:tr w14:paraId="44E5C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E7B8">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165</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72CFF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医用干式胶片</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D1189">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XFC-G 356*432</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EBA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张</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C13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12.83</w:t>
            </w:r>
          </w:p>
        </w:tc>
      </w:tr>
      <w:tr w14:paraId="588B3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3DE3">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166</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9E96C3">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医用纱布块</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02BB4F">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6*8*8cm  200块/包</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2F77">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块</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6B80B">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0.23</w:t>
            </w:r>
          </w:p>
        </w:tc>
      </w:tr>
      <w:tr w14:paraId="37318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8F5A">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167</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6DF2B">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医用透气胶带（PE孔）</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26E4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1.25*9.1m</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3FB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卷</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205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1.71</w:t>
            </w:r>
          </w:p>
        </w:tc>
      </w:tr>
      <w:tr w14:paraId="3BDCA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2C0EC">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168</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24A097">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医用外科口罩</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1BE06">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耳挂式10只/包  3000只/件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A3D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A314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0.29</w:t>
            </w:r>
          </w:p>
        </w:tc>
      </w:tr>
      <w:tr w14:paraId="7A445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BC5D">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169</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8EB2C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医用橡胶检查手套</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D17F4">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小号:100双/盒（10盒/件）</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12F0">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双</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AC9D2">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w:t>
            </w:r>
          </w:p>
        </w:tc>
      </w:tr>
      <w:tr w14:paraId="787D7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C47C">
            <w:pPr>
              <w:keepNext w:val="0"/>
              <w:keepLines w:val="0"/>
              <w:pageBreakBefore w:val="0"/>
              <w:widowControl/>
              <w:numPr>
                <w:ilvl w:val="0"/>
                <w:numId w:val="6"/>
              </w:numPr>
              <w:suppressLineNumbers w:val="0"/>
              <w:kinsoku/>
              <w:wordWrap/>
              <w:overflowPunct/>
              <w:topLinePunct w:val="0"/>
              <w:autoSpaceDE/>
              <w:autoSpaceDN/>
              <w:bidi w:val="0"/>
              <w:spacing w:line="400" w:lineRule="exact"/>
              <w:ind w:left="0" w:leftChars="0" w:hanging="425"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170</w:t>
            </w:r>
          </w:p>
        </w:tc>
        <w:tc>
          <w:tcPr>
            <w:tcW w:w="3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DA0A8C">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医用橡胶检查手套</w:t>
            </w:r>
          </w:p>
        </w:tc>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12650">
            <w:pPr>
              <w:keepNext w:val="0"/>
              <w:keepLines w:val="0"/>
              <w:pageBreakBefore w:val="0"/>
              <w:widowControl/>
              <w:suppressLineNumbers w:val="0"/>
              <w:kinsoku/>
              <w:wordWrap/>
              <w:overflowPunct/>
              <w:topLinePunct w:val="0"/>
              <w:autoSpaceDE/>
              <w:autoSpaceDN/>
              <w:bidi w:val="0"/>
              <w:spacing w:line="400" w:lineRule="exact"/>
              <w:ind w:left="0" w:leftChars="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 xml:space="preserve">中号*100双/盒            </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C5559">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双</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C4096">
            <w:pPr>
              <w:keepNext w:val="0"/>
              <w:keepLines w:val="0"/>
              <w:pageBreakBefore w:val="0"/>
              <w:widowControl/>
              <w:suppressLineNumbers w:val="0"/>
              <w:kinsoku/>
              <w:wordWrap/>
              <w:overflowPunct/>
              <w:topLinePunct w:val="0"/>
              <w:autoSpaceDE/>
              <w:autoSpaceDN/>
              <w:bidi w:val="0"/>
              <w:spacing w:line="400" w:lineRule="exact"/>
              <w:ind w:left="0" w:leftChars="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1.25</w:t>
            </w:r>
          </w:p>
        </w:tc>
      </w:tr>
    </w:tbl>
    <w:p w14:paraId="7033D461">
      <w:pPr>
        <w:pageBreakBefore w:val="0"/>
        <w:kinsoku/>
        <w:wordWrap/>
        <w:overflowPunct/>
        <w:topLinePunct w:val="0"/>
        <w:autoSpaceDE/>
        <w:autoSpaceDN/>
        <w:bidi w:val="0"/>
        <w:spacing w:line="400" w:lineRule="exact"/>
        <w:ind w:left="0" w:leftChars="0"/>
        <w:rPr>
          <w:rFonts w:hint="eastAsia" w:ascii="仿宋" w:hAnsi="仿宋" w:eastAsia="仿宋" w:cs="仿宋"/>
          <w:b/>
          <w:bCs/>
          <w:color w:val="auto"/>
          <w:sz w:val="24"/>
          <w:szCs w:val="24"/>
          <w:highlight w:val="none"/>
          <w:lang w:val="en-US" w:eastAsia="zh-CN"/>
        </w:rPr>
      </w:pPr>
    </w:p>
    <w:p w14:paraId="63850C4E">
      <w:pPr>
        <w:pStyle w:val="4"/>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color w:val="auto"/>
          <w:kern w:val="2"/>
          <w:sz w:val="24"/>
          <w:szCs w:val="24"/>
          <w:highlight w:val="none"/>
          <w:lang w:val="en-US" w:eastAsia="zh-CN"/>
        </w:rPr>
      </w:pPr>
      <w:bookmarkStart w:id="39" w:name="_Toc293"/>
      <w:r>
        <w:rPr>
          <w:rFonts w:hint="eastAsia" w:ascii="仿宋" w:hAnsi="仿宋" w:eastAsia="仿宋" w:cs="仿宋"/>
          <w:b/>
          <w:bCs/>
          <w:color w:val="auto"/>
          <w:sz w:val="24"/>
          <w:szCs w:val="24"/>
          <w:highlight w:val="none"/>
        </w:rPr>
        <w:t>二、</w:t>
      </w:r>
      <w:r>
        <w:rPr>
          <w:rFonts w:hint="eastAsia" w:ascii="仿宋" w:hAnsi="仿宋" w:eastAsia="仿宋" w:cs="仿宋"/>
          <w:b/>
          <w:bCs/>
          <w:color w:val="auto"/>
          <w:sz w:val="24"/>
          <w:szCs w:val="24"/>
          <w:highlight w:val="none"/>
          <w:lang w:val="en-US" w:eastAsia="zh-CN"/>
        </w:rPr>
        <w:t>项目</w:t>
      </w:r>
      <w:bookmarkEnd w:id="37"/>
      <w:bookmarkEnd w:id="38"/>
      <w:bookmarkEnd w:id="39"/>
      <w:bookmarkStart w:id="40" w:name="_Toc18774"/>
      <w:r>
        <w:rPr>
          <w:rFonts w:hint="eastAsia" w:ascii="仿宋" w:hAnsi="仿宋" w:eastAsia="仿宋" w:cs="仿宋"/>
          <w:b/>
          <w:bCs/>
          <w:color w:val="auto"/>
          <w:sz w:val="24"/>
          <w:szCs w:val="24"/>
          <w:highlight w:val="none"/>
          <w:lang w:val="en-US" w:eastAsia="zh-CN"/>
        </w:rPr>
        <w:t>说明</w:t>
      </w:r>
    </w:p>
    <w:bookmarkEnd w:id="40"/>
    <w:p w14:paraId="570FDB70">
      <w:pPr>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val="0"/>
          <w:bCs w:val="0"/>
          <w:color w:val="auto"/>
          <w:sz w:val="24"/>
          <w:szCs w:val="24"/>
          <w:highlight w:val="none"/>
          <w:lang w:eastAsia="zh-CN"/>
        </w:rPr>
      </w:pPr>
      <w:bookmarkStart w:id="41" w:name="_Toc22387"/>
      <w:r>
        <w:rPr>
          <w:rFonts w:hint="eastAsia" w:ascii="仿宋" w:hAnsi="仿宋" w:eastAsia="仿宋" w:cs="仿宋"/>
          <w:b w:val="0"/>
          <w:bCs w:val="0"/>
          <w:color w:val="auto"/>
          <w:sz w:val="24"/>
          <w:szCs w:val="24"/>
          <w:highlight w:val="none"/>
        </w:rPr>
        <w:t>1、</w:t>
      </w:r>
      <w:r>
        <w:rPr>
          <w:rFonts w:hint="eastAsia" w:ascii="仿宋" w:hAnsi="仿宋" w:eastAsia="仿宋" w:cs="仿宋"/>
          <w:b w:val="0"/>
          <w:bCs w:val="0"/>
          <w:color w:val="auto"/>
          <w:sz w:val="24"/>
          <w:szCs w:val="24"/>
          <w:highlight w:val="none"/>
          <w:lang w:val="en-US" w:eastAsia="zh-CN"/>
        </w:rPr>
        <w:t>供应商应确保能够提供每个包</w:t>
      </w:r>
      <w:r>
        <w:rPr>
          <w:rFonts w:hint="eastAsia" w:ascii="仿宋" w:hAnsi="仿宋" w:eastAsia="仿宋" w:cs="仿宋"/>
          <w:b w:val="0"/>
          <w:bCs w:val="0"/>
          <w:color w:val="auto"/>
          <w:sz w:val="24"/>
          <w:szCs w:val="24"/>
          <w:highlight w:val="none"/>
        </w:rPr>
        <w:t>内</w:t>
      </w:r>
      <w:r>
        <w:rPr>
          <w:rFonts w:hint="eastAsia" w:ascii="仿宋" w:hAnsi="仿宋" w:eastAsia="仿宋" w:cs="仿宋"/>
          <w:b w:val="0"/>
          <w:bCs w:val="0"/>
          <w:color w:val="auto"/>
          <w:sz w:val="24"/>
          <w:szCs w:val="24"/>
          <w:highlight w:val="none"/>
          <w:lang w:val="en-US" w:eastAsia="zh-CN"/>
        </w:rPr>
        <w:t>90%以上</w:t>
      </w:r>
      <w:r>
        <w:rPr>
          <w:rFonts w:hint="eastAsia" w:ascii="仿宋" w:hAnsi="仿宋" w:eastAsia="仿宋" w:cs="仿宋"/>
          <w:b w:val="0"/>
          <w:bCs w:val="0"/>
          <w:color w:val="auto"/>
          <w:sz w:val="24"/>
          <w:szCs w:val="24"/>
          <w:highlight w:val="none"/>
        </w:rPr>
        <w:t>产品方可报名</w:t>
      </w:r>
      <w:r>
        <w:rPr>
          <w:rFonts w:hint="eastAsia" w:ascii="仿宋" w:hAnsi="仿宋" w:eastAsia="仿宋" w:cs="仿宋"/>
          <w:b w:val="0"/>
          <w:bCs w:val="0"/>
          <w:color w:val="auto"/>
          <w:sz w:val="24"/>
          <w:szCs w:val="24"/>
          <w:highlight w:val="none"/>
          <w:lang w:val="en-US" w:eastAsia="zh-CN"/>
        </w:rPr>
        <w:t>该包投标</w:t>
      </w:r>
      <w:r>
        <w:rPr>
          <w:rFonts w:hint="eastAsia" w:ascii="仿宋" w:hAnsi="仿宋" w:eastAsia="仿宋" w:cs="仿宋"/>
          <w:b w:val="0"/>
          <w:bCs w:val="0"/>
          <w:color w:val="auto"/>
          <w:sz w:val="24"/>
          <w:szCs w:val="24"/>
          <w:highlight w:val="none"/>
        </w:rPr>
        <w:t>。</w:t>
      </w:r>
    </w:p>
    <w:p w14:paraId="1CE56BDD">
      <w:pPr>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2、所投产品原则上需在重庆药交所挂网交易，若暂未在药交所挂网，则需尽快完成挂网，供货价格以重庆市药交平台显示的即时最低价为准。</w:t>
      </w:r>
    </w:p>
    <w:p w14:paraId="62CD5742">
      <w:pPr>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val="0"/>
          <w:bCs w:val="0"/>
          <w:color w:val="auto"/>
          <w:sz w:val="24"/>
          <w:szCs w:val="24"/>
          <w:highlight w:val="none"/>
          <w:lang w:val="en-US"/>
        </w:rPr>
      </w:pPr>
      <w:r>
        <w:rPr>
          <w:rFonts w:hint="eastAsia" w:ascii="仿宋" w:hAnsi="仿宋" w:eastAsia="仿宋" w:cs="仿宋"/>
          <w:b w:val="0"/>
          <w:bCs w:val="0"/>
          <w:color w:val="auto"/>
          <w:sz w:val="24"/>
          <w:szCs w:val="24"/>
          <w:highlight w:val="none"/>
          <w:lang w:val="en-US" w:eastAsia="zh-CN"/>
        </w:rPr>
        <w:t>3、</w:t>
      </w:r>
      <w:r>
        <w:rPr>
          <w:rFonts w:hint="eastAsia" w:ascii="仿宋" w:hAnsi="仿宋" w:eastAsia="仿宋" w:cs="仿宋"/>
          <w:b w:val="0"/>
          <w:bCs w:val="0"/>
          <w:color w:val="auto"/>
          <w:sz w:val="24"/>
          <w:szCs w:val="24"/>
          <w:highlight w:val="none"/>
        </w:rPr>
        <w:t>如</w:t>
      </w:r>
      <w:r>
        <w:rPr>
          <w:rFonts w:hint="eastAsia" w:ascii="仿宋" w:hAnsi="仿宋" w:eastAsia="仿宋" w:cs="仿宋"/>
          <w:b w:val="0"/>
          <w:bCs w:val="0"/>
          <w:color w:val="auto"/>
          <w:sz w:val="24"/>
          <w:szCs w:val="24"/>
          <w:highlight w:val="none"/>
          <w:lang w:val="en-US" w:eastAsia="zh-CN"/>
        </w:rPr>
        <w:t>有</w:t>
      </w:r>
      <w:r>
        <w:rPr>
          <w:rFonts w:hint="eastAsia" w:ascii="仿宋" w:hAnsi="仿宋" w:eastAsia="仿宋" w:cs="仿宋"/>
          <w:b w:val="0"/>
          <w:bCs w:val="0"/>
          <w:color w:val="auto"/>
          <w:sz w:val="24"/>
          <w:szCs w:val="24"/>
          <w:highlight w:val="none"/>
        </w:rPr>
        <w:t>确为药交网无法挂网产品</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供应商应尽快完成重庆市政府采购网-采购云平台-</w:t>
      </w:r>
      <w:r>
        <w:rPr>
          <w:rFonts w:hint="eastAsia" w:ascii="仿宋" w:hAnsi="仿宋" w:eastAsia="仿宋" w:cs="仿宋"/>
          <w:b w:val="0"/>
          <w:bCs w:val="0"/>
          <w:color w:val="auto"/>
          <w:sz w:val="24"/>
          <w:szCs w:val="24"/>
          <w:highlight w:val="none"/>
        </w:rPr>
        <w:t>网上货物超市</w:t>
      </w:r>
      <w:r>
        <w:rPr>
          <w:rFonts w:hint="eastAsia" w:ascii="仿宋" w:hAnsi="仿宋" w:eastAsia="仿宋" w:cs="仿宋"/>
          <w:b w:val="0"/>
          <w:bCs w:val="0"/>
          <w:color w:val="auto"/>
          <w:sz w:val="24"/>
          <w:szCs w:val="24"/>
          <w:highlight w:val="none"/>
          <w:lang w:val="en-US" w:eastAsia="zh-CN"/>
        </w:rPr>
        <w:t>产品上架。采购人原则上不在进行线下采购，特殊情况确需进行线下采购，</w:t>
      </w:r>
      <w:r>
        <w:rPr>
          <w:rFonts w:hint="eastAsia" w:ascii="仿宋" w:hAnsi="仿宋" w:eastAsia="仿宋" w:cs="仿宋"/>
          <w:b w:val="0"/>
          <w:bCs w:val="0"/>
          <w:color w:val="auto"/>
          <w:sz w:val="24"/>
          <w:szCs w:val="24"/>
          <w:highlight w:val="none"/>
        </w:rPr>
        <w:t>成交价为采购人进行市场询价的最低价</w:t>
      </w:r>
      <w:r>
        <w:rPr>
          <w:rFonts w:hint="eastAsia" w:ascii="仿宋" w:hAnsi="仿宋" w:eastAsia="仿宋" w:cs="仿宋"/>
          <w:b w:val="0"/>
          <w:bCs w:val="0"/>
          <w:color w:val="auto"/>
          <w:sz w:val="24"/>
          <w:szCs w:val="24"/>
          <w:highlight w:val="none"/>
          <w:lang w:val="en-US" w:eastAsia="zh-CN"/>
        </w:rPr>
        <w:t>。</w:t>
      </w:r>
    </w:p>
    <w:p w14:paraId="322D33FF">
      <w:pPr>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lang w:val="en-US" w:eastAsia="zh-CN"/>
        </w:rPr>
        <w:t>4</w:t>
      </w: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val="en-US" w:eastAsia="zh-CN"/>
        </w:rPr>
        <w:t>以上清单</w:t>
      </w:r>
      <w:r>
        <w:rPr>
          <w:rFonts w:hint="eastAsia" w:ascii="仿宋" w:hAnsi="仿宋" w:eastAsia="仿宋" w:cs="仿宋"/>
          <w:b w:val="0"/>
          <w:bCs w:val="0"/>
          <w:color w:val="auto"/>
          <w:sz w:val="24"/>
          <w:szCs w:val="24"/>
          <w:highlight w:val="none"/>
        </w:rPr>
        <w:t>目录内产品名称和规格仅作参考，欢迎各供应商提供能实现同等功能的产品。</w:t>
      </w:r>
    </w:p>
    <w:p w14:paraId="08230012">
      <w:pPr>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val="0"/>
          <w:bCs w:val="0"/>
          <w:color w:val="auto"/>
          <w:kern w:val="0"/>
          <w:sz w:val="24"/>
          <w:szCs w:val="24"/>
          <w:highlight w:val="none"/>
          <w:u w:val="single"/>
        </w:rPr>
      </w:pPr>
      <w:r>
        <w:rPr>
          <w:rFonts w:hint="eastAsia" w:ascii="仿宋" w:hAnsi="仿宋" w:eastAsia="仿宋" w:cs="仿宋"/>
          <w:b w:val="0"/>
          <w:bCs w:val="0"/>
          <w:color w:val="auto"/>
          <w:sz w:val="24"/>
          <w:szCs w:val="24"/>
          <w:highlight w:val="none"/>
          <w:lang w:val="en-US" w:eastAsia="zh-CN"/>
        </w:rPr>
        <w:t>5</w:t>
      </w:r>
      <w:r>
        <w:rPr>
          <w:rFonts w:hint="eastAsia" w:ascii="仿宋" w:hAnsi="仿宋" w:eastAsia="仿宋" w:cs="仿宋"/>
          <w:b w:val="0"/>
          <w:bCs w:val="0"/>
          <w:color w:val="auto"/>
          <w:sz w:val="24"/>
          <w:szCs w:val="24"/>
          <w:highlight w:val="none"/>
        </w:rPr>
        <w:t>、供应商</w:t>
      </w:r>
      <w:r>
        <w:rPr>
          <w:rFonts w:hint="eastAsia" w:ascii="仿宋" w:hAnsi="仿宋" w:eastAsia="仿宋" w:cs="仿宋"/>
          <w:b w:val="0"/>
          <w:bCs w:val="0"/>
          <w:color w:val="auto"/>
          <w:sz w:val="24"/>
          <w:szCs w:val="24"/>
          <w:highlight w:val="none"/>
          <w:lang w:eastAsia="zh-CN"/>
        </w:rPr>
        <w:t>自行填报规格型号也</w:t>
      </w:r>
      <w:r>
        <w:rPr>
          <w:rFonts w:hint="eastAsia" w:ascii="仿宋" w:hAnsi="仿宋" w:eastAsia="仿宋" w:cs="仿宋"/>
          <w:b w:val="0"/>
          <w:bCs w:val="0"/>
          <w:color w:val="auto"/>
          <w:sz w:val="24"/>
          <w:szCs w:val="24"/>
          <w:highlight w:val="none"/>
        </w:rPr>
        <w:t>可拓展同类产品，以保障产品系列完整性</w:t>
      </w:r>
      <w:r>
        <w:rPr>
          <w:rFonts w:hint="eastAsia" w:ascii="仿宋" w:hAnsi="仿宋" w:eastAsia="仿宋" w:cs="仿宋"/>
          <w:b w:val="0"/>
          <w:bCs w:val="0"/>
          <w:color w:val="auto"/>
          <w:sz w:val="24"/>
          <w:szCs w:val="24"/>
          <w:highlight w:val="none"/>
          <w:lang w:eastAsia="zh-CN"/>
        </w:rPr>
        <w:t>且满足采购人需求</w:t>
      </w:r>
      <w:r>
        <w:rPr>
          <w:rFonts w:hint="eastAsia" w:ascii="仿宋" w:hAnsi="仿宋" w:eastAsia="仿宋" w:cs="仿宋"/>
          <w:b w:val="0"/>
          <w:bCs w:val="0"/>
          <w:color w:val="auto"/>
          <w:sz w:val="24"/>
          <w:szCs w:val="24"/>
          <w:highlight w:val="none"/>
        </w:rPr>
        <w:t>。</w:t>
      </w:r>
    </w:p>
    <w:p w14:paraId="25EFE0C6">
      <w:pPr>
        <w:pageBreakBefore w:val="0"/>
        <w:widowControl w:val="0"/>
        <w:kinsoku/>
        <w:wordWrap/>
        <w:overflowPunct/>
        <w:topLinePunct w:val="0"/>
        <w:autoSpaceDE/>
        <w:autoSpaceDN/>
        <w:bidi w:val="0"/>
        <w:spacing w:line="400" w:lineRule="exact"/>
        <w:ind w:left="0" w:leftChars="0"/>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注：（1）本次遴选中涉及的医疗耗材(器械)及用品只作为本次供应商报价时使用，不作为实际采购货物，以后实际采购需求根据实际情况而定；结算单价以重庆市药交平台显示的即时最低价为准，实际结算金额=重庆市药交平台显示的即时最低价×实际采购数量（实际结算金额=采购人进行市场询价的最低价×实际采购数量）。</w:t>
      </w:r>
    </w:p>
    <w:p w14:paraId="1FFB667F">
      <w:pPr>
        <w:pageBreakBefore w:val="0"/>
        <w:widowControl w:val="0"/>
        <w:numPr>
          <w:ilvl w:val="0"/>
          <w:numId w:val="0"/>
        </w:numPr>
        <w:kinsoku/>
        <w:wordWrap/>
        <w:overflowPunct/>
        <w:topLinePunct w:val="0"/>
        <w:autoSpaceDE/>
        <w:autoSpaceDN/>
        <w:bidi w:val="0"/>
        <w:spacing w:line="400" w:lineRule="exact"/>
        <w:ind w:left="0" w:leftChars="0"/>
        <w:textAlignment w:val="auto"/>
        <w:rPr>
          <w:rFonts w:hint="eastAsia" w:ascii="仿宋" w:hAnsi="仿宋" w:eastAsia="仿宋" w:cs="仿宋"/>
          <w:color w:val="auto"/>
          <w:sz w:val="24"/>
          <w:szCs w:val="24"/>
          <w:highlight w:val="none"/>
        </w:rPr>
        <w:sectPr>
          <w:type w:val="nextColumn"/>
          <w:pgSz w:w="11780" w:h="16840"/>
          <w:pgMar w:top="1134" w:right="1134" w:bottom="1134" w:left="1417" w:header="140" w:footer="0" w:gutter="0"/>
          <w:pgBorders w:offsetFrom="page">
            <w:top w:val="none" w:sz="0" w:space="0"/>
            <w:left w:val="none" w:sz="0" w:space="0"/>
            <w:bottom w:val="none" w:sz="0" w:space="0"/>
            <w:right w:val="none" w:sz="0" w:space="0"/>
          </w:pgBorders>
          <w:pgNumType w:fmt="decimal"/>
          <w:cols w:space="720" w:num="1"/>
        </w:sectPr>
      </w:pPr>
      <w:r>
        <w:rPr>
          <w:rFonts w:hint="eastAsia" w:ascii="仿宋" w:hAnsi="仿宋" w:eastAsia="仿宋" w:cs="仿宋"/>
          <w:b w:val="0"/>
          <w:bCs w:val="0"/>
          <w:color w:val="auto"/>
          <w:sz w:val="24"/>
          <w:szCs w:val="24"/>
          <w:highlight w:val="none"/>
          <w:lang w:val="en-US" w:eastAsia="zh-CN"/>
        </w:rPr>
        <w:t>（2）因政策原因，若某项医疗耗材纳入重庆市政府采购集中采购目录，则该品种医疗耗材（器械）自动停止合同关系。</w:t>
      </w:r>
    </w:p>
    <w:p w14:paraId="33114EEC">
      <w:pPr>
        <w:pStyle w:val="3"/>
        <w:spacing w:before="0" w:beforeLines="0" w:after="0" w:afterLines="0" w:line="360" w:lineRule="auto"/>
        <w:rPr>
          <w:rFonts w:hint="eastAsia" w:ascii="仿宋" w:hAnsi="仿宋" w:eastAsia="仿宋" w:cs="仿宋"/>
          <w:color w:val="auto"/>
          <w:sz w:val="52"/>
          <w:szCs w:val="52"/>
          <w:highlight w:val="none"/>
        </w:rPr>
      </w:pPr>
      <w:r>
        <w:rPr>
          <w:rFonts w:hint="eastAsia" w:ascii="仿宋" w:hAnsi="仿宋" w:eastAsia="仿宋" w:cs="仿宋"/>
          <w:color w:val="auto"/>
          <w:sz w:val="52"/>
          <w:szCs w:val="52"/>
          <w:highlight w:val="none"/>
        </w:rPr>
        <w:t>第三篇 项目商务需求</w:t>
      </w:r>
      <w:bookmarkEnd w:id="30"/>
      <w:bookmarkEnd w:id="41"/>
    </w:p>
    <w:p w14:paraId="0A64555B">
      <w:pPr>
        <w:pageBreakBefore w:val="0"/>
        <w:widowControl w:val="0"/>
        <w:kinsoku/>
        <w:overflowPunct/>
        <w:topLinePunct w:val="0"/>
        <w:autoSpaceDE/>
        <w:autoSpaceDN/>
        <w:bidi w:val="0"/>
        <w:adjustRightInd/>
        <w:snapToGrid/>
        <w:spacing w:line="400" w:lineRule="exact"/>
        <w:ind w:firstLine="482" w:firstLineChars="200"/>
        <w:jc w:val="left"/>
        <w:textAlignment w:val="auto"/>
        <w:rPr>
          <w:rFonts w:hint="eastAsia" w:ascii="仿宋" w:hAnsi="仿宋" w:eastAsia="仿宋" w:cs="仿宋"/>
          <w:color w:val="auto"/>
          <w:sz w:val="24"/>
          <w:szCs w:val="24"/>
          <w:highlight w:val="none"/>
        </w:rPr>
      </w:pPr>
      <w:bookmarkStart w:id="42" w:name="_Toc12789059"/>
      <w:bookmarkStart w:id="43" w:name="_Toc11641055"/>
      <w:r>
        <w:rPr>
          <w:rFonts w:hint="eastAsia" w:ascii="仿宋" w:hAnsi="仿宋" w:eastAsia="仿宋" w:cs="仿宋"/>
          <w:b/>
          <w:bCs/>
          <w:color w:val="auto"/>
          <w:sz w:val="24"/>
          <w:szCs w:val="24"/>
          <w:highlight w:val="none"/>
        </w:rPr>
        <w:t>注：本篇商务需求均为符合性审查中的实质性要求，</w:t>
      </w:r>
      <w:r>
        <w:rPr>
          <w:rFonts w:hint="eastAsia" w:ascii="仿宋" w:hAnsi="仿宋" w:eastAsia="仿宋" w:cs="仿宋"/>
          <w:b/>
          <w:bCs/>
          <w:color w:val="auto"/>
          <w:sz w:val="24"/>
          <w:szCs w:val="24"/>
          <w:highlight w:val="none"/>
          <w:lang w:eastAsia="zh-CN"/>
        </w:rPr>
        <w:t>投标文件</w:t>
      </w:r>
      <w:r>
        <w:rPr>
          <w:rFonts w:hint="eastAsia" w:ascii="仿宋" w:hAnsi="仿宋" w:eastAsia="仿宋" w:cs="仿宋"/>
          <w:b/>
          <w:bCs/>
          <w:color w:val="auto"/>
          <w:sz w:val="24"/>
          <w:szCs w:val="24"/>
          <w:highlight w:val="none"/>
        </w:rPr>
        <w:t>若不满足按无效处理。</w:t>
      </w:r>
    </w:p>
    <w:p w14:paraId="2DFF28A4">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44" w:name="_Toc26744"/>
      <w:bookmarkStart w:id="45" w:name="_Toc5051"/>
      <w:bookmarkStart w:id="46" w:name="_Toc17413"/>
      <w:bookmarkStart w:id="47" w:name="_Toc19547"/>
      <w:r>
        <w:rPr>
          <w:rFonts w:hint="eastAsia" w:ascii="仿宋" w:hAnsi="仿宋" w:eastAsia="仿宋" w:cs="仿宋"/>
          <w:b/>
          <w:bCs/>
          <w:color w:val="auto"/>
          <w:sz w:val="24"/>
          <w:szCs w:val="24"/>
          <w:highlight w:val="none"/>
          <w:lang w:val="en-US" w:eastAsia="zh-CN"/>
        </w:rPr>
        <w:t>一、服务时间、服务地点及验收方式</w:t>
      </w:r>
      <w:bookmarkEnd w:id="44"/>
      <w:bookmarkEnd w:id="45"/>
      <w:bookmarkEnd w:id="46"/>
      <w:bookmarkEnd w:id="47"/>
    </w:p>
    <w:p w14:paraId="7E54ABA1">
      <w:pPr>
        <w:pageBreakBefore w:val="0"/>
        <w:widowControl w:val="0"/>
        <w:kinsoku/>
        <w:wordWrap w:val="0"/>
        <w:overflowPunct/>
        <w:topLinePunct w:val="0"/>
        <w:autoSpaceDE/>
        <w:autoSpaceDN/>
        <w:bidi w:val="0"/>
        <w:adjustRightInd/>
        <w:snapToGrid/>
        <w:spacing w:line="400" w:lineRule="exact"/>
        <w:ind w:firstLine="48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时间：</w:t>
      </w:r>
      <w:r>
        <w:rPr>
          <w:rFonts w:hint="eastAsia" w:ascii="仿宋" w:hAnsi="仿宋" w:eastAsia="仿宋" w:cs="仿宋"/>
          <w:color w:val="auto"/>
          <w:sz w:val="24"/>
          <w:szCs w:val="24"/>
          <w:highlight w:val="none"/>
          <w:lang w:val="en-US" w:eastAsia="zh-CN"/>
        </w:rPr>
        <w:t>暂定壹年。</w:t>
      </w:r>
    </w:p>
    <w:p w14:paraId="12B999C6">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地点：</w:t>
      </w:r>
      <w:r>
        <w:rPr>
          <w:rFonts w:hint="eastAsia" w:ascii="仿宋" w:hAnsi="仿宋" w:eastAsia="仿宋" w:cs="仿宋"/>
          <w:color w:val="auto"/>
          <w:sz w:val="24"/>
          <w:szCs w:val="24"/>
          <w:highlight w:val="none"/>
          <w:u w:val="none"/>
          <w:lang w:val="en-US" w:eastAsia="zh-CN"/>
        </w:rPr>
        <w:t>重庆市九龙坡区渝州路街道社区卫生服务中心。</w:t>
      </w:r>
    </w:p>
    <w:p w14:paraId="25141A4C">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（三）验收方式：</w:t>
      </w:r>
    </w:p>
    <w:p w14:paraId="720063D2">
      <w:pPr>
        <w:pageBreakBefore w:val="0"/>
        <w:widowControl w:val="0"/>
        <w:kinsoku/>
        <w:wordWrap/>
        <w:overflowPunct/>
        <w:topLinePunct w:val="0"/>
        <w:autoSpaceDE/>
        <w:autoSpaceDN/>
        <w:bidi w:val="0"/>
        <w:spacing w:line="400" w:lineRule="exact"/>
        <w:ind w:firstLine="480" w:firstLineChars="200"/>
        <w:textAlignment w:val="auto"/>
        <w:outlineLvl w:val="9"/>
        <w:rPr>
          <w:rFonts w:hint="eastAsia" w:ascii="仿宋" w:hAnsi="仿宋" w:eastAsia="仿宋" w:cs="仿宋"/>
          <w:color w:val="auto"/>
          <w:sz w:val="24"/>
          <w:szCs w:val="24"/>
          <w:highlight w:val="none"/>
        </w:rPr>
      </w:pPr>
      <w:bookmarkStart w:id="48" w:name="_Toc21885"/>
      <w:bookmarkStart w:id="49" w:name="_Toc26050"/>
      <w:bookmarkStart w:id="50" w:name="_Toc104196536"/>
      <w:bookmarkStart w:id="51" w:name="_Toc2006"/>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配送</w:t>
      </w:r>
      <w:r>
        <w:rPr>
          <w:rFonts w:hint="eastAsia" w:ascii="仿宋" w:hAnsi="仿宋" w:eastAsia="仿宋" w:cs="仿宋"/>
          <w:color w:val="auto"/>
          <w:sz w:val="24"/>
          <w:szCs w:val="24"/>
          <w:highlight w:val="none"/>
          <w:lang w:eastAsia="zh-CN"/>
        </w:rPr>
        <w:t>医用耗材</w:t>
      </w:r>
      <w:r>
        <w:rPr>
          <w:rFonts w:hint="eastAsia" w:ascii="仿宋" w:hAnsi="仿宋" w:eastAsia="仿宋" w:cs="仿宋"/>
          <w:color w:val="auto"/>
          <w:sz w:val="24"/>
          <w:szCs w:val="24"/>
          <w:highlight w:val="none"/>
        </w:rPr>
        <w:t>需符合文件规定要求，采购人按照采购计划清单（配送清单需加盖供应商公章）进行验收，</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应提供配送清单，并加盖单位公章，采购人确认验收合格后出具加盖采购人单位公章的验收证明。</w:t>
      </w:r>
    </w:p>
    <w:p w14:paraId="5D5E4D47">
      <w:pPr>
        <w:pageBreakBefore w:val="0"/>
        <w:widowControl w:val="0"/>
        <w:kinsoku/>
        <w:wordWrap/>
        <w:overflowPunct/>
        <w:topLinePunct w:val="0"/>
        <w:autoSpaceDE/>
        <w:autoSpaceDN/>
        <w:bidi w:val="0"/>
        <w:spacing w:line="400" w:lineRule="exact"/>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提供的药品未达到文件规定要求，采购人拒绝接收；对采购人造成损失的，由</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承担一切责任并赔偿损失。</w:t>
      </w:r>
    </w:p>
    <w:p w14:paraId="54D0D638">
      <w:pPr>
        <w:pageBreakBefore w:val="0"/>
        <w:widowControl w:val="0"/>
        <w:kinsoku/>
        <w:wordWrap/>
        <w:overflowPunct/>
        <w:topLinePunct w:val="0"/>
        <w:autoSpaceDE/>
        <w:autoSpaceDN/>
        <w:bidi w:val="0"/>
        <w:spacing w:line="400" w:lineRule="exact"/>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3、因自然灾害等不可抗力影响</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供药的，需经双方共同协商解决（采购人用药主体特殊，</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需全力保障配送及服务质量）。</w:t>
      </w:r>
    </w:p>
    <w:p w14:paraId="445DFEAE">
      <w:pPr>
        <w:pageBreakBefore w:val="0"/>
        <w:widowControl w:val="0"/>
        <w:kinsoku/>
        <w:wordWrap/>
        <w:overflowPunct/>
        <w:topLinePunct w:val="0"/>
        <w:autoSpaceDE/>
        <w:autoSpaceDN/>
        <w:bidi w:val="0"/>
        <w:spacing w:line="400" w:lineRule="exact"/>
        <w:ind w:firstLine="480" w:firstLineChars="200"/>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4、如果所需</w:t>
      </w:r>
      <w:r>
        <w:rPr>
          <w:rFonts w:hint="eastAsia" w:ascii="仿宋" w:hAnsi="仿宋" w:eastAsia="仿宋" w:cs="仿宋"/>
          <w:color w:val="auto"/>
          <w:sz w:val="24"/>
          <w:szCs w:val="24"/>
          <w:highlight w:val="none"/>
          <w:lang w:eastAsia="zh-CN"/>
        </w:rPr>
        <w:t>医用耗材</w:t>
      </w:r>
      <w:r>
        <w:rPr>
          <w:rFonts w:hint="eastAsia" w:ascii="仿宋" w:hAnsi="仿宋" w:eastAsia="仿宋" w:cs="仿宋"/>
          <w:color w:val="auto"/>
          <w:sz w:val="24"/>
          <w:szCs w:val="24"/>
          <w:highlight w:val="none"/>
        </w:rPr>
        <w:t>不在本文件</w:t>
      </w:r>
      <w:r>
        <w:rPr>
          <w:rFonts w:hint="eastAsia" w:ascii="仿宋" w:hAnsi="仿宋" w:eastAsia="仿宋" w:cs="仿宋"/>
          <w:color w:val="auto"/>
          <w:sz w:val="24"/>
          <w:szCs w:val="24"/>
          <w:highlight w:val="none"/>
          <w:lang w:eastAsia="zh-CN"/>
        </w:rPr>
        <w:t>目录</w:t>
      </w:r>
      <w:r>
        <w:rPr>
          <w:rFonts w:hint="eastAsia" w:ascii="仿宋" w:hAnsi="仿宋" w:eastAsia="仿宋" w:cs="仿宋"/>
          <w:color w:val="auto"/>
          <w:sz w:val="24"/>
          <w:szCs w:val="24"/>
          <w:highlight w:val="none"/>
        </w:rPr>
        <w:t>清单中，经采购方同意之后，供应商可以提供</w:t>
      </w:r>
      <w:r>
        <w:rPr>
          <w:rFonts w:hint="eastAsia" w:ascii="仿宋" w:hAnsi="仿宋" w:eastAsia="仿宋" w:cs="仿宋"/>
          <w:color w:val="auto"/>
          <w:sz w:val="24"/>
          <w:szCs w:val="24"/>
          <w:highlight w:val="none"/>
          <w:lang w:eastAsia="zh-CN"/>
        </w:rPr>
        <w:t>重庆药交所</w:t>
      </w:r>
      <w:r>
        <w:rPr>
          <w:rFonts w:hint="eastAsia" w:ascii="仿宋" w:hAnsi="仿宋" w:eastAsia="仿宋" w:cs="仿宋"/>
          <w:color w:val="auto"/>
          <w:sz w:val="24"/>
          <w:szCs w:val="24"/>
          <w:highlight w:val="none"/>
        </w:rPr>
        <w:t>替代</w:t>
      </w:r>
      <w:r>
        <w:rPr>
          <w:rFonts w:hint="eastAsia" w:ascii="仿宋" w:hAnsi="仿宋" w:eastAsia="仿宋" w:cs="仿宋"/>
          <w:color w:val="auto"/>
          <w:sz w:val="24"/>
          <w:szCs w:val="24"/>
          <w:highlight w:val="none"/>
          <w:lang w:eastAsia="zh-CN"/>
        </w:rPr>
        <w:t>耗材</w:t>
      </w:r>
      <w:r>
        <w:rPr>
          <w:rFonts w:hint="eastAsia" w:ascii="仿宋" w:hAnsi="仿宋" w:eastAsia="仿宋" w:cs="仿宋"/>
          <w:color w:val="auto"/>
          <w:sz w:val="24"/>
          <w:szCs w:val="24"/>
          <w:highlight w:val="none"/>
        </w:rPr>
        <w:t>，但是结算必须按照投标报价折扣进行结算。</w:t>
      </w:r>
      <w:r>
        <w:rPr>
          <w:rFonts w:hint="eastAsia" w:ascii="仿宋" w:hAnsi="仿宋" w:eastAsia="仿宋" w:cs="仿宋"/>
          <w:color w:val="auto"/>
          <w:sz w:val="24"/>
          <w:szCs w:val="24"/>
          <w:highlight w:val="none"/>
          <w:lang w:val="en-US" w:eastAsia="zh-CN"/>
        </w:rPr>
        <w:t xml:space="preserve"> </w:t>
      </w:r>
    </w:p>
    <w:p w14:paraId="1363380D">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52" w:name="_Toc8715"/>
      <w:r>
        <w:rPr>
          <w:rFonts w:hint="eastAsia" w:ascii="仿宋" w:hAnsi="仿宋" w:eastAsia="仿宋" w:cs="仿宋"/>
          <w:b/>
          <w:bCs/>
          <w:color w:val="auto"/>
          <w:sz w:val="24"/>
          <w:szCs w:val="24"/>
          <w:highlight w:val="none"/>
          <w:lang w:val="en-US" w:eastAsia="zh-CN"/>
        </w:rPr>
        <w:t>二、质量保证及售后服务</w:t>
      </w:r>
      <w:bookmarkEnd w:id="48"/>
      <w:bookmarkEnd w:id="49"/>
      <w:bookmarkEnd w:id="50"/>
      <w:bookmarkEnd w:id="51"/>
      <w:bookmarkEnd w:id="52"/>
    </w:p>
    <w:p w14:paraId="7B1AEF93">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bookmarkStart w:id="53" w:name="_Toc23121"/>
      <w:bookmarkStart w:id="54" w:name="_Toc1520"/>
      <w:bookmarkStart w:id="55" w:name="_Toc15027"/>
      <w:bookmarkStart w:id="56" w:name="_Toc104196537"/>
      <w:r>
        <w:rPr>
          <w:rFonts w:hint="eastAsia" w:ascii="仿宋" w:hAnsi="仿宋" w:eastAsia="仿宋" w:cs="仿宋"/>
          <w:color w:val="auto"/>
          <w:sz w:val="24"/>
          <w:szCs w:val="24"/>
          <w:highlight w:val="none"/>
          <w:lang w:val="en-US" w:eastAsia="zh-CN"/>
        </w:rPr>
        <w:t>1. 产品的制造标准、质量标准、技术规范要求必须符合国家标准或采购人认可的有关国际标准。</w:t>
      </w:r>
    </w:p>
    <w:p w14:paraId="7364AC73">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产品包装必须符合国家相关要求、产品特性和远距离运输的要求，行业标准有特殊要求的，必须符合行业标准之特殊要求。特殊商品，采购人明确肯定对包装有特定要求的，按采购人要求标准进行包装。包装不当，采购人有权扣除相应的包装费；因包装原因引起的损失，由中标人承担相应损失（含但不限于因此导致采购人缺货所造成的所有损失）。</w:t>
      </w:r>
    </w:p>
    <w:p w14:paraId="59B4E71F">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 产品标识清楚，符合国家标准，在到达采购人指定地点并卸载后验收前，灭失损毁的风险由中标人承担。</w:t>
      </w:r>
    </w:p>
    <w:p w14:paraId="6FD0A1EB">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 产品属于国家规定“三包”范围的，其产品质量保证期不得低于“三包”规定。产品的质量保证期承诺优于国家“三包”规定的，按中标人实际承诺执行。产品由制造商（指产品生产制造商，或其负责销售、售后服务机构，以下同）负责标准售后服务的，根据投标文件，附制造商售后服务承诺。</w:t>
      </w:r>
    </w:p>
    <w:p w14:paraId="6691B1A1">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 中标人所提供产品为有效期内的最新产品，若采购人库存出现效期临近产品，中标人有义务无条件更换，保证产品在采购人使用时安全有效。</w:t>
      </w:r>
    </w:p>
    <w:p w14:paraId="04BADA4E">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 中标人提供的医用试剂、耗材符合国家医用试剂、耗材质量标准，且资质齐全，并具有医用试剂、耗材生产企业质检部门医用试剂、耗材检验报告书。进口医用试剂、耗材有进口医用耗材注册证和口岸药检所的检验报告书。为了保证产品质量安全可靠，优先选择在药交平台上有挂网的产品。若中标人超出医疗器械经营企业许可经营范围销售产品、提供虚假或过期资质材料、销售假冒伪劣产品或产品质量出现问题，引起医疗纠纷或导致院方受到相关行政主管部门处罚，中标人必积极配合院方解决问题，同时承担相应的经济和法律责任。送货时，如果采购人要求提供产品检验报告的，中标人配送时随行提供同批号检验报告。</w:t>
      </w:r>
    </w:p>
    <w:p w14:paraId="3AB89A41">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57" w:name="_Toc30237"/>
      <w:r>
        <w:rPr>
          <w:rFonts w:hint="eastAsia" w:ascii="仿宋" w:hAnsi="仿宋" w:eastAsia="仿宋" w:cs="仿宋"/>
          <w:b/>
          <w:bCs/>
          <w:color w:val="auto"/>
          <w:sz w:val="24"/>
          <w:szCs w:val="24"/>
          <w:highlight w:val="none"/>
          <w:lang w:val="en-US" w:eastAsia="zh-CN"/>
        </w:rPr>
        <w:t>三、报价方式</w:t>
      </w:r>
      <w:bookmarkEnd w:id="53"/>
      <w:bookmarkEnd w:id="57"/>
    </w:p>
    <w:p w14:paraId="1D229BAB">
      <w:pPr>
        <w:pageBreakBefore w:val="0"/>
        <w:widowControl w:val="0"/>
        <w:kinsoku/>
        <w:overflowPunct/>
        <w:topLinePunct w:val="0"/>
        <w:autoSpaceDE/>
        <w:autoSpaceDN/>
        <w:bidi w:val="0"/>
        <w:snapToGrid w:val="0"/>
        <w:spacing w:line="400" w:lineRule="exact"/>
        <w:ind w:firstLine="482" w:firstLineChars="200"/>
        <w:jc w:val="left"/>
        <w:textAlignment w:val="auto"/>
        <w:rPr>
          <w:rFonts w:hint="eastAsia" w:ascii="仿宋" w:hAnsi="仿宋" w:eastAsia="仿宋" w:cs="仿宋"/>
          <w:b/>
          <w:bCs/>
          <w:color w:val="auto"/>
          <w:sz w:val="24"/>
          <w:szCs w:val="24"/>
          <w:highlight w:val="none"/>
          <w:lang w:val="en-US" w:eastAsia="zh-CN"/>
        </w:rPr>
      </w:pPr>
      <w:bookmarkStart w:id="58" w:name="_Toc14662"/>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本项目采用折扣比例报价，</w:t>
      </w:r>
      <w:r>
        <w:rPr>
          <w:rFonts w:hint="eastAsia" w:ascii="仿宋" w:hAnsi="仿宋" w:eastAsia="仿宋" w:cs="仿宋"/>
          <w:b/>
          <w:bCs/>
          <w:color w:val="auto"/>
          <w:sz w:val="24"/>
          <w:szCs w:val="24"/>
          <w:highlight w:val="none"/>
          <w:lang w:val="en-US" w:eastAsia="zh-CN"/>
        </w:rPr>
        <w:t>供应商根据自身实力报价，可以上浮也可以下浮。</w:t>
      </w:r>
      <w:r>
        <w:rPr>
          <w:rFonts w:hint="eastAsia" w:ascii="仿宋" w:hAnsi="仿宋" w:eastAsia="仿宋" w:cs="仿宋"/>
          <w:b/>
          <w:bCs/>
          <w:color w:val="auto"/>
          <w:sz w:val="24"/>
          <w:szCs w:val="24"/>
          <w:highlight w:val="none"/>
        </w:rPr>
        <w:t>最终结算金额以实际发生的金额为准。（特别说明：线上报价统一填报0%）</w:t>
      </w:r>
    </w:p>
    <w:p w14:paraId="74C34496">
      <w:pPr>
        <w:pageBreakBefore w:val="0"/>
        <w:widowControl w:val="0"/>
        <w:kinsoku/>
        <w:overflowPunct/>
        <w:topLinePunct w:val="0"/>
        <w:autoSpaceDE/>
        <w:autoSpaceDN/>
        <w:bidi w:val="0"/>
        <w:spacing w:line="400" w:lineRule="exact"/>
        <w:ind w:firstLine="482" w:firstLineChars="20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val="0"/>
          <w:bCs w:val="0"/>
          <w:color w:val="auto"/>
          <w:sz w:val="24"/>
          <w:szCs w:val="24"/>
          <w:highlight w:val="none"/>
        </w:rPr>
        <w:t>药交所挂网</w:t>
      </w:r>
      <w:r>
        <w:rPr>
          <w:rFonts w:hint="eastAsia" w:ascii="仿宋" w:hAnsi="仿宋" w:eastAsia="仿宋" w:cs="仿宋"/>
          <w:b w:val="0"/>
          <w:bCs w:val="0"/>
          <w:color w:val="auto"/>
          <w:sz w:val="24"/>
          <w:szCs w:val="24"/>
          <w:highlight w:val="none"/>
          <w:lang w:val="en-US" w:eastAsia="zh-CN"/>
        </w:rPr>
        <w:t>产品报价为</w:t>
      </w:r>
      <w:r>
        <w:rPr>
          <w:rFonts w:hint="eastAsia" w:ascii="仿宋" w:hAnsi="仿宋" w:eastAsia="仿宋" w:cs="仿宋"/>
          <w:b w:val="0"/>
          <w:bCs w:val="0"/>
          <w:color w:val="auto"/>
          <w:sz w:val="24"/>
          <w:szCs w:val="24"/>
          <w:highlight w:val="none"/>
        </w:rPr>
        <w:t>重庆市药交平台显示的最低价。</w:t>
      </w:r>
    </w:p>
    <w:p w14:paraId="46310A37">
      <w:pPr>
        <w:pStyle w:val="2"/>
        <w:pageBreakBefore w:val="0"/>
        <w:widowControl w:val="0"/>
        <w:kinsoku/>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shd w:val="clear" w:color="auto" w:fill="auto"/>
          <w:lang w:val="en-US" w:eastAsia="zh-CN"/>
        </w:rPr>
      </w:pP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2）</w:t>
      </w:r>
      <w:r>
        <w:rPr>
          <w:rFonts w:hint="eastAsia" w:ascii="仿宋" w:hAnsi="仿宋" w:eastAsia="仿宋" w:cs="仿宋"/>
          <w:b w:val="0"/>
          <w:bCs w:val="0"/>
          <w:color w:val="auto"/>
          <w:sz w:val="24"/>
          <w:szCs w:val="24"/>
          <w:highlight w:val="none"/>
        </w:rPr>
        <w:t>药交网无法挂网产品</w:t>
      </w:r>
      <w:r>
        <w:rPr>
          <w:rFonts w:hint="eastAsia" w:ascii="仿宋" w:hAnsi="仿宋" w:eastAsia="仿宋" w:cs="仿宋"/>
          <w:b w:val="0"/>
          <w:bCs w:val="0"/>
          <w:color w:val="auto"/>
          <w:sz w:val="24"/>
          <w:szCs w:val="24"/>
          <w:highlight w:val="none"/>
          <w:lang w:val="en-US" w:eastAsia="zh-CN"/>
        </w:rPr>
        <w:t>报价为重庆市政府采购网-采购云</w:t>
      </w:r>
      <w:r>
        <w:rPr>
          <w:rFonts w:hint="eastAsia" w:ascii="仿宋" w:hAnsi="仿宋" w:eastAsia="仿宋" w:cs="仿宋"/>
          <w:b w:val="0"/>
          <w:bCs w:val="0"/>
          <w:color w:val="auto"/>
          <w:sz w:val="24"/>
          <w:szCs w:val="24"/>
          <w:highlight w:val="none"/>
          <w:shd w:val="clear" w:color="auto" w:fill="auto"/>
          <w:lang w:val="en-US" w:eastAsia="zh-CN"/>
        </w:rPr>
        <w:t>平台-</w:t>
      </w:r>
      <w:r>
        <w:rPr>
          <w:rFonts w:hint="eastAsia" w:ascii="仿宋" w:hAnsi="仿宋" w:eastAsia="仿宋" w:cs="仿宋"/>
          <w:i w:val="0"/>
          <w:iCs w:val="0"/>
          <w:caps w:val="0"/>
          <w:color w:val="auto"/>
          <w:spacing w:val="0"/>
          <w:sz w:val="24"/>
          <w:szCs w:val="24"/>
          <w:highlight w:val="none"/>
          <w:shd w:val="clear" w:color="auto" w:fill="auto"/>
        </w:rPr>
        <w:t>网上货物超市</w:t>
      </w:r>
      <w:r>
        <w:rPr>
          <w:rFonts w:hint="eastAsia" w:ascii="仿宋" w:hAnsi="仿宋" w:eastAsia="仿宋" w:cs="仿宋"/>
          <w:i w:val="0"/>
          <w:iCs w:val="0"/>
          <w:caps w:val="0"/>
          <w:color w:val="auto"/>
          <w:spacing w:val="0"/>
          <w:sz w:val="24"/>
          <w:szCs w:val="24"/>
          <w:highlight w:val="none"/>
          <w:shd w:val="clear" w:color="auto" w:fill="auto"/>
          <w:lang w:val="en-US" w:eastAsia="zh-CN"/>
        </w:rPr>
        <w:t>显示的最低价。</w:t>
      </w:r>
    </w:p>
    <w:p w14:paraId="3F406EA0">
      <w:pPr>
        <w:pageBreakBefore w:val="0"/>
        <w:widowControl w:val="0"/>
        <w:kinsoku/>
        <w:overflowPunct/>
        <w:topLinePunct w:val="0"/>
        <w:autoSpaceDE/>
        <w:autoSpaceDN/>
        <w:bidi w:val="0"/>
        <w:snapToGrid w:val="0"/>
        <w:spacing w:line="400" w:lineRule="exact"/>
        <w:ind w:firstLine="480" w:firstLineChars="200"/>
        <w:jc w:val="left"/>
        <w:textAlignment w:val="auto"/>
        <w:rPr>
          <w:rFonts w:hint="eastAsia" w:ascii="仿宋" w:hAnsi="仿宋" w:eastAsia="仿宋" w:cs="仿宋"/>
          <w:color w:val="auto"/>
          <w:kern w:val="0"/>
          <w:sz w:val="24"/>
          <w:szCs w:val="24"/>
          <w:highlight w:val="none"/>
        </w:rPr>
      </w:pPr>
      <w:r>
        <w:rPr>
          <w:rFonts w:hint="eastAsia" w:ascii="仿宋" w:hAnsi="仿宋" w:eastAsia="仿宋" w:cs="仿宋"/>
          <w:b w:val="0"/>
          <w:bCs w:val="0"/>
          <w:color w:val="auto"/>
          <w:sz w:val="24"/>
          <w:szCs w:val="24"/>
          <w:highlight w:val="none"/>
          <w:shd w:val="clear" w:color="auto" w:fill="auto"/>
          <w:lang w:val="en-US" w:eastAsia="zh-CN"/>
        </w:rPr>
        <w:t>2.</w:t>
      </w:r>
      <w:r>
        <w:rPr>
          <w:rFonts w:hint="eastAsia" w:ascii="仿宋" w:hAnsi="仿宋" w:eastAsia="仿宋" w:cs="仿宋"/>
          <w:color w:val="auto"/>
          <w:kern w:val="0"/>
          <w:sz w:val="24"/>
          <w:szCs w:val="24"/>
          <w:highlight w:val="none"/>
          <w:shd w:val="clear" w:color="auto" w:fill="auto"/>
        </w:rPr>
        <w:t>本次报价须为</w:t>
      </w:r>
      <w:r>
        <w:rPr>
          <w:rFonts w:hint="eastAsia" w:ascii="仿宋" w:hAnsi="仿宋" w:eastAsia="仿宋" w:cs="仿宋"/>
          <w:color w:val="auto"/>
          <w:kern w:val="0"/>
          <w:sz w:val="24"/>
          <w:szCs w:val="24"/>
          <w:highlight w:val="none"/>
          <w:shd w:val="clear" w:color="auto" w:fill="auto"/>
          <w:lang w:val="en-US" w:eastAsia="zh-CN"/>
        </w:rPr>
        <w:t>折扣</w:t>
      </w:r>
      <w:r>
        <w:rPr>
          <w:rFonts w:hint="eastAsia" w:ascii="仿宋" w:hAnsi="仿宋" w:eastAsia="仿宋" w:cs="仿宋"/>
          <w:color w:val="auto"/>
          <w:kern w:val="0"/>
          <w:sz w:val="24"/>
          <w:szCs w:val="24"/>
          <w:highlight w:val="none"/>
          <w:shd w:val="clear" w:color="auto" w:fill="auto"/>
        </w:rPr>
        <w:t>报价，包含：</w:t>
      </w:r>
      <w:r>
        <w:rPr>
          <w:rFonts w:hint="eastAsia" w:ascii="仿宋" w:hAnsi="仿宋" w:eastAsia="仿宋" w:cs="仿宋"/>
          <w:color w:val="auto"/>
          <w:kern w:val="0"/>
          <w:sz w:val="24"/>
          <w:szCs w:val="24"/>
          <w:highlight w:val="none"/>
          <w:shd w:val="clear" w:color="auto" w:fill="auto"/>
          <w:lang w:val="en-US" w:eastAsia="zh-CN"/>
        </w:rPr>
        <w:t>产品购置费</w:t>
      </w:r>
      <w:r>
        <w:rPr>
          <w:rFonts w:hint="eastAsia" w:ascii="仿宋" w:hAnsi="仿宋" w:eastAsia="仿宋" w:cs="仿宋"/>
          <w:color w:val="auto"/>
          <w:kern w:val="0"/>
          <w:sz w:val="24"/>
          <w:szCs w:val="24"/>
          <w:highlight w:val="none"/>
          <w:shd w:val="clear" w:color="auto" w:fill="auto"/>
        </w:rPr>
        <w:t>、技术资料</w:t>
      </w:r>
      <w:r>
        <w:rPr>
          <w:rFonts w:hint="eastAsia" w:ascii="仿宋" w:hAnsi="仿宋" w:eastAsia="仿宋" w:cs="仿宋"/>
          <w:color w:val="auto"/>
          <w:kern w:val="0"/>
          <w:sz w:val="24"/>
          <w:szCs w:val="24"/>
          <w:highlight w:val="none"/>
        </w:rPr>
        <w:t>、货物的税费、运输费、安装费、保险费、包装费、装卸费、辅材费、培训费、第三方单位设备检测费验收费、税费、售后服务费、端口连接费以及有关的其他费用等货到采购人指定地点的所有费用，进口产品填报含税价。</w:t>
      </w:r>
    </w:p>
    <w:p w14:paraId="7C430D05">
      <w:pPr>
        <w:pageBreakBefore w:val="0"/>
        <w:widowControl w:val="0"/>
        <w:kinsoku/>
        <w:overflowPunct/>
        <w:topLinePunct w:val="0"/>
        <w:autoSpaceDE/>
        <w:autoSpaceDN/>
        <w:bidi w:val="0"/>
        <w:spacing w:line="400" w:lineRule="exact"/>
        <w:ind w:firstLine="482" w:firstLineChars="200"/>
        <w:textAlignment w:val="auto"/>
        <w:rPr>
          <w:rFonts w:hint="eastAsia"/>
          <w:highlight w:val="none"/>
        </w:rPr>
      </w:pPr>
      <w:r>
        <w:rPr>
          <w:rFonts w:hint="eastAsia" w:ascii="仿宋" w:hAnsi="仿宋" w:eastAsia="仿宋" w:cs="仿宋"/>
          <w:b/>
          <w:bCs/>
          <w:i w:val="0"/>
          <w:iCs w:val="0"/>
          <w:caps w:val="0"/>
          <w:color w:val="auto"/>
          <w:spacing w:val="0"/>
          <w:sz w:val="24"/>
          <w:szCs w:val="24"/>
          <w:highlight w:val="none"/>
          <w:shd w:val="clear" w:color="auto" w:fill="auto"/>
          <w:lang w:val="en-US" w:eastAsia="zh-CN"/>
        </w:rPr>
        <w:t>3.结算单价为发票开票当</w:t>
      </w:r>
      <w:r>
        <w:rPr>
          <w:rFonts w:hint="eastAsia" w:ascii="Arial" w:hAnsi="Arial" w:eastAsia="仿宋" w:cs="Arial"/>
          <w:b/>
          <w:bCs/>
          <w:i w:val="0"/>
          <w:iCs w:val="0"/>
          <w:caps w:val="0"/>
          <w:color w:val="auto"/>
          <w:spacing w:val="0"/>
          <w:sz w:val="24"/>
          <w:szCs w:val="24"/>
          <w:highlight w:val="none"/>
          <w:shd w:val="clear" w:color="auto" w:fill="auto"/>
          <w:lang w:val="en-US" w:eastAsia="zh-CN"/>
        </w:rPr>
        <w:t>日重庆市药交平台显示的最低价或货物超</w:t>
      </w:r>
      <w:r>
        <w:rPr>
          <w:rFonts w:hint="eastAsia" w:ascii="仿宋" w:hAnsi="仿宋" w:eastAsia="仿宋" w:cs="仿宋"/>
          <w:b/>
          <w:bCs/>
          <w:i w:val="0"/>
          <w:iCs w:val="0"/>
          <w:caps w:val="0"/>
          <w:color w:val="auto"/>
          <w:spacing w:val="0"/>
          <w:sz w:val="24"/>
          <w:szCs w:val="24"/>
          <w:highlight w:val="none"/>
          <w:shd w:val="clear" w:color="auto" w:fill="auto"/>
          <w:lang w:val="en-US" w:eastAsia="zh-CN"/>
        </w:rPr>
        <w:t>市显示的最低价</w:t>
      </w:r>
      <w:r>
        <w:rPr>
          <w:rFonts w:hint="default" w:ascii="Arial" w:hAnsi="Arial" w:eastAsia="仿宋" w:cs="Arial"/>
          <w:b/>
          <w:bCs/>
          <w:i w:val="0"/>
          <w:iCs w:val="0"/>
          <w:caps w:val="0"/>
          <w:color w:val="auto"/>
          <w:spacing w:val="0"/>
          <w:sz w:val="24"/>
          <w:szCs w:val="24"/>
          <w:highlight w:val="none"/>
          <w:shd w:val="clear" w:color="auto" w:fill="auto"/>
          <w:lang w:val="en-US" w:eastAsia="zh-CN"/>
        </w:rPr>
        <w:t>×</w:t>
      </w:r>
      <w:r>
        <w:rPr>
          <w:rFonts w:hint="eastAsia" w:ascii="Arial" w:hAnsi="Arial" w:eastAsia="仿宋" w:cs="Arial"/>
          <w:b/>
          <w:bCs/>
          <w:i w:val="0"/>
          <w:iCs w:val="0"/>
          <w:caps w:val="0"/>
          <w:color w:val="auto"/>
          <w:spacing w:val="0"/>
          <w:sz w:val="24"/>
          <w:szCs w:val="24"/>
          <w:highlight w:val="none"/>
          <w:shd w:val="clear" w:color="auto" w:fill="auto"/>
          <w:lang w:val="en-US" w:eastAsia="zh-CN"/>
        </w:rPr>
        <w:t>成交折扣（须截图附发票后面）。</w:t>
      </w:r>
    </w:p>
    <w:p w14:paraId="5FBBAD8A">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59" w:name="_Toc25465"/>
      <w:r>
        <w:rPr>
          <w:rFonts w:hint="eastAsia" w:ascii="仿宋" w:hAnsi="仿宋" w:eastAsia="仿宋" w:cs="仿宋"/>
          <w:b/>
          <w:bCs/>
          <w:color w:val="auto"/>
          <w:sz w:val="24"/>
          <w:szCs w:val="24"/>
          <w:highlight w:val="none"/>
          <w:lang w:val="en-US" w:eastAsia="zh-CN"/>
        </w:rPr>
        <w:t>四、付款方式</w:t>
      </w:r>
      <w:bookmarkEnd w:id="54"/>
      <w:bookmarkEnd w:id="55"/>
      <w:bookmarkEnd w:id="56"/>
      <w:bookmarkEnd w:id="58"/>
      <w:bookmarkEnd w:id="59"/>
    </w:p>
    <w:p w14:paraId="0890DF36">
      <w:pPr>
        <w:pageBreakBefore w:val="0"/>
        <w:widowControl w:val="0"/>
        <w:kinsoku/>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bookmarkStart w:id="60" w:name="_Toc25936"/>
      <w:bookmarkStart w:id="61" w:name="_Toc104196539"/>
      <w:bookmarkStart w:id="62" w:name="_Toc18600"/>
      <w:bookmarkStart w:id="63" w:name="_Toc12099"/>
      <w:r>
        <w:rPr>
          <w:rFonts w:hint="eastAsia" w:ascii="仿宋" w:hAnsi="仿宋" w:eastAsia="仿宋" w:cs="仿宋"/>
          <w:color w:val="auto"/>
          <w:sz w:val="24"/>
          <w:szCs w:val="24"/>
          <w:highlight w:val="none"/>
          <w:lang w:val="en-US" w:eastAsia="zh-CN"/>
        </w:rPr>
        <w:t>货物送达验收合格后，中标人提供正式发票，采购人在60个工作日内完成支付。</w:t>
      </w:r>
    </w:p>
    <w:p w14:paraId="79C922C0">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64" w:name="_Toc23265"/>
      <w:r>
        <w:rPr>
          <w:rFonts w:hint="eastAsia" w:ascii="仿宋" w:hAnsi="仿宋" w:eastAsia="仿宋" w:cs="仿宋"/>
          <w:b/>
          <w:bCs/>
          <w:color w:val="auto"/>
          <w:sz w:val="24"/>
          <w:szCs w:val="24"/>
          <w:highlight w:val="none"/>
          <w:lang w:val="en-US" w:eastAsia="zh-CN"/>
        </w:rPr>
        <w:t>五、知识产权</w:t>
      </w:r>
      <w:bookmarkEnd w:id="60"/>
      <w:bookmarkEnd w:id="61"/>
      <w:bookmarkEnd w:id="62"/>
      <w:bookmarkEnd w:id="63"/>
      <w:bookmarkEnd w:id="64"/>
    </w:p>
    <w:p w14:paraId="6429E459">
      <w:pPr>
        <w:pageBreakBefore w:val="0"/>
        <w:widowControl w:val="0"/>
        <w:kinsoku/>
        <w:wordWrap w:val="0"/>
        <w:overflowPunct/>
        <w:topLinePunct w:val="0"/>
        <w:autoSpaceDE/>
        <w:autoSpaceDN/>
        <w:bidi w:val="0"/>
        <w:adjustRightInd/>
        <w:snapToGrid/>
        <w:spacing w:line="400" w:lineRule="exact"/>
        <w:ind w:firstLine="48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1、采购人在中华人民共和国境内使用</w:t>
      </w:r>
      <w:r>
        <w:rPr>
          <w:rFonts w:hint="eastAsia" w:ascii="仿宋" w:hAnsi="仿宋" w:eastAsia="仿宋" w:cs="仿宋"/>
          <w:color w:val="auto"/>
          <w:sz w:val="24"/>
          <w:szCs w:val="24"/>
          <w:highlight w:val="none"/>
          <w:lang w:val="en-US" w:eastAsia="zh-CN"/>
        </w:rPr>
        <w:t>中标供应商</w:t>
      </w:r>
      <w:r>
        <w:rPr>
          <w:rFonts w:hint="eastAsia" w:ascii="仿宋" w:hAnsi="仿宋" w:eastAsia="仿宋" w:cs="仿宋"/>
          <w:color w:val="auto"/>
          <w:sz w:val="24"/>
          <w:szCs w:val="24"/>
          <w:highlight w:val="none"/>
        </w:rPr>
        <w:t>提供的货物及服务时免受第三方提出的侵犯其专利权或其它知识产权的起诉。如果第三方提出侵权指控，</w:t>
      </w:r>
      <w:r>
        <w:rPr>
          <w:rFonts w:hint="eastAsia" w:ascii="仿宋" w:hAnsi="仿宋" w:eastAsia="仿宋" w:cs="仿宋"/>
          <w:color w:val="auto"/>
          <w:sz w:val="24"/>
          <w:szCs w:val="24"/>
          <w:highlight w:val="none"/>
          <w:lang w:val="en-US" w:eastAsia="zh-CN"/>
        </w:rPr>
        <w:t>中标供应商</w:t>
      </w:r>
      <w:r>
        <w:rPr>
          <w:rFonts w:hint="eastAsia" w:ascii="仿宋" w:hAnsi="仿宋" w:eastAsia="仿宋" w:cs="仿宋"/>
          <w:color w:val="auto"/>
          <w:sz w:val="24"/>
          <w:szCs w:val="24"/>
          <w:highlight w:val="none"/>
        </w:rPr>
        <w:t>应承担由此而引起的一切法律责任和费用。</w:t>
      </w:r>
    </w:p>
    <w:p w14:paraId="4DDF9A92">
      <w:pPr>
        <w:pageBreakBefore w:val="0"/>
        <w:widowControl w:val="0"/>
        <w:kinsoku/>
        <w:wordWrap w:val="0"/>
        <w:overflowPunct/>
        <w:topLinePunct w:val="0"/>
        <w:autoSpaceDE/>
        <w:autoSpaceDN/>
        <w:bidi w:val="0"/>
        <w:adjustRightInd/>
        <w:snapToGrid/>
        <w:spacing w:line="400" w:lineRule="exact"/>
        <w:ind w:firstLine="48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2、涉及软件开发等服务类项目知识产权的，知识产权归采购人所有。</w:t>
      </w:r>
    </w:p>
    <w:p w14:paraId="7CA6F9A9">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65" w:name="_Toc18288"/>
      <w:bookmarkStart w:id="66" w:name="_Toc29170"/>
      <w:bookmarkStart w:id="67" w:name="_Toc421"/>
      <w:bookmarkStart w:id="68" w:name="_Toc20630"/>
      <w:bookmarkStart w:id="69" w:name="_Toc104196540"/>
      <w:bookmarkStart w:id="70" w:name="_Toc466546918"/>
      <w:r>
        <w:rPr>
          <w:rFonts w:hint="eastAsia" w:ascii="仿宋" w:hAnsi="仿宋" w:eastAsia="仿宋" w:cs="仿宋"/>
          <w:b/>
          <w:bCs/>
          <w:color w:val="auto"/>
          <w:sz w:val="24"/>
          <w:szCs w:val="24"/>
          <w:highlight w:val="none"/>
          <w:lang w:val="en-US" w:eastAsia="zh-CN"/>
        </w:rPr>
        <w:t>六、其他</w:t>
      </w:r>
      <w:bookmarkEnd w:id="65"/>
      <w:bookmarkEnd w:id="66"/>
      <w:bookmarkEnd w:id="67"/>
      <w:bookmarkEnd w:id="68"/>
      <w:bookmarkEnd w:id="69"/>
      <w:bookmarkEnd w:id="70"/>
    </w:p>
    <w:p w14:paraId="210933C0">
      <w:pPr>
        <w:pageBreakBefore w:val="0"/>
        <w:widowControl w:val="0"/>
        <w:kinsoku/>
        <w:wordWrap w:val="0"/>
        <w:overflowPunct/>
        <w:topLinePunct w:val="0"/>
        <w:autoSpaceDE/>
        <w:autoSpaceDN/>
        <w:bidi w:val="0"/>
        <w:adjustRightInd/>
        <w:snapToGrid/>
        <w:spacing w:line="400" w:lineRule="exact"/>
        <w:ind w:firstLine="48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必须在</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中对以上条款和服务承诺明确列出，承诺内容必须达到本篇及采购文件其他条款的要求。</w:t>
      </w:r>
    </w:p>
    <w:p w14:paraId="6E85EA32">
      <w:pPr>
        <w:pageBreakBefore w:val="0"/>
        <w:widowControl w:val="0"/>
        <w:kinsoku/>
        <w:wordWrap w:val="0"/>
        <w:overflowPunct/>
        <w:topLinePunct w:val="0"/>
        <w:autoSpaceDE/>
        <w:autoSpaceDN/>
        <w:bidi w:val="0"/>
        <w:adjustRightInd/>
        <w:snapToGrid/>
        <w:spacing w:line="400" w:lineRule="exact"/>
        <w:ind w:firstLine="48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2、其他未尽事宜由供需双方在采购合同中详细约定。</w:t>
      </w:r>
    </w:p>
    <w:p w14:paraId="2F39A3D1">
      <w:pPr>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bookmarkEnd w:id="42"/>
    <w:bookmarkEnd w:id="43"/>
    <w:p w14:paraId="389E8E6E">
      <w:pPr>
        <w:pStyle w:val="3"/>
        <w:spacing w:before="0" w:beforeLines="0" w:after="0" w:afterLines="0" w:line="360" w:lineRule="auto"/>
        <w:rPr>
          <w:rFonts w:hint="eastAsia" w:ascii="仿宋" w:hAnsi="仿宋" w:eastAsia="仿宋" w:cs="仿宋"/>
          <w:color w:val="auto"/>
          <w:sz w:val="52"/>
          <w:szCs w:val="52"/>
          <w:highlight w:val="none"/>
        </w:rPr>
      </w:pPr>
      <w:bookmarkStart w:id="71" w:name="_Toc17429"/>
      <w:bookmarkStart w:id="72" w:name="_Toc267320057"/>
      <w:r>
        <w:rPr>
          <w:rFonts w:hint="eastAsia" w:ascii="仿宋" w:hAnsi="仿宋" w:eastAsia="仿宋" w:cs="仿宋"/>
          <w:color w:val="auto"/>
          <w:sz w:val="52"/>
          <w:szCs w:val="52"/>
          <w:highlight w:val="none"/>
          <w:lang w:val="en-US" w:eastAsia="zh-CN"/>
        </w:rPr>
        <w:t>第</w:t>
      </w:r>
      <w:r>
        <w:rPr>
          <w:rFonts w:hint="eastAsia" w:ascii="仿宋" w:hAnsi="仿宋" w:eastAsia="仿宋" w:cs="仿宋"/>
          <w:color w:val="auto"/>
          <w:sz w:val="52"/>
          <w:szCs w:val="52"/>
          <w:highlight w:val="none"/>
        </w:rPr>
        <w:t>四篇  比选程序及方法、评审标准、无效响应和采购终止</w:t>
      </w:r>
      <w:bookmarkEnd w:id="71"/>
    </w:p>
    <w:p w14:paraId="663516A8">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73" w:name="_Toc19981"/>
      <w:bookmarkEnd w:id="73"/>
      <w:bookmarkStart w:id="74" w:name="_Toc76462333"/>
      <w:bookmarkEnd w:id="74"/>
      <w:bookmarkStart w:id="75" w:name="_Toc106030888"/>
      <w:bookmarkEnd w:id="75"/>
      <w:bookmarkStart w:id="76" w:name="_Toc32637"/>
      <w:bookmarkStart w:id="77" w:name="_Toc19071"/>
      <w:r>
        <w:rPr>
          <w:rFonts w:hint="eastAsia" w:ascii="仿宋" w:hAnsi="仿宋" w:eastAsia="仿宋" w:cs="仿宋"/>
          <w:b/>
          <w:bCs/>
          <w:color w:val="auto"/>
          <w:sz w:val="24"/>
          <w:szCs w:val="24"/>
          <w:highlight w:val="none"/>
          <w:lang w:val="en-US" w:eastAsia="zh-CN"/>
        </w:rPr>
        <w:t>一、比选程序及方法</w:t>
      </w:r>
      <w:bookmarkEnd w:id="76"/>
      <w:bookmarkEnd w:id="77"/>
    </w:p>
    <w:p w14:paraId="0E1D649B">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（一）比选按竞争性比选文件规定的时间和地点进行，</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须有法定代表人或其授权代表参加并签到。由本项目依法组建的评审小组分别与各</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进行比选。</w:t>
      </w:r>
    </w:p>
    <w:p w14:paraId="61C4B12E">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（二）评审小组对各</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的资格条件、</w:t>
      </w:r>
      <w:r>
        <w:rPr>
          <w:rFonts w:hint="eastAsia" w:ascii="仿宋" w:hAnsi="仿宋" w:eastAsia="仿宋" w:cs="仿宋"/>
          <w:color w:val="auto"/>
          <w:kern w:val="0"/>
          <w:sz w:val="24"/>
          <w:szCs w:val="24"/>
          <w:highlight w:val="none"/>
          <w:lang w:eastAsia="zh-CN"/>
        </w:rPr>
        <w:t>投标文件</w:t>
      </w:r>
      <w:r>
        <w:rPr>
          <w:rFonts w:hint="eastAsia" w:ascii="仿宋" w:hAnsi="仿宋" w:eastAsia="仿宋" w:cs="仿宋"/>
          <w:color w:val="auto"/>
          <w:kern w:val="0"/>
          <w:sz w:val="24"/>
          <w:szCs w:val="24"/>
          <w:highlight w:val="none"/>
        </w:rPr>
        <w:t>的有效性、完整性和响应程度进行审查。各</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只有在完全符合要求的前提下，才能参与正式比选。</w:t>
      </w:r>
    </w:p>
    <w:p w14:paraId="44B68C04">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1.资格性检查。依据法律法规和竞争性比选文件的规定，对</w:t>
      </w:r>
      <w:r>
        <w:rPr>
          <w:rFonts w:hint="eastAsia" w:ascii="仿宋" w:hAnsi="仿宋" w:eastAsia="仿宋" w:cs="仿宋"/>
          <w:color w:val="auto"/>
          <w:kern w:val="0"/>
          <w:sz w:val="24"/>
          <w:szCs w:val="24"/>
          <w:highlight w:val="none"/>
          <w:lang w:eastAsia="zh-CN"/>
        </w:rPr>
        <w:t>投标文件</w:t>
      </w:r>
      <w:r>
        <w:rPr>
          <w:rFonts w:hint="eastAsia" w:ascii="仿宋" w:hAnsi="仿宋" w:eastAsia="仿宋" w:cs="仿宋"/>
          <w:color w:val="auto"/>
          <w:kern w:val="0"/>
          <w:sz w:val="24"/>
          <w:szCs w:val="24"/>
          <w:highlight w:val="none"/>
        </w:rPr>
        <w:t>中的资格证明、等进行审查，以确定</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是否具备比选资格。资格性检查资料表如下：</w:t>
      </w:r>
    </w:p>
    <w:tbl>
      <w:tblPr>
        <w:tblStyle w:val="23"/>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3D963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51449428">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序号</w:t>
            </w:r>
          </w:p>
        </w:tc>
        <w:tc>
          <w:tcPr>
            <w:tcW w:w="3827" w:type="dxa"/>
            <w:gridSpan w:val="2"/>
            <w:tcBorders>
              <w:top w:val="single" w:color="auto" w:sz="4" w:space="0"/>
              <w:left w:val="single" w:color="auto" w:sz="4" w:space="0"/>
              <w:bottom w:val="single" w:color="auto" w:sz="4" w:space="0"/>
              <w:right w:val="single" w:color="auto" w:sz="4" w:space="0"/>
            </w:tcBorders>
            <w:vAlign w:val="center"/>
          </w:tcPr>
          <w:p w14:paraId="0195264E">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检查因素</w:t>
            </w:r>
          </w:p>
        </w:tc>
        <w:tc>
          <w:tcPr>
            <w:tcW w:w="4984" w:type="dxa"/>
            <w:tcBorders>
              <w:top w:val="single" w:color="auto" w:sz="4" w:space="0"/>
              <w:left w:val="single" w:color="auto" w:sz="4" w:space="0"/>
              <w:bottom w:val="single" w:color="auto" w:sz="4" w:space="0"/>
              <w:right w:val="single" w:color="auto" w:sz="4" w:space="0"/>
            </w:tcBorders>
            <w:vAlign w:val="center"/>
          </w:tcPr>
          <w:p w14:paraId="00EC23D4">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检查内容</w:t>
            </w:r>
          </w:p>
        </w:tc>
      </w:tr>
      <w:tr w14:paraId="047D8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14:paraId="544D92E1">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p>
        </w:tc>
        <w:tc>
          <w:tcPr>
            <w:tcW w:w="709" w:type="dxa"/>
            <w:vMerge w:val="restart"/>
            <w:vAlign w:val="center"/>
          </w:tcPr>
          <w:p w14:paraId="1A97A2F8">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《中华人民共和国政府采购法》第二十二条规定</w:t>
            </w:r>
          </w:p>
        </w:tc>
        <w:tc>
          <w:tcPr>
            <w:tcW w:w="3118" w:type="dxa"/>
            <w:vAlign w:val="center"/>
          </w:tcPr>
          <w:p w14:paraId="1A9BB6F8">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tc>
        <w:tc>
          <w:tcPr>
            <w:tcW w:w="4984" w:type="dxa"/>
            <w:vAlign w:val="center"/>
          </w:tcPr>
          <w:p w14:paraId="10AE3876">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 xml:space="preserve">法人营业执照（副本）或事业单位法人证书（副本）或个体工商户营业执照或有效的自然人身份证明或社会团体法人登记证书（提供复印件）。 </w:t>
            </w:r>
          </w:p>
          <w:p w14:paraId="0EEC6A3E">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法定代表人身份证明和法定代表人授权代表委托书</w:t>
            </w:r>
            <w:r>
              <w:rPr>
                <w:rFonts w:hint="eastAsia" w:ascii="仿宋" w:hAnsi="仿宋" w:eastAsia="仿宋" w:cs="仿宋"/>
                <w:color w:val="auto"/>
                <w:sz w:val="24"/>
                <w:szCs w:val="24"/>
                <w:highlight w:val="none"/>
                <w:lang w:val="en-US" w:eastAsia="zh-CN"/>
              </w:rPr>
              <w:t>。</w:t>
            </w:r>
          </w:p>
        </w:tc>
      </w:tr>
      <w:tr w14:paraId="197C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0B8B0709">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p>
        </w:tc>
        <w:tc>
          <w:tcPr>
            <w:tcW w:w="709" w:type="dxa"/>
            <w:vMerge w:val="continue"/>
            <w:vAlign w:val="center"/>
          </w:tcPr>
          <w:p w14:paraId="0D8704C4">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p>
        </w:tc>
        <w:tc>
          <w:tcPr>
            <w:tcW w:w="3118" w:type="dxa"/>
            <w:vAlign w:val="center"/>
          </w:tcPr>
          <w:p w14:paraId="452568F7">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zh-CN"/>
              </w:rPr>
              <w:t>2.</w:t>
            </w:r>
            <w:r>
              <w:rPr>
                <w:rFonts w:hint="eastAsia" w:ascii="仿宋" w:hAnsi="仿宋" w:eastAsia="仿宋" w:cs="仿宋"/>
                <w:color w:val="auto"/>
                <w:sz w:val="24"/>
                <w:szCs w:val="24"/>
                <w:highlight w:val="none"/>
              </w:rPr>
              <w:t>具有良好的商业信誉和健全的财务会计制度</w:t>
            </w:r>
          </w:p>
        </w:tc>
        <w:tc>
          <w:tcPr>
            <w:tcW w:w="4984" w:type="dxa"/>
            <w:vMerge w:val="restart"/>
            <w:vAlign w:val="center"/>
          </w:tcPr>
          <w:p w14:paraId="70EF5162">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提供“基本资格条件承诺函”（格式详见第七篇）</w:t>
            </w:r>
          </w:p>
        </w:tc>
      </w:tr>
      <w:tr w14:paraId="7009B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0C442B22">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p>
        </w:tc>
        <w:tc>
          <w:tcPr>
            <w:tcW w:w="709" w:type="dxa"/>
            <w:vMerge w:val="continue"/>
            <w:vAlign w:val="center"/>
          </w:tcPr>
          <w:p w14:paraId="3C62BBD2">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p>
        </w:tc>
        <w:tc>
          <w:tcPr>
            <w:tcW w:w="3118" w:type="dxa"/>
            <w:vAlign w:val="center"/>
          </w:tcPr>
          <w:p w14:paraId="5EC0797D">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3.具有履行合同所必需的设备和专业技术能力</w:t>
            </w:r>
          </w:p>
        </w:tc>
        <w:tc>
          <w:tcPr>
            <w:tcW w:w="4984" w:type="dxa"/>
            <w:vMerge w:val="continue"/>
            <w:vAlign w:val="center"/>
          </w:tcPr>
          <w:p w14:paraId="7F682D0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p>
        </w:tc>
      </w:tr>
      <w:tr w14:paraId="73177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083894D0">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p>
        </w:tc>
        <w:tc>
          <w:tcPr>
            <w:tcW w:w="709" w:type="dxa"/>
            <w:vMerge w:val="continue"/>
            <w:vAlign w:val="center"/>
          </w:tcPr>
          <w:p w14:paraId="3958405E">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p>
        </w:tc>
        <w:tc>
          <w:tcPr>
            <w:tcW w:w="3118" w:type="dxa"/>
            <w:vAlign w:val="center"/>
          </w:tcPr>
          <w:p w14:paraId="548A5C67">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4.有依法缴纳税收和社会保障金的良好记录</w:t>
            </w:r>
          </w:p>
        </w:tc>
        <w:tc>
          <w:tcPr>
            <w:tcW w:w="4984" w:type="dxa"/>
            <w:vMerge w:val="continue"/>
            <w:vAlign w:val="center"/>
          </w:tcPr>
          <w:p w14:paraId="1CE3A84C">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p>
        </w:tc>
      </w:tr>
      <w:tr w14:paraId="0FC33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166B936F">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p>
        </w:tc>
        <w:tc>
          <w:tcPr>
            <w:tcW w:w="709" w:type="dxa"/>
            <w:vMerge w:val="continue"/>
            <w:vAlign w:val="center"/>
          </w:tcPr>
          <w:p w14:paraId="7F2A0A4A">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p>
        </w:tc>
        <w:tc>
          <w:tcPr>
            <w:tcW w:w="3118" w:type="dxa"/>
            <w:vAlign w:val="center"/>
          </w:tcPr>
          <w:p w14:paraId="68398288">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5.参加政府采购活动前三年内，在经营活动中没有重大违法记录</w:t>
            </w:r>
          </w:p>
        </w:tc>
        <w:tc>
          <w:tcPr>
            <w:tcW w:w="4984" w:type="dxa"/>
            <w:vMerge w:val="continue"/>
            <w:vAlign w:val="center"/>
          </w:tcPr>
          <w:p w14:paraId="7E56F486">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b/>
                <w:color w:val="auto"/>
                <w:sz w:val="24"/>
                <w:szCs w:val="24"/>
                <w:highlight w:val="none"/>
              </w:rPr>
            </w:pPr>
          </w:p>
        </w:tc>
      </w:tr>
      <w:tr w14:paraId="5AD0E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68C328D1">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p>
        </w:tc>
        <w:tc>
          <w:tcPr>
            <w:tcW w:w="709" w:type="dxa"/>
            <w:vMerge w:val="continue"/>
            <w:vAlign w:val="center"/>
          </w:tcPr>
          <w:p w14:paraId="4DDED5D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p>
        </w:tc>
        <w:tc>
          <w:tcPr>
            <w:tcW w:w="3118" w:type="dxa"/>
            <w:vAlign w:val="center"/>
          </w:tcPr>
          <w:p w14:paraId="497B966D">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6.法律、行政法规规定的其他条件</w:t>
            </w:r>
          </w:p>
        </w:tc>
        <w:tc>
          <w:tcPr>
            <w:tcW w:w="4984" w:type="dxa"/>
            <w:vAlign w:val="center"/>
          </w:tcPr>
          <w:p w14:paraId="7AFF364C">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p>
        </w:tc>
      </w:tr>
      <w:tr w14:paraId="1599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191370C0">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p>
        </w:tc>
        <w:tc>
          <w:tcPr>
            <w:tcW w:w="709" w:type="dxa"/>
            <w:vMerge w:val="continue"/>
            <w:vAlign w:val="center"/>
          </w:tcPr>
          <w:p w14:paraId="68A6E7B4">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p>
        </w:tc>
        <w:tc>
          <w:tcPr>
            <w:tcW w:w="3118" w:type="dxa"/>
            <w:vAlign w:val="center"/>
          </w:tcPr>
          <w:p w14:paraId="78B37A1D">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7.本项目的特定资格要求</w:t>
            </w:r>
          </w:p>
        </w:tc>
        <w:tc>
          <w:tcPr>
            <w:tcW w:w="4984" w:type="dxa"/>
            <w:vAlign w:val="center"/>
          </w:tcPr>
          <w:p w14:paraId="706F98AD">
            <w:pPr>
              <w:pageBreakBefore w:val="0"/>
              <w:widowControl w:val="0"/>
              <w:kinsoku/>
              <w:wordWrap/>
              <w:overflowPunct/>
              <w:topLinePunct w:val="0"/>
              <w:autoSpaceDE/>
              <w:autoSpaceDN/>
              <w:bidi w:val="0"/>
              <w:spacing w:line="400" w:lineRule="exact"/>
              <w:textAlignment w:val="auto"/>
              <w:outlineLvl w:val="9"/>
              <w:rPr>
                <w:rFonts w:hint="eastAsia" w:ascii="仿宋" w:hAnsi="仿宋" w:eastAsia="仿宋" w:cs="仿宋"/>
                <w:color w:val="auto"/>
                <w:sz w:val="24"/>
                <w:szCs w:val="24"/>
                <w:highlight w:val="none"/>
                <w:lang w:val="en-US"/>
              </w:rPr>
            </w:pPr>
            <w:r>
              <w:rPr>
                <w:rFonts w:hint="eastAsia" w:ascii="仿宋" w:hAnsi="仿宋" w:eastAsia="仿宋" w:cs="仿宋"/>
                <w:b w:val="0"/>
                <w:bCs/>
                <w:color w:val="auto"/>
                <w:sz w:val="24"/>
                <w:szCs w:val="24"/>
                <w:highlight w:val="none"/>
                <w:lang w:val="en-US" w:eastAsia="zh-CN"/>
              </w:rPr>
              <w:t>按第一篇</w:t>
            </w:r>
            <w:r>
              <w:rPr>
                <w:rFonts w:hint="eastAsia" w:ascii="仿宋" w:hAnsi="仿宋" w:eastAsia="仿宋" w:cs="仿宋"/>
                <w:b w:val="0"/>
                <w:bCs/>
                <w:color w:val="auto"/>
                <w:sz w:val="24"/>
                <w:szCs w:val="24"/>
                <w:highlight w:val="none"/>
              </w:rPr>
              <w:t>三、</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资格条件</w:t>
            </w:r>
            <w:r>
              <w:rPr>
                <w:rFonts w:hint="eastAsia" w:ascii="仿宋" w:hAnsi="仿宋" w:eastAsia="仿宋" w:cs="仿宋"/>
                <w:b w:val="0"/>
                <w:bCs/>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b/>
                <w:bCs/>
                <w:color w:val="auto"/>
                <w:sz w:val="24"/>
                <w:szCs w:val="24"/>
                <w:highlight w:val="none"/>
              </w:rPr>
              <w:t>二）特定资格条件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要求提供（如果有）</w:t>
            </w:r>
          </w:p>
        </w:tc>
      </w:tr>
      <w:tr w14:paraId="15D0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Align w:val="center"/>
          </w:tcPr>
          <w:p w14:paraId="2FA2E558">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p>
        </w:tc>
        <w:tc>
          <w:tcPr>
            <w:tcW w:w="3827" w:type="dxa"/>
            <w:gridSpan w:val="2"/>
            <w:vAlign w:val="center"/>
          </w:tcPr>
          <w:p w14:paraId="3E7FF6FC">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参选保证金</w:t>
            </w:r>
          </w:p>
        </w:tc>
        <w:tc>
          <w:tcPr>
            <w:tcW w:w="4984" w:type="dxa"/>
            <w:vAlign w:val="center"/>
          </w:tcPr>
          <w:p w14:paraId="257D167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en-US" w:eastAsia="zh-CN"/>
              </w:rPr>
            </w:pPr>
          </w:p>
        </w:tc>
      </w:tr>
      <w:tr w14:paraId="1EB17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3B625DF8">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p>
        </w:tc>
        <w:tc>
          <w:tcPr>
            <w:tcW w:w="3827" w:type="dxa"/>
            <w:gridSpan w:val="2"/>
            <w:vAlign w:val="center"/>
          </w:tcPr>
          <w:p w14:paraId="0A0ECB8E">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参照落实政府采购政策需满足的资格要求</w:t>
            </w:r>
          </w:p>
        </w:tc>
        <w:tc>
          <w:tcPr>
            <w:tcW w:w="4984" w:type="dxa"/>
            <w:vAlign w:val="center"/>
          </w:tcPr>
          <w:p w14:paraId="518D88FD">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p>
        </w:tc>
      </w:tr>
    </w:tbl>
    <w:p w14:paraId="7AB1452B">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注：</w:t>
      </w:r>
    </w:p>
    <w:p w14:paraId="606FEDCA">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fldChar w:fldCharType="begin"/>
      </w:r>
      <w:r>
        <w:rPr>
          <w:rFonts w:hint="eastAsia" w:ascii="仿宋" w:hAnsi="仿宋" w:eastAsia="仿宋" w:cs="仿宋"/>
          <w:color w:val="auto"/>
          <w:kern w:val="0"/>
          <w:sz w:val="24"/>
          <w:szCs w:val="24"/>
          <w:highlight w:val="none"/>
        </w:rPr>
        <w:instrText xml:space="preserve"> eq \o\ac(</w:instrText>
      </w:r>
      <w:r>
        <w:rPr>
          <w:rFonts w:hint="eastAsia" w:ascii="仿宋" w:hAnsi="仿宋" w:eastAsia="仿宋" w:cs="仿宋"/>
          <w:color w:val="auto"/>
          <w:kern w:val="0"/>
          <w:position w:val="-4"/>
          <w:sz w:val="36"/>
          <w:szCs w:val="24"/>
          <w:highlight w:val="none"/>
        </w:rPr>
        <w:instrText xml:space="preserve">○</w:instrText>
      </w:r>
      <w:r>
        <w:rPr>
          <w:rFonts w:hint="eastAsia" w:ascii="仿宋" w:hAnsi="仿宋" w:eastAsia="仿宋" w:cs="仿宋"/>
          <w:color w:val="auto"/>
          <w:kern w:val="0"/>
          <w:position w:val="0"/>
          <w:sz w:val="24"/>
          <w:szCs w:val="24"/>
          <w:highlight w:val="none"/>
        </w:rPr>
        <w:instrText xml:space="preserve">,1)</w:instrText>
      </w:r>
      <w:r>
        <w:rPr>
          <w:rFonts w:hint="eastAsia" w:ascii="仿宋" w:hAnsi="仿宋" w:eastAsia="仿宋" w:cs="仿宋"/>
          <w:color w:val="auto"/>
          <w:kern w:val="0"/>
          <w:sz w:val="24"/>
          <w:szCs w:val="24"/>
          <w:highlight w:val="none"/>
        </w:rPr>
        <w:fldChar w:fldCharType="end"/>
      </w:r>
      <w:r>
        <w:rPr>
          <w:rFonts w:hint="eastAsia" w:ascii="仿宋" w:hAnsi="仿宋" w:eastAsia="仿宋" w:cs="仿宋"/>
          <w:color w:val="auto"/>
          <w:kern w:val="0"/>
          <w:sz w:val="24"/>
          <w:szCs w:val="24"/>
          <w:highlight w:val="none"/>
        </w:rPr>
        <w:t>根据《中华人民共和国政府采购法实施条例》第十九条“参加政府采购活动前三年内，在经营活动中没有重大违法记录”中“重大违法记录”，是指</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因违法经营受到刑事处罚或者责令停产停业、吊销许可证或者执照、较大数额罚款等行政处罚。行政处罚中“较大数额”的认定标准，参照“财政部关于《中华人民共和国政府采购法实施条例》第十九条第一款“较大数额罚款”具体适用问题的意见（财库〔2022〕3 号）”执行。</w:t>
      </w:r>
      <w:r>
        <w:rPr>
          <w:rFonts w:hint="eastAsia" w:ascii="仿宋" w:hAnsi="仿宋" w:eastAsia="仿宋" w:cs="仿宋"/>
          <w:color w:val="auto"/>
          <w:kern w:val="0"/>
          <w:sz w:val="24"/>
          <w:szCs w:val="24"/>
          <w:highlight w:val="none"/>
          <w:lang w:val="en-US" w:eastAsia="zh-CN"/>
        </w:rPr>
        <w:t>供应商</w:t>
      </w:r>
      <w:r>
        <w:rPr>
          <w:rFonts w:hint="eastAsia" w:ascii="仿宋" w:hAnsi="仿宋" w:eastAsia="仿宋" w:cs="仿宋"/>
          <w:color w:val="auto"/>
          <w:kern w:val="0"/>
          <w:sz w:val="24"/>
          <w:szCs w:val="24"/>
          <w:highlight w:val="none"/>
        </w:rPr>
        <w:t>可于投标文件递交截止时间前通过 “信用中国”网站(www.creditchina.gov.cn)、"中国政府采购网"(www.ccgp.gov.cn)等渠道查询信用记录。</w:t>
      </w:r>
    </w:p>
    <w:p w14:paraId="2DE558BE">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2.符合性审查。依据竞争性比选文件的规定，从投标文件的有效性、完整性和对竞争性比选文件的响应程度进行审查，以确定是否对竞争性比选文件的实质性要求作出响应。符合性审查资料表如下：</w:t>
      </w:r>
    </w:p>
    <w:tbl>
      <w:tblPr>
        <w:tblStyle w:val="23"/>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3C140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4B6159F2">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序号</w:t>
            </w:r>
          </w:p>
        </w:tc>
        <w:tc>
          <w:tcPr>
            <w:tcW w:w="3544" w:type="dxa"/>
            <w:gridSpan w:val="2"/>
            <w:vAlign w:val="center"/>
          </w:tcPr>
          <w:p w14:paraId="72EDF86B">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评审因素</w:t>
            </w:r>
          </w:p>
        </w:tc>
        <w:tc>
          <w:tcPr>
            <w:tcW w:w="5409" w:type="dxa"/>
            <w:vAlign w:val="center"/>
          </w:tcPr>
          <w:p w14:paraId="6922AB0D">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评审标准</w:t>
            </w:r>
          </w:p>
        </w:tc>
      </w:tr>
      <w:tr w14:paraId="21CD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57B63DF7">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1560" w:type="dxa"/>
            <w:vMerge w:val="restart"/>
            <w:vAlign w:val="center"/>
          </w:tcPr>
          <w:p w14:paraId="14985E4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有效性审查</w:t>
            </w:r>
          </w:p>
        </w:tc>
        <w:tc>
          <w:tcPr>
            <w:tcW w:w="1984" w:type="dxa"/>
            <w:vAlign w:val="center"/>
          </w:tcPr>
          <w:p w14:paraId="72110A40">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投标文件签署或盖章</w:t>
            </w:r>
          </w:p>
        </w:tc>
        <w:tc>
          <w:tcPr>
            <w:tcW w:w="5409" w:type="dxa"/>
            <w:vAlign w:val="center"/>
          </w:tcPr>
          <w:p w14:paraId="1BB5DA5A">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按竞争性比选文件“第七篇投标文件编制要求”要求签署或盖章。</w:t>
            </w:r>
          </w:p>
        </w:tc>
      </w:tr>
      <w:tr w14:paraId="693D1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6EE36EDE">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p>
        </w:tc>
        <w:tc>
          <w:tcPr>
            <w:tcW w:w="1560" w:type="dxa"/>
            <w:vMerge w:val="continue"/>
            <w:vAlign w:val="center"/>
          </w:tcPr>
          <w:p w14:paraId="5FB73266">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p>
        </w:tc>
        <w:tc>
          <w:tcPr>
            <w:tcW w:w="1984" w:type="dxa"/>
            <w:vAlign w:val="center"/>
          </w:tcPr>
          <w:p w14:paraId="44995324">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法定代表人身份证明及授权委托书</w:t>
            </w:r>
          </w:p>
        </w:tc>
        <w:tc>
          <w:tcPr>
            <w:tcW w:w="5409" w:type="dxa"/>
            <w:vAlign w:val="center"/>
          </w:tcPr>
          <w:p w14:paraId="1038145D">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法定代表人身份证明及授权委托书有效，符合竞争性比选文件规定的格式，签署或盖章齐全。</w:t>
            </w:r>
          </w:p>
        </w:tc>
      </w:tr>
      <w:tr w14:paraId="2F8A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5494A0BE">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p>
        </w:tc>
        <w:tc>
          <w:tcPr>
            <w:tcW w:w="1560" w:type="dxa"/>
            <w:vMerge w:val="continue"/>
            <w:vAlign w:val="center"/>
          </w:tcPr>
          <w:p w14:paraId="36161F6A">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p>
        </w:tc>
        <w:tc>
          <w:tcPr>
            <w:tcW w:w="1984" w:type="dxa"/>
            <w:vAlign w:val="center"/>
          </w:tcPr>
          <w:p w14:paraId="6AA6A55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响应</w:t>
            </w:r>
            <w:r>
              <w:rPr>
                <w:rFonts w:hint="eastAsia" w:ascii="仿宋" w:hAnsi="仿宋" w:eastAsia="仿宋" w:cs="仿宋"/>
                <w:color w:val="auto"/>
                <w:sz w:val="24"/>
                <w:szCs w:val="24"/>
                <w:highlight w:val="none"/>
                <w:lang w:val="zh-CN"/>
              </w:rPr>
              <w:t>方案</w:t>
            </w:r>
          </w:p>
        </w:tc>
        <w:tc>
          <w:tcPr>
            <w:tcW w:w="5409" w:type="dxa"/>
            <w:vAlign w:val="center"/>
          </w:tcPr>
          <w:p w14:paraId="1AEF1AD4">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zh-CN"/>
              </w:rPr>
              <w:t>每个包只能有一个</w:t>
            </w:r>
            <w:r>
              <w:rPr>
                <w:rFonts w:hint="eastAsia" w:ascii="仿宋" w:hAnsi="仿宋" w:eastAsia="仿宋" w:cs="仿宋"/>
                <w:color w:val="auto"/>
                <w:sz w:val="24"/>
                <w:szCs w:val="24"/>
                <w:highlight w:val="none"/>
              </w:rPr>
              <w:t>响应</w:t>
            </w:r>
            <w:r>
              <w:rPr>
                <w:rFonts w:hint="eastAsia" w:ascii="仿宋" w:hAnsi="仿宋" w:eastAsia="仿宋" w:cs="仿宋"/>
                <w:color w:val="auto"/>
                <w:sz w:val="24"/>
                <w:szCs w:val="24"/>
                <w:highlight w:val="none"/>
                <w:lang w:val="zh-CN"/>
              </w:rPr>
              <w:t>方案。</w:t>
            </w:r>
          </w:p>
        </w:tc>
      </w:tr>
      <w:tr w14:paraId="60D81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6A0C8557">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p>
        </w:tc>
        <w:tc>
          <w:tcPr>
            <w:tcW w:w="1560" w:type="dxa"/>
            <w:vMerge w:val="continue"/>
            <w:vAlign w:val="center"/>
          </w:tcPr>
          <w:p w14:paraId="0CAB6724">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p>
        </w:tc>
        <w:tc>
          <w:tcPr>
            <w:tcW w:w="1984" w:type="dxa"/>
            <w:vAlign w:val="center"/>
          </w:tcPr>
          <w:p w14:paraId="1B092B0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报价唯一</w:t>
            </w:r>
          </w:p>
        </w:tc>
        <w:tc>
          <w:tcPr>
            <w:tcW w:w="5409" w:type="dxa"/>
            <w:vAlign w:val="center"/>
          </w:tcPr>
          <w:p w14:paraId="644E108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只能有一个有效报价，不得提交选择性报价。</w:t>
            </w:r>
          </w:p>
        </w:tc>
      </w:tr>
      <w:tr w14:paraId="30F40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vAlign w:val="center"/>
          </w:tcPr>
          <w:p w14:paraId="0E942EAB">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w:t>
            </w:r>
          </w:p>
        </w:tc>
        <w:tc>
          <w:tcPr>
            <w:tcW w:w="1560" w:type="dxa"/>
            <w:vAlign w:val="center"/>
          </w:tcPr>
          <w:p w14:paraId="3CC92D4A">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完整性审查</w:t>
            </w:r>
          </w:p>
        </w:tc>
        <w:tc>
          <w:tcPr>
            <w:tcW w:w="1984" w:type="dxa"/>
            <w:vAlign w:val="center"/>
          </w:tcPr>
          <w:p w14:paraId="7D126951">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投标文件</w:t>
            </w:r>
            <w:r>
              <w:rPr>
                <w:rFonts w:hint="eastAsia" w:ascii="仿宋" w:hAnsi="仿宋" w:eastAsia="仿宋" w:cs="仿宋"/>
                <w:color w:val="auto"/>
                <w:sz w:val="24"/>
                <w:szCs w:val="24"/>
                <w:highlight w:val="none"/>
                <w:lang w:val="zh-CN"/>
              </w:rPr>
              <w:t>份数</w:t>
            </w:r>
          </w:p>
        </w:tc>
        <w:tc>
          <w:tcPr>
            <w:tcW w:w="5409" w:type="dxa"/>
            <w:vAlign w:val="center"/>
          </w:tcPr>
          <w:p w14:paraId="516C778E">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投标文件</w:t>
            </w:r>
            <w:r>
              <w:rPr>
                <w:rFonts w:hint="eastAsia" w:ascii="仿宋" w:hAnsi="仿宋" w:eastAsia="仿宋" w:cs="仿宋"/>
                <w:color w:val="auto"/>
                <w:sz w:val="24"/>
                <w:szCs w:val="24"/>
                <w:highlight w:val="none"/>
                <w:lang w:val="zh-CN"/>
              </w:rPr>
              <w:t>正、副本数量</w:t>
            </w:r>
            <w:r>
              <w:rPr>
                <w:rFonts w:hint="eastAsia" w:ascii="仿宋" w:hAnsi="仿宋" w:eastAsia="仿宋" w:cs="仿宋"/>
                <w:color w:val="auto"/>
                <w:sz w:val="24"/>
                <w:szCs w:val="24"/>
                <w:highlight w:val="none"/>
                <w:lang w:val="en-US" w:eastAsia="zh-CN"/>
              </w:rPr>
              <w:t>(含电子文档)</w:t>
            </w:r>
            <w:r>
              <w:rPr>
                <w:rFonts w:hint="eastAsia" w:ascii="仿宋" w:hAnsi="仿宋" w:eastAsia="仿宋" w:cs="仿宋"/>
                <w:color w:val="auto"/>
                <w:sz w:val="24"/>
                <w:szCs w:val="24"/>
                <w:highlight w:val="none"/>
                <w:lang w:val="zh-CN"/>
              </w:rPr>
              <w:t>符合</w:t>
            </w:r>
            <w:r>
              <w:rPr>
                <w:rFonts w:hint="eastAsia" w:ascii="仿宋" w:hAnsi="仿宋" w:eastAsia="仿宋" w:cs="仿宋"/>
                <w:color w:val="auto"/>
                <w:sz w:val="24"/>
                <w:szCs w:val="24"/>
                <w:highlight w:val="none"/>
              </w:rPr>
              <w:t>竞争性比选</w:t>
            </w:r>
            <w:r>
              <w:rPr>
                <w:rFonts w:hint="eastAsia" w:ascii="仿宋" w:hAnsi="仿宋" w:eastAsia="仿宋" w:cs="仿宋"/>
                <w:color w:val="auto"/>
                <w:sz w:val="24"/>
                <w:szCs w:val="24"/>
                <w:highlight w:val="none"/>
                <w:lang w:val="zh-CN"/>
              </w:rPr>
              <w:t>文件要求。</w:t>
            </w:r>
          </w:p>
        </w:tc>
      </w:tr>
      <w:tr w14:paraId="7DFE6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09B3E00A">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w:t>
            </w:r>
          </w:p>
        </w:tc>
        <w:tc>
          <w:tcPr>
            <w:tcW w:w="1560" w:type="dxa"/>
            <w:vMerge w:val="restart"/>
            <w:vAlign w:val="center"/>
          </w:tcPr>
          <w:p w14:paraId="67CFE86F">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kern w:val="0"/>
                <w:sz w:val="24"/>
                <w:szCs w:val="24"/>
                <w:highlight w:val="none"/>
              </w:rPr>
              <w:t>响应程度审查</w:t>
            </w:r>
          </w:p>
        </w:tc>
        <w:tc>
          <w:tcPr>
            <w:tcW w:w="1984" w:type="dxa"/>
            <w:vAlign w:val="center"/>
          </w:tcPr>
          <w:p w14:paraId="39FC5B6A">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实质性响应</w:t>
            </w:r>
          </w:p>
        </w:tc>
        <w:tc>
          <w:tcPr>
            <w:tcW w:w="5409" w:type="dxa"/>
            <w:vAlign w:val="center"/>
          </w:tcPr>
          <w:p w14:paraId="4819B264">
            <w:pPr>
              <w:pStyle w:val="12"/>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对竞争性比选文件第二篇、第三篇的全部要求作出非负偏离响应。</w:t>
            </w:r>
          </w:p>
        </w:tc>
      </w:tr>
      <w:tr w14:paraId="6D5F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75" w:type="dxa"/>
            <w:vMerge w:val="continue"/>
            <w:vAlign w:val="center"/>
          </w:tcPr>
          <w:p w14:paraId="7F297325">
            <w:pPr>
              <w:pageBreakBefore w:val="0"/>
              <w:widowControl w:val="0"/>
              <w:kinsoku/>
              <w:wordWrap/>
              <w:overflowPunct/>
              <w:topLinePunct w:val="0"/>
              <w:autoSpaceDE/>
              <w:autoSpaceDN/>
              <w:bidi w:val="0"/>
              <w:spacing w:line="400" w:lineRule="exact"/>
              <w:ind w:leftChars="0"/>
              <w:jc w:val="center"/>
              <w:textAlignment w:val="auto"/>
              <w:rPr>
                <w:rFonts w:hint="eastAsia" w:ascii="仿宋" w:hAnsi="仿宋" w:eastAsia="仿宋" w:cs="仿宋"/>
                <w:color w:val="auto"/>
                <w:kern w:val="0"/>
                <w:sz w:val="24"/>
                <w:szCs w:val="24"/>
                <w:highlight w:val="none"/>
              </w:rPr>
            </w:pPr>
          </w:p>
        </w:tc>
        <w:tc>
          <w:tcPr>
            <w:tcW w:w="1560" w:type="dxa"/>
            <w:vMerge w:val="continue"/>
            <w:vAlign w:val="center"/>
          </w:tcPr>
          <w:p w14:paraId="25E7948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zh-CN"/>
              </w:rPr>
            </w:pPr>
          </w:p>
        </w:tc>
        <w:tc>
          <w:tcPr>
            <w:tcW w:w="1984" w:type="dxa"/>
            <w:vAlign w:val="center"/>
          </w:tcPr>
          <w:p w14:paraId="7E8C8218">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投标有效期</w:t>
            </w:r>
          </w:p>
        </w:tc>
        <w:tc>
          <w:tcPr>
            <w:tcW w:w="5409" w:type="dxa"/>
            <w:vAlign w:val="center"/>
          </w:tcPr>
          <w:p w14:paraId="3869BB0A">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投标文件及有关承诺文件有效期为提交投标文件截止时间起90天。</w:t>
            </w:r>
          </w:p>
        </w:tc>
      </w:tr>
    </w:tbl>
    <w:p w14:paraId="6DAD20D0">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3.在采购过程中符合要求的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不足3家的，比选采购活动中止并重新开展采购活动。</w:t>
      </w:r>
    </w:p>
    <w:p w14:paraId="7225D8F9">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（三）澄清有关问题。评审小组在对</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的有效性、完整性和响应程度进行审查时，可以要求</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中含义不明确、同类问题表述不一致或者有明显文字和计算错误的内容等作出必要的澄清、说明或者更正。</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的澄清、说明或者更正不得超出</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的范围或者改变</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的实质性内容。</w:t>
      </w:r>
    </w:p>
    <w:p w14:paraId="35742B1E">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（四）评审小组要求</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澄清、说明或者更正</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应当以书面形式作出。</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的澄清、说明或者更正应当由法定代表人或其授权代表签字或者加盖公章。由授权代表签字的，应当附法定代表人授权书。</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为自然人的，应当由本人签字并附身份证明。</w:t>
      </w:r>
    </w:p>
    <w:p w14:paraId="72D94248">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（五）在比选过程中比选的任何一方不得向他人透露与比选有关的服务资料、价格或其他信息。</w:t>
      </w:r>
    </w:p>
    <w:p w14:paraId="72BE951D">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在比选过程中，评审小组可以根据竞争性比选文件和比选情况实质性变动采购需求中的服务、商务要求以及合同草案条款，但不得变动竞争性比选文件中的其他内容。实质性变动的内容，须经采购人代表确认。对竞争性比选文件作出的实质性变动是竞争性比选文件的有效组成部分，评审小组应当及时以书面形式同时通知所有参加比选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w:t>
      </w:r>
    </w:p>
    <w:p w14:paraId="77CC4236">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在比选时作出的所有书面承诺须由法定代表人或其授权代表签字。</w:t>
      </w:r>
    </w:p>
    <w:p w14:paraId="282EF5A4">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（八）评审小组采用综合评分法对提交了报价的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和报价（含有效书面承诺）进行综合评分。综合评分法，是指</w:t>
      </w:r>
      <w:r>
        <w:rPr>
          <w:rFonts w:hint="eastAsia" w:ascii="仿宋" w:hAnsi="仿宋" w:eastAsia="仿宋" w:cs="仿宋"/>
          <w:color w:val="auto"/>
          <w:sz w:val="24"/>
          <w:szCs w:val="24"/>
          <w:highlight w:val="none"/>
          <w:lang w:eastAsia="zh-CN"/>
        </w:rPr>
        <w:t>投标文件</w:t>
      </w:r>
      <w:r>
        <w:rPr>
          <w:rFonts w:hint="eastAsia" w:ascii="仿宋" w:hAnsi="仿宋" w:eastAsia="仿宋" w:cs="仿宋"/>
          <w:color w:val="auto"/>
          <w:sz w:val="24"/>
          <w:szCs w:val="24"/>
          <w:highlight w:val="none"/>
        </w:rPr>
        <w:t>满足竞争性比选文件全部实质性要求且按照评审因素的量化指标评审得分最高的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为</w:t>
      </w:r>
      <w:r>
        <w:rPr>
          <w:rFonts w:hint="eastAsia" w:ascii="仿宋" w:hAnsi="仿宋" w:eastAsia="仿宋" w:cs="仿宋"/>
          <w:color w:val="auto"/>
          <w:sz w:val="24"/>
          <w:szCs w:val="24"/>
          <w:highlight w:val="none"/>
          <w:lang w:eastAsia="zh-CN"/>
        </w:rPr>
        <w:t>中标</w:t>
      </w:r>
      <w:r>
        <w:rPr>
          <w:rFonts w:hint="eastAsia" w:ascii="仿宋" w:hAnsi="仿宋" w:eastAsia="仿宋" w:cs="仿宋"/>
          <w:color w:val="auto"/>
          <w:sz w:val="24"/>
          <w:szCs w:val="24"/>
          <w:highlight w:val="none"/>
        </w:rPr>
        <w:t>候选人的评审方法。</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总得分为价格、服务、商务等评定因素分别按照相应权重值计算分项得分后相加，满分为100分。</w:t>
      </w:r>
    </w:p>
    <w:p w14:paraId="614A3D3A">
      <w:pPr>
        <w:pageBreakBefore w:val="0"/>
        <w:widowControl w:val="0"/>
        <w:kinsoku/>
        <w:wordWrap/>
        <w:overflowPunct/>
        <w:topLinePunct w:val="0"/>
        <w:autoSpaceDE/>
        <w:autoSpaceDN/>
        <w:bidi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（九）评审小组各成员独立对每个有效响应（通过资格性检查、符合性检查的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）的文件进行评价、打分，然后汇总每个</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每项评分因素的得分</w:t>
      </w:r>
      <w:r>
        <w:rPr>
          <w:rFonts w:hint="eastAsia" w:ascii="仿宋" w:hAnsi="仿宋" w:eastAsia="仿宋" w:cs="仿宋"/>
          <w:b w:val="0"/>
          <w:bCs w:val="0"/>
          <w:color w:val="auto"/>
          <w:sz w:val="24"/>
          <w:szCs w:val="24"/>
          <w:highlight w:val="none"/>
        </w:rPr>
        <w:t>，并根据综合评分情况按照评审得分由高到低顺序推荐</w:t>
      </w:r>
      <w:r>
        <w:rPr>
          <w:rFonts w:hint="eastAsia" w:ascii="仿宋" w:hAnsi="仿宋" w:eastAsia="仿宋" w:cs="仿宋"/>
          <w:b w:val="0"/>
          <w:bCs w:val="0"/>
          <w:color w:val="auto"/>
          <w:sz w:val="24"/>
          <w:szCs w:val="24"/>
          <w:highlight w:val="none"/>
          <w:lang w:eastAsia="zh-CN"/>
        </w:rPr>
        <w:t>中标</w:t>
      </w:r>
      <w:r>
        <w:rPr>
          <w:rFonts w:hint="eastAsia" w:ascii="仿宋" w:hAnsi="仿宋" w:eastAsia="仿宋" w:cs="仿宋"/>
          <w:b w:val="0"/>
          <w:bCs w:val="0"/>
          <w:color w:val="auto"/>
          <w:sz w:val="24"/>
          <w:szCs w:val="24"/>
          <w:highlight w:val="none"/>
        </w:rPr>
        <w:t>候选</w:t>
      </w:r>
      <w:r>
        <w:rPr>
          <w:rFonts w:hint="eastAsia" w:ascii="仿宋" w:hAnsi="仿宋" w:eastAsia="仿宋" w:cs="仿宋"/>
          <w:b w:val="0"/>
          <w:bCs w:val="0"/>
          <w:color w:val="auto"/>
          <w:sz w:val="24"/>
          <w:szCs w:val="24"/>
          <w:highlight w:val="none"/>
          <w:lang w:val="en-US" w:eastAsia="zh-CN"/>
        </w:rPr>
        <w:t>供应商</w:t>
      </w:r>
      <w:r>
        <w:rPr>
          <w:rFonts w:hint="eastAsia" w:ascii="仿宋" w:hAnsi="仿宋" w:eastAsia="仿宋" w:cs="仿宋"/>
          <w:b w:val="0"/>
          <w:bCs w:val="0"/>
          <w:color w:val="auto"/>
          <w:sz w:val="24"/>
          <w:szCs w:val="24"/>
          <w:highlight w:val="none"/>
        </w:rPr>
        <w:t>，并</w:t>
      </w:r>
      <w:r>
        <w:rPr>
          <w:rFonts w:hint="eastAsia" w:ascii="仿宋" w:hAnsi="仿宋" w:eastAsia="仿宋" w:cs="仿宋"/>
          <w:color w:val="auto"/>
          <w:sz w:val="24"/>
          <w:szCs w:val="24"/>
          <w:highlight w:val="none"/>
        </w:rPr>
        <w:t>编写评审报告。若</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的评审得分相同的，按照最后报价由低到高的顺序排列推荐。评审得分且最后报价相同的，按照服务指标优劣顺序排列推荐。以上都相同的，按商务条款的优劣顺序排列推荐。若</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的服务部分为0分，将失去成为</w:t>
      </w:r>
      <w:r>
        <w:rPr>
          <w:rFonts w:hint="eastAsia" w:ascii="仿宋" w:hAnsi="仿宋" w:eastAsia="仿宋" w:cs="仿宋"/>
          <w:color w:val="auto"/>
          <w:sz w:val="24"/>
          <w:szCs w:val="24"/>
          <w:highlight w:val="none"/>
          <w:lang w:eastAsia="zh-CN"/>
        </w:rPr>
        <w:t>中标</w:t>
      </w:r>
      <w:r>
        <w:rPr>
          <w:rFonts w:hint="eastAsia" w:ascii="仿宋" w:hAnsi="仿宋" w:eastAsia="仿宋" w:cs="仿宋"/>
          <w:color w:val="auto"/>
          <w:sz w:val="24"/>
          <w:szCs w:val="24"/>
          <w:highlight w:val="none"/>
        </w:rPr>
        <w:t>候选</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的资格。</w:t>
      </w:r>
    </w:p>
    <w:p w14:paraId="77BED704">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78" w:name="_Toc27370"/>
      <w:bookmarkStart w:id="79" w:name="_Toc28213"/>
      <w:bookmarkStart w:id="80" w:name="_Toc4170"/>
      <w:r>
        <w:rPr>
          <w:rFonts w:hint="eastAsia" w:ascii="仿宋" w:hAnsi="仿宋" w:eastAsia="仿宋" w:cs="仿宋"/>
          <w:b/>
          <w:bCs/>
          <w:color w:val="auto"/>
          <w:sz w:val="24"/>
          <w:szCs w:val="24"/>
          <w:highlight w:val="none"/>
          <w:lang w:val="en-US" w:eastAsia="zh-CN"/>
        </w:rPr>
        <w:t>二、评审标准</w:t>
      </w:r>
      <w:bookmarkEnd w:id="78"/>
      <w:bookmarkEnd w:id="79"/>
      <w:bookmarkEnd w:id="80"/>
    </w:p>
    <w:tbl>
      <w:tblPr>
        <w:tblStyle w:val="23"/>
        <w:tblpPr w:leftFromText="180" w:rightFromText="180" w:vertAnchor="text" w:horzAnchor="page" w:tblpX="1305" w:tblpY="390"/>
        <w:tblOverlap w:val="never"/>
        <w:tblW w:w="97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281"/>
        <w:gridCol w:w="1092"/>
        <w:gridCol w:w="4145"/>
        <w:gridCol w:w="2475"/>
      </w:tblGrid>
      <w:tr w14:paraId="5FD4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8" w:type="dxa"/>
            <w:vAlign w:val="center"/>
          </w:tcPr>
          <w:p w14:paraId="3B5D1745">
            <w:pPr>
              <w:keepNext w:val="0"/>
              <w:keepLines w:val="0"/>
              <w:pageBreakBefore w:val="0"/>
              <w:widowControl w:val="0"/>
              <w:kinsoku/>
              <w:wordWrap/>
              <w:overflowPunct/>
              <w:topLinePunct w:val="0"/>
              <w:autoSpaceDE/>
              <w:autoSpaceDN/>
              <w:bidi w:val="0"/>
              <w:adjustRightInd/>
              <w:spacing w:line="400" w:lineRule="exact"/>
              <w:ind w:leftChars="0"/>
              <w:jc w:val="both"/>
              <w:textAlignment w:val="auto"/>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序号</w:t>
            </w:r>
          </w:p>
        </w:tc>
        <w:tc>
          <w:tcPr>
            <w:tcW w:w="1281" w:type="dxa"/>
            <w:vAlign w:val="center"/>
          </w:tcPr>
          <w:p w14:paraId="6FD16879">
            <w:pPr>
              <w:pageBreakBefore w:val="0"/>
              <w:widowControl w:val="0"/>
              <w:kinsoku/>
              <w:wordWrap/>
              <w:overflowPunct/>
              <w:topLinePunct w:val="0"/>
              <w:autoSpaceDE/>
              <w:autoSpaceDN/>
              <w:bidi w:val="0"/>
              <w:spacing w:line="400" w:lineRule="exact"/>
              <w:ind w:leftChars="0" w:firstLine="28"/>
              <w:jc w:val="center"/>
              <w:textAlignment w:val="auto"/>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评分因素</w:t>
            </w:r>
          </w:p>
          <w:p w14:paraId="2A26EA41">
            <w:pPr>
              <w:keepNext w:val="0"/>
              <w:keepLines w:val="0"/>
              <w:pageBreakBefore w:val="0"/>
              <w:widowControl w:val="0"/>
              <w:kinsoku/>
              <w:wordWrap/>
              <w:overflowPunct/>
              <w:topLinePunct w:val="0"/>
              <w:autoSpaceDE/>
              <w:autoSpaceDN/>
              <w:bidi w:val="0"/>
              <w:adjustRightInd/>
              <w:spacing w:line="400" w:lineRule="exact"/>
              <w:ind w:leftChars="0"/>
              <w:jc w:val="center"/>
              <w:textAlignment w:val="auto"/>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及权重</w:t>
            </w:r>
          </w:p>
        </w:tc>
        <w:tc>
          <w:tcPr>
            <w:tcW w:w="1092" w:type="dxa"/>
            <w:vAlign w:val="center"/>
          </w:tcPr>
          <w:p w14:paraId="50B7ADB5">
            <w:pPr>
              <w:keepNext w:val="0"/>
              <w:keepLines w:val="0"/>
              <w:pageBreakBefore w:val="0"/>
              <w:widowControl w:val="0"/>
              <w:kinsoku/>
              <w:wordWrap/>
              <w:overflowPunct/>
              <w:topLinePunct w:val="0"/>
              <w:autoSpaceDE/>
              <w:autoSpaceDN/>
              <w:bidi w:val="0"/>
              <w:adjustRightInd/>
              <w:spacing w:line="400" w:lineRule="exact"/>
              <w:ind w:leftChars="0"/>
              <w:jc w:val="center"/>
              <w:textAlignment w:val="auto"/>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rPr>
              <w:t>分值</w:t>
            </w:r>
          </w:p>
        </w:tc>
        <w:tc>
          <w:tcPr>
            <w:tcW w:w="4145" w:type="dxa"/>
          </w:tcPr>
          <w:p w14:paraId="750D9429">
            <w:pPr>
              <w:pageBreakBefore w:val="0"/>
              <w:widowControl w:val="0"/>
              <w:kinsoku/>
              <w:wordWrap/>
              <w:overflowPunct/>
              <w:topLinePunct w:val="0"/>
              <w:autoSpaceDE/>
              <w:autoSpaceDN/>
              <w:bidi w:val="0"/>
              <w:spacing w:line="400" w:lineRule="exact"/>
              <w:ind w:leftChars="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w:t>
            </w:r>
          </w:p>
          <w:p w14:paraId="4B6396F8">
            <w:pPr>
              <w:pageBreakBefore w:val="0"/>
              <w:widowControl w:val="0"/>
              <w:kinsoku/>
              <w:wordWrap/>
              <w:overflowPunct/>
              <w:topLinePunct w:val="0"/>
              <w:autoSpaceDE/>
              <w:autoSpaceDN/>
              <w:bidi w:val="0"/>
              <w:spacing w:line="400" w:lineRule="exact"/>
              <w:ind w:leftChars="0" w:firstLine="1687" w:firstLineChars="7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评分标准</w:t>
            </w:r>
          </w:p>
        </w:tc>
        <w:tc>
          <w:tcPr>
            <w:tcW w:w="2475" w:type="dxa"/>
            <w:vAlign w:val="center"/>
          </w:tcPr>
          <w:p w14:paraId="6BD45CEF">
            <w:pPr>
              <w:keepNext w:val="0"/>
              <w:keepLines w:val="0"/>
              <w:pageBreakBefore w:val="0"/>
              <w:widowControl w:val="0"/>
              <w:kinsoku/>
              <w:wordWrap/>
              <w:overflowPunct/>
              <w:topLinePunct w:val="0"/>
              <w:autoSpaceDE/>
              <w:autoSpaceDN/>
              <w:bidi w:val="0"/>
              <w:adjustRightInd/>
              <w:spacing w:line="400" w:lineRule="exact"/>
              <w:ind w:leftChars="0" w:firstLine="482" w:firstLineChars="200"/>
              <w:jc w:val="center"/>
              <w:textAlignment w:val="auto"/>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rPr>
              <w:t>说明</w:t>
            </w:r>
          </w:p>
        </w:tc>
      </w:tr>
      <w:tr w14:paraId="6E1B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8" w:type="dxa"/>
            <w:vAlign w:val="center"/>
          </w:tcPr>
          <w:p w14:paraId="0E61596D">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281" w:type="dxa"/>
            <w:vAlign w:val="center"/>
          </w:tcPr>
          <w:p w14:paraId="1900D6B8">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投标报价</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0%</w:t>
            </w:r>
            <w:r>
              <w:rPr>
                <w:rFonts w:hint="eastAsia" w:ascii="仿宋" w:hAnsi="仿宋" w:eastAsia="仿宋" w:cs="仿宋"/>
                <w:color w:val="auto"/>
                <w:sz w:val="24"/>
                <w:szCs w:val="24"/>
                <w:highlight w:val="none"/>
                <w:lang w:eastAsia="zh-CN"/>
              </w:rPr>
              <w:t>）</w:t>
            </w:r>
          </w:p>
        </w:tc>
        <w:tc>
          <w:tcPr>
            <w:tcW w:w="1092" w:type="dxa"/>
            <w:vAlign w:val="center"/>
          </w:tcPr>
          <w:p w14:paraId="17C2BC60">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报价（3</w:t>
            </w:r>
            <w:r>
              <w:rPr>
                <w:rFonts w:hint="eastAsia" w:ascii="仿宋" w:hAnsi="仿宋" w:eastAsia="仿宋" w:cs="仿宋"/>
                <w:color w:val="auto"/>
                <w:sz w:val="24"/>
                <w:szCs w:val="24"/>
                <w:highlight w:val="none"/>
              </w:rPr>
              <w:t>0分</w:t>
            </w:r>
            <w:r>
              <w:rPr>
                <w:rFonts w:hint="eastAsia" w:ascii="仿宋" w:hAnsi="仿宋" w:eastAsia="仿宋" w:cs="仿宋"/>
                <w:color w:val="auto"/>
                <w:sz w:val="24"/>
                <w:szCs w:val="24"/>
                <w:highlight w:val="none"/>
                <w:lang w:eastAsia="zh-CN"/>
              </w:rPr>
              <w:t>）</w:t>
            </w:r>
          </w:p>
        </w:tc>
        <w:tc>
          <w:tcPr>
            <w:tcW w:w="4145" w:type="dxa"/>
          </w:tcPr>
          <w:p w14:paraId="3A7E352E">
            <w:pPr>
              <w:keepNext w:val="0"/>
              <w:keepLines w:val="0"/>
              <w:pageBreakBefore w:val="0"/>
              <w:widowControl w:val="0"/>
              <w:kinsoku/>
              <w:wordWrap/>
              <w:overflowPunct/>
              <w:topLinePunct w:val="0"/>
              <w:autoSpaceDE/>
              <w:autoSpaceDN/>
              <w:bidi w:val="0"/>
              <w:adjustRightInd/>
              <w:spacing w:line="400" w:lineRule="exact"/>
              <w:ind w:leftChars="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满足比选文件要求且投标价格最低的投标报价为评标基准价，其价格分为满分。其他</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的价格分统一按照下列公式计算：投标报价得分＝（评标基准价/投标报价）×价格权重×100。</w:t>
            </w:r>
          </w:p>
        </w:tc>
        <w:tc>
          <w:tcPr>
            <w:tcW w:w="2475" w:type="dxa"/>
            <w:vAlign w:val="center"/>
          </w:tcPr>
          <w:p w14:paraId="53AD85DC">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rPr>
            </w:pPr>
          </w:p>
        </w:tc>
      </w:tr>
      <w:tr w14:paraId="62E7F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8" w:type="dxa"/>
            <w:vMerge w:val="restart"/>
            <w:vAlign w:val="center"/>
          </w:tcPr>
          <w:p w14:paraId="495481A2">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1281" w:type="dxa"/>
            <w:vMerge w:val="restart"/>
            <w:vAlign w:val="center"/>
          </w:tcPr>
          <w:p w14:paraId="69219697">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服务部分</w:t>
            </w:r>
          </w:p>
          <w:p w14:paraId="7B541D35">
            <w:pPr>
              <w:pStyle w:val="4"/>
              <w:pageBreakBefore w:val="0"/>
              <w:widowControl w:val="0"/>
              <w:wordWrap/>
              <w:overflowPunct/>
              <w:topLinePunct w:val="0"/>
              <w:bidi w:val="0"/>
              <w:spacing w:line="40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（55%）</w:t>
            </w:r>
          </w:p>
          <w:p w14:paraId="392FE643">
            <w:pPr>
              <w:pageBreakBefore w:val="0"/>
              <w:widowControl w:val="0"/>
              <w:wordWrap/>
              <w:overflowPunct/>
              <w:topLinePunct w:val="0"/>
              <w:bidi w:val="0"/>
              <w:spacing w:line="400" w:lineRule="exact"/>
              <w:textAlignment w:val="auto"/>
              <w:rPr>
                <w:rFonts w:hint="eastAsia" w:ascii="仿宋" w:hAnsi="仿宋" w:eastAsia="仿宋" w:cs="仿宋"/>
                <w:color w:val="auto"/>
                <w:sz w:val="24"/>
                <w:szCs w:val="24"/>
                <w:highlight w:val="none"/>
                <w:lang w:val="en-US" w:eastAsia="zh-CN"/>
              </w:rPr>
            </w:pPr>
          </w:p>
        </w:tc>
        <w:tc>
          <w:tcPr>
            <w:tcW w:w="1092" w:type="dxa"/>
            <w:vAlign w:val="center"/>
          </w:tcPr>
          <w:p w14:paraId="638C7A50">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配送服务方案（35分）</w:t>
            </w:r>
          </w:p>
        </w:tc>
        <w:tc>
          <w:tcPr>
            <w:tcW w:w="4145" w:type="dxa"/>
            <w:shd w:val="clear" w:color="auto" w:fill="auto"/>
            <w:vAlign w:val="center"/>
          </w:tcPr>
          <w:p w14:paraId="09B5814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配送服务方案</w:t>
            </w:r>
          </w:p>
          <w:p w14:paraId="7897499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方案内容应全面、供货保障措施细致、具有可操作性、契合本项目需求。包括：</w:t>
            </w:r>
            <w:r>
              <w:rPr>
                <w:rFonts w:hint="eastAsia" w:ascii="仿宋" w:hAnsi="仿宋" w:eastAsia="仿宋" w:cs="仿宋"/>
                <w:color w:val="auto"/>
                <w:sz w:val="24"/>
                <w:szCs w:val="24"/>
                <w:highlight w:val="none"/>
              </w:rPr>
              <w:t>①供货流程；②配送计划；③配送设施设备；④配送</w:t>
            </w:r>
            <w:r>
              <w:rPr>
                <w:rFonts w:hint="eastAsia" w:ascii="仿宋" w:hAnsi="仿宋" w:eastAsia="仿宋" w:cs="仿宋"/>
                <w:color w:val="auto"/>
                <w:sz w:val="24"/>
                <w:szCs w:val="24"/>
                <w:highlight w:val="none"/>
                <w:lang w:val="en-US" w:eastAsia="zh-CN"/>
              </w:rPr>
              <w:t>药品</w:t>
            </w:r>
            <w:r>
              <w:rPr>
                <w:rFonts w:hint="eastAsia" w:ascii="仿宋" w:hAnsi="仿宋" w:eastAsia="仿宋" w:cs="仿宋"/>
                <w:color w:val="auto"/>
                <w:sz w:val="24"/>
                <w:szCs w:val="24"/>
                <w:highlight w:val="none"/>
              </w:rPr>
              <w:t>管理</w:t>
            </w:r>
            <w:r>
              <w:rPr>
                <w:rFonts w:hint="eastAsia" w:ascii="仿宋" w:hAnsi="仿宋" w:eastAsia="仿宋" w:cs="仿宋"/>
                <w:color w:val="auto"/>
                <w:sz w:val="24"/>
                <w:szCs w:val="24"/>
                <w:highlight w:val="none"/>
                <w:lang w:eastAsia="zh-CN"/>
              </w:rPr>
              <w:t>。</w:t>
            </w:r>
          </w:p>
          <w:p w14:paraId="690AF6BF">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方案内容</w:t>
            </w:r>
            <w:r>
              <w:rPr>
                <w:rFonts w:hint="eastAsia" w:ascii="仿宋" w:hAnsi="仿宋" w:eastAsia="仿宋" w:cs="仿宋"/>
                <w:color w:val="auto"/>
                <w:sz w:val="24"/>
                <w:szCs w:val="24"/>
                <w:highlight w:val="none"/>
                <w:lang w:val="en-US" w:eastAsia="zh-CN"/>
              </w:rPr>
              <w:t>满足以上要求</w:t>
            </w:r>
            <w:r>
              <w:rPr>
                <w:rFonts w:hint="eastAsia" w:ascii="仿宋" w:hAnsi="仿宋" w:eastAsia="仿宋" w:cs="仿宋"/>
                <w:color w:val="auto"/>
                <w:sz w:val="24"/>
                <w:szCs w:val="24"/>
                <w:highlight w:val="none"/>
              </w:rPr>
              <w:t>无瑕疵得</w:t>
            </w:r>
            <w:r>
              <w:rPr>
                <w:rFonts w:hint="eastAsia" w:ascii="仿宋" w:hAnsi="仿宋" w:eastAsia="仿宋" w:cs="仿宋"/>
                <w:color w:val="auto"/>
                <w:sz w:val="24"/>
                <w:szCs w:val="24"/>
                <w:highlight w:val="none"/>
                <w:lang w:val="en-US" w:eastAsia="zh-CN"/>
              </w:rPr>
              <w:t>35</w:t>
            </w:r>
            <w:r>
              <w:rPr>
                <w:rFonts w:hint="eastAsia" w:ascii="仿宋" w:hAnsi="仿宋" w:eastAsia="仿宋" w:cs="仿宋"/>
                <w:color w:val="auto"/>
                <w:sz w:val="24"/>
                <w:szCs w:val="24"/>
                <w:highlight w:val="none"/>
              </w:rPr>
              <w:t>分，方案内容存在1处瑕疵得</w:t>
            </w:r>
            <w:r>
              <w:rPr>
                <w:rFonts w:hint="eastAsia" w:ascii="仿宋" w:hAnsi="仿宋" w:eastAsia="仿宋" w:cs="仿宋"/>
                <w:color w:val="auto"/>
                <w:sz w:val="24"/>
                <w:szCs w:val="24"/>
                <w:highlight w:val="none"/>
                <w:lang w:val="en-US" w:eastAsia="zh-CN"/>
              </w:rPr>
              <w:t>25</w:t>
            </w:r>
            <w:r>
              <w:rPr>
                <w:rFonts w:hint="eastAsia" w:ascii="仿宋" w:hAnsi="仿宋" w:eastAsia="仿宋" w:cs="仿宋"/>
                <w:color w:val="auto"/>
                <w:sz w:val="24"/>
                <w:szCs w:val="24"/>
                <w:highlight w:val="none"/>
              </w:rPr>
              <w:t>分，方案内容存在2处瑕疵得</w:t>
            </w:r>
            <w:r>
              <w:rPr>
                <w:rFonts w:hint="eastAsia" w:ascii="仿宋" w:hAnsi="仿宋" w:eastAsia="仿宋" w:cs="仿宋"/>
                <w:color w:val="auto"/>
                <w:sz w:val="24"/>
                <w:szCs w:val="24"/>
                <w:highlight w:val="none"/>
                <w:lang w:val="en-US" w:eastAsia="zh-CN"/>
              </w:rPr>
              <w:t>15</w:t>
            </w:r>
            <w:r>
              <w:rPr>
                <w:rFonts w:hint="eastAsia" w:ascii="仿宋" w:hAnsi="仿宋" w:eastAsia="仿宋" w:cs="仿宋"/>
                <w:color w:val="auto"/>
                <w:sz w:val="24"/>
                <w:szCs w:val="24"/>
                <w:highlight w:val="none"/>
              </w:rPr>
              <w:t>分，方案内容存在3处及以上瑕疵得</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分，未提供方案得0分。</w:t>
            </w:r>
          </w:p>
          <w:p w14:paraId="3447B47F">
            <w:pPr>
              <w:keepNext w:val="0"/>
              <w:keepLines w:val="0"/>
              <w:pageBreakBefore w:val="0"/>
              <w:widowControl w:val="0"/>
              <w:kinsoku/>
              <w:wordWrap/>
              <w:overflowPunct/>
              <w:topLinePunct w:val="0"/>
              <w:autoSpaceDE/>
              <w:autoSpaceDN/>
              <w:bidi w:val="0"/>
              <w:adjustRightInd/>
              <w:spacing w:line="400" w:lineRule="exact"/>
              <w:ind w:leftChars="0" w:firstLine="240"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（本项内容中所称的“瑕疵”指方案内容缺项、内容表述不完整</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方案内容表述前后矛盾、无连贯性，内容存在逻辑漏洞、常识错误并不适用本项目特性或非专门针对本项目特征制定、方案中并</w:t>
            </w:r>
            <w:r>
              <w:rPr>
                <w:rFonts w:hint="eastAsia" w:ascii="仿宋" w:hAnsi="仿宋" w:eastAsia="仿宋" w:cs="仿宋"/>
                <w:color w:val="auto"/>
                <w:sz w:val="24"/>
                <w:szCs w:val="24"/>
                <w:highlight w:val="none"/>
                <w:lang w:val="en-US" w:eastAsia="zh-CN"/>
              </w:rPr>
              <w:t>未</w:t>
            </w:r>
            <w:r>
              <w:rPr>
                <w:rFonts w:hint="eastAsia" w:ascii="仿宋" w:hAnsi="仿宋" w:eastAsia="仿宋" w:cs="仿宋"/>
                <w:color w:val="auto"/>
                <w:sz w:val="24"/>
                <w:szCs w:val="24"/>
                <w:highlight w:val="none"/>
              </w:rPr>
              <w:t>体现</w:t>
            </w:r>
            <w:r>
              <w:rPr>
                <w:rFonts w:hint="eastAsia" w:ascii="仿宋" w:hAnsi="仿宋" w:eastAsia="仿宋" w:cs="仿宋"/>
                <w:color w:val="auto"/>
                <w:sz w:val="24"/>
                <w:szCs w:val="24"/>
                <w:highlight w:val="none"/>
                <w:lang w:val="en-US" w:eastAsia="zh-CN"/>
              </w:rPr>
              <w:t>日常物资保障措施</w:t>
            </w:r>
            <w:r>
              <w:rPr>
                <w:rFonts w:hint="eastAsia" w:ascii="仿宋" w:hAnsi="仿宋" w:eastAsia="仿宋" w:cs="仿宋"/>
                <w:color w:val="auto"/>
                <w:sz w:val="24"/>
                <w:szCs w:val="24"/>
                <w:highlight w:val="none"/>
              </w:rPr>
              <w:t>或方案中提出的措施不利于本项目目标实现等任意一种情形。）</w:t>
            </w:r>
          </w:p>
        </w:tc>
        <w:tc>
          <w:tcPr>
            <w:tcW w:w="2475" w:type="dxa"/>
            <w:shd w:val="clear" w:color="auto" w:fill="auto"/>
            <w:vAlign w:val="center"/>
          </w:tcPr>
          <w:p w14:paraId="3983148D">
            <w:pPr>
              <w:keepNext w:val="0"/>
              <w:keepLines w:val="0"/>
              <w:pageBreakBefore w:val="0"/>
              <w:widowControl w:val="0"/>
              <w:kinsoku/>
              <w:wordWrap/>
              <w:overflowPunct/>
              <w:topLinePunct w:val="0"/>
              <w:autoSpaceDE/>
              <w:autoSpaceDN/>
              <w:bidi w:val="0"/>
              <w:adjustRightInd/>
              <w:spacing w:line="400" w:lineRule="exact"/>
              <w:ind w:leftChars="0" w:firstLine="480" w:firstLineChars="200"/>
              <w:jc w:val="left"/>
              <w:textAlignment w:val="auto"/>
              <w:rPr>
                <w:rFonts w:hint="eastAsia" w:ascii="仿宋" w:hAnsi="仿宋" w:eastAsia="仿宋" w:cs="仿宋"/>
                <w:color w:val="auto"/>
                <w:sz w:val="24"/>
                <w:szCs w:val="24"/>
                <w:highlight w:val="none"/>
                <w:lang w:val="en-US" w:eastAsia="zh-CN"/>
              </w:rPr>
            </w:pPr>
          </w:p>
        </w:tc>
      </w:tr>
      <w:tr w14:paraId="57A5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8" w:type="dxa"/>
            <w:vMerge w:val="continue"/>
            <w:vAlign w:val="center"/>
          </w:tcPr>
          <w:p w14:paraId="1A1F711B">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 w:hAnsi="仿宋" w:eastAsia="仿宋" w:cs="仿宋"/>
                <w:color w:val="auto"/>
                <w:sz w:val="24"/>
                <w:szCs w:val="24"/>
                <w:highlight w:val="none"/>
                <w:lang w:val="en-US" w:eastAsia="zh-CN"/>
              </w:rPr>
            </w:pPr>
          </w:p>
        </w:tc>
        <w:tc>
          <w:tcPr>
            <w:tcW w:w="1281" w:type="dxa"/>
            <w:vMerge w:val="continue"/>
            <w:vAlign w:val="center"/>
          </w:tcPr>
          <w:p w14:paraId="02AE0CEC">
            <w:pPr>
              <w:pageBreakBefore w:val="0"/>
              <w:widowControl w:val="0"/>
              <w:wordWrap/>
              <w:overflowPunct/>
              <w:topLinePunct w:val="0"/>
              <w:bidi w:val="0"/>
              <w:spacing w:line="400" w:lineRule="exact"/>
              <w:textAlignment w:val="auto"/>
              <w:rPr>
                <w:rFonts w:hint="eastAsia" w:ascii="仿宋" w:hAnsi="仿宋" w:eastAsia="仿宋" w:cs="仿宋"/>
                <w:color w:val="auto"/>
                <w:sz w:val="24"/>
                <w:szCs w:val="24"/>
                <w:highlight w:val="none"/>
                <w:lang w:val="en-US" w:eastAsia="zh-CN"/>
              </w:rPr>
            </w:pPr>
          </w:p>
        </w:tc>
        <w:tc>
          <w:tcPr>
            <w:tcW w:w="1092" w:type="dxa"/>
            <w:vAlign w:val="center"/>
          </w:tcPr>
          <w:p w14:paraId="5C2CE23F">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售后服务方案（20分）</w:t>
            </w:r>
          </w:p>
        </w:tc>
        <w:tc>
          <w:tcPr>
            <w:tcW w:w="4145" w:type="dxa"/>
            <w:shd w:val="clear" w:color="auto" w:fill="auto"/>
            <w:vAlign w:val="center"/>
          </w:tcPr>
          <w:p w14:paraId="4349915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售后服务方案</w:t>
            </w:r>
          </w:p>
          <w:p w14:paraId="32024FE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方案全面、措施有效、响应及时，具有可操作性，契合本项目需求。包括：</w:t>
            </w:r>
            <w:r>
              <w:rPr>
                <w:rFonts w:hint="eastAsia" w:ascii="仿宋" w:hAnsi="仿宋" w:eastAsia="仿宋" w:cs="仿宋"/>
                <w:color w:val="auto"/>
                <w:sz w:val="24"/>
                <w:szCs w:val="24"/>
                <w:highlight w:val="none"/>
              </w:rPr>
              <w:t>①</w:t>
            </w:r>
            <w:r>
              <w:rPr>
                <w:rFonts w:hint="eastAsia" w:ascii="仿宋" w:hAnsi="仿宋" w:eastAsia="仿宋" w:cs="仿宋"/>
                <w:color w:val="auto"/>
                <w:sz w:val="24"/>
                <w:szCs w:val="24"/>
                <w:highlight w:val="none"/>
                <w:lang w:eastAsia="zh-CN"/>
              </w:rPr>
              <w:t>采购人发生突发事件需要增援时，能安排人员组织货源并及时送货；</w:t>
            </w:r>
            <w:r>
              <w:rPr>
                <w:rFonts w:hint="eastAsia" w:ascii="仿宋" w:hAnsi="仿宋" w:eastAsia="仿宋" w:cs="仿宋"/>
                <w:color w:val="auto"/>
                <w:sz w:val="24"/>
                <w:szCs w:val="24"/>
                <w:highlight w:val="none"/>
              </w:rPr>
              <w:t>②不合格退换货应急预案；③公共卫生事件（</w:t>
            </w:r>
            <w:r>
              <w:rPr>
                <w:rFonts w:hint="eastAsia" w:ascii="仿宋" w:hAnsi="仿宋" w:eastAsia="仿宋" w:cs="仿宋"/>
                <w:color w:val="auto"/>
                <w:sz w:val="24"/>
                <w:szCs w:val="24"/>
                <w:highlight w:val="none"/>
                <w:lang w:val="en-US" w:eastAsia="zh-CN"/>
              </w:rPr>
              <w:t>病毒</w:t>
            </w:r>
            <w:r>
              <w:rPr>
                <w:rFonts w:hint="eastAsia" w:ascii="仿宋" w:hAnsi="仿宋" w:eastAsia="仿宋" w:cs="仿宋"/>
                <w:color w:val="auto"/>
                <w:sz w:val="24"/>
                <w:szCs w:val="24"/>
                <w:highlight w:val="none"/>
              </w:rPr>
              <w:t>、流感等）应急预案；</w:t>
            </w:r>
          </w:p>
          <w:p w14:paraId="29C066DF">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方案内容</w:t>
            </w:r>
            <w:r>
              <w:rPr>
                <w:rFonts w:hint="eastAsia" w:ascii="仿宋" w:hAnsi="仿宋" w:eastAsia="仿宋" w:cs="仿宋"/>
                <w:color w:val="auto"/>
                <w:sz w:val="24"/>
                <w:szCs w:val="24"/>
                <w:highlight w:val="none"/>
                <w:lang w:val="en-US" w:eastAsia="zh-CN"/>
              </w:rPr>
              <w:t>满足以上要求</w:t>
            </w:r>
            <w:r>
              <w:rPr>
                <w:rFonts w:hint="eastAsia" w:ascii="仿宋" w:hAnsi="仿宋" w:eastAsia="仿宋" w:cs="仿宋"/>
                <w:color w:val="auto"/>
                <w:sz w:val="24"/>
                <w:szCs w:val="24"/>
                <w:highlight w:val="none"/>
              </w:rPr>
              <w:t>无瑕疵得</w:t>
            </w:r>
            <w:r>
              <w:rPr>
                <w:rFonts w:hint="eastAsia" w:ascii="仿宋" w:hAnsi="仿宋" w:eastAsia="仿宋" w:cs="仿宋"/>
                <w:color w:val="auto"/>
                <w:sz w:val="24"/>
                <w:szCs w:val="24"/>
                <w:highlight w:val="none"/>
                <w:lang w:val="en-US" w:eastAsia="zh-CN"/>
              </w:rPr>
              <w:t>20</w:t>
            </w:r>
            <w:r>
              <w:rPr>
                <w:rFonts w:hint="eastAsia" w:ascii="仿宋" w:hAnsi="仿宋" w:eastAsia="仿宋" w:cs="仿宋"/>
                <w:color w:val="auto"/>
                <w:sz w:val="24"/>
                <w:szCs w:val="24"/>
                <w:highlight w:val="none"/>
              </w:rPr>
              <w:t>分，方案内容存在1处瑕疵得</w:t>
            </w:r>
            <w:r>
              <w:rPr>
                <w:rFonts w:hint="eastAsia" w:ascii="仿宋" w:hAnsi="仿宋" w:eastAsia="仿宋" w:cs="仿宋"/>
                <w:color w:val="auto"/>
                <w:sz w:val="24"/>
                <w:szCs w:val="24"/>
                <w:highlight w:val="none"/>
                <w:lang w:val="en-US" w:eastAsia="zh-CN"/>
              </w:rPr>
              <w:t>15</w:t>
            </w:r>
            <w:r>
              <w:rPr>
                <w:rFonts w:hint="eastAsia" w:ascii="仿宋" w:hAnsi="仿宋" w:eastAsia="仿宋" w:cs="仿宋"/>
                <w:color w:val="auto"/>
                <w:sz w:val="24"/>
                <w:szCs w:val="24"/>
                <w:highlight w:val="none"/>
              </w:rPr>
              <w:t>分，方案内容存在2处瑕疵得</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分，方案内容存在3处及以上瑕疵得</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分，未提供方案得0分。</w:t>
            </w:r>
          </w:p>
          <w:p w14:paraId="44ADC636">
            <w:pPr>
              <w:keepNext w:val="0"/>
              <w:keepLines w:val="0"/>
              <w:pageBreakBefore w:val="0"/>
              <w:widowControl w:val="0"/>
              <w:kinsoku/>
              <w:wordWrap/>
              <w:overflowPunct/>
              <w:topLinePunct w:val="0"/>
              <w:autoSpaceDE/>
              <w:autoSpaceDN/>
              <w:bidi w:val="0"/>
              <w:adjustRightInd/>
              <w:spacing w:line="400" w:lineRule="exact"/>
              <w:ind w:leftChars="0" w:firstLine="240"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（本项内容中所称的“瑕疵”指方案内容缺项、内容表述不完整</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方案内容表述前后矛盾、无连贯性，内容存在逻辑漏洞、常识错误并不适用本项目特性或非专门针对本项目特征制定、方案中并</w:t>
            </w:r>
            <w:r>
              <w:rPr>
                <w:rFonts w:hint="eastAsia" w:ascii="仿宋" w:hAnsi="仿宋" w:eastAsia="仿宋" w:cs="仿宋"/>
                <w:color w:val="auto"/>
                <w:sz w:val="24"/>
                <w:szCs w:val="24"/>
                <w:highlight w:val="none"/>
                <w:lang w:val="en-US" w:eastAsia="zh-CN"/>
              </w:rPr>
              <w:t>未</w:t>
            </w:r>
            <w:r>
              <w:rPr>
                <w:rFonts w:hint="eastAsia" w:ascii="仿宋" w:hAnsi="仿宋" w:eastAsia="仿宋" w:cs="仿宋"/>
                <w:color w:val="auto"/>
                <w:sz w:val="24"/>
                <w:szCs w:val="24"/>
                <w:highlight w:val="none"/>
              </w:rPr>
              <w:t>体现</w:t>
            </w:r>
            <w:r>
              <w:rPr>
                <w:rFonts w:hint="eastAsia" w:ascii="仿宋" w:hAnsi="仿宋" w:eastAsia="仿宋" w:cs="仿宋"/>
                <w:color w:val="auto"/>
                <w:sz w:val="24"/>
                <w:szCs w:val="24"/>
                <w:highlight w:val="none"/>
                <w:lang w:val="en-US" w:eastAsia="zh-CN"/>
              </w:rPr>
              <w:t>应急处理措施</w:t>
            </w:r>
            <w:r>
              <w:rPr>
                <w:rFonts w:hint="eastAsia" w:ascii="仿宋" w:hAnsi="仿宋" w:eastAsia="仿宋" w:cs="仿宋"/>
                <w:color w:val="auto"/>
                <w:sz w:val="24"/>
                <w:szCs w:val="24"/>
                <w:highlight w:val="none"/>
              </w:rPr>
              <w:t>或方案中提出的措施不利于本项目目标实现等任意一种情形。）</w:t>
            </w:r>
          </w:p>
        </w:tc>
        <w:tc>
          <w:tcPr>
            <w:tcW w:w="2475" w:type="dxa"/>
            <w:shd w:val="clear" w:color="auto" w:fill="auto"/>
            <w:vAlign w:val="center"/>
          </w:tcPr>
          <w:p w14:paraId="488B545B">
            <w:pPr>
              <w:keepNext w:val="0"/>
              <w:keepLines w:val="0"/>
              <w:pageBreakBefore w:val="0"/>
              <w:widowControl w:val="0"/>
              <w:kinsoku/>
              <w:wordWrap/>
              <w:overflowPunct/>
              <w:topLinePunct w:val="0"/>
              <w:autoSpaceDE/>
              <w:autoSpaceDN/>
              <w:bidi w:val="0"/>
              <w:adjustRightInd/>
              <w:spacing w:line="400" w:lineRule="exact"/>
              <w:ind w:leftChars="0" w:firstLine="480" w:firstLineChars="200"/>
              <w:jc w:val="left"/>
              <w:textAlignment w:val="auto"/>
              <w:rPr>
                <w:rFonts w:hint="eastAsia" w:ascii="仿宋" w:hAnsi="仿宋" w:eastAsia="仿宋" w:cs="仿宋"/>
                <w:color w:val="auto"/>
                <w:sz w:val="24"/>
                <w:szCs w:val="24"/>
                <w:highlight w:val="none"/>
                <w:lang w:val="en-US" w:eastAsia="zh-CN"/>
              </w:rPr>
            </w:pPr>
          </w:p>
        </w:tc>
      </w:tr>
      <w:tr w14:paraId="4136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728" w:type="dxa"/>
            <w:vMerge w:val="restart"/>
            <w:vAlign w:val="center"/>
          </w:tcPr>
          <w:p w14:paraId="4F53DF56">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1281" w:type="dxa"/>
            <w:vMerge w:val="restart"/>
            <w:vAlign w:val="center"/>
          </w:tcPr>
          <w:p w14:paraId="0A641EF2">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商务部分</w:t>
            </w:r>
          </w:p>
          <w:p w14:paraId="6D1278CC">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（15%）</w:t>
            </w:r>
          </w:p>
        </w:tc>
        <w:tc>
          <w:tcPr>
            <w:tcW w:w="1092" w:type="dxa"/>
            <w:shd w:val="clear" w:color="auto" w:fill="auto"/>
            <w:vAlign w:val="center"/>
          </w:tcPr>
          <w:p w14:paraId="118612D6">
            <w:pPr>
              <w:pageBreakBefore w:val="0"/>
              <w:widowControl w:val="0"/>
              <w:wordWrap/>
              <w:overflowPunct/>
              <w:topLinePunct w:val="0"/>
              <w:bidi w:val="0"/>
              <w:spacing w:line="400" w:lineRule="exact"/>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业绩（10）</w:t>
            </w:r>
          </w:p>
        </w:tc>
        <w:tc>
          <w:tcPr>
            <w:tcW w:w="4145" w:type="dxa"/>
            <w:shd w:val="clear" w:color="auto" w:fill="auto"/>
            <w:vAlign w:val="center"/>
          </w:tcPr>
          <w:p w14:paraId="21F56491">
            <w:pPr>
              <w:pageBreakBefore w:val="0"/>
              <w:widowControl w:val="0"/>
              <w:wordWrap/>
              <w:overflowPunct/>
              <w:topLinePunct w:val="0"/>
              <w:bidi w:val="0"/>
              <w:spacing w:line="400" w:lineRule="exact"/>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bidi="ar-SA"/>
              </w:rPr>
              <w:t>供应商自2021年1月1日（含）至本项目首次发布招标公告时间前，具有</w:t>
            </w:r>
            <w:r>
              <w:rPr>
                <w:rFonts w:hint="eastAsia" w:ascii="仿宋" w:hAnsi="仿宋" w:eastAsia="仿宋" w:cs="仿宋"/>
                <w:color w:val="auto"/>
                <w:kern w:val="0"/>
                <w:sz w:val="24"/>
                <w:szCs w:val="24"/>
                <w:highlight w:val="none"/>
              </w:rPr>
              <w:t>重庆市内二级以上公立医院配送</w:t>
            </w:r>
            <w:r>
              <w:rPr>
                <w:rFonts w:hint="eastAsia" w:ascii="仿宋" w:hAnsi="仿宋" w:eastAsia="仿宋" w:cs="仿宋"/>
                <w:color w:val="auto"/>
                <w:kern w:val="0"/>
                <w:sz w:val="24"/>
                <w:szCs w:val="24"/>
                <w:highlight w:val="none"/>
                <w:lang w:val="en-US" w:eastAsia="zh-CN"/>
              </w:rPr>
              <w:t>业绩</w:t>
            </w:r>
            <w:r>
              <w:rPr>
                <w:rFonts w:hint="eastAsia" w:ascii="仿宋" w:hAnsi="仿宋" w:eastAsia="仿宋" w:cs="仿宋"/>
                <w:color w:val="auto"/>
                <w:kern w:val="0"/>
                <w:sz w:val="24"/>
                <w:szCs w:val="24"/>
                <w:highlight w:val="none"/>
                <w:lang w:val="en-US" w:eastAsia="zh-CN" w:bidi="ar-SA"/>
              </w:rPr>
              <w:t>，每提供一份得2分，</w:t>
            </w:r>
            <w:r>
              <w:rPr>
                <w:rFonts w:hint="eastAsia" w:ascii="仿宋" w:hAnsi="仿宋" w:eastAsia="仿宋" w:cs="仿宋"/>
                <w:color w:val="auto"/>
                <w:kern w:val="2"/>
                <w:sz w:val="24"/>
                <w:szCs w:val="24"/>
                <w:highlight w:val="none"/>
                <w:lang w:val="en-US" w:eastAsia="zh-CN" w:bidi="ar-SA"/>
              </w:rPr>
              <w:t>此项</w:t>
            </w:r>
            <w:r>
              <w:rPr>
                <w:rFonts w:hint="eastAsia" w:ascii="仿宋" w:hAnsi="仿宋" w:eastAsia="仿宋" w:cs="仿宋"/>
                <w:color w:val="auto"/>
                <w:kern w:val="0"/>
                <w:sz w:val="24"/>
                <w:szCs w:val="24"/>
                <w:highlight w:val="none"/>
                <w:lang w:val="en-US" w:eastAsia="zh-CN" w:bidi="ar-SA"/>
              </w:rPr>
              <w:t>最多可得10分。</w:t>
            </w:r>
          </w:p>
        </w:tc>
        <w:tc>
          <w:tcPr>
            <w:tcW w:w="2475" w:type="dxa"/>
            <w:shd w:val="clear" w:color="auto" w:fill="auto"/>
            <w:vAlign w:val="center"/>
          </w:tcPr>
          <w:p w14:paraId="4FBE5BE7">
            <w:pPr>
              <w:pageBreakBefore w:val="0"/>
              <w:widowControl w:val="0"/>
              <w:wordWrap/>
              <w:overflowPunct/>
              <w:topLinePunct w:val="0"/>
              <w:bidi w:val="0"/>
              <w:spacing w:line="400" w:lineRule="exact"/>
              <w:textAlignment w:val="auto"/>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提供合同复印件加盖供应商公章。</w:t>
            </w:r>
          </w:p>
        </w:tc>
      </w:tr>
      <w:tr w14:paraId="0460A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2" w:hRule="atLeast"/>
        </w:trPr>
        <w:tc>
          <w:tcPr>
            <w:tcW w:w="728" w:type="dxa"/>
            <w:vMerge w:val="continue"/>
            <w:vAlign w:val="center"/>
          </w:tcPr>
          <w:p w14:paraId="359FA24D">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 w:hAnsi="仿宋" w:eastAsia="仿宋" w:cs="仿宋"/>
                <w:color w:val="auto"/>
                <w:sz w:val="24"/>
                <w:szCs w:val="24"/>
                <w:highlight w:val="none"/>
                <w:lang w:val="en-US" w:eastAsia="zh-CN"/>
              </w:rPr>
            </w:pPr>
            <w:bookmarkStart w:id="81" w:name="_Toc12002"/>
            <w:bookmarkStart w:id="82" w:name="_Toc439685496"/>
          </w:p>
        </w:tc>
        <w:tc>
          <w:tcPr>
            <w:tcW w:w="1281" w:type="dxa"/>
            <w:vMerge w:val="continue"/>
            <w:vAlign w:val="center"/>
          </w:tcPr>
          <w:p w14:paraId="3CB57D09">
            <w:pPr>
              <w:keepNext w:val="0"/>
              <w:keepLines w:val="0"/>
              <w:pageBreakBefore w:val="0"/>
              <w:widowControl w:val="0"/>
              <w:kinsoku/>
              <w:wordWrap/>
              <w:overflowPunct/>
              <w:topLinePunct w:val="0"/>
              <w:autoSpaceDE/>
              <w:autoSpaceDN/>
              <w:bidi w:val="0"/>
              <w:adjustRightInd/>
              <w:spacing w:line="400" w:lineRule="exact"/>
              <w:ind w:leftChars="0"/>
              <w:jc w:val="left"/>
              <w:textAlignment w:val="auto"/>
              <w:rPr>
                <w:rFonts w:hint="eastAsia" w:ascii="仿宋" w:hAnsi="仿宋" w:eastAsia="仿宋" w:cs="仿宋"/>
                <w:color w:val="auto"/>
                <w:sz w:val="24"/>
                <w:szCs w:val="24"/>
                <w:highlight w:val="none"/>
                <w:lang w:val="en-US" w:eastAsia="zh-CN"/>
              </w:rPr>
            </w:pPr>
          </w:p>
        </w:tc>
        <w:tc>
          <w:tcPr>
            <w:tcW w:w="1092" w:type="dxa"/>
            <w:shd w:val="clear" w:color="auto" w:fill="auto"/>
            <w:vAlign w:val="center"/>
          </w:tcPr>
          <w:p w14:paraId="02D7DD2E">
            <w:pPr>
              <w:pageBreakBefore w:val="0"/>
              <w:widowControl w:val="0"/>
              <w:wordWrap/>
              <w:overflowPunct/>
              <w:topLinePunct w:val="0"/>
              <w:bidi w:val="0"/>
              <w:spacing w:line="400" w:lineRule="exact"/>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响应时间（5分）</w:t>
            </w:r>
          </w:p>
        </w:tc>
        <w:tc>
          <w:tcPr>
            <w:tcW w:w="4145" w:type="dxa"/>
            <w:shd w:val="clear" w:color="auto" w:fill="auto"/>
            <w:vAlign w:val="center"/>
          </w:tcPr>
          <w:p w14:paraId="2657885D">
            <w:pPr>
              <w:keepNext w:val="0"/>
              <w:keepLines w:val="0"/>
              <w:pageBreakBefore w:val="0"/>
              <w:widowControl w:val="0"/>
              <w:kinsoku w:val="0"/>
              <w:wordWrap/>
              <w:overflowPunct/>
              <w:topLinePunct w:val="0"/>
              <w:autoSpaceDE w:val="0"/>
              <w:autoSpaceDN w:val="0"/>
              <w:bidi w:val="0"/>
              <w:adjustRightInd w:val="0"/>
              <w:snapToGrid w:val="0"/>
              <w:spacing w:line="400" w:lineRule="exact"/>
              <w:ind w:left="0" w:leftChars="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1、承诺收到订单后响应时间为1小时、配送时间正常为24小时，得2分；72小时以内（不含本数），得1分；72小时以上不得分。</w:t>
            </w:r>
          </w:p>
          <w:p w14:paraId="51DA4C45">
            <w:pPr>
              <w:keepNext w:val="0"/>
              <w:keepLines w:val="0"/>
              <w:pageBreakBefore w:val="0"/>
              <w:widowControl w:val="0"/>
              <w:kinsoku w:val="0"/>
              <w:wordWrap/>
              <w:overflowPunct/>
              <w:topLinePunct w:val="0"/>
              <w:autoSpaceDE w:val="0"/>
              <w:autoSpaceDN w:val="0"/>
              <w:bidi w:val="0"/>
              <w:adjustRightInd w:val="0"/>
              <w:snapToGrid w:val="0"/>
              <w:spacing w:line="400" w:lineRule="exact"/>
              <w:ind w:left="0" w:leftChars="0" w:firstLine="480" w:firstLineChars="200"/>
              <w:jc w:val="both"/>
              <w:textAlignment w:val="auto"/>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sz w:val="24"/>
                <w:szCs w:val="24"/>
                <w:highlight w:val="none"/>
                <w:lang w:val="en-US" w:eastAsia="zh-CN"/>
              </w:rPr>
              <w:t>2、承诺因产品质量问题退换货时间为24小时内，得3分；72小时内，得2分，其他问题退换货24小时以内得1分，24小时以上不得分。</w:t>
            </w:r>
          </w:p>
        </w:tc>
        <w:tc>
          <w:tcPr>
            <w:tcW w:w="2475" w:type="dxa"/>
            <w:shd w:val="clear" w:color="auto" w:fill="auto"/>
            <w:vAlign w:val="center"/>
          </w:tcPr>
          <w:p w14:paraId="4E96A19F">
            <w:pPr>
              <w:pageBreakBefore w:val="0"/>
              <w:widowControl w:val="0"/>
              <w:wordWrap/>
              <w:overflowPunct/>
              <w:topLinePunct w:val="0"/>
              <w:bidi w:val="0"/>
              <w:spacing w:line="400" w:lineRule="exact"/>
              <w:textAlignment w:val="auto"/>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sz w:val="24"/>
                <w:szCs w:val="24"/>
                <w:highlight w:val="none"/>
                <w:lang w:val="en-US" w:eastAsia="zh-CN"/>
              </w:rPr>
              <w:t>承诺函格式自拟</w:t>
            </w:r>
          </w:p>
        </w:tc>
      </w:tr>
      <w:bookmarkEnd w:id="72"/>
    </w:tbl>
    <w:p w14:paraId="6DEBCAAC">
      <w:pPr>
        <w:pStyle w:val="4"/>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三、无效响应</w:t>
      </w:r>
      <w:bookmarkEnd w:id="81"/>
      <w:bookmarkEnd w:id="82"/>
    </w:p>
    <w:p w14:paraId="6C3B03CE">
      <w:pPr>
        <w:pageBreakBefore w:val="0"/>
        <w:widowControl w:val="0"/>
        <w:kinsoku/>
        <w:wordWrap/>
        <w:overflowPunct/>
        <w:topLinePunct w:val="0"/>
        <w:autoSpaceDE/>
        <w:autoSpaceDN/>
        <w:bidi w:val="0"/>
        <w:snapToGrid w:val="0"/>
        <w:spacing w:line="400" w:lineRule="exact"/>
        <w:ind w:leftChars="0" w:firstLine="480" w:firstLineChars="200"/>
        <w:jc w:val="left"/>
        <w:textAlignment w:val="auto"/>
        <w:rPr>
          <w:rFonts w:hint="eastAsia" w:ascii="仿宋" w:hAnsi="仿宋" w:eastAsia="仿宋" w:cs="仿宋"/>
          <w:color w:val="auto"/>
          <w:sz w:val="24"/>
          <w:szCs w:val="24"/>
          <w:highlight w:val="none"/>
        </w:rPr>
      </w:pPr>
      <w:bookmarkStart w:id="83" w:name="_Toc439685497"/>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发生以下条款情况之一者，视为无效响应，其投标文件将被拒绝：</w:t>
      </w:r>
    </w:p>
    <w:p w14:paraId="382B9225">
      <w:pPr>
        <w:pageBreakBefore w:val="0"/>
        <w:widowControl w:val="0"/>
        <w:kinsoku/>
        <w:wordWrap/>
        <w:overflowPunct/>
        <w:topLinePunct w:val="0"/>
        <w:autoSpaceDE/>
        <w:autoSpaceDN/>
        <w:bidi w:val="0"/>
        <w:snapToGrid w:val="0"/>
        <w:spacing w:line="400" w:lineRule="exact"/>
        <w:ind w:leftChars="0"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不符合规定的基本资格条件或特定资格条件的；</w:t>
      </w:r>
    </w:p>
    <w:p w14:paraId="72462FB7">
      <w:pPr>
        <w:pageBreakBefore w:val="0"/>
        <w:widowControl w:val="0"/>
        <w:kinsoku/>
        <w:wordWrap/>
        <w:overflowPunct/>
        <w:topLinePunct w:val="0"/>
        <w:autoSpaceDE/>
        <w:autoSpaceDN/>
        <w:bidi w:val="0"/>
        <w:snapToGrid w:val="0"/>
        <w:spacing w:line="400" w:lineRule="exact"/>
        <w:ind w:leftChars="0"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的法定代表人或其授权代表未参加比选；</w:t>
      </w:r>
    </w:p>
    <w:p w14:paraId="5EA8F87A">
      <w:pPr>
        <w:pageBreakBefore w:val="0"/>
        <w:widowControl w:val="0"/>
        <w:kinsoku/>
        <w:wordWrap/>
        <w:overflowPunct/>
        <w:topLinePunct w:val="0"/>
        <w:autoSpaceDE/>
        <w:autoSpaceDN/>
        <w:bidi w:val="0"/>
        <w:snapToGrid w:val="0"/>
        <w:spacing w:line="400" w:lineRule="exact"/>
        <w:ind w:leftChars="0"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未按照比选文件的要求缴纳比选保证金；</w:t>
      </w:r>
    </w:p>
    <w:p w14:paraId="12B1969C">
      <w:pPr>
        <w:pageBreakBefore w:val="0"/>
        <w:widowControl w:val="0"/>
        <w:kinsoku/>
        <w:wordWrap/>
        <w:overflowPunct/>
        <w:topLinePunct w:val="0"/>
        <w:autoSpaceDE/>
        <w:autoSpaceDN/>
        <w:bidi w:val="0"/>
        <w:snapToGrid w:val="0"/>
        <w:spacing w:line="400" w:lineRule="exact"/>
        <w:ind w:leftChars="0"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所提交的投标文件不按第七篇“投标文件编制要求”规定签字、盖章；</w:t>
      </w:r>
    </w:p>
    <w:p w14:paraId="2D6509E3">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的报价超过采购预算的；</w:t>
      </w:r>
    </w:p>
    <w:p w14:paraId="453794E8">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（六）单位负责人为同一人或者存在直接控股、管理关系的不同</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，参加同一合同项下的政府采购活动的；</w:t>
      </w:r>
    </w:p>
    <w:p w14:paraId="6B319C57">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（七）为采购项目提供整体设计、规范编制或者项目管理、监理、检测等服务的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，再参加该采购项目的其他采购活动；</w:t>
      </w:r>
    </w:p>
    <w:p w14:paraId="64130DCC">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（八）所提供的产品不符合必须强制执行的国家标准的；</w:t>
      </w:r>
    </w:p>
    <w:p w14:paraId="06C85642">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（九）</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的服务时间、服务质保期及比选有效期不满足比选文件要求的；</w:t>
      </w:r>
    </w:p>
    <w:p w14:paraId="444E0239">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投标文件内容有与国家现行法律法规相违背的内容，或附有采购人无法接受的条件。</w:t>
      </w:r>
    </w:p>
    <w:p w14:paraId="29A1E14B">
      <w:pPr>
        <w:pStyle w:val="4"/>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仿宋" w:hAnsi="仿宋" w:eastAsia="仿宋" w:cs="仿宋"/>
          <w:b/>
          <w:bCs/>
          <w:color w:val="auto"/>
          <w:sz w:val="24"/>
          <w:szCs w:val="24"/>
          <w:highlight w:val="none"/>
          <w:lang w:val="en-US" w:eastAsia="zh-CN"/>
        </w:rPr>
      </w:pPr>
      <w:bookmarkStart w:id="84" w:name="_Toc8276"/>
      <w:r>
        <w:rPr>
          <w:rFonts w:hint="eastAsia" w:ascii="仿宋" w:hAnsi="仿宋" w:eastAsia="仿宋" w:cs="仿宋"/>
          <w:b/>
          <w:bCs/>
          <w:color w:val="auto"/>
          <w:sz w:val="24"/>
          <w:szCs w:val="24"/>
          <w:highlight w:val="none"/>
          <w:lang w:val="en-US" w:eastAsia="zh-CN"/>
        </w:rPr>
        <w:t>四、采购终止</w:t>
      </w:r>
      <w:bookmarkEnd w:id="83"/>
      <w:bookmarkEnd w:id="84"/>
    </w:p>
    <w:p w14:paraId="4AAA900B">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出现下列情形之一的，采购人或者采购代理机构应当终止比选采购活动，发布项目终止公告并说明原因，重新开展采购活动：</w:t>
      </w:r>
    </w:p>
    <w:p w14:paraId="0765921D">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（一）因情况变化，不再符合规定的比选采购方式适用情形的；</w:t>
      </w:r>
    </w:p>
    <w:p w14:paraId="0A5E90DE">
      <w:pPr>
        <w:pageBreakBefore w:val="0"/>
        <w:widowControl w:val="0"/>
        <w:kinsoku/>
        <w:wordWrap/>
        <w:overflowPunct/>
        <w:topLinePunct w:val="0"/>
        <w:autoSpaceDE/>
        <w:autoSpaceDN/>
        <w:bidi w:val="0"/>
        <w:snapToGrid w:val="0"/>
        <w:spacing w:line="400" w:lineRule="exact"/>
        <w:ind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（二）出现影响采购公正的违法、违规行为的；</w:t>
      </w:r>
    </w:p>
    <w:p w14:paraId="1D66F67B">
      <w:pPr>
        <w:pageBreakBefore w:val="0"/>
        <w:kinsoku/>
        <w:wordWrap/>
        <w:overflowPunct/>
        <w:topLinePunct w:val="0"/>
        <w:autoSpaceDE/>
        <w:autoSpaceDN/>
        <w:bidi w:val="0"/>
        <w:spacing w:line="400" w:lineRule="exact"/>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624BFD18">
      <w:pPr>
        <w:pStyle w:val="3"/>
        <w:spacing w:before="0" w:beforeLines="0" w:after="0" w:afterLines="0" w:line="360" w:lineRule="auto"/>
        <w:rPr>
          <w:rFonts w:hint="eastAsia" w:ascii="仿宋" w:hAnsi="仿宋" w:eastAsia="仿宋" w:cs="仿宋"/>
          <w:color w:val="auto"/>
          <w:sz w:val="52"/>
          <w:szCs w:val="52"/>
          <w:highlight w:val="none"/>
          <w:lang w:val="en-US" w:eastAsia="zh-CN"/>
        </w:rPr>
      </w:pPr>
      <w:bookmarkStart w:id="85" w:name="_Toc10568"/>
      <w:r>
        <w:rPr>
          <w:rFonts w:hint="eastAsia" w:ascii="仿宋" w:hAnsi="仿宋" w:eastAsia="仿宋" w:cs="仿宋"/>
          <w:color w:val="auto"/>
          <w:sz w:val="52"/>
          <w:szCs w:val="52"/>
          <w:highlight w:val="none"/>
          <w:lang w:val="en-US" w:eastAsia="zh-CN"/>
        </w:rPr>
        <w:t>第五篇  供应商须知</w:t>
      </w:r>
      <w:bookmarkEnd w:id="85"/>
    </w:p>
    <w:p w14:paraId="742FBF9E">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86" w:name="_Toc439685499"/>
      <w:bookmarkStart w:id="87" w:name="_Toc342913389"/>
      <w:bookmarkStart w:id="88" w:name="_Toc22530"/>
      <w:r>
        <w:rPr>
          <w:rFonts w:hint="eastAsia" w:ascii="仿宋" w:hAnsi="仿宋" w:eastAsia="仿宋" w:cs="仿宋"/>
          <w:b/>
          <w:color w:val="auto"/>
          <w:sz w:val="24"/>
          <w:szCs w:val="24"/>
          <w:highlight w:val="none"/>
        </w:rPr>
        <w:t>一、比选费用</w:t>
      </w:r>
      <w:bookmarkEnd w:id="86"/>
      <w:bookmarkEnd w:id="87"/>
      <w:bookmarkEnd w:id="88"/>
    </w:p>
    <w:p w14:paraId="6318F07A">
      <w:pPr>
        <w:pStyle w:val="39"/>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参与比选的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应承担其编制投标文件与递交投标文件所涉及的一切费用，不论比选结果如何，采购人在任何情况下无义务也无责任承担这些费用。</w:t>
      </w:r>
    </w:p>
    <w:p w14:paraId="5533C167">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89" w:name="_Toc439685500"/>
      <w:bookmarkStart w:id="90" w:name="_Toc342913391"/>
      <w:bookmarkStart w:id="91" w:name="_Toc2762"/>
      <w:r>
        <w:rPr>
          <w:rFonts w:hint="eastAsia" w:ascii="仿宋" w:hAnsi="仿宋" w:eastAsia="仿宋" w:cs="仿宋"/>
          <w:b/>
          <w:color w:val="auto"/>
          <w:sz w:val="24"/>
          <w:szCs w:val="24"/>
          <w:highlight w:val="none"/>
        </w:rPr>
        <w:t>二、</w:t>
      </w:r>
      <w:bookmarkEnd w:id="89"/>
      <w:bookmarkEnd w:id="90"/>
      <w:r>
        <w:rPr>
          <w:rFonts w:hint="eastAsia" w:ascii="仿宋" w:hAnsi="仿宋" w:eastAsia="仿宋" w:cs="仿宋"/>
          <w:b/>
          <w:color w:val="auto"/>
          <w:sz w:val="24"/>
          <w:szCs w:val="24"/>
          <w:highlight w:val="none"/>
        </w:rPr>
        <w:t>比选文件</w:t>
      </w:r>
      <w:bookmarkEnd w:id="91"/>
    </w:p>
    <w:p w14:paraId="6230EDE8">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bookmarkStart w:id="92" w:name="_Toc342913392"/>
      <w:bookmarkStart w:id="93" w:name="_Toc179714297"/>
      <w:bookmarkStart w:id="94" w:name="_Toc439685501"/>
      <w:bookmarkStart w:id="95" w:name="_Toc102227318"/>
      <w:r>
        <w:rPr>
          <w:rFonts w:hint="eastAsia" w:ascii="仿宋" w:hAnsi="仿宋" w:eastAsia="仿宋" w:cs="仿宋"/>
          <w:color w:val="auto"/>
          <w:sz w:val="24"/>
          <w:szCs w:val="24"/>
          <w:highlight w:val="none"/>
        </w:rPr>
        <w:t>（一）比选文件由采购邀请书、项目服务需求、项目商务需求、比选程序及方法、评审标准、无效响应和采购终止、</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须知、合同草案条款、投标文件编制要求七部分组成。</w:t>
      </w:r>
    </w:p>
    <w:p w14:paraId="570FF2EA">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（二）采购人或采购代理机构所作的一切有效的书面通知、修改及补充，都是比选文件不可分割的部分。</w:t>
      </w:r>
    </w:p>
    <w:p w14:paraId="3916477E">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（三）比选文件的解释</w:t>
      </w:r>
    </w:p>
    <w:p w14:paraId="4C4D5E42">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如对比选文件有疑问，必须以书面形式在提交投标文件截止时间3个工作日前向采购人或采购代理机构要求澄清，采购人或采购代理机构可视具体情况做出处理或答复。如</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未提出疑问，视为完全理解并同意本比选文件。一经进入比选程序，即视为</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已详细阅读全部文件资料，完全理解比选文件所有条款内容并同意放弃对这方面有不明白及误解的权利。</w:t>
      </w:r>
      <w:bookmarkStart w:id="96" w:name="_Toc318166429"/>
      <w:bookmarkStart w:id="97" w:name="_Toc318159780"/>
      <w:bookmarkStart w:id="98" w:name="_Toc318159160"/>
      <w:bookmarkStart w:id="99" w:name="_Toc318159349"/>
    </w:p>
    <w:p w14:paraId="1B181F0D">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（四）本比选文件中，比选小组根据与</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进行比选可能实质性变动的内容为比选文件第二、三、六篇全部内容。</w:t>
      </w:r>
    </w:p>
    <w:p w14:paraId="4C26E125">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（五）评审的依据为比选文件和投标文件（含有效的书面承诺）。比选小组判断投标文件对比选文件的响应，仅基于投标文件本身而不靠外部证据。</w:t>
      </w:r>
    </w:p>
    <w:bookmarkEnd w:id="96"/>
    <w:bookmarkEnd w:id="97"/>
    <w:bookmarkEnd w:id="98"/>
    <w:bookmarkEnd w:id="99"/>
    <w:p w14:paraId="6C502D7C">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100" w:name="_Toc8829"/>
      <w:r>
        <w:rPr>
          <w:rFonts w:hint="eastAsia" w:ascii="仿宋" w:hAnsi="仿宋" w:eastAsia="仿宋" w:cs="仿宋"/>
          <w:b/>
          <w:color w:val="auto"/>
          <w:sz w:val="24"/>
          <w:szCs w:val="24"/>
          <w:highlight w:val="none"/>
        </w:rPr>
        <w:t>三、比选要求</w:t>
      </w:r>
      <w:bookmarkEnd w:id="92"/>
      <w:bookmarkEnd w:id="93"/>
      <w:bookmarkEnd w:id="94"/>
      <w:bookmarkEnd w:id="95"/>
      <w:bookmarkEnd w:id="100"/>
    </w:p>
    <w:p w14:paraId="6EC4D2AE">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bookmarkStart w:id="101" w:name="_Toc439685502"/>
      <w:r>
        <w:rPr>
          <w:rFonts w:hint="eastAsia" w:ascii="仿宋" w:hAnsi="仿宋" w:eastAsia="仿宋" w:cs="仿宋"/>
          <w:color w:val="auto"/>
          <w:sz w:val="24"/>
          <w:szCs w:val="24"/>
          <w:highlight w:val="none"/>
        </w:rPr>
        <w:t>（一）投标文件</w:t>
      </w:r>
    </w:p>
    <w:p w14:paraId="267ACBEF">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应当按照比选文件的要求编制投标文件，并对比选文件提出的要求和条件作出实质性响应，投标文件原则上采用软面订本，同时应编制完整的页码、目录。</w:t>
      </w:r>
    </w:p>
    <w:p w14:paraId="5633A67E">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2.投标文件组成</w:t>
      </w:r>
    </w:p>
    <w:p w14:paraId="457F25C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投标文件由第七篇“投标文件编制要求”规定的部分和</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所作的一切有效补充、修改和承诺等文件组成，</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应按照第七篇“投标文件编制要求”规定的目录顺序组织编写和装订，也可在基本格式基础上对表格进行扩展，未规定格式的由</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自定格式。</w:t>
      </w:r>
    </w:p>
    <w:p w14:paraId="70682F98">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（二）联合体</w:t>
      </w:r>
    </w:p>
    <w:p w14:paraId="4E2F0467">
      <w:pPr>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本项目不接受联合体比选。</w:t>
      </w:r>
    </w:p>
    <w:p w14:paraId="1823545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（三）比选有效期：投标文件及有关承诺文件有效期为提交投标文件截止时间起90天。</w:t>
      </w:r>
    </w:p>
    <w:p w14:paraId="40FFBE1F">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（四）比选保证金：</w:t>
      </w:r>
    </w:p>
    <w:p w14:paraId="068737F2">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提交保证金金额和方式详见本文件第一篇“五、比选保证金”；</w:t>
      </w:r>
    </w:p>
    <w:p w14:paraId="53941CF0">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2.发生以下情况之一者，比选保证金不予退还：</w:t>
      </w:r>
    </w:p>
    <w:p w14:paraId="743545DC">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2.1 </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在提交投标文件截止时间后撤回投标文件的；</w:t>
      </w:r>
    </w:p>
    <w:p w14:paraId="4B97BD78">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2.2 </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在投标文件中提供虚假材料的；</w:t>
      </w:r>
    </w:p>
    <w:p w14:paraId="6F264F1F">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2.3 除因不可抗力或比选文件认可的情形以外，</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不与采购人签订合同的；</w:t>
      </w:r>
    </w:p>
    <w:p w14:paraId="0A3979A8">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2.4 </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与采购人、其他</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或者采购代理机构恶意串通的；</w:t>
      </w:r>
    </w:p>
    <w:p w14:paraId="5850A1FE">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2.5 </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不按规定的时间或拒绝按</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状态签订合同（即不按照竞争性比选文件确定的合同文本以及采购标的、规格型号、采购金额、采购数量、服务和</w:t>
      </w:r>
      <w:r>
        <w:rPr>
          <w:rFonts w:hint="eastAsia" w:ascii="仿宋" w:hAnsi="仿宋" w:eastAsia="仿宋" w:cs="仿宋"/>
          <w:color w:val="auto"/>
          <w:sz w:val="24"/>
          <w:szCs w:val="24"/>
          <w:highlight w:val="none"/>
          <w:lang w:val="en-US" w:eastAsia="zh-CN"/>
        </w:rPr>
        <w:t>商务</w:t>
      </w:r>
      <w:r>
        <w:rPr>
          <w:rFonts w:hint="eastAsia" w:ascii="仿宋" w:hAnsi="仿宋" w:eastAsia="仿宋" w:cs="仿宋"/>
          <w:color w:val="auto"/>
          <w:sz w:val="24"/>
          <w:szCs w:val="24"/>
          <w:highlight w:val="none"/>
        </w:rPr>
        <w:t>要求等事项签订采购合同的。）。</w:t>
      </w:r>
    </w:p>
    <w:p w14:paraId="77B6BFD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（四）修正错误</w:t>
      </w:r>
    </w:p>
    <w:p w14:paraId="20C8CEB5">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1.若</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所递交的投标文件中的价格出现大写金额和小写金额不一致的错误，以大写金额修正为准。</w:t>
      </w:r>
    </w:p>
    <w:p w14:paraId="799F1871">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2.比选小组按上述修正错误的原则及方法修正</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的报价，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同意并签字确认后，修正后的报价对</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具有约束作用。如果</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不接受修正后的价格，将失去成为</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的资格。</w:t>
      </w:r>
    </w:p>
    <w:p w14:paraId="242AE916">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（五）提交投标文件的份数和签署</w:t>
      </w:r>
    </w:p>
    <w:p w14:paraId="558AC867">
      <w:pPr>
        <w:keepNext w:val="0"/>
        <w:keepLines w:val="0"/>
        <w:pageBreakBefore w:val="0"/>
        <w:widowControl w:val="0"/>
        <w:kinsoku/>
        <w:wordWrap/>
        <w:overflowPunct/>
        <w:topLinePunct w:val="0"/>
        <w:autoSpaceDE/>
        <w:autoSpaceDN/>
        <w:bidi w:val="0"/>
        <w:adjustRightInd/>
        <w:snapToGrid w:val="0"/>
        <w:spacing w:line="400" w:lineRule="exact"/>
        <w:ind w:lef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kern w:val="2"/>
          <w:sz w:val="24"/>
          <w:szCs w:val="24"/>
          <w:highlight w:val="none"/>
          <w:lang w:val="en-US" w:eastAsia="zh-CN" w:bidi="ar-SA"/>
        </w:rPr>
        <w:t>投标文件一式二份，其中正本一份，副本一份，副本可为正本的复印件，应与正本一致。</w:t>
      </w:r>
    </w:p>
    <w:p w14:paraId="46C2396D">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2.在投标文件中，正本必须按第七篇投标文件编制要求签字、盖章，副本可为正本的复印件，应与正本一致，如出现不一致情况以正本为准。</w:t>
      </w:r>
    </w:p>
    <w:p w14:paraId="35703F22">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（六）投标文件的递交</w:t>
      </w:r>
    </w:p>
    <w:p w14:paraId="6710F27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1.投标文件的密封与标记</w:t>
      </w:r>
    </w:p>
    <w:p w14:paraId="4681031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投标文件的正本一份和副本</w:t>
      </w:r>
      <w:r>
        <w:rPr>
          <w:rFonts w:hint="eastAsia" w:ascii="仿宋" w:hAnsi="仿宋" w:eastAsia="仿宋" w:cs="仿宋"/>
          <w:color w:val="auto"/>
          <w:sz w:val="24"/>
          <w:szCs w:val="24"/>
          <w:highlight w:val="none"/>
          <w:lang w:val="en-US" w:eastAsia="zh-CN"/>
        </w:rPr>
        <w:t>一</w:t>
      </w:r>
      <w:r>
        <w:rPr>
          <w:rFonts w:hint="eastAsia" w:ascii="仿宋" w:hAnsi="仿宋" w:eastAsia="仿宋" w:cs="仿宋"/>
          <w:color w:val="auto"/>
          <w:sz w:val="24"/>
          <w:szCs w:val="24"/>
          <w:highlight w:val="none"/>
        </w:rPr>
        <w:t>份装入一个密封袋。密封袋上注明项目编号、项目名称、</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名称字样。密封袋的封口应加盖</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公章或法人授权代表签字并有字样：</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eastAsia="zh-CN"/>
        </w:rPr>
        <w:t>年</w:t>
      </w:r>
      <w:r>
        <w:rPr>
          <w:rFonts w:hint="eastAsia" w:ascii="仿宋" w:hAnsi="仿宋" w:eastAsia="仿宋" w:cs="仿宋"/>
          <w:color w:val="auto"/>
          <w:sz w:val="24"/>
          <w:szCs w:val="24"/>
          <w:highlight w:val="none"/>
        </w:rPr>
        <w:t xml:space="preserve">  月   日</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时</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分（北京时间）前不得开启的密封条。</w:t>
      </w:r>
    </w:p>
    <w:p w14:paraId="17266DF5">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2.投标文件递交截止时间：参阅采购邀请书。</w:t>
      </w:r>
    </w:p>
    <w:p w14:paraId="06362B3A">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3.投标文件语言：简体中文</w:t>
      </w:r>
    </w:p>
    <w:p w14:paraId="043C7331">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参与人员</w:t>
      </w:r>
    </w:p>
    <w:p w14:paraId="0FFFB8D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各个</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可派1-2名代表参与比选，至少1人应为法定代表人或具有法定代表人授权委托书的授权代表。</w:t>
      </w:r>
    </w:p>
    <w:p w14:paraId="206CFD14">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102" w:name="_Toc17519"/>
      <w:r>
        <w:rPr>
          <w:rFonts w:hint="eastAsia" w:ascii="仿宋" w:hAnsi="仿宋" w:eastAsia="仿宋" w:cs="仿宋"/>
          <w:b/>
          <w:color w:val="auto"/>
          <w:sz w:val="24"/>
          <w:szCs w:val="24"/>
          <w:highlight w:val="none"/>
        </w:rPr>
        <w:t>四、</w:t>
      </w:r>
      <w:r>
        <w:rPr>
          <w:rFonts w:hint="eastAsia" w:ascii="仿宋" w:hAnsi="仿宋" w:eastAsia="仿宋" w:cs="仿宋"/>
          <w:b/>
          <w:color w:val="auto"/>
          <w:sz w:val="24"/>
          <w:szCs w:val="24"/>
          <w:highlight w:val="none"/>
          <w:lang w:eastAsia="zh-CN"/>
        </w:rPr>
        <w:t>中标人</w:t>
      </w:r>
      <w:r>
        <w:rPr>
          <w:rFonts w:hint="eastAsia" w:ascii="仿宋" w:hAnsi="仿宋" w:eastAsia="仿宋" w:cs="仿宋"/>
          <w:b/>
          <w:color w:val="auto"/>
          <w:sz w:val="24"/>
          <w:szCs w:val="24"/>
          <w:highlight w:val="none"/>
        </w:rPr>
        <w:t>的确认和变更</w:t>
      </w:r>
      <w:bookmarkEnd w:id="101"/>
      <w:bookmarkEnd w:id="102"/>
    </w:p>
    <w:p w14:paraId="70654A91">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bookmarkStart w:id="103" w:name="_Toc342913395"/>
      <w:bookmarkStart w:id="104" w:name="_Toc439685503"/>
      <w:bookmarkStart w:id="105" w:name="_Toc102227321"/>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的确认</w:t>
      </w:r>
    </w:p>
    <w:p w14:paraId="7D24F38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采购代理机构应当在评审结束后2个工作日内将评审报告送采购人确认。采购人应当在收到评审报告后5个工作日内，从评审报告提出的</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候选</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中，按照排序由高到低的原则确定</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，也可以书面授权比选小组直接确定</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。采购人逾期未确定</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且不提出异议的，视为确定评审报告提出的排序第一的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为</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w:t>
      </w:r>
    </w:p>
    <w:p w14:paraId="304E2D34">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的变更</w:t>
      </w:r>
    </w:p>
    <w:p w14:paraId="691DE20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拒绝签订政府采购合同的，采购人可以按照评审报告推荐的</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顺序，确定排名下一位的候选人为</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，也可以重新开展政府采购活动。拒绝签订政府采购合同的</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不得参加对该项目重新开展的采购活动。</w:t>
      </w:r>
    </w:p>
    <w:p w14:paraId="327FFC7A">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无充分理由放弃</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的，采购人将会同采购代理机构把相关情况报财政部门，财政部门将根据相关法律法规的规定对违规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进行处罚。</w:t>
      </w:r>
    </w:p>
    <w:p w14:paraId="518A65FA">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106" w:name="_Toc30697"/>
      <w:r>
        <w:rPr>
          <w:rFonts w:hint="eastAsia" w:ascii="仿宋" w:hAnsi="仿宋" w:eastAsia="仿宋" w:cs="仿宋"/>
          <w:b/>
          <w:color w:val="auto"/>
          <w:sz w:val="24"/>
          <w:szCs w:val="24"/>
          <w:highlight w:val="none"/>
        </w:rPr>
        <w:t>五、</w:t>
      </w:r>
      <w:r>
        <w:rPr>
          <w:rFonts w:hint="eastAsia" w:ascii="仿宋" w:hAnsi="仿宋" w:eastAsia="仿宋" w:cs="仿宋"/>
          <w:b/>
          <w:color w:val="auto"/>
          <w:sz w:val="24"/>
          <w:szCs w:val="24"/>
          <w:highlight w:val="none"/>
          <w:lang w:val="en-US" w:eastAsia="zh-CN"/>
        </w:rPr>
        <w:t>成交（</w:t>
      </w:r>
      <w:r>
        <w:rPr>
          <w:rFonts w:hint="eastAsia" w:ascii="仿宋" w:hAnsi="仿宋" w:eastAsia="仿宋" w:cs="仿宋"/>
          <w:b/>
          <w:color w:val="auto"/>
          <w:sz w:val="24"/>
          <w:szCs w:val="24"/>
          <w:highlight w:val="none"/>
          <w:lang w:eastAsia="zh-CN"/>
        </w:rPr>
        <w:t>中标）</w:t>
      </w:r>
      <w:r>
        <w:rPr>
          <w:rFonts w:hint="eastAsia" w:ascii="仿宋" w:hAnsi="仿宋" w:eastAsia="仿宋" w:cs="仿宋"/>
          <w:b/>
          <w:color w:val="auto"/>
          <w:sz w:val="24"/>
          <w:szCs w:val="24"/>
          <w:highlight w:val="none"/>
        </w:rPr>
        <w:t>通知</w:t>
      </w:r>
      <w:bookmarkEnd w:id="103"/>
      <w:bookmarkEnd w:id="104"/>
      <w:bookmarkEnd w:id="105"/>
      <w:bookmarkEnd w:id="106"/>
    </w:p>
    <w:p w14:paraId="59818F7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bookmarkStart w:id="107" w:name="_Toc439685504"/>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确定后，采购代理机构将在</w:t>
      </w:r>
      <w:r>
        <w:rPr>
          <w:rFonts w:hint="eastAsia" w:ascii="仿宋" w:hAnsi="仿宋" w:eastAsia="仿宋" w:cs="仿宋"/>
          <w:color w:val="auto"/>
          <w:kern w:val="0"/>
          <w:sz w:val="24"/>
          <w:szCs w:val="24"/>
          <w:highlight w:val="none"/>
        </w:rPr>
        <w:t>行采家（https://www.gec123.com/）</w:t>
      </w:r>
      <w:r>
        <w:rPr>
          <w:rFonts w:hint="eastAsia" w:ascii="仿宋" w:hAnsi="仿宋" w:eastAsia="仿宋" w:cs="仿宋"/>
          <w:color w:val="auto"/>
          <w:sz w:val="24"/>
          <w:szCs w:val="24"/>
          <w:highlight w:val="none"/>
        </w:rPr>
        <w:t>上发布</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lang w:eastAsia="zh-CN"/>
        </w:rPr>
        <w:t>中标）</w:t>
      </w:r>
      <w:r>
        <w:rPr>
          <w:rFonts w:hint="eastAsia" w:ascii="仿宋" w:hAnsi="仿宋" w:eastAsia="仿宋" w:cs="仿宋"/>
          <w:color w:val="auto"/>
          <w:sz w:val="24"/>
          <w:szCs w:val="24"/>
          <w:highlight w:val="none"/>
        </w:rPr>
        <w:t>结果公告。</w:t>
      </w:r>
    </w:p>
    <w:p w14:paraId="1B236B7C">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（二）结果公告发出同时，采购代理机构将以书面形式发出《</w:t>
      </w:r>
      <w:r>
        <w:rPr>
          <w:rFonts w:hint="eastAsia" w:ascii="仿宋" w:hAnsi="仿宋" w:eastAsia="仿宋" w:cs="仿宋"/>
          <w:color w:val="auto"/>
          <w:sz w:val="24"/>
          <w:szCs w:val="24"/>
          <w:highlight w:val="none"/>
          <w:lang w:val="en-US" w:eastAsia="zh-CN"/>
        </w:rPr>
        <w:t>成交（中标）</w:t>
      </w:r>
      <w:r>
        <w:rPr>
          <w:rFonts w:hint="eastAsia" w:ascii="仿宋" w:hAnsi="仿宋" w:eastAsia="仿宋" w:cs="仿宋"/>
          <w:color w:val="auto"/>
          <w:sz w:val="24"/>
          <w:szCs w:val="24"/>
          <w:highlight w:val="none"/>
        </w:rPr>
        <w:t>通知书》。《</w:t>
      </w:r>
      <w:r>
        <w:rPr>
          <w:rFonts w:hint="eastAsia" w:ascii="仿宋" w:hAnsi="仿宋" w:eastAsia="仿宋" w:cs="仿宋"/>
          <w:color w:val="auto"/>
          <w:sz w:val="24"/>
          <w:szCs w:val="24"/>
          <w:highlight w:val="none"/>
          <w:lang w:val="en-US" w:eastAsia="zh-CN"/>
        </w:rPr>
        <w:t>成交（中标）</w:t>
      </w:r>
      <w:r>
        <w:rPr>
          <w:rFonts w:hint="eastAsia" w:ascii="仿宋" w:hAnsi="仿宋" w:eastAsia="仿宋" w:cs="仿宋"/>
          <w:color w:val="auto"/>
          <w:sz w:val="24"/>
          <w:szCs w:val="24"/>
          <w:highlight w:val="none"/>
        </w:rPr>
        <w:t>通知书》一经发出即发生法律效力。</w:t>
      </w:r>
    </w:p>
    <w:p w14:paraId="75001D68">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val="en-US" w:eastAsia="zh-CN"/>
        </w:rPr>
        <w:t>成交（中标）</w:t>
      </w:r>
      <w:r>
        <w:rPr>
          <w:rFonts w:hint="eastAsia" w:ascii="仿宋" w:hAnsi="仿宋" w:eastAsia="仿宋" w:cs="仿宋"/>
          <w:color w:val="auto"/>
          <w:sz w:val="24"/>
          <w:szCs w:val="24"/>
          <w:highlight w:val="none"/>
        </w:rPr>
        <w:t>通知书》将作为签订合同的依据。</w:t>
      </w:r>
    </w:p>
    <w:p w14:paraId="7EC21E32">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（四）如有</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结果提出质疑的，在质疑处理完毕后发出</w:t>
      </w:r>
      <w:r>
        <w:rPr>
          <w:rFonts w:hint="eastAsia" w:ascii="仿宋" w:hAnsi="仿宋" w:eastAsia="仿宋" w:cs="仿宋"/>
          <w:color w:val="auto"/>
          <w:sz w:val="24"/>
          <w:szCs w:val="24"/>
          <w:highlight w:val="none"/>
          <w:lang w:val="en-US" w:eastAsia="zh-CN"/>
        </w:rPr>
        <w:t>成交（中标）</w:t>
      </w:r>
      <w:r>
        <w:rPr>
          <w:rFonts w:hint="eastAsia" w:ascii="仿宋" w:hAnsi="仿宋" w:eastAsia="仿宋" w:cs="仿宋"/>
          <w:color w:val="auto"/>
          <w:sz w:val="24"/>
          <w:szCs w:val="24"/>
          <w:highlight w:val="none"/>
        </w:rPr>
        <w:t>通知书</w:t>
      </w:r>
      <w:r>
        <w:rPr>
          <w:rFonts w:hint="eastAsia" w:ascii="仿宋" w:hAnsi="仿宋" w:eastAsia="仿宋" w:cs="仿宋"/>
          <w:color w:val="auto"/>
          <w:sz w:val="24"/>
          <w:szCs w:val="24"/>
          <w:highlight w:val="none"/>
          <w:lang w:eastAsia="zh-CN"/>
        </w:rPr>
        <w:t>。</w:t>
      </w:r>
    </w:p>
    <w:p w14:paraId="491366DE">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108" w:name="_Toc21561"/>
      <w:r>
        <w:rPr>
          <w:rFonts w:hint="eastAsia" w:ascii="仿宋" w:hAnsi="仿宋" w:eastAsia="仿宋" w:cs="仿宋"/>
          <w:b/>
          <w:color w:val="auto"/>
          <w:sz w:val="24"/>
          <w:szCs w:val="24"/>
          <w:highlight w:val="none"/>
        </w:rPr>
        <w:t>六、关于质疑和投诉</w:t>
      </w:r>
      <w:bookmarkEnd w:id="107"/>
      <w:bookmarkEnd w:id="108"/>
    </w:p>
    <w:p w14:paraId="4EC99EF0">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bookmarkStart w:id="109" w:name="_Toc102227322"/>
      <w:bookmarkStart w:id="110" w:name="_Toc439685507"/>
      <w:bookmarkStart w:id="111" w:name="_Toc342913396"/>
      <w:r>
        <w:rPr>
          <w:rFonts w:hint="eastAsia" w:ascii="仿宋" w:hAnsi="仿宋" w:eastAsia="仿宋" w:cs="仿宋"/>
          <w:color w:val="auto"/>
          <w:sz w:val="24"/>
          <w:szCs w:val="24"/>
          <w:highlight w:val="none"/>
        </w:rPr>
        <w:t>（一）质疑</w:t>
      </w:r>
    </w:p>
    <w:p w14:paraId="68587072">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认为竞争性比选文件、采购过程和</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结果使自己的权益收到伤害的，可向采购人或采购代理机构以书面形式提出质疑。</w:t>
      </w:r>
    </w:p>
    <w:p w14:paraId="52BE9342">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提出质疑的应当是参与所质疑项目采购活动的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w:t>
      </w:r>
    </w:p>
    <w:p w14:paraId="5A72AFA9">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1.质疑内容、时限</w:t>
      </w:r>
    </w:p>
    <w:p w14:paraId="68FFC190">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认为竞争性比选文件、采购过程、</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结果使自己的权益受到损害的，可以在知道或者应知其权益受到损害之日起7个工作日内，以书面形式向采购人、采购代理机构提出质疑。</w:t>
      </w:r>
    </w:p>
    <w:p w14:paraId="206256D4">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1.2 </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提出质疑应当提交质疑函和必要的证明材料，质疑函应当包括下列内容：</w:t>
      </w:r>
    </w:p>
    <w:p w14:paraId="226CD398">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的姓名或者名称、地址、邮编、联系人及联系电话；</w:t>
      </w:r>
    </w:p>
    <w:p w14:paraId="361639C4">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（2）质疑项目的名称、项目号以及招标项目编号；</w:t>
      </w:r>
    </w:p>
    <w:p w14:paraId="43AAD109">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（3）具体、明确的质疑事项和与质疑事项相关的请求；</w:t>
      </w:r>
    </w:p>
    <w:p w14:paraId="220A259C">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（4）事实依据；</w:t>
      </w:r>
    </w:p>
    <w:p w14:paraId="32A8D18F">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（5）必要的法律依据；</w:t>
      </w:r>
    </w:p>
    <w:p w14:paraId="13093BD6">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（6）提出质疑的日期；</w:t>
      </w:r>
    </w:p>
    <w:p w14:paraId="7C55EB52">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（7）营业执照（或事业单位法人证书，或个体工商户营业执照或有效的自然人身份证明、组织机构代码证）复印件；</w:t>
      </w:r>
    </w:p>
    <w:p w14:paraId="2AB14A7F">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（8）法定代表人授权委托书原件、法定代表人身份证复印件和其授权代表的身份证复印件（</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为自然人的提供自然人身份证复印件）；</w:t>
      </w:r>
    </w:p>
    <w:p w14:paraId="42F3EB60">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1.3 </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为自然人的，质疑函应当由本人签字；</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为法人或者其他组织的，质疑函应当由法定代表人、主要负责人，或者其授权代表签字或者盖章，并加盖公章。</w:t>
      </w:r>
    </w:p>
    <w:p w14:paraId="70A1422A">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2.质疑答复</w:t>
      </w:r>
    </w:p>
    <w:p w14:paraId="26FC4961">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采购人、采购代理机构应当在收到</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的书面质疑后七个工作日内作出答复，并以书面形式通知质疑</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和其他有关</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w:t>
      </w:r>
    </w:p>
    <w:p w14:paraId="2855AF99">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3.其他</w:t>
      </w:r>
    </w:p>
    <w:p w14:paraId="38AE5585">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3.1 </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应按照《政府采购质疑和投诉办法》（财政部令第94号）及相关法律法规要求，在法定质疑期内一次性提出针对同一采购程序环节的质疑。</w:t>
      </w:r>
    </w:p>
    <w:p w14:paraId="049AB6F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3.2 质疑函范本可在财政部门户网站和中国政府采购网下载。</w:t>
      </w:r>
    </w:p>
    <w:p w14:paraId="6C77D1D8">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（二）投诉</w:t>
      </w:r>
    </w:p>
    <w:p w14:paraId="1CCBFF5C">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对采购人、采购代理机构的答复不满意，或者采购人、采购代理机构未在规定时间内作出答复的，可以在答复期满后15个工作日内按照相关法律法规向财政部门提起投诉。</w:t>
      </w:r>
    </w:p>
    <w:p w14:paraId="6B6424E5">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应按照《政府采购质疑和投诉办法》（财政部令第94号）及相关法律法规要求递交投诉书和必要的证明材料。投诉书范本可在财政部门户网站和中国政府采购网下载。</w:t>
      </w:r>
    </w:p>
    <w:p w14:paraId="2978A2C1">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709392B1">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4.在确定受理投诉后，财政部门自受理投诉之日起30个工作日内（需要检验、检测、鉴定、专家评审以及需要投诉人补正材料的，所需时间不计算在投诉处理期限内）对投诉事项做出处理决定。</w:t>
      </w:r>
    </w:p>
    <w:p w14:paraId="1DCAA4B9">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112" w:name="_Toc21249"/>
      <w:r>
        <w:rPr>
          <w:rFonts w:hint="eastAsia" w:ascii="仿宋" w:hAnsi="仿宋" w:eastAsia="仿宋" w:cs="仿宋"/>
          <w:b/>
          <w:color w:val="auto"/>
          <w:sz w:val="24"/>
          <w:szCs w:val="24"/>
          <w:highlight w:val="none"/>
        </w:rPr>
        <w:t>七、采购代理服务费</w:t>
      </w:r>
      <w:bookmarkEnd w:id="112"/>
    </w:p>
    <w:p w14:paraId="78CA6866">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eastAsia="zh-CN"/>
        </w:rPr>
        <w:t>各</w:t>
      </w:r>
      <w:r>
        <w:rPr>
          <w:rFonts w:hint="eastAsia" w:ascii="仿宋" w:hAnsi="仿宋" w:eastAsia="仿宋" w:cs="仿宋"/>
          <w:color w:val="auto"/>
          <w:sz w:val="24"/>
          <w:szCs w:val="24"/>
          <w:highlight w:val="none"/>
        </w:rPr>
        <w:t>中标人在领取</w:t>
      </w:r>
      <w:r>
        <w:rPr>
          <w:rFonts w:hint="eastAsia" w:ascii="仿宋" w:hAnsi="仿宋" w:eastAsia="仿宋" w:cs="仿宋"/>
          <w:color w:val="auto"/>
          <w:sz w:val="24"/>
          <w:szCs w:val="24"/>
          <w:highlight w:val="none"/>
          <w:lang w:eastAsia="zh-CN"/>
        </w:rPr>
        <w:t>中标</w:t>
      </w:r>
      <w:r>
        <w:rPr>
          <w:rFonts w:hint="eastAsia" w:ascii="仿宋" w:hAnsi="仿宋" w:eastAsia="仿宋" w:cs="仿宋"/>
          <w:color w:val="auto"/>
          <w:sz w:val="24"/>
          <w:szCs w:val="24"/>
          <w:highlight w:val="none"/>
        </w:rPr>
        <w:t>通知书时</w:t>
      </w:r>
      <w:r>
        <w:rPr>
          <w:rFonts w:hint="eastAsia" w:ascii="仿宋" w:hAnsi="仿宋" w:eastAsia="仿宋" w:cs="仿宋"/>
          <w:color w:val="auto"/>
          <w:sz w:val="24"/>
          <w:szCs w:val="24"/>
          <w:highlight w:val="none"/>
          <w:lang w:val="en-US" w:eastAsia="zh-CN"/>
        </w:rPr>
        <w:t>分别</w:t>
      </w:r>
      <w:r>
        <w:rPr>
          <w:rFonts w:hint="eastAsia" w:ascii="仿宋" w:hAnsi="仿宋" w:eastAsia="仿宋" w:cs="仿宋"/>
          <w:color w:val="auto"/>
          <w:sz w:val="24"/>
          <w:szCs w:val="24"/>
          <w:highlight w:val="none"/>
        </w:rPr>
        <w:t>向采购代理机构支付招标代理服务费</w:t>
      </w:r>
      <w:r>
        <w:rPr>
          <w:rFonts w:hint="eastAsia" w:ascii="仿宋" w:hAnsi="仿宋" w:eastAsia="仿宋" w:cs="仿宋"/>
          <w:color w:val="auto"/>
          <w:sz w:val="24"/>
          <w:szCs w:val="24"/>
          <w:highlight w:val="none"/>
          <w:lang w:val="en-US" w:eastAsia="zh-CN"/>
        </w:rPr>
        <w:t>1500元。</w:t>
      </w:r>
    </w:p>
    <w:p w14:paraId="767557AA">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（二）服务费以转账方式支付。</w:t>
      </w:r>
    </w:p>
    <w:p w14:paraId="1B54ECCD">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（三）采购代理服务费缴纳账号：</w:t>
      </w:r>
    </w:p>
    <w:p w14:paraId="736306A1">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户名：重庆市尊诺项目管理有限公司</w:t>
      </w:r>
    </w:p>
    <w:p w14:paraId="7FC69824">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开户行：中国建设银行股份有限公司重庆南坪支行</w:t>
      </w:r>
    </w:p>
    <w:p w14:paraId="4300D345">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帐号：5005  0107  3600  0000  3341</w:t>
      </w:r>
    </w:p>
    <w:p w14:paraId="4F8A984F">
      <w:pPr>
        <w:pStyle w:val="4"/>
        <w:pageBreakBefore w:val="0"/>
        <w:widowControl w:val="0"/>
        <w:kinsoku/>
        <w:wordWrap/>
        <w:overflowPunct/>
        <w:topLinePunct w:val="0"/>
        <w:autoSpaceDE/>
        <w:autoSpaceDN/>
        <w:bidi w:val="0"/>
        <w:spacing w:line="400" w:lineRule="exact"/>
        <w:ind w:firstLine="482" w:firstLineChars="200"/>
        <w:textAlignment w:val="auto"/>
        <w:rPr>
          <w:rFonts w:hint="eastAsia" w:ascii="仿宋" w:hAnsi="仿宋" w:eastAsia="仿宋" w:cs="仿宋"/>
          <w:b/>
          <w:color w:val="auto"/>
          <w:sz w:val="24"/>
          <w:szCs w:val="24"/>
          <w:highlight w:val="none"/>
        </w:rPr>
      </w:pPr>
      <w:bookmarkStart w:id="113" w:name="_Toc29616"/>
      <w:r>
        <w:rPr>
          <w:rFonts w:hint="eastAsia" w:ascii="仿宋" w:hAnsi="仿宋" w:eastAsia="仿宋" w:cs="仿宋"/>
          <w:b/>
          <w:color w:val="auto"/>
          <w:sz w:val="24"/>
          <w:szCs w:val="24"/>
          <w:highlight w:val="none"/>
        </w:rPr>
        <w:t>八、签订</w:t>
      </w:r>
      <w:bookmarkEnd w:id="109"/>
      <w:r>
        <w:rPr>
          <w:rFonts w:hint="eastAsia" w:ascii="仿宋" w:hAnsi="仿宋" w:eastAsia="仿宋" w:cs="仿宋"/>
          <w:b/>
          <w:color w:val="auto"/>
          <w:sz w:val="24"/>
          <w:szCs w:val="24"/>
          <w:highlight w:val="none"/>
        </w:rPr>
        <w:t>合同</w:t>
      </w:r>
      <w:bookmarkEnd w:id="110"/>
      <w:bookmarkEnd w:id="111"/>
      <w:bookmarkEnd w:id="113"/>
    </w:p>
    <w:p w14:paraId="2C87871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（一）采购人与</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应当在</w:t>
      </w:r>
      <w:r>
        <w:rPr>
          <w:rFonts w:hint="eastAsia" w:ascii="仿宋" w:hAnsi="仿宋" w:eastAsia="仿宋" w:cs="仿宋"/>
          <w:color w:val="auto"/>
          <w:sz w:val="24"/>
          <w:szCs w:val="24"/>
          <w:highlight w:val="none"/>
          <w:lang w:val="en-US" w:eastAsia="zh-CN"/>
        </w:rPr>
        <w:t>成交（中标）</w:t>
      </w:r>
      <w:r>
        <w:rPr>
          <w:rFonts w:hint="eastAsia" w:ascii="仿宋" w:hAnsi="仿宋" w:eastAsia="仿宋" w:cs="仿宋"/>
          <w:color w:val="auto"/>
          <w:sz w:val="24"/>
          <w:szCs w:val="24"/>
          <w:highlight w:val="none"/>
        </w:rPr>
        <w:t>通知书发出之日起</w:t>
      </w:r>
      <w:r>
        <w:rPr>
          <w:rFonts w:hint="eastAsia" w:ascii="仿宋" w:hAnsi="仿宋" w:eastAsia="仿宋" w:cs="仿宋"/>
          <w:color w:val="auto"/>
          <w:sz w:val="24"/>
          <w:szCs w:val="24"/>
          <w:highlight w:val="none"/>
          <w:lang w:val="en-US" w:eastAsia="zh-CN"/>
        </w:rPr>
        <w:t>20</w:t>
      </w:r>
      <w:r>
        <w:rPr>
          <w:rFonts w:hint="eastAsia" w:ascii="仿宋" w:hAnsi="仿宋" w:eastAsia="仿宋" w:cs="仿宋"/>
          <w:color w:val="auto"/>
          <w:sz w:val="24"/>
          <w:szCs w:val="24"/>
          <w:highlight w:val="none"/>
        </w:rPr>
        <w:t>日内，按照竞争性比选文件确定的合同文本以及采购标的、规格型号、采购金额、采购数量、服务和服务要求等事项签订采购合同。</w:t>
      </w:r>
    </w:p>
    <w:p w14:paraId="1B619867">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（二）比选文件、</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的投标文件及有效承诺文件等，均为签订合同的依据。</w:t>
      </w:r>
    </w:p>
    <w:p w14:paraId="2632F710">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（三）如</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放弃</w:t>
      </w:r>
      <w:r>
        <w:rPr>
          <w:rFonts w:hint="eastAsia" w:ascii="仿宋" w:hAnsi="仿宋" w:eastAsia="仿宋" w:cs="仿宋"/>
          <w:color w:val="auto"/>
          <w:sz w:val="24"/>
          <w:szCs w:val="24"/>
          <w:highlight w:val="none"/>
          <w:lang w:eastAsia="zh-CN"/>
        </w:rPr>
        <w:t>中标</w:t>
      </w:r>
      <w:r>
        <w:rPr>
          <w:rFonts w:hint="eastAsia" w:ascii="仿宋" w:hAnsi="仿宋" w:eastAsia="仿宋" w:cs="仿宋"/>
          <w:color w:val="auto"/>
          <w:sz w:val="24"/>
          <w:szCs w:val="24"/>
          <w:highlight w:val="none"/>
        </w:rPr>
        <w:t>项目或在签订合同时擅自改变</w:t>
      </w:r>
      <w:r>
        <w:rPr>
          <w:rFonts w:hint="eastAsia" w:ascii="仿宋" w:hAnsi="仿宋" w:eastAsia="仿宋" w:cs="仿宋"/>
          <w:color w:val="auto"/>
          <w:sz w:val="24"/>
          <w:szCs w:val="24"/>
          <w:highlight w:val="none"/>
          <w:lang w:eastAsia="zh-CN"/>
        </w:rPr>
        <w:t>中标</w:t>
      </w:r>
      <w:r>
        <w:rPr>
          <w:rFonts w:hint="eastAsia" w:ascii="仿宋" w:hAnsi="仿宋" w:eastAsia="仿宋" w:cs="仿宋"/>
          <w:color w:val="auto"/>
          <w:sz w:val="24"/>
          <w:szCs w:val="24"/>
          <w:highlight w:val="none"/>
        </w:rPr>
        <w:t>状态的，采购人将按照相关法律法规处理。</w:t>
      </w:r>
    </w:p>
    <w:p w14:paraId="61A91069">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（四）采购人不得向</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提出超出比选文件以外的任何要求作为签订合同的条件，不得与</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订立背离比选确定的合同文本以及采购标的、规格型号、采购金额、采购数量、服务和服务要求等实质性内容的协议。</w:t>
      </w:r>
    </w:p>
    <w:p w14:paraId="4275DE16">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（五）除不可抗力等因素外，</w:t>
      </w:r>
      <w:r>
        <w:rPr>
          <w:rFonts w:hint="eastAsia" w:ascii="仿宋" w:hAnsi="仿宋" w:eastAsia="仿宋" w:cs="仿宋"/>
          <w:color w:val="auto"/>
          <w:sz w:val="24"/>
          <w:szCs w:val="24"/>
          <w:highlight w:val="none"/>
          <w:lang w:val="en-US" w:eastAsia="zh-CN"/>
        </w:rPr>
        <w:t>成交（中标）</w:t>
      </w:r>
      <w:r>
        <w:rPr>
          <w:rFonts w:hint="eastAsia" w:ascii="仿宋" w:hAnsi="仿宋" w:eastAsia="仿宋" w:cs="仿宋"/>
          <w:color w:val="auto"/>
          <w:sz w:val="24"/>
          <w:szCs w:val="24"/>
          <w:highlight w:val="none"/>
        </w:rPr>
        <w:t>通知书发出后，采购人改变</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结果，或者</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拒绝签订政府采购合同的，应当承担相应的法律责任。</w:t>
      </w:r>
    </w:p>
    <w:p w14:paraId="02079ECD">
      <w:pPr>
        <w:pageBreakBefore w:val="0"/>
        <w:widowControl w:val="0"/>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70B912F5">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B4E9750">
      <w:pPr>
        <w:pStyle w:val="3"/>
        <w:spacing w:before="0" w:beforeLines="0" w:after="0" w:afterLines="0" w:line="360" w:lineRule="auto"/>
        <w:rPr>
          <w:rFonts w:hint="eastAsia" w:ascii="仿宋" w:hAnsi="仿宋" w:eastAsia="仿宋" w:cs="仿宋"/>
          <w:color w:val="auto"/>
          <w:sz w:val="52"/>
          <w:szCs w:val="52"/>
          <w:highlight w:val="none"/>
          <w:lang w:val="en-US" w:eastAsia="zh-CN"/>
        </w:rPr>
      </w:pPr>
      <w:bookmarkStart w:id="114" w:name="_Toc29181"/>
      <w:r>
        <w:rPr>
          <w:rFonts w:hint="eastAsia" w:ascii="仿宋" w:hAnsi="仿宋" w:eastAsia="仿宋" w:cs="仿宋"/>
          <w:color w:val="auto"/>
          <w:sz w:val="52"/>
          <w:szCs w:val="52"/>
          <w:highlight w:val="none"/>
          <w:lang w:val="en-US" w:eastAsia="zh-CN"/>
        </w:rPr>
        <w:t>第六篇  采购合同</w:t>
      </w:r>
      <w:bookmarkEnd w:id="114"/>
    </w:p>
    <w:p w14:paraId="2CDF51D3">
      <w:pPr>
        <w:pageBreakBefore w:val="0"/>
        <w:kinsoku/>
        <w:wordWrap/>
        <w:overflowPunct/>
        <w:topLinePunct w:val="0"/>
        <w:autoSpaceDE/>
        <w:autoSpaceDN/>
        <w:bidi w:val="0"/>
        <w:spacing w:line="400" w:lineRule="exact"/>
        <w:ind w:firstLine="720" w:firstLineChars="200"/>
        <w:rPr>
          <w:rFonts w:hint="eastAsia" w:ascii="仿宋" w:hAnsi="仿宋" w:eastAsia="仿宋" w:cs="仿宋"/>
          <w:color w:val="auto"/>
          <w:sz w:val="36"/>
          <w:szCs w:val="36"/>
          <w:highlight w:val="none"/>
          <w:lang w:val="en-US" w:eastAsia="zh-CN"/>
        </w:rPr>
      </w:pPr>
    </w:p>
    <w:p w14:paraId="014049C6">
      <w:pPr>
        <w:pageBreakBefore w:val="0"/>
        <w:widowControl w:val="0"/>
        <w:kinsoku/>
        <w:wordWrap/>
        <w:overflowPunct/>
        <w:topLinePunct w:val="0"/>
        <w:autoSpaceDE/>
        <w:autoSpaceDN/>
        <w:bidi w:val="0"/>
        <w:spacing w:line="400" w:lineRule="exact"/>
        <w:ind w:firstLine="480" w:firstLineChars="20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按照采购人规定的医药购销合同</w:t>
      </w:r>
      <w:r>
        <w:rPr>
          <w:rFonts w:hint="eastAsia" w:ascii="仿宋" w:hAnsi="仿宋" w:eastAsia="仿宋" w:cs="仿宋"/>
          <w:color w:val="auto"/>
          <w:sz w:val="24"/>
          <w:szCs w:val="24"/>
          <w:highlight w:val="none"/>
        </w:rPr>
        <w:t>格式</w:t>
      </w:r>
      <w:r>
        <w:rPr>
          <w:rFonts w:hint="eastAsia" w:ascii="仿宋" w:hAnsi="仿宋" w:eastAsia="仿宋" w:cs="仿宋"/>
          <w:color w:val="auto"/>
          <w:sz w:val="24"/>
          <w:szCs w:val="24"/>
          <w:highlight w:val="none"/>
          <w:lang w:val="en-US" w:eastAsia="zh-CN"/>
        </w:rPr>
        <w:t>签订</w:t>
      </w:r>
      <w:r>
        <w:rPr>
          <w:rFonts w:hint="eastAsia" w:ascii="仿宋" w:hAnsi="仿宋" w:eastAsia="仿宋" w:cs="仿宋"/>
          <w:color w:val="auto"/>
          <w:sz w:val="24"/>
          <w:szCs w:val="24"/>
          <w:highlight w:val="none"/>
        </w:rPr>
        <w:t>）</w:t>
      </w:r>
    </w:p>
    <w:p w14:paraId="6176CFB3">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lang w:val="en-US" w:eastAsia="zh-CN"/>
        </w:rPr>
      </w:pPr>
    </w:p>
    <w:p w14:paraId="74C212E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5FC081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10812DDF">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50DDB0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4A88210">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22B41A96">
      <w:pPr>
        <w:pStyle w:val="3"/>
        <w:spacing w:before="0" w:beforeLines="0" w:after="0" w:afterLines="0" w:line="360" w:lineRule="auto"/>
        <w:rPr>
          <w:rFonts w:hint="eastAsia" w:ascii="仿宋" w:hAnsi="仿宋" w:eastAsia="仿宋" w:cs="仿宋"/>
          <w:color w:val="auto"/>
          <w:sz w:val="52"/>
          <w:szCs w:val="52"/>
          <w:highlight w:val="none"/>
          <w:lang w:val="en-US" w:eastAsia="zh-CN"/>
        </w:rPr>
      </w:pPr>
      <w:bookmarkStart w:id="115" w:name="_Toc28597"/>
      <w:r>
        <w:rPr>
          <w:rFonts w:hint="eastAsia" w:ascii="仿宋" w:hAnsi="仿宋" w:eastAsia="仿宋" w:cs="仿宋"/>
          <w:color w:val="auto"/>
          <w:sz w:val="52"/>
          <w:szCs w:val="52"/>
          <w:highlight w:val="none"/>
          <w:lang w:val="en-US" w:eastAsia="zh-CN"/>
        </w:rPr>
        <w:t>第七篇  投标文件编制要求</w:t>
      </w:r>
      <w:bookmarkEnd w:id="115"/>
    </w:p>
    <w:p w14:paraId="652DC98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一、经济部分</w:t>
      </w:r>
    </w:p>
    <w:p w14:paraId="262F5307">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（一）比选报价函</w:t>
      </w:r>
    </w:p>
    <w:p w14:paraId="08222652">
      <w:pPr>
        <w:pStyle w:val="49"/>
        <w:ind w:firstLine="480"/>
        <w:rPr>
          <w:rFonts w:hint="eastAsia"/>
          <w:color w:val="auto"/>
          <w:highlight w:val="none"/>
        </w:rPr>
      </w:pPr>
      <w:r>
        <w:rPr>
          <w:rFonts w:hint="eastAsia" w:ascii="仿宋" w:hAnsi="仿宋" w:eastAsia="仿宋" w:cs="仿宋"/>
          <w:color w:val="auto"/>
          <w:highlight w:val="none"/>
        </w:rPr>
        <w:t>（二）分项报价明细表</w:t>
      </w:r>
    </w:p>
    <w:p w14:paraId="7FC9F5A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二、服务部分</w:t>
      </w:r>
    </w:p>
    <w:p w14:paraId="27C74145">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（一）服务方案（格式自定）</w:t>
      </w:r>
    </w:p>
    <w:p w14:paraId="6E23419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（二）服务响应偏离表（本表可自行设计格式）</w:t>
      </w:r>
    </w:p>
    <w:p w14:paraId="11ED106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三、商务部分</w:t>
      </w:r>
    </w:p>
    <w:p w14:paraId="2E0B1871">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（一）商务要求响应情况：服务时间、服务地点、优惠承诺等（格式自定）</w:t>
      </w:r>
    </w:p>
    <w:p w14:paraId="799D896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（二）商务响应偏离表（本表可自行设计格式）</w:t>
      </w:r>
    </w:p>
    <w:p w14:paraId="05D40DF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（三）商务评分需提供的资料</w:t>
      </w:r>
    </w:p>
    <w:p w14:paraId="20D3737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四、资格条件及其他</w:t>
      </w:r>
    </w:p>
    <w:p w14:paraId="763C80EE">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法人营业执照（副本）或事业单位法人证书（副本）或个体工商户营业执照或有效的自然人身份证明或社会团体法人登记证书（提供复印件）.</w:t>
      </w:r>
    </w:p>
    <w:p w14:paraId="535B8CBB">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）法定代表人身份证明书（格式）</w:t>
      </w:r>
    </w:p>
    <w:p w14:paraId="188296B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）法定代表人授权委托书（格式）</w:t>
      </w:r>
    </w:p>
    <w:p w14:paraId="23F7B9E4">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rPr>
        <w:t>）基本资格条件承诺函（格式）</w:t>
      </w:r>
    </w:p>
    <w:p w14:paraId="6DB42E43">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）特定资格条件证明文件</w:t>
      </w:r>
    </w:p>
    <w:p w14:paraId="237B7C9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五、其他应提供的资料</w:t>
      </w:r>
    </w:p>
    <w:p w14:paraId="1E0FE6A5">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（一）其他与项目有关的资料</w:t>
      </w:r>
    </w:p>
    <w:p w14:paraId="0E85C2FC">
      <w:pPr>
        <w:pageBreakBefore w:val="0"/>
        <w:tabs>
          <w:tab w:val="left" w:pos="6300"/>
        </w:tabs>
        <w:kinsoku/>
        <w:wordWrap/>
        <w:overflowPunct/>
        <w:topLinePunct w:val="0"/>
        <w:autoSpaceDE/>
        <w:autoSpaceDN/>
        <w:bidi w:val="0"/>
        <w:snapToGrid w:val="0"/>
        <w:spacing w:line="400" w:lineRule="exact"/>
        <w:ind w:firstLine="640" w:firstLineChars="200"/>
        <w:jc w:val="both"/>
        <w:outlineLvl w:val="0"/>
        <w:rPr>
          <w:rFonts w:hint="eastAsia" w:ascii="仿宋" w:hAnsi="仿宋" w:eastAsia="仿宋" w:cs="仿宋"/>
          <w:color w:val="auto"/>
          <w:sz w:val="32"/>
          <w:szCs w:val="32"/>
          <w:highlight w:val="none"/>
        </w:rPr>
      </w:pPr>
      <w:bookmarkStart w:id="116" w:name="_Toc429584884"/>
    </w:p>
    <w:p w14:paraId="05D0586D">
      <w:pPr>
        <w:pageBreakBefore w:val="0"/>
        <w:kinsoku/>
        <w:wordWrap/>
        <w:overflowPunct/>
        <w:topLinePunct w:val="0"/>
        <w:autoSpaceDE/>
        <w:autoSpaceDN/>
        <w:bidi w:val="0"/>
        <w:spacing w:line="400" w:lineRule="exact"/>
        <w:ind w:firstLine="720" w:firstLineChars="200"/>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br w:type="page"/>
      </w:r>
    </w:p>
    <w:p w14:paraId="016485D6">
      <w:pPr>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rPr>
          <w:rFonts w:hint="eastAsia" w:ascii="仿宋" w:hAnsi="仿宋" w:eastAsia="仿宋" w:cs="仿宋"/>
          <w:color w:val="auto"/>
          <w:sz w:val="36"/>
          <w:szCs w:val="36"/>
          <w:highlight w:val="none"/>
          <w:lang w:val="en-US" w:eastAsia="zh-CN"/>
        </w:rPr>
      </w:pPr>
      <w:r>
        <w:rPr>
          <w:rFonts w:hint="eastAsia" w:ascii="仿宋" w:hAnsi="仿宋" w:eastAsia="仿宋" w:cs="仿宋"/>
          <w:color w:val="auto"/>
          <w:sz w:val="36"/>
          <w:szCs w:val="36"/>
          <w:highlight w:val="none"/>
          <w:lang w:val="en-US" w:eastAsia="zh-CN"/>
        </w:rPr>
        <w:t>采购执行</w:t>
      </w:r>
      <w:r>
        <w:rPr>
          <w:rFonts w:hint="eastAsia" w:ascii="仿宋" w:hAnsi="仿宋" w:eastAsia="仿宋" w:cs="仿宋"/>
          <w:color w:val="auto"/>
          <w:sz w:val="36"/>
          <w:szCs w:val="36"/>
          <w:highlight w:val="none"/>
        </w:rPr>
        <w:t>编号:</w:t>
      </w:r>
      <w:r>
        <w:rPr>
          <w:rFonts w:hint="eastAsia" w:ascii="仿宋" w:hAnsi="仿宋" w:eastAsia="仿宋" w:cs="仿宋"/>
          <w:color w:val="auto"/>
          <w:sz w:val="36"/>
          <w:szCs w:val="36"/>
          <w:highlight w:val="none"/>
          <w:lang w:val="en-US" w:eastAsia="zh-CN"/>
        </w:rPr>
        <w:t xml:space="preserve">             </w:t>
      </w:r>
    </w:p>
    <w:p w14:paraId="18481715">
      <w:pPr>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比选项目名称：</w:t>
      </w:r>
      <w:r>
        <w:rPr>
          <w:rFonts w:hint="eastAsia" w:ascii="仿宋" w:hAnsi="仿宋" w:eastAsia="仿宋" w:cs="仿宋"/>
          <w:color w:val="auto"/>
          <w:sz w:val="36"/>
          <w:szCs w:val="36"/>
          <w:highlight w:val="none"/>
          <w:lang w:val="en-US" w:eastAsia="zh-CN"/>
        </w:rPr>
        <w:t>重庆市九龙坡区渝州路街道社区卫生服务中心医用耗材供应商遴选（第二次）</w:t>
      </w:r>
    </w:p>
    <w:p w14:paraId="0A9E0034">
      <w:pPr>
        <w:pStyle w:val="2"/>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rPr>
          <w:rFonts w:hint="eastAsia" w:ascii="仿宋" w:hAnsi="仿宋" w:eastAsia="仿宋" w:cs="仿宋"/>
          <w:color w:val="auto"/>
          <w:sz w:val="36"/>
          <w:szCs w:val="36"/>
          <w:highlight w:val="none"/>
          <w:lang w:val="en-US" w:eastAsia="zh-CN"/>
        </w:rPr>
      </w:pPr>
      <w:r>
        <w:rPr>
          <w:rFonts w:hint="eastAsia" w:ascii="仿宋" w:hAnsi="仿宋" w:eastAsia="仿宋" w:cs="仿宋"/>
          <w:color w:val="auto"/>
          <w:sz w:val="36"/>
          <w:szCs w:val="36"/>
          <w:highlight w:val="none"/>
          <w:lang w:val="en-US" w:eastAsia="zh-CN"/>
        </w:rPr>
        <w:t>分包号：</w:t>
      </w:r>
    </w:p>
    <w:p w14:paraId="2E4C9B95">
      <w:pPr>
        <w:ind w:firstLine="720" w:firstLineChars="200"/>
        <w:rPr>
          <w:rFonts w:hint="default"/>
          <w:color w:val="auto"/>
          <w:highlight w:val="none"/>
          <w:lang w:val="en-US" w:eastAsia="zh-CN"/>
        </w:rPr>
      </w:pPr>
      <w:r>
        <w:rPr>
          <w:rFonts w:hint="eastAsia" w:ascii="仿宋" w:hAnsi="仿宋" w:eastAsia="仿宋" w:cs="仿宋"/>
          <w:color w:val="auto"/>
          <w:sz w:val="36"/>
          <w:szCs w:val="36"/>
          <w:highlight w:val="none"/>
          <w:lang w:val="en-US" w:eastAsia="zh-CN"/>
        </w:rPr>
        <w:t>分包名称：</w:t>
      </w:r>
    </w:p>
    <w:p w14:paraId="70669046">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ascii="仿宋" w:hAnsi="仿宋" w:eastAsia="仿宋" w:cs="仿宋"/>
          <w:color w:val="auto"/>
          <w:highlight w:val="none"/>
        </w:rPr>
      </w:pPr>
    </w:p>
    <w:p w14:paraId="0C1354AF">
      <w:pPr>
        <w:keepNext w:val="0"/>
        <w:keepLines w:val="0"/>
        <w:pageBreakBefore w:val="0"/>
        <w:widowControl w:val="0"/>
        <w:kinsoku/>
        <w:wordWrap/>
        <w:overflowPunct/>
        <w:topLinePunct w:val="0"/>
        <w:autoSpaceDE/>
        <w:autoSpaceDN/>
        <w:bidi w:val="0"/>
        <w:adjustRightInd/>
        <w:snapToGrid/>
        <w:spacing w:line="600" w:lineRule="exact"/>
        <w:ind w:firstLine="2560" w:firstLineChars="200"/>
        <w:jc w:val="center"/>
        <w:textAlignment w:val="auto"/>
        <w:outlineLvl w:val="0"/>
        <w:rPr>
          <w:rFonts w:hint="eastAsia" w:ascii="仿宋" w:hAnsi="仿宋" w:eastAsia="仿宋" w:cs="仿宋"/>
          <w:color w:val="auto"/>
          <w:spacing w:val="80"/>
          <w:sz w:val="112"/>
          <w:szCs w:val="112"/>
          <w:highlight w:val="none"/>
        </w:rPr>
      </w:pPr>
    </w:p>
    <w:p w14:paraId="7DA9E0FD">
      <w:pPr>
        <w:keepNext w:val="0"/>
        <w:keepLines w:val="0"/>
        <w:pageBreakBefore w:val="0"/>
        <w:widowControl w:val="0"/>
        <w:kinsoku/>
        <w:wordWrap/>
        <w:overflowPunct/>
        <w:topLinePunct w:val="0"/>
        <w:autoSpaceDE/>
        <w:autoSpaceDN/>
        <w:bidi w:val="0"/>
        <w:adjustRightInd/>
        <w:snapToGrid/>
        <w:spacing w:line="600" w:lineRule="exact"/>
        <w:ind w:firstLine="2560" w:firstLineChars="200"/>
        <w:jc w:val="center"/>
        <w:textAlignment w:val="auto"/>
        <w:outlineLvl w:val="0"/>
        <w:rPr>
          <w:rFonts w:hint="eastAsia" w:ascii="仿宋" w:hAnsi="仿宋" w:eastAsia="仿宋" w:cs="仿宋"/>
          <w:color w:val="auto"/>
          <w:spacing w:val="80"/>
          <w:sz w:val="112"/>
          <w:szCs w:val="112"/>
          <w:highlight w:val="none"/>
        </w:rPr>
      </w:pPr>
    </w:p>
    <w:p w14:paraId="2BE2EE3A">
      <w:pPr>
        <w:keepNext w:val="0"/>
        <w:keepLines w:val="0"/>
        <w:pageBreakBefore w:val="0"/>
        <w:widowControl w:val="0"/>
        <w:kinsoku/>
        <w:wordWrap/>
        <w:overflowPunct/>
        <w:topLinePunct w:val="0"/>
        <w:autoSpaceDE/>
        <w:autoSpaceDN/>
        <w:bidi w:val="0"/>
        <w:adjustRightInd/>
        <w:snapToGrid/>
        <w:spacing w:line="1200" w:lineRule="exact"/>
        <w:ind w:firstLine="2560" w:firstLineChars="200"/>
        <w:jc w:val="center"/>
        <w:textAlignment w:val="auto"/>
        <w:outlineLvl w:val="0"/>
        <w:rPr>
          <w:rFonts w:hint="eastAsia" w:ascii="仿宋" w:hAnsi="仿宋" w:eastAsia="仿宋" w:cs="仿宋"/>
          <w:color w:val="auto"/>
          <w:spacing w:val="80"/>
          <w:sz w:val="112"/>
          <w:szCs w:val="112"/>
          <w:highlight w:val="none"/>
        </w:rPr>
      </w:pPr>
    </w:p>
    <w:p w14:paraId="2B4CCAE5">
      <w:pPr>
        <w:keepNext w:val="0"/>
        <w:keepLines w:val="0"/>
        <w:pageBreakBefore w:val="0"/>
        <w:widowControl w:val="0"/>
        <w:kinsoku/>
        <w:wordWrap/>
        <w:overflowPunct/>
        <w:topLinePunct w:val="0"/>
        <w:autoSpaceDE/>
        <w:autoSpaceDN/>
        <w:bidi w:val="0"/>
        <w:adjustRightInd/>
        <w:snapToGrid/>
        <w:spacing w:line="1200" w:lineRule="exact"/>
        <w:ind w:firstLine="2560" w:firstLineChars="200"/>
        <w:jc w:val="both"/>
        <w:textAlignment w:val="auto"/>
        <w:outlineLvl w:val="0"/>
        <w:rPr>
          <w:rFonts w:hint="eastAsia" w:ascii="仿宋" w:hAnsi="仿宋" w:eastAsia="仿宋" w:cs="仿宋"/>
          <w:color w:val="auto"/>
          <w:spacing w:val="80"/>
          <w:sz w:val="112"/>
          <w:szCs w:val="112"/>
          <w:highlight w:val="none"/>
        </w:rPr>
      </w:pPr>
      <w:r>
        <w:rPr>
          <w:rFonts w:hint="eastAsia" w:ascii="仿宋" w:hAnsi="仿宋" w:eastAsia="仿宋" w:cs="仿宋"/>
          <w:color w:val="auto"/>
          <w:spacing w:val="80"/>
          <w:sz w:val="112"/>
          <w:szCs w:val="112"/>
          <w:highlight w:val="none"/>
        </w:rPr>
        <w:t>投标文件</w:t>
      </w:r>
    </w:p>
    <w:p w14:paraId="6F54FA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highlight w:val="none"/>
        </w:rPr>
      </w:pPr>
    </w:p>
    <w:p w14:paraId="6C0A3EBF">
      <w:pPr>
        <w:keepNext w:val="0"/>
        <w:keepLines w:val="0"/>
        <w:pageBreakBefore w:val="0"/>
        <w:widowControl w:val="0"/>
        <w:kinsoku/>
        <w:wordWrap/>
        <w:overflowPunct/>
        <w:topLinePunct w:val="0"/>
        <w:autoSpaceDE/>
        <w:autoSpaceDN/>
        <w:bidi w:val="0"/>
        <w:adjustRightInd/>
        <w:snapToGrid/>
        <w:spacing w:line="600" w:lineRule="exact"/>
        <w:ind w:firstLine="723" w:firstLineChars="200"/>
        <w:jc w:val="center"/>
        <w:textAlignment w:val="auto"/>
        <w:rPr>
          <w:rFonts w:hint="eastAsia" w:ascii="仿宋" w:hAnsi="仿宋" w:eastAsia="仿宋" w:cs="仿宋"/>
          <w:b/>
          <w:color w:val="auto"/>
          <w:sz w:val="36"/>
          <w:szCs w:val="36"/>
          <w:highlight w:val="none"/>
        </w:rPr>
      </w:pPr>
    </w:p>
    <w:p w14:paraId="68C72E8D">
      <w:pPr>
        <w:keepNext w:val="0"/>
        <w:keepLines w:val="0"/>
        <w:pageBreakBefore w:val="0"/>
        <w:widowControl w:val="0"/>
        <w:kinsoku/>
        <w:wordWrap/>
        <w:overflowPunct/>
        <w:topLinePunct w:val="0"/>
        <w:autoSpaceDE/>
        <w:autoSpaceDN/>
        <w:bidi w:val="0"/>
        <w:adjustRightInd/>
        <w:snapToGrid/>
        <w:spacing w:line="600" w:lineRule="exact"/>
        <w:ind w:firstLine="723" w:firstLineChars="200"/>
        <w:textAlignment w:val="auto"/>
        <w:rPr>
          <w:rFonts w:hint="eastAsia" w:ascii="仿宋" w:hAnsi="仿宋" w:eastAsia="仿宋" w:cs="仿宋"/>
          <w:b/>
          <w:color w:val="auto"/>
          <w:sz w:val="36"/>
          <w:szCs w:val="36"/>
          <w:highlight w:val="none"/>
        </w:rPr>
      </w:pPr>
    </w:p>
    <w:p w14:paraId="62E95072">
      <w:pPr>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rPr>
          <w:rFonts w:hint="eastAsia" w:ascii="仿宋" w:hAnsi="仿宋" w:eastAsia="仿宋" w:cs="仿宋"/>
          <w:color w:val="auto"/>
          <w:sz w:val="36"/>
          <w:szCs w:val="36"/>
          <w:highlight w:val="none"/>
        </w:rPr>
      </w:pPr>
    </w:p>
    <w:p w14:paraId="5E114E01">
      <w:pPr>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rPr>
          <w:rFonts w:hint="eastAsia" w:ascii="仿宋" w:hAnsi="仿宋" w:eastAsia="仿宋" w:cs="仿宋"/>
          <w:color w:val="auto"/>
          <w:sz w:val="16"/>
          <w:szCs w:val="16"/>
          <w:highlight w:val="none"/>
        </w:rPr>
      </w:pPr>
      <w:r>
        <w:rPr>
          <w:rFonts w:hint="eastAsia" w:ascii="仿宋" w:hAnsi="仿宋" w:eastAsia="仿宋" w:cs="仿宋"/>
          <w:color w:val="auto"/>
          <w:sz w:val="36"/>
          <w:szCs w:val="36"/>
          <w:highlight w:val="none"/>
          <w:lang w:eastAsia="zh-CN"/>
        </w:rPr>
        <w:t>供应商</w:t>
      </w:r>
      <w:r>
        <w:rPr>
          <w:rFonts w:hint="eastAsia" w:ascii="仿宋" w:hAnsi="仿宋" w:eastAsia="仿宋" w:cs="仿宋"/>
          <w:color w:val="auto"/>
          <w:sz w:val="36"/>
          <w:szCs w:val="36"/>
          <w:highlight w:val="none"/>
        </w:rPr>
        <w:t>（公章）：</w:t>
      </w:r>
    </w:p>
    <w:p w14:paraId="71C6153A">
      <w:pPr>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outlineLvl w:val="0"/>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地址：</w:t>
      </w:r>
    </w:p>
    <w:p w14:paraId="37D0B40E">
      <w:pPr>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outlineLvl w:val="0"/>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法定代表人或授权代表（签字</w:t>
      </w:r>
      <w:r>
        <w:rPr>
          <w:rFonts w:hint="eastAsia" w:ascii="仿宋" w:hAnsi="仿宋" w:eastAsia="仿宋" w:cs="仿宋"/>
          <w:color w:val="auto"/>
          <w:sz w:val="36"/>
          <w:szCs w:val="36"/>
          <w:highlight w:val="none"/>
          <w:lang w:val="en-US" w:eastAsia="zh-CN"/>
        </w:rPr>
        <w:t>或盖章</w:t>
      </w:r>
      <w:r>
        <w:rPr>
          <w:rFonts w:hint="eastAsia" w:ascii="仿宋" w:hAnsi="仿宋" w:eastAsia="仿宋" w:cs="仿宋"/>
          <w:color w:val="auto"/>
          <w:sz w:val="36"/>
          <w:szCs w:val="36"/>
          <w:highlight w:val="none"/>
        </w:rPr>
        <w:t>）：</w:t>
      </w:r>
    </w:p>
    <w:p w14:paraId="2B77D685">
      <w:pPr>
        <w:pStyle w:val="8"/>
        <w:keepNext w:val="0"/>
        <w:keepLines w:val="0"/>
        <w:pageBreakBefore w:val="0"/>
        <w:widowControl w:val="0"/>
        <w:kinsoku/>
        <w:wordWrap/>
        <w:overflowPunct/>
        <w:topLinePunct w:val="0"/>
        <w:autoSpaceDE/>
        <w:autoSpaceDN/>
        <w:bidi w:val="0"/>
        <w:adjustRightInd/>
        <w:snapToGrid/>
        <w:spacing w:line="600" w:lineRule="exact"/>
        <w:ind w:firstLine="720" w:firstLineChars="200"/>
        <w:textAlignment w:val="auto"/>
        <w:rPr>
          <w:rFonts w:hint="eastAsia" w:ascii="仿宋" w:hAnsi="仿宋" w:eastAsia="仿宋" w:cs="仿宋"/>
          <w:color w:val="auto"/>
          <w:highlight w:val="none"/>
        </w:rPr>
      </w:pPr>
      <w:r>
        <w:rPr>
          <w:rFonts w:hint="eastAsia" w:ascii="仿宋" w:hAnsi="仿宋" w:eastAsia="仿宋" w:cs="仿宋"/>
          <w:color w:val="auto"/>
          <w:sz w:val="36"/>
          <w:szCs w:val="36"/>
          <w:highlight w:val="none"/>
        </w:rPr>
        <w:t>联系电话：</w:t>
      </w:r>
    </w:p>
    <w:p w14:paraId="32EF2D9F">
      <w:pPr>
        <w:keepNext w:val="0"/>
        <w:keepLines w:val="0"/>
        <w:pageBreakBefore w:val="0"/>
        <w:widowControl w:val="0"/>
        <w:kinsoku/>
        <w:wordWrap/>
        <w:overflowPunct/>
        <w:topLinePunct w:val="0"/>
        <w:autoSpaceDE/>
        <w:autoSpaceDN/>
        <w:bidi w:val="0"/>
        <w:adjustRightInd/>
        <w:snapToGrid/>
        <w:spacing w:line="600" w:lineRule="exact"/>
        <w:ind w:firstLine="720" w:firstLineChars="200"/>
        <w:jc w:val="center"/>
        <w:textAlignment w:val="auto"/>
        <w:outlineLvl w:val="0"/>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二〇二</w:t>
      </w:r>
      <w:r>
        <w:rPr>
          <w:rFonts w:hint="eastAsia" w:ascii="仿宋" w:hAnsi="仿宋" w:eastAsia="仿宋" w:cs="仿宋"/>
          <w:color w:val="auto"/>
          <w:sz w:val="36"/>
          <w:szCs w:val="36"/>
          <w:highlight w:val="none"/>
          <w:lang w:val="en-US" w:eastAsia="zh-CN"/>
        </w:rPr>
        <w:t>四</w:t>
      </w:r>
      <w:r>
        <w:rPr>
          <w:rFonts w:hint="eastAsia" w:ascii="仿宋" w:hAnsi="仿宋" w:eastAsia="仿宋" w:cs="仿宋"/>
          <w:color w:val="auto"/>
          <w:sz w:val="36"/>
          <w:szCs w:val="36"/>
          <w:highlight w:val="none"/>
        </w:rPr>
        <w:t>年   月   日</w:t>
      </w:r>
    </w:p>
    <w:p w14:paraId="0D5F03EC">
      <w:pPr>
        <w:keepNext w:val="0"/>
        <w:keepLines w:val="0"/>
        <w:pageBreakBefore w:val="0"/>
        <w:widowControl w:val="0"/>
        <w:kinsoku/>
        <w:wordWrap/>
        <w:overflowPunct/>
        <w:topLinePunct w:val="0"/>
        <w:autoSpaceDE/>
        <w:autoSpaceDN/>
        <w:bidi w:val="0"/>
        <w:adjustRightInd/>
        <w:snapToGrid/>
        <w:spacing w:line="1000" w:lineRule="exact"/>
        <w:ind w:firstLine="480" w:firstLineChars="200"/>
        <w:textAlignment w:val="auto"/>
        <w:rPr>
          <w:rFonts w:hint="eastAsia" w:ascii="仿宋" w:hAnsi="仿宋" w:eastAsia="仿宋" w:cs="仿宋"/>
          <w:bCs/>
          <w:color w:val="auto"/>
          <w:sz w:val="24"/>
          <w:szCs w:val="24"/>
          <w:highlight w:val="none"/>
        </w:rPr>
      </w:pPr>
    </w:p>
    <w:p w14:paraId="16A803BE">
      <w:pPr>
        <w:keepNext w:val="0"/>
        <w:keepLines w:val="0"/>
        <w:pageBreakBefore w:val="0"/>
        <w:widowControl w:val="0"/>
        <w:kinsoku/>
        <w:wordWrap/>
        <w:overflowPunct/>
        <w:topLinePunct w:val="0"/>
        <w:autoSpaceDE/>
        <w:autoSpaceDN/>
        <w:bidi w:val="0"/>
        <w:adjustRightInd/>
        <w:snapToGrid/>
        <w:spacing w:line="1000" w:lineRule="exact"/>
        <w:ind w:firstLine="42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0ECDE16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 w:hAnsi="仿宋" w:eastAsia="仿宋" w:cs="仿宋"/>
          <w:b/>
          <w:color w:val="auto"/>
          <w:sz w:val="24"/>
          <w:szCs w:val="24"/>
          <w:highlight w:val="none"/>
        </w:rPr>
      </w:pPr>
      <w:bookmarkStart w:id="117" w:name="_Toc32669"/>
      <w:r>
        <w:rPr>
          <w:rStyle w:val="41"/>
          <w:rFonts w:hint="eastAsia" w:ascii="仿宋" w:hAnsi="仿宋" w:eastAsia="仿宋" w:cs="仿宋"/>
          <w:b/>
          <w:bCs/>
          <w:color w:val="auto"/>
          <w:sz w:val="24"/>
          <w:szCs w:val="24"/>
          <w:highlight w:val="none"/>
        </w:rPr>
        <w:t>一、经济</w:t>
      </w:r>
      <w:bookmarkEnd w:id="116"/>
      <w:r>
        <w:rPr>
          <w:rStyle w:val="41"/>
          <w:rFonts w:hint="eastAsia" w:ascii="仿宋" w:hAnsi="仿宋" w:eastAsia="仿宋" w:cs="仿宋"/>
          <w:b/>
          <w:bCs/>
          <w:color w:val="auto"/>
          <w:sz w:val="24"/>
          <w:szCs w:val="24"/>
          <w:highlight w:val="none"/>
        </w:rPr>
        <w:t>部分</w:t>
      </w:r>
      <w:bookmarkEnd w:id="117"/>
    </w:p>
    <w:p w14:paraId="52BE70BE">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44"/>
          <w:highlight w:val="none"/>
        </w:rPr>
      </w:pPr>
      <w:r>
        <w:rPr>
          <w:rFonts w:hint="eastAsia" w:ascii="仿宋" w:hAnsi="仿宋" w:eastAsia="仿宋" w:cs="仿宋"/>
          <w:color w:val="auto"/>
          <w:sz w:val="24"/>
          <w:szCs w:val="44"/>
          <w:highlight w:val="none"/>
        </w:rPr>
        <w:t>（一）比选报价函</w:t>
      </w:r>
    </w:p>
    <w:p w14:paraId="617ECCCE">
      <w:pPr>
        <w:pageBreakBefore w:val="0"/>
        <w:kinsoku/>
        <w:wordWrap/>
        <w:overflowPunct/>
        <w:topLinePunct w:val="0"/>
        <w:autoSpaceDE/>
        <w:autoSpaceDN/>
        <w:bidi w:val="0"/>
        <w:snapToGrid w:val="0"/>
        <w:spacing w:line="400" w:lineRule="exact"/>
        <w:ind w:firstLine="643" w:firstLineChars="200"/>
        <w:jc w:val="center"/>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比选报价函</w:t>
      </w:r>
    </w:p>
    <w:p w14:paraId="0B8D8F6D">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u w:val="single"/>
        </w:rPr>
      </w:pPr>
    </w:p>
    <w:p w14:paraId="4EE32F25">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（采购代理机构名称）</w:t>
      </w:r>
      <w:r>
        <w:rPr>
          <w:rFonts w:hint="eastAsia" w:ascii="仿宋" w:hAnsi="仿宋" w:eastAsia="仿宋" w:cs="仿宋"/>
          <w:color w:val="auto"/>
          <w:sz w:val="24"/>
          <w:szCs w:val="24"/>
          <w:highlight w:val="none"/>
        </w:rPr>
        <w:t>：</w:t>
      </w:r>
    </w:p>
    <w:p w14:paraId="14AE6D0A">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我方收到______</w:t>
      </w:r>
      <w:r>
        <w:rPr>
          <w:rFonts w:hint="eastAsia" w:ascii="仿宋" w:hAnsi="仿宋" w:eastAsia="仿宋" w:cs="仿宋"/>
          <w:color w:val="auto"/>
          <w:sz w:val="24"/>
          <w:szCs w:val="24"/>
          <w:highlight w:val="none"/>
          <w:u w:val="single"/>
          <w:lang w:val="en-US" w:eastAsia="zh-CN"/>
        </w:rPr>
        <w:t>重庆市九龙坡区渝州路街道社区卫生服务中心医用耗材供应商遴选（第二次）</w:t>
      </w:r>
      <w:r>
        <w:rPr>
          <w:rFonts w:hint="eastAsia" w:ascii="仿宋" w:hAnsi="仿宋" w:eastAsia="仿宋" w:cs="仿宋"/>
          <w:color w:val="auto"/>
          <w:sz w:val="24"/>
          <w:szCs w:val="24"/>
          <w:highlight w:val="none"/>
        </w:rPr>
        <w:t>__（项目名称）</w:t>
      </w:r>
      <w:r>
        <w:rPr>
          <w:rFonts w:hint="eastAsia" w:ascii="仿宋" w:hAnsi="仿宋" w:eastAsia="仿宋" w:cs="仿宋"/>
          <w:color w:val="auto"/>
          <w:sz w:val="24"/>
          <w:szCs w:val="24"/>
          <w:highlight w:val="none"/>
          <w:lang w:val="en-US" w:eastAsia="zh-CN"/>
        </w:rPr>
        <w:t>分包</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分包名称</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的竞争性比选文件，经详细研究，决定参加该项目的比选。</w:t>
      </w:r>
    </w:p>
    <w:p w14:paraId="06344483">
      <w:pPr>
        <w:keepNext w:val="0"/>
        <w:keepLines w:val="0"/>
        <w:pageBreakBefore w:val="0"/>
        <w:widowControl w:val="0"/>
        <w:numPr>
          <w:ilvl w:val="0"/>
          <w:numId w:val="7"/>
        </w:numPr>
        <w:tabs>
          <w:tab w:val="left" w:pos="0"/>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愿意按照竞争性比选文件中的一切要求，提供本项目的服务，</w:t>
      </w:r>
      <w:r>
        <w:rPr>
          <w:rFonts w:hint="eastAsia" w:ascii="仿宋" w:hAnsi="仿宋" w:eastAsia="仿宋" w:cs="仿宋"/>
          <w:color w:val="auto"/>
          <w:sz w:val="24"/>
          <w:szCs w:val="24"/>
          <w:highlight w:val="none"/>
          <w:lang w:val="en-US" w:eastAsia="zh-CN"/>
        </w:rPr>
        <w:t>同意报价为平均折扣比例</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w:t>
      </w:r>
      <w:r>
        <w:rPr>
          <w:rFonts w:hint="eastAsia" w:ascii="仿宋" w:hAnsi="仿宋" w:eastAsia="仿宋" w:cs="仿宋"/>
          <w:b/>
          <w:bCs/>
          <w:color w:val="auto"/>
          <w:sz w:val="24"/>
          <w:szCs w:val="24"/>
          <w:highlight w:val="none"/>
        </w:rPr>
        <w:t>保留两位小数</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大写：百分之</w:t>
      </w:r>
      <w:r>
        <w:rPr>
          <w:rFonts w:hint="eastAsia" w:ascii="仿宋" w:hAnsi="仿宋" w:eastAsia="仿宋" w:cs="仿宋"/>
          <w:b/>
          <w:bCs/>
          <w:color w:val="auto"/>
          <w:sz w:val="24"/>
          <w:szCs w:val="24"/>
          <w:highlight w:val="none"/>
          <w:u w:val="single"/>
          <w:lang w:val="en-US" w:eastAsia="zh-CN"/>
        </w:rPr>
        <w:t xml:space="preserve">          </w:t>
      </w:r>
      <w:r>
        <w:rPr>
          <w:rFonts w:hint="eastAsia" w:ascii="仿宋" w:hAnsi="仿宋" w:eastAsia="仿宋" w:cs="仿宋"/>
          <w:b/>
          <w:bCs/>
          <w:color w:val="auto"/>
          <w:sz w:val="24"/>
          <w:szCs w:val="24"/>
          <w:highlight w:val="none"/>
        </w:rPr>
        <w:t>；最终结算金额以实际发生的金额为准</w:t>
      </w:r>
      <w:r>
        <w:rPr>
          <w:rFonts w:hint="eastAsia" w:ascii="仿宋" w:hAnsi="仿宋" w:eastAsia="仿宋" w:cs="仿宋"/>
          <w:color w:val="auto"/>
          <w:sz w:val="24"/>
          <w:szCs w:val="24"/>
          <w:highlight w:val="none"/>
          <w:lang w:eastAsia="zh-CN"/>
        </w:rPr>
        <w:t>。</w:t>
      </w:r>
    </w:p>
    <w:p w14:paraId="4893265D">
      <w:pPr>
        <w:pStyle w:val="2"/>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default"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报价说明：线上报价统一填报0%。</w:t>
      </w:r>
    </w:p>
    <w:p w14:paraId="0B503DF4">
      <w:pPr>
        <w:pStyle w:val="2"/>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default"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线下报价：例如若上浮8%则填</w:t>
      </w:r>
      <w:bookmarkStart w:id="137" w:name="_GoBack"/>
      <w:bookmarkEnd w:id="137"/>
      <w:r>
        <w:rPr>
          <w:rFonts w:hint="eastAsia" w:ascii="仿宋" w:hAnsi="仿宋" w:eastAsia="仿宋" w:cs="仿宋"/>
          <w:b/>
          <w:bCs/>
          <w:color w:val="auto"/>
          <w:kern w:val="2"/>
          <w:sz w:val="24"/>
          <w:szCs w:val="24"/>
          <w:highlight w:val="none"/>
          <w:lang w:val="en-US" w:eastAsia="zh-CN" w:bidi="ar-SA"/>
        </w:rPr>
        <w:t>报折扣比例为108.00%，若下浮5%则填报折扣比例为95.00%。</w:t>
      </w:r>
    </w:p>
    <w:p w14:paraId="46EDD265">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2、我方现提交的投标文件为：投标文件正本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14:paraId="6FDCEB45">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3、我方承诺：本次比选的有效期为90天。</w:t>
      </w:r>
    </w:p>
    <w:p w14:paraId="566E4E5D">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4、我方完全理解和接受贵方竞争性比选文件的一切规定和要求及评审办法。</w:t>
      </w:r>
    </w:p>
    <w:p w14:paraId="32351571">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5、在整个比选过程中，我方若有违规行为，接受按照《中华人民共和国政府采购法》和《比选文件》之规定给予惩罚。</w:t>
      </w:r>
    </w:p>
    <w:p w14:paraId="569A2F74">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6、我方若成为</w:t>
      </w:r>
      <w:r>
        <w:rPr>
          <w:rFonts w:hint="eastAsia" w:ascii="仿宋" w:hAnsi="仿宋" w:eastAsia="仿宋" w:cs="仿宋"/>
          <w:color w:val="auto"/>
          <w:sz w:val="24"/>
          <w:szCs w:val="24"/>
          <w:highlight w:val="none"/>
          <w:lang w:eastAsia="zh-CN"/>
        </w:rPr>
        <w:t>中标人</w:t>
      </w:r>
      <w:r>
        <w:rPr>
          <w:rFonts w:hint="eastAsia" w:ascii="仿宋" w:hAnsi="仿宋" w:eastAsia="仿宋" w:cs="仿宋"/>
          <w:color w:val="auto"/>
          <w:sz w:val="24"/>
          <w:szCs w:val="24"/>
          <w:highlight w:val="none"/>
        </w:rPr>
        <w:t>，将按照最终比选结果签订合同，并且严格履行合同义务。本承诺函将成为合同不可分割的一部分，与合同具有同等的法律效力。</w:t>
      </w:r>
    </w:p>
    <w:p w14:paraId="12584242">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7、我方同意按竞争性比选文件规定，交纳竞争性比选文件要求的比选保证金。</w:t>
      </w:r>
    </w:p>
    <w:p w14:paraId="2F4F8F3A">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若我方</w:t>
      </w:r>
      <w:r>
        <w:rPr>
          <w:rFonts w:hint="eastAsia" w:ascii="仿宋" w:hAnsi="仿宋" w:eastAsia="仿宋" w:cs="仿宋"/>
          <w:color w:val="auto"/>
          <w:sz w:val="24"/>
          <w:szCs w:val="24"/>
          <w:highlight w:val="none"/>
          <w:lang w:val="en-US" w:eastAsia="zh-CN"/>
        </w:rPr>
        <w:t>中标</w:t>
      </w:r>
      <w:r>
        <w:rPr>
          <w:rFonts w:hint="eastAsia" w:ascii="仿宋" w:hAnsi="仿宋" w:eastAsia="仿宋" w:cs="仿宋"/>
          <w:color w:val="auto"/>
          <w:sz w:val="24"/>
          <w:szCs w:val="24"/>
          <w:highlight w:val="none"/>
        </w:rPr>
        <w:t>，愿意按有关规定及</w:t>
      </w:r>
      <w:r>
        <w:rPr>
          <w:rFonts w:hint="eastAsia" w:ascii="仿宋" w:hAnsi="仿宋" w:eastAsia="仿宋" w:cs="仿宋"/>
          <w:color w:val="auto"/>
          <w:sz w:val="24"/>
          <w:szCs w:val="24"/>
          <w:highlight w:val="none"/>
          <w:lang w:val="en-US" w:eastAsia="zh-CN"/>
        </w:rPr>
        <w:t>比选</w:t>
      </w:r>
      <w:r>
        <w:rPr>
          <w:rFonts w:hint="eastAsia" w:ascii="仿宋" w:hAnsi="仿宋" w:eastAsia="仿宋" w:cs="仿宋"/>
          <w:color w:val="auto"/>
          <w:sz w:val="24"/>
          <w:szCs w:val="24"/>
          <w:highlight w:val="none"/>
        </w:rPr>
        <w:t>文件要求缴纳招标代理服务费</w:t>
      </w:r>
      <w:r>
        <w:rPr>
          <w:rFonts w:hint="eastAsia" w:ascii="仿宋" w:hAnsi="仿宋" w:eastAsia="仿宋" w:cs="仿宋"/>
          <w:color w:val="auto"/>
          <w:sz w:val="24"/>
          <w:szCs w:val="24"/>
          <w:highlight w:val="none"/>
          <w:lang w:eastAsia="zh-CN"/>
        </w:rPr>
        <w:t>。</w:t>
      </w:r>
    </w:p>
    <w:p w14:paraId="64EABF4E">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p>
    <w:p w14:paraId="79A96164">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lang w:eastAsia="zh-CN"/>
        </w:rPr>
      </w:pPr>
    </w:p>
    <w:p w14:paraId="6547C2FF">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lang w:eastAsia="zh-CN"/>
        </w:rPr>
      </w:pPr>
    </w:p>
    <w:p w14:paraId="38C09162">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（公章）：</w:t>
      </w:r>
    </w:p>
    <w:p w14:paraId="34E73412">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地址：  </w:t>
      </w:r>
    </w:p>
    <w:p w14:paraId="7CC43F7F">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电话：                                            </w:t>
      </w:r>
    </w:p>
    <w:p w14:paraId="7A2B88AD">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p>
    <w:p w14:paraId="49729B38">
      <w:pPr>
        <w:keepNext w:val="0"/>
        <w:keepLines w:val="0"/>
        <w:pageBreakBefore w:val="0"/>
        <w:widowControl w:val="0"/>
        <w:tabs>
          <w:tab w:val="left" w:pos="6300"/>
        </w:tabs>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p>
    <w:p w14:paraId="757F7A4A">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11F9DD9F">
      <w:pPr>
        <w:keepNext w:val="0"/>
        <w:keepLines w:val="0"/>
        <w:pageBreakBefore w:val="0"/>
        <w:widowControl w:val="0"/>
        <w:kinsoku/>
        <w:wordWrap/>
        <w:overflowPunct/>
        <w:topLinePunct w:val="0"/>
        <w:autoSpaceDE/>
        <w:autoSpaceDN/>
        <w:bidi w:val="0"/>
        <w:adjustRightInd/>
        <w:spacing w:line="400" w:lineRule="exact"/>
        <w:textAlignment w:val="auto"/>
        <w:rPr>
          <w:rStyle w:val="41"/>
          <w:rFonts w:hint="eastAsia" w:ascii="仿宋" w:hAnsi="仿宋" w:eastAsia="仿宋" w:cs="仿宋"/>
          <w:b/>
          <w:bCs/>
          <w:color w:val="auto"/>
          <w:sz w:val="24"/>
          <w:szCs w:val="24"/>
          <w:highlight w:val="none"/>
        </w:rPr>
      </w:pPr>
      <w:bookmarkStart w:id="118" w:name="_Toc439685512"/>
      <w:bookmarkStart w:id="119" w:name="_Toc342913421"/>
      <w:bookmarkStart w:id="120" w:name="_Toc313888362"/>
      <w:bookmarkStart w:id="121" w:name="_Toc313008358"/>
      <w:bookmarkStart w:id="122" w:name="_Toc429584885"/>
      <w:r>
        <w:rPr>
          <w:rStyle w:val="41"/>
          <w:rFonts w:hint="eastAsia" w:ascii="仿宋" w:hAnsi="仿宋" w:eastAsia="仿宋" w:cs="仿宋"/>
          <w:b/>
          <w:bCs/>
          <w:color w:val="auto"/>
          <w:sz w:val="24"/>
          <w:szCs w:val="24"/>
          <w:highlight w:val="none"/>
        </w:rPr>
        <w:br w:type="page"/>
      </w:r>
    </w:p>
    <w:p w14:paraId="34A718B1">
      <w:pPr>
        <w:rPr>
          <w:rFonts w:hint="eastAsia" w:ascii="仿宋" w:hAnsi="仿宋" w:eastAsia="仿宋" w:cs="仿宋"/>
          <w:color w:val="auto"/>
          <w:highlight w:val="none"/>
        </w:rPr>
      </w:pPr>
      <w:bookmarkStart w:id="123" w:name="_Toc7142"/>
      <w:r>
        <w:rPr>
          <w:rFonts w:hint="eastAsia" w:ascii="仿宋" w:hAnsi="仿宋" w:eastAsia="仿宋" w:cs="仿宋"/>
          <w:color w:val="auto"/>
          <w:highlight w:val="none"/>
        </w:rPr>
        <w:t>（二）分项报价明细表</w:t>
      </w:r>
    </w:p>
    <w:p w14:paraId="4F41E8D4">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36"/>
          <w:szCs w:val="36"/>
          <w:highlight w:val="none"/>
          <w:lang w:val="en-US" w:eastAsia="zh-CN"/>
        </w:rPr>
        <w:t>分项明细报价表</w:t>
      </w:r>
    </w:p>
    <w:p w14:paraId="02E5570C">
      <w:pPr>
        <w:spacing w:line="700" w:lineRule="exac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采购执行编号：</w:t>
      </w:r>
    </w:p>
    <w:p w14:paraId="10DB928B">
      <w:pPr>
        <w:spacing w:line="700" w:lineRule="exact"/>
        <w:rPr>
          <w:rFonts w:hint="eastAsia" w:ascii="仿宋" w:hAnsi="仿宋" w:eastAsia="仿宋" w:cs="仿宋"/>
          <w:color w:val="auto"/>
          <w:kern w:val="2"/>
          <w:sz w:val="24"/>
          <w:szCs w:val="24"/>
          <w:highlight w:val="none"/>
          <w:u w:val="none"/>
          <w:lang w:val="en-US" w:eastAsia="zh-CN" w:bidi="ar-SA"/>
        </w:rPr>
      </w:pPr>
      <w:r>
        <w:rPr>
          <w:rFonts w:hint="eastAsia" w:ascii="仿宋" w:hAnsi="仿宋" w:eastAsia="仿宋" w:cs="仿宋"/>
          <w:color w:val="auto"/>
          <w:kern w:val="2"/>
          <w:sz w:val="24"/>
          <w:szCs w:val="24"/>
          <w:highlight w:val="none"/>
          <w:u w:val="none"/>
          <w:lang w:val="en-US" w:eastAsia="zh-CN" w:bidi="ar-SA"/>
        </w:rPr>
        <w:t>项目名称：</w:t>
      </w:r>
      <w:r>
        <w:rPr>
          <w:rFonts w:hint="eastAsia" w:ascii="仿宋" w:hAnsi="仿宋" w:eastAsia="仿宋" w:cs="仿宋"/>
          <w:color w:val="auto"/>
          <w:sz w:val="24"/>
          <w:szCs w:val="24"/>
          <w:highlight w:val="none"/>
          <w:u w:val="none"/>
          <w:lang w:val="en-US" w:eastAsia="zh-CN"/>
        </w:rPr>
        <w:t>重庆市九龙坡区渝州路街道社区卫生服务中心医用耗材供应商遴选（第二次）</w:t>
      </w:r>
    </w:p>
    <w:p w14:paraId="473F72B6">
      <w:pPr>
        <w:spacing w:line="700" w:lineRule="exac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分包号：</w:t>
      </w:r>
    </w:p>
    <w:p w14:paraId="0CD1FD27">
      <w:pPr>
        <w:spacing w:line="700" w:lineRule="exact"/>
        <w:rPr>
          <w:rFonts w:hint="eastAsia"/>
          <w:color w:val="auto"/>
          <w:highlight w:val="none"/>
          <w:lang w:val="en-US" w:eastAsia="zh-CN"/>
        </w:rPr>
      </w:pPr>
      <w:r>
        <w:rPr>
          <w:rFonts w:hint="eastAsia" w:ascii="仿宋" w:hAnsi="仿宋" w:eastAsia="仿宋" w:cs="仿宋"/>
          <w:color w:val="auto"/>
          <w:kern w:val="2"/>
          <w:sz w:val="24"/>
          <w:szCs w:val="24"/>
          <w:highlight w:val="none"/>
          <w:lang w:val="en-US" w:eastAsia="zh-CN" w:bidi="ar-SA"/>
        </w:rPr>
        <w:t>分包名称：</w:t>
      </w:r>
    </w:p>
    <w:tbl>
      <w:tblPr>
        <w:tblStyle w:val="23"/>
        <w:tblpPr w:leftFromText="180" w:rightFromText="180" w:vertAnchor="text" w:horzAnchor="page" w:tblpXSpec="center" w:tblpY="297"/>
        <w:tblOverlap w:val="never"/>
        <w:tblW w:w="972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2"/>
        <w:gridCol w:w="1500"/>
        <w:gridCol w:w="1586"/>
        <w:gridCol w:w="825"/>
        <w:gridCol w:w="1532"/>
        <w:gridCol w:w="1343"/>
        <w:gridCol w:w="1335"/>
        <w:gridCol w:w="836"/>
      </w:tblGrid>
      <w:tr w14:paraId="48B8F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97ACB">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7EA7D">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名称</w:t>
            </w: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7461">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规格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786C1">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单位</w:t>
            </w: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7C93A0C8">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1"/>
                <w:szCs w:val="21"/>
                <w:highlight w:val="none"/>
                <w:u w:val="none"/>
                <w:lang w:val="en-US" w:eastAsia="zh-CN" w:bidi="ar"/>
              </w:rPr>
              <w:t>折扣比例（%）</w:t>
            </w: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499E82AC">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4"/>
                <w:szCs w:val="24"/>
                <w:highlight w:val="none"/>
                <w:u w:val="none"/>
                <w:lang w:val="en-US" w:eastAsia="zh-CN" w:bidi="ar"/>
              </w:rPr>
              <w:t>投标报价（元）</w:t>
            </w: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1659B83D">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1"/>
                <w:szCs w:val="21"/>
                <w:highlight w:val="none"/>
                <w:u w:val="none"/>
                <w:lang w:val="en-US" w:eastAsia="zh-CN" w:bidi="ar"/>
              </w:rPr>
              <w:t>药交所编码</w:t>
            </w: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7284296A">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备注</w:t>
            </w:r>
          </w:p>
        </w:tc>
      </w:tr>
      <w:tr w14:paraId="01688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4CA8">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C5768">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26AF">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E2882">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1D911CD3">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2FE61B7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0F09B367">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72B7ACA8">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70B9E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02B5">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A9D90">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20B6">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9D1F">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5554046F">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5C312E3E">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411C45EE">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02F0A408">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6545E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D575">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7195">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2287">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10A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42DFE0FD">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1C144AC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67EB9B23">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55D05DAE">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55DA5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CF572">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07E3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51712">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54F4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5B9EE0DC">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3F24B153">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756B5716">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31CB1EA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2CE41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1C5E">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A7E7E">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D2D4">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08D73">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4D640FD0">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15E95C2E">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3092BE84">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3E85C77B">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006E8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8CF8">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66A8B">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0D21">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4668">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39128F03">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34726651">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065FAD07">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38C060F3">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752B0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06F7">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D570">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8EC2B">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66BE">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109462A6">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038002B7">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305429C5">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1CBD901A">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43D46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DE42">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EBD5">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1CDD">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34F9">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auto" w:sz="4" w:space="0"/>
              <w:right w:val="single" w:color="auto" w:sz="4" w:space="0"/>
            </w:tcBorders>
            <w:shd w:val="clear" w:color="auto" w:fill="auto"/>
            <w:vAlign w:val="center"/>
          </w:tcPr>
          <w:p w14:paraId="6FAA2C05">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14:paraId="5106A818">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14:paraId="7A85DE2E">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156E46B9">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14:paraId="07CD4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9F825">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9336F">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E13B">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2018">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532" w:type="dxa"/>
            <w:tcBorders>
              <w:top w:val="single" w:color="auto" w:sz="4" w:space="0"/>
              <w:left w:val="single" w:color="000000" w:sz="4" w:space="0"/>
              <w:bottom w:val="single" w:color="000000" w:sz="4" w:space="0"/>
              <w:right w:val="single" w:color="auto" w:sz="4" w:space="0"/>
            </w:tcBorders>
            <w:shd w:val="clear" w:color="auto" w:fill="auto"/>
            <w:vAlign w:val="center"/>
          </w:tcPr>
          <w:p w14:paraId="50F46BA1">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343" w:type="dxa"/>
            <w:tcBorders>
              <w:top w:val="single" w:color="auto" w:sz="4" w:space="0"/>
              <w:left w:val="single" w:color="auto" w:sz="4" w:space="0"/>
              <w:bottom w:val="single" w:color="000000" w:sz="4" w:space="0"/>
              <w:right w:val="single" w:color="auto" w:sz="4" w:space="0"/>
            </w:tcBorders>
            <w:shd w:val="clear" w:color="auto" w:fill="auto"/>
            <w:vAlign w:val="center"/>
          </w:tcPr>
          <w:p w14:paraId="68B30305">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c>
          <w:tcPr>
            <w:tcW w:w="1335" w:type="dxa"/>
            <w:tcBorders>
              <w:top w:val="single" w:color="auto" w:sz="4" w:space="0"/>
              <w:left w:val="single" w:color="auto" w:sz="4" w:space="0"/>
              <w:bottom w:val="single" w:color="000000" w:sz="4" w:space="0"/>
              <w:right w:val="single" w:color="auto" w:sz="4" w:space="0"/>
            </w:tcBorders>
            <w:shd w:val="clear" w:color="auto" w:fill="auto"/>
            <w:vAlign w:val="center"/>
          </w:tcPr>
          <w:p w14:paraId="416ADB16">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36" w:type="dxa"/>
            <w:tcBorders>
              <w:top w:val="single" w:color="000000" w:sz="4" w:space="0"/>
              <w:left w:val="single" w:color="auto" w:sz="4" w:space="0"/>
              <w:bottom w:val="single" w:color="000000" w:sz="4" w:space="0"/>
              <w:right w:val="single" w:color="000000" w:sz="4" w:space="0"/>
            </w:tcBorders>
            <w:shd w:val="clear" w:color="auto" w:fill="auto"/>
            <w:vAlign w:val="center"/>
          </w:tcPr>
          <w:p w14:paraId="44DF45BB">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bl>
    <w:p w14:paraId="270F2A8F">
      <w:pPr>
        <w:rPr>
          <w:rStyle w:val="41"/>
          <w:rFonts w:hint="eastAsia" w:ascii="仿宋" w:hAnsi="仿宋" w:eastAsia="仿宋" w:cs="仿宋"/>
          <w:b/>
          <w:bCs/>
          <w:color w:val="auto"/>
          <w:sz w:val="24"/>
          <w:szCs w:val="24"/>
          <w:highlight w:val="none"/>
        </w:rPr>
      </w:pPr>
    </w:p>
    <w:p w14:paraId="1D0969A0">
      <w:pPr>
        <w:pageBreakBefore w:val="0"/>
        <w:kinsoku/>
        <w:wordWrap/>
        <w:overflowPunct/>
        <w:topLinePunct w:val="0"/>
        <w:autoSpaceDE/>
        <w:autoSpaceDN/>
        <w:bidi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                                             法人授权代表：</w:t>
      </w:r>
    </w:p>
    <w:p w14:paraId="299FD65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C4F75F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                                      （签字或盖章）</w:t>
      </w:r>
    </w:p>
    <w:p w14:paraId="08495337">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4F4E7B2A">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030FDF14">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5EB559DF">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0D69231C">
      <w:pPr>
        <w:pStyle w:val="4"/>
        <w:pageBreakBefore w:val="0"/>
        <w:widowControl w:val="0"/>
        <w:numPr>
          <w:ilvl w:val="0"/>
          <w:numId w:val="0"/>
        </w:numPr>
        <w:kinsoku/>
        <w:wordWrap/>
        <w:overflowPunct/>
        <w:topLinePunct w:val="0"/>
        <w:autoSpaceDE/>
        <w:autoSpaceDN/>
        <w:bidi w:val="0"/>
        <w:spacing w:line="40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1.供应商根据本项目“第二篇 项目目一览表”中所列产品进行报价；</w:t>
      </w:r>
    </w:p>
    <w:p w14:paraId="035E976E">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rPr>
        <w:t>2.该表可拓展</w:t>
      </w:r>
    </w:p>
    <w:p w14:paraId="258218E8">
      <w:pPr>
        <w:rPr>
          <w:rStyle w:val="41"/>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br w:type="page"/>
      </w:r>
    </w:p>
    <w:p w14:paraId="63A34A7C">
      <w:pPr>
        <w:pageBreakBefore w:val="0"/>
        <w:kinsoku/>
        <w:wordWrap/>
        <w:overflowPunct/>
        <w:topLinePunct w:val="0"/>
        <w:autoSpaceDE/>
        <w:autoSpaceDN/>
        <w:bidi w:val="0"/>
        <w:snapToGrid w:val="0"/>
        <w:spacing w:line="400" w:lineRule="exact"/>
        <w:ind w:firstLine="482" w:firstLineChars="200"/>
        <w:rPr>
          <w:rStyle w:val="41"/>
          <w:rFonts w:hint="eastAsia" w:ascii="仿宋" w:hAnsi="仿宋" w:eastAsia="仿宋" w:cs="仿宋"/>
          <w:b/>
          <w:bCs/>
          <w:color w:val="auto"/>
          <w:sz w:val="24"/>
          <w:szCs w:val="24"/>
          <w:highlight w:val="none"/>
        </w:rPr>
      </w:pPr>
      <w:r>
        <w:rPr>
          <w:rStyle w:val="41"/>
          <w:rFonts w:hint="eastAsia" w:ascii="仿宋" w:hAnsi="仿宋" w:eastAsia="仿宋" w:cs="仿宋"/>
          <w:b/>
          <w:bCs/>
          <w:color w:val="auto"/>
          <w:sz w:val="24"/>
          <w:szCs w:val="24"/>
          <w:highlight w:val="none"/>
        </w:rPr>
        <w:t>二、服务部分</w:t>
      </w:r>
    </w:p>
    <w:bookmarkEnd w:id="123"/>
    <w:p w14:paraId="4E7AEF73">
      <w:pPr>
        <w:pageBreakBefore w:val="0"/>
        <w:tabs>
          <w:tab w:val="left" w:pos="6300"/>
        </w:tabs>
        <w:kinsoku/>
        <w:wordWrap/>
        <w:overflowPunct/>
        <w:topLinePunct w:val="0"/>
        <w:autoSpaceDE/>
        <w:autoSpaceDN/>
        <w:bidi w:val="0"/>
        <w:snapToGrid w:val="0"/>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（一）服务方案（格式自定）</w:t>
      </w:r>
    </w:p>
    <w:p w14:paraId="303F732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66B65500">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（二）服务响应偏离表（本表可自行设计格式）</w:t>
      </w:r>
    </w:p>
    <w:p w14:paraId="7D77BF8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C746899">
      <w:pPr>
        <w:pageBreakBefore w:val="0"/>
        <w:kinsoku/>
        <w:wordWrap/>
        <w:overflowPunct/>
        <w:topLinePunct w:val="0"/>
        <w:autoSpaceDE/>
        <w:autoSpaceDN/>
        <w:bidi w:val="0"/>
        <w:spacing w:line="400" w:lineRule="exact"/>
        <w:ind w:firstLine="720" w:firstLineChars="200"/>
        <w:jc w:val="center"/>
        <w:rPr>
          <w:rFonts w:hint="eastAsia" w:ascii="仿宋" w:hAnsi="仿宋" w:eastAsia="仿宋" w:cs="仿宋"/>
          <w:color w:val="auto"/>
          <w:sz w:val="24"/>
          <w:szCs w:val="24"/>
          <w:highlight w:val="none"/>
        </w:rPr>
      </w:pPr>
      <w:r>
        <w:rPr>
          <w:rFonts w:hint="eastAsia" w:ascii="仿宋" w:hAnsi="仿宋" w:eastAsia="仿宋" w:cs="仿宋"/>
          <w:color w:val="auto"/>
          <w:sz w:val="36"/>
          <w:szCs w:val="36"/>
          <w:highlight w:val="none"/>
        </w:rPr>
        <w:t>服务响应偏离表</w:t>
      </w:r>
    </w:p>
    <w:p w14:paraId="4018367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采购执行编号：</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w:t>
      </w:r>
    </w:p>
    <w:p w14:paraId="5F0E29B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none"/>
        </w:rPr>
        <w:t xml:space="preserve">项目名称： </w:t>
      </w:r>
      <w:r>
        <w:rPr>
          <w:rFonts w:hint="eastAsia" w:ascii="仿宋" w:hAnsi="仿宋" w:eastAsia="仿宋" w:cs="仿宋"/>
          <w:color w:val="auto"/>
          <w:sz w:val="24"/>
          <w:szCs w:val="24"/>
          <w:highlight w:val="none"/>
          <w:u w:val="none"/>
          <w:lang w:val="en-US" w:eastAsia="zh-CN"/>
        </w:rPr>
        <w:t>重庆市九龙坡区渝州路街道社区卫生服务中心医用耗材供应商遴选（第二次）</w:t>
      </w:r>
      <w:r>
        <w:rPr>
          <w:rFonts w:hint="eastAsia" w:ascii="仿宋" w:hAnsi="仿宋" w:eastAsia="仿宋" w:cs="仿宋"/>
          <w:color w:val="auto"/>
          <w:sz w:val="24"/>
          <w:szCs w:val="24"/>
          <w:highlight w:val="none"/>
          <w:u w:val="none"/>
        </w:rPr>
        <w:t xml:space="preserve">  </w:t>
      </w:r>
      <w:r>
        <w:rPr>
          <w:rFonts w:hint="eastAsia" w:ascii="仿宋" w:hAnsi="仿宋" w:eastAsia="仿宋" w:cs="仿宋"/>
          <w:color w:val="auto"/>
          <w:sz w:val="24"/>
          <w:szCs w:val="24"/>
          <w:highlight w:val="none"/>
        </w:rPr>
        <w:t xml:space="preserve">                            </w:t>
      </w:r>
    </w:p>
    <w:tbl>
      <w:tblPr>
        <w:tblStyle w:val="23"/>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
        <w:gridCol w:w="2822"/>
        <w:gridCol w:w="2759"/>
        <w:gridCol w:w="2067"/>
      </w:tblGrid>
      <w:tr w14:paraId="5FB85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974" w:type="dxa"/>
            <w:vAlign w:val="center"/>
          </w:tcPr>
          <w:p w14:paraId="53BFFA6C">
            <w:pPr>
              <w:pageBreakBefore w:val="0"/>
              <w:tabs>
                <w:tab w:val="left" w:pos="6300"/>
              </w:tabs>
              <w:kinsoku/>
              <w:wordWrap/>
              <w:overflowPunct/>
              <w:topLinePunct w:val="0"/>
              <w:autoSpaceDE/>
              <w:autoSpaceDN/>
              <w:bidi w:val="0"/>
              <w:snapToGrid w:val="0"/>
              <w:spacing w:line="400" w:lineRule="exact"/>
              <w:ind w:firstLine="240" w:firstLineChars="100"/>
              <w:jc w:val="both"/>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822" w:type="dxa"/>
            <w:vAlign w:val="center"/>
          </w:tcPr>
          <w:p w14:paraId="0519B190">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采购需求</w:t>
            </w:r>
          </w:p>
        </w:tc>
        <w:tc>
          <w:tcPr>
            <w:tcW w:w="2759" w:type="dxa"/>
            <w:vAlign w:val="center"/>
          </w:tcPr>
          <w:p w14:paraId="28643521">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响应情况</w:t>
            </w:r>
          </w:p>
        </w:tc>
        <w:tc>
          <w:tcPr>
            <w:tcW w:w="2067" w:type="dxa"/>
            <w:vAlign w:val="center"/>
          </w:tcPr>
          <w:p w14:paraId="4A0BD4A9">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偏离说明</w:t>
            </w:r>
          </w:p>
        </w:tc>
      </w:tr>
      <w:tr w14:paraId="48756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07909157">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74CC2715">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33C55F14">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29081B29">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2B36D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210D314D">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1E0D10BF">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7DE1676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60A1099B">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3168E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51984765">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4AE5FF59">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37B68280">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43EF1B27">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00A4D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280EC01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3EEAF152">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64076210">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1EEE4BE5">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2912F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1CB443F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6A45E38A">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1EF0C4D5">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7BF93A21">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6CB88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5E472422">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75CCBDF2">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1E83F672">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30CDA03D">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1631F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46E41F99">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5BE84239">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25C8382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6E0EC510">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53AAE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74" w:type="dxa"/>
            <w:vAlign w:val="center"/>
          </w:tcPr>
          <w:p w14:paraId="79B68B53">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822" w:type="dxa"/>
            <w:vAlign w:val="center"/>
          </w:tcPr>
          <w:p w14:paraId="76EE206C">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759" w:type="dxa"/>
            <w:vAlign w:val="center"/>
          </w:tcPr>
          <w:p w14:paraId="315F4BD0">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067" w:type="dxa"/>
            <w:vAlign w:val="center"/>
          </w:tcPr>
          <w:p w14:paraId="088A2B57">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bl>
    <w:p w14:paraId="09FB532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                                       法人授权代表：</w:t>
      </w:r>
    </w:p>
    <w:p w14:paraId="7E45DB9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85A2789">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公章）                                      （签字或盖章）</w:t>
      </w:r>
    </w:p>
    <w:p w14:paraId="570B185B">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2687AB4F">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1AF24D5A">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2F0252F0">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77531096">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highlight w:val="none"/>
        </w:rPr>
        <w:t xml:space="preserve">.本表即为对本项目“第二篇 </w:t>
      </w:r>
      <w:r>
        <w:rPr>
          <w:rFonts w:hint="eastAsia" w:ascii="仿宋" w:hAnsi="仿宋" w:eastAsia="仿宋" w:cs="仿宋"/>
          <w:color w:val="auto"/>
          <w:sz w:val="24"/>
          <w:highlight w:val="none"/>
          <w:lang w:val="en-US" w:eastAsia="zh-CN"/>
        </w:rPr>
        <w:t>项目服务需求</w:t>
      </w:r>
      <w:r>
        <w:rPr>
          <w:rFonts w:hint="eastAsia" w:ascii="仿宋" w:hAnsi="仿宋" w:eastAsia="仿宋" w:cs="仿宋"/>
          <w:color w:val="auto"/>
          <w:sz w:val="24"/>
          <w:highlight w:val="none"/>
        </w:rPr>
        <w:t>”中所列条款进行比较和响应；</w:t>
      </w:r>
    </w:p>
    <w:p w14:paraId="143C5629">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2.该表可拓展。</w:t>
      </w:r>
    </w:p>
    <w:p w14:paraId="026A58C3">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C5628C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1FBEE4E5">
      <w:pPr>
        <w:pageBreakBefore w:val="0"/>
        <w:kinsoku/>
        <w:wordWrap/>
        <w:overflowPunct/>
        <w:topLinePunct w:val="0"/>
        <w:autoSpaceDE/>
        <w:autoSpaceDN/>
        <w:bidi w:val="0"/>
        <w:snapToGrid w:val="0"/>
        <w:spacing w:line="400" w:lineRule="exact"/>
        <w:ind w:firstLine="482" w:firstLineChars="200"/>
        <w:rPr>
          <w:rStyle w:val="41"/>
          <w:rFonts w:hint="eastAsia" w:ascii="仿宋" w:hAnsi="仿宋" w:eastAsia="仿宋" w:cs="仿宋"/>
          <w:b/>
          <w:bCs/>
          <w:color w:val="auto"/>
          <w:sz w:val="24"/>
          <w:szCs w:val="24"/>
          <w:highlight w:val="none"/>
        </w:rPr>
      </w:pPr>
      <w:bookmarkStart w:id="124" w:name="_Toc28029"/>
      <w:r>
        <w:rPr>
          <w:rStyle w:val="41"/>
          <w:rFonts w:hint="eastAsia" w:ascii="仿宋" w:hAnsi="仿宋" w:eastAsia="仿宋" w:cs="仿宋"/>
          <w:b/>
          <w:bCs/>
          <w:color w:val="auto"/>
          <w:sz w:val="24"/>
          <w:szCs w:val="24"/>
          <w:highlight w:val="none"/>
        </w:rPr>
        <w:t>三、商务部分</w:t>
      </w:r>
      <w:bookmarkEnd w:id="118"/>
      <w:bookmarkEnd w:id="119"/>
      <w:bookmarkEnd w:id="120"/>
      <w:bookmarkEnd w:id="121"/>
    </w:p>
    <w:bookmarkEnd w:id="124"/>
    <w:p w14:paraId="62EAC5E0">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（一）商务要求响应情况：服务时间、服务地点、优惠承诺等（格式自定）</w:t>
      </w:r>
    </w:p>
    <w:p w14:paraId="6D0685A4">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5A6CE6B3">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（二）商务响应偏离表（本表可自行设计格式）</w:t>
      </w:r>
    </w:p>
    <w:p w14:paraId="401AF1EB">
      <w:pPr>
        <w:pageBreakBefore w:val="0"/>
        <w:kinsoku/>
        <w:wordWrap/>
        <w:overflowPunct/>
        <w:topLinePunct w:val="0"/>
        <w:autoSpaceDE/>
        <w:autoSpaceDN/>
        <w:bidi w:val="0"/>
        <w:snapToGrid w:val="0"/>
        <w:spacing w:line="400" w:lineRule="exact"/>
        <w:ind w:firstLine="723" w:firstLineChars="200"/>
        <w:jc w:val="center"/>
        <w:rPr>
          <w:rFonts w:hint="eastAsia" w:ascii="仿宋" w:hAnsi="仿宋" w:eastAsia="仿宋" w:cs="仿宋"/>
          <w:b/>
          <w:color w:val="auto"/>
          <w:sz w:val="36"/>
          <w:szCs w:val="36"/>
          <w:highlight w:val="none"/>
        </w:rPr>
      </w:pPr>
    </w:p>
    <w:p w14:paraId="39C72BD2">
      <w:pPr>
        <w:pageBreakBefore w:val="0"/>
        <w:kinsoku/>
        <w:wordWrap/>
        <w:overflowPunct/>
        <w:topLinePunct w:val="0"/>
        <w:autoSpaceDE/>
        <w:autoSpaceDN/>
        <w:bidi w:val="0"/>
        <w:snapToGrid w:val="0"/>
        <w:spacing w:line="400" w:lineRule="exact"/>
        <w:ind w:firstLine="723" w:firstLineChars="200"/>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商务响应偏离表</w:t>
      </w:r>
    </w:p>
    <w:p w14:paraId="67BAE38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C61ABE9">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采购执行编号：</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w:t>
      </w:r>
    </w:p>
    <w:p w14:paraId="56CF08C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项目名称： </w:t>
      </w:r>
      <w:r>
        <w:rPr>
          <w:rFonts w:hint="eastAsia" w:ascii="仿宋" w:hAnsi="仿宋" w:eastAsia="仿宋" w:cs="仿宋"/>
          <w:color w:val="auto"/>
          <w:sz w:val="24"/>
          <w:szCs w:val="24"/>
          <w:highlight w:val="none"/>
          <w:u w:val="single"/>
          <w:lang w:val="en-US" w:eastAsia="zh-CN"/>
        </w:rPr>
        <w:t>重庆市九龙坡区渝州路街道社区卫生服务中心医用耗材供应商遴选（第二次）</w:t>
      </w:r>
      <w:r>
        <w:rPr>
          <w:rFonts w:hint="eastAsia" w:ascii="仿宋" w:hAnsi="仿宋" w:eastAsia="仿宋" w:cs="仿宋"/>
          <w:color w:val="auto"/>
          <w:sz w:val="24"/>
          <w:szCs w:val="24"/>
          <w:highlight w:val="none"/>
        </w:rPr>
        <w:t xml:space="preserve">  </w:t>
      </w:r>
    </w:p>
    <w:tbl>
      <w:tblPr>
        <w:tblStyle w:val="23"/>
        <w:tblW w:w="8932"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3312"/>
        <w:gridCol w:w="2434"/>
        <w:gridCol w:w="2355"/>
      </w:tblGrid>
      <w:tr w14:paraId="5F637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31" w:type="dxa"/>
            <w:vAlign w:val="center"/>
          </w:tcPr>
          <w:p w14:paraId="0616DC51">
            <w:pPr>
              <w:pageBreakBefore w:val="0"/>
              <w:tabs>
                <w:tab w:val="left" w:pos="6300"/>
              </w:tabs>
              <w:kinsoku/>
              <w:wordWrap/>
              <w:overflowPunct/>
              <w:topLinePunct w:val="0"/>
              <w:autoSpaceDE/>
              <w:autoSpaceDN/>
              <w:bidi w:val="0"/>
              <w:snapToGrid w:val="0"/>
              <w:spacing w:line="400" w:lineRule="exact"/>
              <w:jc w:val="both"/>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3312" w:type="dxa"/>
            <w:vAlign w:val="center"/>
          </w:tcPr>
          <w:p w14:paraId="563A085A">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比选项目需求</w:t>
            </w:r>
          </w:p>
        </w:tc>
        <w:tc>
          <w:tcPr>
            <w:tcW w:w="2434" w:type="dxa"/>
            <w:vAlign w:val="center"/>
          </w:tcPr>
          <w:p w14:paraId="0CB89A5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响应情况</w:t>
            </w:r>
          </w:p>
        </w:tc>
        <w:tc>
          <w:tcPr>
            <w:tcW w:w="2355" w:type="dxa"/>
            <w:vAlign w:val="center"/>
          </w:tcPr>
          <w:p w14:paraId="3C8ADA47">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偏离说明</w:t>
            </w:r>
          </w:p>
        </w:tc>
      </w:tr>
      <w:tr w14:paraId="395EC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Align w:val="center"/>
          </w:tcPr>
          <w:p w14:paraId="2BB7ECFC">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3312" w:type="dxa"/>
            <w:vAlign w:val="center"/>
          </w:tcPr>
          <w:p w14:paraId="1177830B">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434" w:type="dxa"/>
            <w:vAlign w:val="center"/>
          </w:tcPr>
          <w:p w14:paraId="6EC45114">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355" w:type="dxa"/>
            <w:vAlign w:val="center"/>
          </w:tcPr>
          <w:p w14:paraId="1CB40512">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6A746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Align w:val="center"/>
          </w:tcPr>
          <w:p w14:paraId="258ACE03">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3312" w:type="dxa"/>
            <w:vAlign w:val="center"/>
          </w:tcPr>
          <w:p w14:paraId="5112302E">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434" w:type="dxa"/>
            <w:vAlign w:val="center"/>
          </w:tcPr>
          <w:p w14:paraId="2CD55618">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355" w:type="dxa"/>
            <w:vAlign w:val="center"/>
          </w:tcPr>
          <w:p w14:paraId="07F43E4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74FF1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Align w:val="center"/>
          </w:tcPr>
          <w:p w14:paraId="0AF13541">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3312" w:type="dxa"/>
            <w:vAlign w:val="center"/>
          </w:tcPr>
          <w:p w14:paraId="1A2404B8">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434" w:type="dxa"/>
            <w:vAlign w:val="center"/>
          </w:tcPr>
          <w:p w14:paraId="46796884">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355" w:type="dxa"/>
            <w:vAlign w:val="center"/>
          </w:tcPr>
          <w:p w14:paraId="506CC5E5">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39151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Align w:val="center"/>
          </w:tcPr>
          <w:p w14:paraId="010B0548">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3312" w:type="dxa"/>
            <w:vAlign w:val="center"/>
          </w:tcPr>
          <w:p w14:paraId="78FB7048">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434" w:type="dxa"/>
            <w:vAlign w:val="center"/>
          </w:tcPr>
          <w:p w14:paraId="303184F3">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355" w:type="dxa"/>
            <w:vAlign w:val="center"/>
          </w:tcPr>
          <w:p w14:paraId="1C89AD57">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4F40E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Align w:val="center"/>
          </w:tcPr>
          <w:p w14:paraId="4E435D7A">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3312" w:type="dxa"/>
            <w:vAlign w:val="center"/>
          </w:tcPr>
          <w:p w14:paraId="633BD291">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434" w:type="dxa"/>
            <w:vAlign w:val="center"/>
          </w:tcPr>
          <w:p w14:paraId="076AD9A0">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355" w:type="dxa"/>
            <w:vAlign w:val="center"/>
          </w:tcPr>
          <w:p w14:paraId="51B7E056">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r w14:paraId="2AFA2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Align w:val="center"/>
          </w:tcPr>
          <w:p w14:paraId="56B79754">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3312" w:type="dxa"/>
            <w:vAlign w:val="center"/>
          </w:tcPr>
          <w:p w14:paraId="0D901223">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434" w:type="dxa"/>
            <w:vAlign w:val="center"/>
          </w:tcPr>
          <w:p w14:paraId="437E17A1">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c>
          <w:tcPr>
            <w:tcW w:w="2355" w:type="dxa"/>
            <w:vAlign w:val="center"/>
          </w:tcPr>
          <w:p w14:paraId="705E35A7">
            <w:pPr>
              <w:pageBreakBefore w:val="0"/>
              <w:tabs>
                <w:tab w:val="left" w:pos="6300"/>
              </w:tabs>
              <w:kinsoku/>
              <w:wordWrap/>
              <w:overflowPunct/>
              <w:topLinePunct w:val="0"/>
              <w:autoSpaceDE/>
              <w:autoSpaceDN/>
              <w:bidi w:val="0"/>
              <w:snapToGrid w:val="0"/>
              <w:spacing w:line="400" w:lineRule="exact"/>
              <w:ind w:firstLine="480" w:firstLineChars="200"/>
              <w:jc w:val="center"/>
              <w:outlineLvl w:val="0"/>
              <w:rPr>
                <w:rFonts w:hint="eastAsia" w:ascii="仿宋" w:hAnsi="仿宋" w:eastAsia="仿宋" w:cs="仿宋"/>
                <w:color w:val="auto"/>
                <w:sz w:val="24"/>
                <w:szCs w:val="24"/>
                <w:highlight w:val="none"/>
              </w:rPr>
            </w:pPr>
          </w:p>
        </w:tc>
      </w:tr>
    </w:tbl>
    <w:p w14:paraId="60F71790">
      <w:pPr>
        <w:pageBreakBefore w:val="0"/>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0FF9B82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                                             法人授权代表：</w:t>
      </w:r>
    </w:p>
    <w:p w14:paraId="5F23D4A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72A532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                                      （签字或盖章）</w:t>
      </w:r>
    </w:p>
    <w:p w14:paraId="2228A724">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55E8AEF4">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5DDD8E1A">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highlight w:val="none"/>
        </w:rPr>
        <w:t>.本表即为对本项目“第</w:t>
      </w:r>
      <w:r>
        <w:rPr>
          <w:rFonts w:hint="eastAsia" w:ascii="仿宋" w:hAnsi="仿宋" w:eastAsia="仿宋" w:cs="仿宋"/>
          <w:color w:val="auto"/>
          <w:sz w:val="24"/>
          <w:highlight w:val="none"/>
          <w:lang w:val="en-US" w:eastAsia="zh-CN"/>
        </w:rPr>
        <w:t>三</w:t>
      </w:r>
      <w:r>
        <w:rPr>
          <w:rFonts w:hint="eastAsia" w:ascii="仿宋" w:hAnsi="仿宋" w:eastAsia="仿宋" w:cs="仿宋"/>
          <w:color w:val="auto"/>
          <w:sz w:val="24"/>
          <w:highlight w:val="none"/>
        </w:rPr>
        <w:t xml:space="preserve">篇 </w:t>
      </w:r>
      <w:r>
        <w:rPr>
          <w:rFonts w:hint="eastAsia" w:ascii="仿宋" w:hAnsi="仿宋" w:eastAsia="仿宋" w:cs="仿宋"/>
          <w:color w:val="auto"/>
          <w:sz w:val="24"/>
          <w:highlight w:val="none"/>
          <w:lang w:val="en-US" w:eastAsia="zh-CN"/>
        </w:rPr>
        <w:t>项目商务需求</w:t>
      </w:r>
      <w:r>
        <w:rPr>
          <w:rFonts w:hint="eastAsia" w:ascii="仿宋" w:hAnsi="仿宋" w:eastAsia="仿宋" w:cs="仿宋"/>
          <w:color w:val="auto"/>
          <w:sz w:val="24"/>
          <w:highlight w:val="none"/>
        </w:rPr>
        <w:t>”中所列条款进行比较和响应；</w:t>
      </w:r>
    </w:p>
    <w:p w14:paraId="4F40DE15">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rPr>
        <w:t>2.该表可拓展</w:t>
      </w:r>
    </w:p>
    <w:p w14:paraId="05DC2DF4">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71D5C53A">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（三）商务评分需提供的资料</w:t>
      </w:r>
    </w:p>
    <w:p w14:paraId="2674B5AE">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根据“第四篇 评审标准”提供相关材料（格式自定）</w:t>
      </w:r>
    </w:p>
    <w:p w14:paraId="47BED6FB">
      <w:pPr>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rPr>
        <w:br w:type="page"/>
      </w:r>
    </w:p>
    <w:p w14:paraId="6334A70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sectPr>
          <w:headerReference r:id="rId9" w:type="default"/>
          <w:type w:val="nextColumn"/>
          <w:pgSz w:w="11907" w:h="16840"/>
          <w:pgMar w:top="1134" w:right="1134" w:bottom="1134" w:left="1134" w:header="851" w:footer="992" w:gutter="0"/>
          <w:pgNumType w:fmt="numberInDash"/>
          <w:cols w:space="720" w:num="1"/>
          <w:docGrid w:linePitch="380" w:charSpace="-5735"/>
        </w:sectPr>
      </w:pPr>
    </w:p>
    <w:bookmarkEnd w:id="122"/>
    <w:p w14:paraId="5F188C03">
      <w:pPr>
        <w:pageBreakBefore w:val="0"/>
        <w:kinsoku/>
        <w:wordWrap/>
        <w:overflowPunct/>
        <w:topLinePunct w:val="0"/>
        <w:autoSpaceDE/>
        <w:autoSpaceDN/>
        <w:bidi w:val="0"/>
        <w:snapToGrid w:val="0"/>
        <w:spacing w:line="400" w:lineRule="exact"/>
        <w:ind w:firstLine="482" w:firstLineChars="200"/>
        <w:rPr>
          <w:rStyle w:val="41"/>
          <w:rFonts w:hint="eastAsia" w:ascii="仿宋" w:hAnsi="仿宋" w:eastAsia="仿宋" w:cs="仿宋"/>
          <w:b/>
          <w:bCs/>
          <w:color w:val="auto"/>
          <w:sz w:val="24"/>
          <w:szCs w:val="24"/>
          <w:highlight w:val="none"/>
        </w:rPr>
      </w:pPr>
      <w:bookmarkStart w:id="125" w:name="_Toc313008359"/>
      <w:bookmarkStart w:id="126" w:name="_Toc506310400"/>
      <w:bookmarkStart w:id="127" w:name="_Toc342913422"/>
      <w:bookmarkStart w:id="128" w:name="_Toc313888363"/>
      <w:bookmarkStart w:id="129" w:name="_Toc9748"/>
      <w:r>
        <w:rPr>
          <w:rStyle w:val="41"/>
          <w:rFonts w:hint="eastAsia" w:ascii="仿宋" w:hAnsi="仿宋" w:eastAsia="仿宋" w:cs="仿宋"/>
          <w:b/>
          <w:bCs/>
          <w:color w:val="auto"/>
          <w:sz w:val="24"/>
          <w:szCs w:val="24"/>
          <w:highlight w:val="none"/>
        </w:rPr>
        <w:t>四、资格条件及其他</w:t>
      </w:r>
      <w:bookmarkEnd w:id="125"/>
      <w:bookmarkEnd w:id="126"/>
      <w:bookmarkEnd w:id="127"/>
      <w:bookmarkEnd w:id="128"/>
    </w:p>
    <w:bookmarkEnd w:id="129"/>
    <w:p w14:paraId="1C0648F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法人营业执照（副本）或事业单位法人证书（副本）或个体工商户营业执照或有效的自然人身份证明或社会团体法人登记证书（提供复印件）</w:t>
      </w:r>
    </w:p>
    <w:p w14:paraId="7564E6E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EFEC7C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59A892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731201E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C9F2FF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44B6814">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（二）法定代表人身份证明书（格式）</w:t>
      </w:r>
    </w:p>
    <w:p w14:paraId="04A2B0C5">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7957490">
      <w:pPr>
        <w:pageBreakBefore w:val="0"/>
        <w:kinsoku/>
        <w:wordWrap/>
        <w:overflowPunct/>
        <w:topLinePunct w:val="0"/>
        <w:autoSpaceDE/>
        <w:autoSpaceDN/>
        <w:bidi w:val="0"/>
        <w:spacing w:line="400" w:lineRule="exact"/>
        <w:ind w:firstLine="640" w:firstLineChars="20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法定代表人身份证明书</w:t>
      </w:r>
    </w:p>
    <w:p w14:paraId="6860BAFD">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E06133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3503C4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比选项目名称：</w:t>
      </w:r>
      <w:r>
        <w:rPr>
          <w:rFonts w:hint="eastAsia" w:ascii="仿宋" w:hAnsi="仿宋" w:eastAsia="仿宋" w:cs="仿宋"/>
          <w:color w:val="auto"/>
          <w:sz w:val="24"/>
          <w:szCs w:val="24"/>
          <w:highlight w:val="none"/>
          <w:u w:val="single"/>
        </w:rPr>
        <w:t xml:space="preserve">                                            </w:t>
      </w:r>
    </w:p>
    <w:p w14:paraId="4DD753D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FC5B53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（采购代理机构名称）：</w:t>
      </w:r>
    </w:p>
    <w:p w14:paraId="2191DCA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6B69EB8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（法定代表人姓名）在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名称）任</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（职务名称）职务，是</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名称）的法定代表人。</w:t>
      </w:r>
    </w:p>
    <w:p w14:paraId="1590704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D082FE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特此证明。</w:t>
      </w:r>
    </w:p>
    <w:p w14:paraId="448DF9F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B13187F">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8F03683">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7AE61D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w:t>
      </w:r>
    </w:p>
    <w:p w14:paraId="7EE010B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BDBE0E5">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3D5F4456">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法定代表人电话：XXXXXXX      电子邮箱：XXXXXX@XXXXX（若授权他人办理并签署投标文件的可不填写）</w:t>
      </w:r>
    </w:p>
    <w:p w14:paraId="777B9A40">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（附：法定代表人身份证正反面复印件）</w:t>
      </w:r>
    </w:p>
    <w:p w14:paraId="3740D14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D24300A">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781F82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4662B6D">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9DEEBF9">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2B413F3">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90B853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column"/>
      </w:r>
      <w:r>
        <w:rPr>
          <w:rFonts w:hint="eastAsia" w:ascii="仿宋" w:hAnsi="仿宋" w:eastAsia="仿宋" w:cs="仿宋"/>
          <w:color w:val="auto"/>
          <w:sz w:val="24"/>
          <w:szCs w:val="24"/>
          <w:highlight w:val="none"/>
        </w:rPr>
        <w:t>（三）法定代表人授权委托书（格式）</w:t>
      </w:r>
    </w:p>
    <w:p w14:paraId="351B49E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E2CFA4C">
      <w:pPr>
        <w:pageBreakBefore w:val="0"/>
        <w:kinsoku/>
        <w:wordWrap/>
        <w:overflowPunct/>
        <w:topLinePunct w:val="0"/>
        <w:autoSpaceDE/>
        <w:autoSpaceDN/>
        <w:bidi w:val="0"/>
        <w:spacing w:line="400" w:lineRule="exact"/>
        <w:ind w:firstLine="640" w:firstLineChars="20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法定代表人授权委托书</w:t>
      </w:r>
    </w:p>
    <w:p w14:paraId="756B3445">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27A121D">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35F6863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比选项目名称：</w:t>
      </w:r>
      <w:r>
        <w:rPr>
          <w:rFonts w:hint="eastAsia" w:ascii="仿宋" w:hAnsi="仿宋" w:eastAsia="仿宋" w:cs="仿宋"/>
          <w:color w:val="auto"/>
          <w:sz w:val="24"/>
          <w:szCs w:val="24"/>
          <w:highlight w:val="none"/>
          <w:u w:val="single"/>
        </w:rPr>
        <w:t xml:space="preserve">                                            </w:t>
      </w:r>
    </w:p>
    <w:p w14:paraId="7B065779">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48F0D3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43C737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（采购代理机构名称）：</w:t>
      </w:r>
    </w:p>
    <w:p w14:paraId="1EEBA1C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u w:val="single"/>
        </w:rPr>
      </w:pPr>
    </w:p>
    <w:p w14:paraId="3F5085A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法定代表人名称）是</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 xml:space="preserve">名称）的法定代表人，特授权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（被授权人姓名及身份证号码）代表我单位全权办理上述项目的比选、签约等具体工作，并签署全部有关文件、协议及合同。</w:t>
      </w:r>
    </w:p>
    <w:p w14:paraId="44FC55D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我单位对被授权人的签字负全部责任。</w:t>
      </w:r>
    </w:p>
    <w:p w14:paraId="2C8B9449">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在撤消授权的书面通知以前，本授权书一直有效。被授权人在授权书有效期内签署的所有文件不因授权的撤消而失效。</w:t>
      </w:r>
    </w:p>
    <w:p w14:paraId="0A78799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352653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6935D8E5">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被授权人：                                 </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法定代表人：</w:t>
      </w:r>
    </w:p>
    <w:p w14:paraId="252AED0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7930C49">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（签字或盖章）                                （签字或盖章）</w:t>
      </w:r>
    </w:p>
    <w:p w14:paraId="670C884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B7FA4D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11204F3">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（附：被授权人身份证正反面复印件）</w:t>
      </w:r>
    </w:p>
    <w:p w14:paraId="44A08B31">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6FD0D774">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DF21E1D">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6B4FA78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w:t>
      </w:r>
    </w:p>
    <w:p w14:paraId="5A4AE0BA">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689BC1CF">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58DB9DBF">
      <w:pPr>
        <w:pageBreakBefore w:val="0"/>
        <w:tabs>
          <w:tab w:val="left" w:pos="6300"/>
        </w:tabs>
        <w:kinsoku/>
        <w:wordWrap/>
        <w:overflowPunct/>
        <w:topLinePunct w:val="0"/>
        <w:autoSpaceDE/>
        <w:autoSpaceDN/>
        <w:bidi w:val="0"/>
        <w:snapToGrid w:val="0"/>
        <w:spacing w:line="400" w:lineRule="exact"/>
        <w:ind w:right="480"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被授权人电话：XXXXXXX     电子邮箱：XXXXXX@XXXXX（若法定代表人办理并签署投标文件的可不填写）</w:t>
      </w:r>
    </w:p>
    <w:p w14:paraId="24A3AD04">
      <w:pPr>
        <w:pageBreakBefore w:val="0"/>
        <w:tabs>
          <w:tab w:val="left" w:pos="6300"/>
        </w:tabs>
        <w:kinsoku/>
        <w:wordWrap/>
        <w:overflowPunct/>
        <w:topLinePunct w:val="0"/>
        <w:autoSpaceDE/>
        <w:autoSpaceDN/>
        <w:bidi w:val="0"/>
        <w:snapToGrid w:val="0"/>
        <w:spacing w:line="400" w:lineRule="exact"/>
        <w:ind w:right="480"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注：</w:t>
      </w:r>
    </w:p>
    <w:p w14:paraId="2C8AC96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rPr>
        <w:t>1.若为法定代表人办理并签署投标文件的，不提供此文件。</w:t>
      </w:r>
    </w:p>
    <w:p w14:paraId="229E293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（四）基本资格条件承诺函</w:t>
      </w:r>
    </w:p>
    <w:p w14:paraId="73F5DC6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CC06FEF">
      <w:pPr>
        <w:pageBreakBefore w:val="0"/>
        <w:tabs>
          <w:tab w:val="left" w:pos="6300"/>
        </w:tabs>
        <w:kinsoku/>
        <w:wordWrap/>
        <w:overflowPunct/>
        <w:topLinePunct w:val="0"/>
        <w:autoSpaceDE/>
        <w:autoSpaceDN/>
        <w:bidi w:val="0"/>
        <w:snapToGrid w:val="0"/>
        <w:spacing w:line="400" w:lineRule="exact"/>
        <w:ind w:firstLine="643" w:firstLineChars="200"/>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基本资格条件承诺函</w:t>
      </w:r>
    </w:p>
    <w:p w14:paraId="37F74FBB">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5E9BF080">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（采购代理机构名称）：</w:t>
      </w:r>
    </w:p>
    <w:p w14:paraId="1DC84F67">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名称）郑重承诺：</w:t>
      </w:r>
    </w:p>
    <w:p w14:paraId="293B22A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1.我方具有良好的商业信誉和健全的财务会计制度，具有履行合同所必需的设备和专业技术能力，具</w:t>
      </w:r>
      <w:r>
        <w:rPr>
          <w:rFonts w:hint="eastAsia" w:ascii="仿宋" w:hAnsi="仿宋" w:eastAsia="仿宋" w:cs="仿宋"/>
          <w:color w:val="auto"/>
          <w:sz w:val="24"/>
          <w:szCs w:val="24"/>
          <w:highlight w:val="none"/>
          <w:lang w:val="zh-CN"/>
        </w:rPr>
        <w:t>有依法缴纳税收和社会保障金的良好记录</w:t>
      </w:r>
      <w:r>
        <w:rPr>
          <w:rFonts w:hint="eastAsia" w:ascii="仿宋" w:hAnsi="仿宋" w:eastAsia="仿宋" w:cs="仿宋"/>
          <w:color w:val="auto"/>
          <w:sz w:val="24"/>
          <w:szCs w:val="24"/>
          <w:highlight w:val="none"/>
        </w:rPr>
        <w:t>，参加本项目采购活动前三年内无重大违法活动记录。</w:t>
      </w:r>
    </w:p>
    <w:p w14:paraId="11DFAC4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7FF7EE2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3.我方在采购项目评审（评标）环节结束后，随时接受采购人、采购代理机构的检查验证，配合提供相关证明材料，证明符合《中华人民共和国政府采购法》规定的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基本资格条件。</w:t>
      </w:r>
    </w:p>
    <w:p w14:paraId="3EC56AC5">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我方对以上承诺负全部法律责任。</w:t>
      </w:r>
    </w:p>
    <w:p w14:paraId="4B07522D">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特此承诺。</w:t>
      </w:r>
    </w:p>
    <w:p w14:paraId="5CEAE916">
      <w:pPr>
        <w:pageBreakBefore w:val="0"/>
        <w:tabs>
          <w:tab w:val="left" w:pos="6300"/>
        </w:tabs>
        <w:kinsoku/>
        <w:wordWrap/>
        <w:overflowPunct/>
        <w:topLinePunct w:val="0"/>
        <w:autoSpaceDE/>
        <w:autoSpaceDN/>
        <w:bidi w:val="0"/>
        <w:snapToGrid w:val="0"/>
        <w:spacing w:line="400" w:lineRule="exact"/>
        <w:ind w:firstLine="480" w:firstLineChars="200"/>
        <w:rPr>
          <w:rFonts w:hint="eastAsia" w:ascii="仿宋" w:hAnsi="仿宋" w:eastAsia="仿宋" w:cs="仿宋"/>
          <w:color w:val="auto"/>
          <w:sz w:val="24"/>
          <w:szCs w:val="24"/>
          <w:highlight w:val="none"/>
        </w:rPr>
      </w:pPr>
    </w:p>
    <w:p w14:paraId="06AE0DDE">
      <w:pPr>
        <w:pageBreakBefore w:val="0"/>
        <w:tabs>
          <w:tab w:val="left" w:pos="6300"/>
        </w:tabs>
        <w:kinsoku/>
        <w:wordWrap/>
        <w:overflowPunct/>
        <w:topLinePunct w:val="0"/>
        <w:autoSpaceDE/>
        <w:autoSpaceDN/>
        <w:bidi w:val="0"/>
        <w:snapToGrid w:val="0"/>
        <w:spacing w:line="400" w:lineRule="exact"/>
        <w:ind w:right="424" w:firstLine="480" w:firstLineChars="20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w:t>
      </w:r>
    </w:p>
    <w:p w14:paraId="437166C2">
      <w:pPr>
        <w:pageBreakBefore w:val="0"/>
        <w:tabs>
          <w:tab w:val="left" w:pos="6300"/>
        </w:tabs>
        <w:kinsoku/>
        <w:wordWrap/>
        <w:overflowPunct/>
        <w:topLinePunct w:val="0"/>
        <w:autoSpaceDE/>
        <w:autoSpaceDN/>
        <w:bidi w:val="0"/>
        <w:snapToGrid w:val="0"/>
        <w:spacing w:line="400" w:lineRule="exact"/>
        <w:ind w:firstLine="5520" w:firstLineChars="23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676E7FE4">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7B3F7F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D15C694">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20282AF">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7D2BAEF">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3A6DD70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（五）特定资格条件证书或证明文件</w:t>
      </w:r>
    </w:p>
    <w:p w14:paraId="46826A60">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6DBCD7F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bookmarkStart w:id="130" w:name="_Toc14422"/>
      <w:r>
        <w:rPr>
          <w:rFonts w:hint="eastAsia" w:ascii="仿宋" w:hAnsi="仿宋" w:eastAsia="仿宋" w:cs="仿宋"/>
          <w:color w:val="auto"/>
          <w:sz w:val="24"/>
          <w:szCs w:val="24"/>
          <w:highlight w:val="none"/>
        </w:rPr>
        <w:br w:type="page"/>
      </w:r>
      <w:bookmarkStart w:id="131" w:name="_Toc23612"/>
      <w:bookmarkStart w:id="132" w:name="_Toc16968"/>
      <w:bookmarkStart w:id="133" w:name="_Toc4738"/>
      <w:bookmarkStart w:id="134" w:name="_Toc49431877"/>
      <w:bookmarkStart w:id="135" w:name="_Toc1632"/>
      <w:bookmarkStart w:id="136" w:name="_Toc21027"/>
      <w:r>
        <w:rPr>
          <w:rStyle w:val="41"/>
          <w:rFonts w:hint="eastAsia" w:ascii="仿宋" w:hAnsi="仿宋" w:eastAsia="仿宋" w:cs="仿宋"/>
          <w:b/>
          <w:bCs/>
          <w:color w:val="auto"/>
          <w:sz w:val="24"/>
          <w:szCs w:val="24"/>
          <w:highlight w:val="none"/>
        </w:rPr>
        <w:t>五、其他资料</w:t>
      </w:r>
      <w:bookmarkEnd w:id="130"/>
      <w:bookmarkEnd w:id="131"/>
      <w:bookmarkEnd w:id="132"/>
      <w:bookmarkEnd w:id="133"/>
      <w:bookmarkEnd w:id="134"/>
      <w:bookmarkEnd w:id="135"/>
      <w:bookmarkEnd w:id="136"/>
    </w:p>
    <w:p w14:paraId="35D0CA06">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（一）其他与项目有关的资料</w:t>
      </w:r>
    </w:p>
    <w:p w14:paraId="4929534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其他与项目有关的资料（自附）：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总体情况介绍、其他与本项目有关的资料等。</w:t>
      </w:r>
    </w:p>
    <w:p w14:paraId="5C02C9B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F344B7A">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5CE97ED">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53FD06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7B886A7">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E59645F">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2EA2BEB">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77A182F8">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6F4E7E7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741EC5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5DF19ED0">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1061FBC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4CE5348C">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047F8A7E">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73F4A562">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366F9C0A">
      <w:pPr>
        <w:pageBreakBefore w:val="0"/>
        <w:kinsoku/>
        <w:wordWrap/>
        <w:overflowPunct/>
        <w:topLinePunct w:val="0"/>
        <w:autoSpaceDE/>
        <w:autoSpaceDN/>
        <w:bidi w:val="0"/>
        <w:spacing w:line="400" w:lineRule="exact"/>
        <w:ind w:firstLine="480" w:firstLineChars="200"/>
        <w:rPr>
          <w:rFonts w:hint="eastAsia" w:ascii="仿宋" w:hAnsi="仿宋" w:eastAsia="仿宋" w:cs="仿宋"/>
          <w:color w:val="auto"/>
          <w:sz w:val="24"/>
          <w:szCs w:val="24"/>
          <w:highlight w:val="none"/>
        </w:rPr>
      </w:pPr>
    </w:p>
    <w:p w14:paraId="2338AD94">
      <w:pPr>
        <w:pageBreakBefore w:val="0"/>
        <w:kinsoku/>
        <w:wordWrap/>
        <w:overflowPunct/>
        <w:topLinePunct w:val="0"/>
        <w:autoSpaceDE/>
        <w:autoSpaceDN/>
        <w:bidi w:val="0"/>
        <w:spacing w:line="400" w:lineRule="exact"/>
        <w:ind w:firstLine="480" w:firstLineChars="20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（结束）</w:t>
      </w:r>
    </w:p>
    <w:p w14:paraId="3FC7CF1C">
      <w:pPr>
        <w:tabs>
          <w:tab w:val="left" w:pos="6300"/>
        </w:tabs>
        <w:snapToGrid w:val="0"/>
        <w:spacing w:line="500" w:lineRule="exact"/>
        <w:ind w:firstLine="560"/>
        <w:jc w:val="center"/>
        <w:rPr>
          <w:rFonts w:hint="eastAsia" w:ascii="仿宋" w:hAnsi="仿宋" w:eastAsia="仿宋" w:cs="仿宋"/>
          <w:color w:val="auto"/>
          <w:sz w:val="24"/>
          <w:szCs w:val="24"/>
          <w:highlight w:val="none"/>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C8BA6B1-6026-4680-877A-0F299CB7C4B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auto"/>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0B21B17B-8DDA-4565-A192-145B1CAB6174}"/>
  </w:font>
  <w:font w:name="微软雅黑">
    <w:panose1 w:val="020B0503020204020204"/>
    <w:charset w:val="86"/>
    <w:family w:val="swiss"/>
    <w:pitch w:val="default"/>
    <w:sig w:usb0="80000287" w:usb1="2ACF3C50" w:usb2="00000016" w:usb3="00000000" w:csb0="0004001F" w:csb1="00000000"/>
  </w:font>
  <w:font w:name="方正仿宋_GBK">
    <w:panose1 w:val="02000000000000000000"/>
    <w:charset w:val="86"/>
    <w:family w:val="script"/>
    <w:pitch w:val="default"/>
    <w:sig w:usb0="A00002BF" w:usb1="38CF7CFA" w:usb2="00082016" w:usb3="00000000" w:csb0="00040001" w:csb1="00000000"/>
    <w:embedRegular r:id="rId3" w:fontKey="{30A9FBDA-A960-468F-A0E0-CA1842CF67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8A2EB">
    <w:pPr>
      <w:pStyle w:val="15"/>
      <w:jc w:val="center"/>
      <w:rPr>
        <w:sz w:val="24"/>
      </w:rPr>
    </w:pPr>
    <w:r>
      <w:rPr>
        <w:sz w:val="24"/>
      </w:rPr>
      <w:fldChar w:fldCharType="begin"/>
    </w:r>
    <w:r>
      <w:rPr>
        <w:rStyle w:val="27"/>
        <w:sz w:val="24"/>
      </w:rPr>
      <w:instrText xml:space="preserve"> PAGE </w:instrText>
    </w:r>
    <w:r>
      <w:rPr>
        <w:sz w:val="24"/>
      </w:rPr>
      <w:fldChar w:fldCharType="separate"/>
    </w:r>
    <w:r>
      <w:rPr>
        <w:rStyle w:val="27"/>
        <w:sz w:val="24"/>
      </w:rPr>
      <w:t>- 2 -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03264">
    <w:pPr>
      <w:pStyle w:val="15"/>
      <w:framePr w:wrap="around" w:vAnchor="text" w:hAnchor="margin" w:xAlign="center" w:y="1"/>
      <w:rPr>
        <w:rStyle w:val="27"/>
      </w:rPr>
    </w:pPr>
    <w:r>
      <w:fldChar w:fldCharType="begin"/>
    </w:r>
    <w:r>
      <w:rPr>
        <w:rStyle w:val="27"/>
      </w:rPr>
      <w:instrText xml:space="preserve">PAGE  </w:instrText>
    </w:r>
    <w:r>
      <w:fldChar w:fldCharType="separate"/>
    </w:r>
    <w:r>
      <w:fldChar w:fldCharType="end"/>
    </w:r>
  </w:p>
  <w:p w14:paraId="130C089E">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109EB">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ED3E5B">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4ED3E5B">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90182">
    <w:pPr>
      <w:pStyle w:val="16"/>
      <w:jc w:val="both"/>
      <w:rPr>
        <w:rFonts w:ascii="方正仿宋_GBK" w:eastAsia="方正仿宋_GBK"/>
        <w:sz w:val="21"/>
        <w:szCs w:val="24"/>
      </w:rPr>
    </w:pPr>
    <w:r>
      <w:rPr>
        <w:rFonts w:hint="eastAsia" w:ascii="仿宋" w:hAnsi="仿宋" w:eastAsia="仿宋"/>
        <w:sz w:val="21"/>
        <w:szCs w:val="21"/>
        <w:lang w:val="en-US" w:eastAsia="zh-CN"/>
      </w:rPr>
      <w:t>重庆市尊诺项目管理有限公司</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宋体" w:hAnsi="宋体"/>
        <w:sz w:val="21"/>
        <w:szCs w:val="21"/>
      </w:rPr>
      <w:t xml:space="preserve">                               </w:t>
    </w:r>
    <w:r>
      <w:rPr>
        <w:rFonts w:hint="eastAsia" w:ascii="仿宋" w:hAnsi="仿宋" w:eastAsia="仿宋" w:cs="仿宋"/>
        <w:sz w:val="21"/>
        <w:szCs w:val="21"/>
      </w:rPr>
      <w:t>竞争性比选文件</w:t>
    </w:r>
    <w:r>
      <w:rPr>
        <w:rFonts w:hint="eastAsia" w:ascii="方正仿宋_GBK" w:eastAsia="方正仿宋_GBK"/>
        <w:sz w:val="21"/>
        <w:szCs w:val="2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40B85">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C4479">
    <w:pPr>
      <w:pStyle w:val="1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C8632">
    <w:pPr>
      <w:pStyle w:val="16"/>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重庆市尊诺项目管理有限公司</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FE7C5B"/>
    <w:multiLevelType w:val="singleLevel"/>
    <w:tmpl w:val="A2FE7C5B"/>
    <w:lvl w:ilvl="0" w:tentative="0">
      <w:start w:val="1"/>
      <w:numFmt w:val="decimal"/>
      <w:lvlText w:val="%1."/>
      <w:lvlJc w:val="left"/>
      <w:pPr>
        <w:ind w:left="425" w:hanging="425"/>
      </w:pPr>
      <w:rPr>
        <w:rFonts w:hint="default"/>
      </w:rPr>
    </w:lvl>
  </w:abstractNum>
  <w:abstractNum w:abstractNumId="1">
    <w:nsid w:val="A52E6044"/>
    <w:multiLevelType w:val="singleLevel"/>
    <w:tmpl w:val="A52E6044"/>
    <w:lvl w:ilvl="0" w:tentative="0">
      <w:start w:val="1"/>
      <w:numFmt w:val="chineseCounting"/>
      <w:suff w:val="nothing"/>
      <w:lvlText w:val="%1、"/>
      <w:lvlJc w:val="left"/>
      <w:rPr>
        <w:rFonts w:hint="eastAsia"/>
      </w:rPr>
    </w:lvl>
  </w:abstractNum>
  <w:abstractNum w:abstractNumId="2">
    <w:nsid w:val="C01AD4A4"/>
    <w:multiLevelType w:val="singleLevel"/>
    <w:tmpl w:val="C01AD4A4"/>
    <w:lvl w:ilvl="0" w:tentative="0">
      <w:start w:val="1"/>
      <w:numFmt w:val="decimal"/>
      <w:lvlText w:val="%1."/>
      <w:lvlJc w:val="left"/>
      <w:pPr>
        <w:ind w:left="425" w:hanging="425"/>
      </w:pPr>
      <w:rPr>
        <w:rFonts w:hint="default"/>
      </w:rPr>
    </w:lvl>
  </w:abstractNum>
  <w:abstractNum w:abstractNumId="3">
    <w:nsid w:val="0D324391"/>
    <w:multiLevelType w:val="singleLevel"/>
    <w:tmpl w:val="0D324391"/>
    <w:lvl w:ilvl="0" w:tentative="0">
      <w:start w:val="1"/>
      <w:numFmt w:val="decimal"/>
      <w:lvlText w:val="%1."/>
      <w:lvlJc w:val="left"/>
      <w:pPr>
        <w:ind w:left="425" w:hanging="425"/>
      </w:pPr>
      <w:rPr>
        <w:rFonts w:hint="default"/>
      </w:rPr>
    </w:lvl>
  </w:abstractNum>
  <w:abstractNum w:abstractNumId="4">
    <w:nsid w:val="0ED71876"/>
    <w:multiLevelType w:val="singleLevel"/>
    <w:tmpl w:val="0ED71876"/>
    <w:lvl w:ilvl="0" w:tentative="0">
      <w:start w:val="1"/>
      <w:numFmt w:val="decimal"/>
      <w:suff w:val="space"/>
      <w:lvlText w:val="%1、"/>
      <w:lvlJc w:val="left"/>
    </w:lvl>
  </w:abstractNum>
  <w:abstractNum w:abstractNumId="5">
    <w:nsid w:val="348D7CDD"/>
    <w:multiLevelType w:val="singleLevel"/>
    <w:tmpl w:val="348D7CDD"/>
    <w:lvl w:ilvl="0" w:tentative="0">
      <w:start w:val="1"/>
      <w:numFmt w:val="decimal"/>
      <w:lvlText w:val="%1."/>
      <w:lvlJc w:val="left"/>
      <w:pPr>
        <w:ind w:left="425" w:hanging="425"/>
      </w:pPr>
      <w:rPr>
        <w:rFonts w:hint="default"/>
      </w:rPr>
    </w:lvl>
  </w:abstractNum>
  <w:abstractNum w:abstractNumId="6">
    <w:nsid w:val="5BE2DFE6"/>
    <w:multiLevelType w:val="singleLevel"/>
    <w:tmpl w:val="5BE2DFE6"/>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6"/>
  </w:num>
  <w:num w:numId="4">
    <w:abstractNumId w:val="3"/>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2ODg4ODI0ZjczZjBkMWQyMjRjOWU4M2Q0MzZmODkifQ=="/>
  </w:docVars>
  <w:rsids>
    <w:rsidRoot w:val="007A16A6"/>
    <w:rsid w:val="00001F79"/>
    <w:rsid w:val="000E7463"/>
    <w:rsid w:val="0026130D"/>
    <w:rsid w:val="004371E3"/>
    <w:rsid w:val="00483F46"/>
    <w:rsid w:val="00485C2C"/>
    <w:rsid w:val="007A16A6"/>
    <w:rsid w:val="00967338"/>
    <w:rsid w:val="009A23AB"/>
    <w:rsid w:val="00B12A73"/>
    <w:rsid w:val="00BA5DF6"/>
    <w:rsid w:val="00D10673"/>
    <w:rsid w:val="00D5063D"/>
    <w:rsid w:val="00D52756"/>
    <w:rsid w:val="00D53746"/>
    <w:rsid w:val="00E32D5A"/>
    <w:rsid w:val="00E91541"/>
    <w:rsid w:val="00FC5295"/>
    <w:rsid w:val="011801B4"/>
    <w:rsid w:val="012F65D2"/>
    <w:rsid w:val="01583118"/>
    <w:rsid w:val="015E3A12"/>
    <w:rsid w:val="01D41FEB"/>
    <w:rsid w:val="01D803E5"/>
    <w:rsid w:val="01DD6545"/>
    <w:rsid w:val="01E0649E"/>
    <w:rsid w:val="01EA636A"/>
    <w:rsid w:val="01F11601"/>
    <w:rsid w:val="02013B6C"/>
    <w:rsid w:val="021138F7"/>
    <w:rsid w:val="021B6523"/>
    <w:rsid w:val="02296E92"/>
    <w:rsid w:val="02362B3B"/>
    <w:rsid w:val="024C0DD3"/>
    <w:rsid w:val="028E2BE3"/>
    <w:rsid w:val="02900CBF"/>
    <w:rsid w:val="0294794D"/>
    <w:rsid w:val="02AD7D25"/>
    <w:rsid w:val="02B67E79"/>
    <w:rsid w:val="02BD7F57"/>
    <w:rsid w:val="02D07A91"/>
    <w:rsid w:val="02D844B5"/>
    <w:rsid w:val="02EC19C0"/>
    <w:rsid w:val="02FC0103"/>
    <w:rsid w:val="031B20B6"/>
    <w:rsid w:val="032A1D61"/>
    <w:rsid w:val="032D0F7E"/>
    <w:rsid w:val="033428D7"/>
    <w:rsid w:val="035E0DBD"/>
    <w:rsid w:val="038A570F"/>
    <w:rsid w:val="03975CFC"/>
    <w:rsid w:val="039E10EB"/>
    <w:rsid w:val="03B510E0"/>
    <w:rsid w:val="03B66D3C"/>
    <w:rsid w:val="03EF6039"/>
    <w:rsid w:val="03FB2BEF"/>
    <w:rsid w:val="03FF7DE1"/>
    <w:rsid w:val="04162652"/>
    <w:rsid w:val="041D6583"/>
    <w:rsid w:val="04274F2B"/>
    <w:rsid w:val="044B0558"/>
    <w:rsid w:val="04574102"/>
    <w:rsid w:val="047E63FE"/>
    <w:rsid w:val="04866AD2"/>
    <w:rsid w:val="04BE4941"/>
    <w:rsid w:val="04C210B5"/>
    <w:rsid w:val="04D806FC"/>
    <w:rsid w:val="04DA26C6"/>
    <w:rsid w:val="04F35297"/>
    <w:rsid w:val="04FB243E"/>
    <w:rsid w:val="051C0AFA"/>
    <w:rsid w:val="05243941"/>
    <w:rsid w:val="052B06CC"/>
    <w:rsid w:val="053433E3"/>
    <w:rsid w:val="058E1529"/>
    <w:rsid w:val="05912AC6"/>
    <w:rsid w:val="05924D4E"/>
    <w:rsid w:val="05A21435"/>
    <w:rsid w:val="05AE3AE8"/>
    <w:rsid w:val="05CF5FA2"/>
    <w:rsid w:val="05E21BDB"/>
    <w:rsid w:val="05E7729D"/>
    <w:rsid w:val="05ED5DDC"/>
    <w:rsid w:val="05FC0C11"/>
    <w:rsid w:val="062C120A"/>
    <w:rsid w:val="065B71E6"/>
    <w:rsid w:val="06647D53"/>
    <w:rsid w:val="06683691"/>
    <w:rsid w:val="06745A21"/>
    <w:rsid w:val="06B86A37"/>
    <w:rsid w:val="06CE1DB6"/>
    <w:rsid w:val="070079BF"/>
    <w:rsid w:val="070752C8"/>
    <w:rsid w:val="070B125C"/>
    <w:rsid w:val="07183F2F"/>
    <w:rsid w:val="07231007"/>
    <w:rsid w:val="072D6361"/>
    <w:rsid w:val="072E5CE5"/>
    <w:rsid w:val="073A1725"/>
    <w:rsid w:val="07487DBA"/>
    <w:rsid w:val="0765096C"/>
    <w:rsid w:val="0768045D"/>
    <w:rsid w:val="07853019"/>
    <w:rsid w:val="078B414B"/>
    <w:rsid w:val="078E4A89"/>
    <w:rsid w:val="07A34FF1"/>
    <w:rsid w:val="07CD1340"/>
    <w:rsid w:val="0823411F"/>
    <w:rsid w:val="0826408A"/>
    <w:rsid w:val="082C148A"/>
    <w:rsid w:val="08314CF2"/>
    <w:rsid w:val="084B066A"/>
    <w:rsid w:val="08A2174C"/>
    <w:rsid w:val="08AC4379"/>
    <w:rsid w:val="08FB476A"/>
    <w:rsid w:val="08FF3F01"/>
    <w:rsid w:val="096A2333"/>
    <w:rsid w:val="09862E1C"/>
    <w:rsid w:val="09A74F2C"/>
    <w:rsid w:val="09AA4D5C"/>
    <w:rsid w:val="09C06C05"/>
    <w:rsid w:val="09D0079B"/>
    <w:rsid w:val="09F63AFE"/>
    <w:rsid w:val="0A0C30B6"/>
    <w:rsid w:val="0A3463D4"/>
    <w:rsid w:val="0A516121"/>
    <w:rsid w:val="0A621193"/>
    <w:rsid w:val="0A894972"/>
    <w:rsid w:val="0A901F39"/>
    <w:rsid w:val="0A904DE1"/>
    <w:rsid w:val="0A9D56F2"/>
    <w:rsid w:val="0A9F44E6"/>
    <w:rsid w:val="0AA90B70"/>
    <w:rsid w:val="0ACC485F"/>
    <w:rsid w:val="0AD100C7"/>
    <w:rsid w:val="0AD72553"/>
    <w:rsid w:val="0AFF2E86"/>
    <w:rsid w:val="0B0E131B"/>
    <w:rsid w:val="0B1D0446"/>
    <w:rsid w:val="0B20431F"/>
    <w:rsid w:val="0B64584D"/>
    <w:rsid w:val="0B6D0965"/>
    <w:rsid w:val="0B7E74F7"/>
    <w:rsid w:val="0BA92577"/>
    <w:rsid w:val="0BBD429F"/>
    <w:rsid w:val="0BBE064B"/>
    <w:rsid w:val="0BC11EE9"/>
    <w:rsid w:val="0C0A3ED7"/>
    <w:rsid w:val="0C0D3381"/>
    <w:rsid w:val="0C2601D9"/>
    <w:rsid w:val="0C2B3807"/>
    <w:rsid w:val="0C6122B2"/>
    <w:rsid w:val="0C6D06E2"/>
    <w:rsid w:val="0C7F57E9"/>
    <w:rsid w:val="0C90360D"/>
    <w:rsid w:val="0CC46135"/>
    <w:rsid w:val="0CC632F9"/>
    <w:rsid w:val="0CDB3056"/>
    <w:rsid w:val="0CE31135"/>
    <w:rsid w:val="0CE94E0E"/>
    <w:rsid w:val="0CF06F2A"/>
    <w:rsid w:val="0CF63E15"/>
    <w:rsid w:val="0D135FD2"/>
    <w:rsid w:val="0D2042F6"/>
    <w:rsid w:val="0D2F254C"/>
    <w:rsid w:val="0D4A1048"/>
    <w:rsid w:val="0D5A6955"/>
    <w:rsid w:val="0D6C40D7"/>
    <w:rsid w:val="0D780CCE"/>
    <w:rsid w:val="0D9345EC"/>
    <w:rsid w:val="0DC15B08"/>
    <w:rsid w:val="0DCC49C1"/>
    <w:rsid w:val="0DD56120"/>
    <w:rsid w:val="0DD644D9"/>
    <w:rsid w:val="0E1704E7"/>
    <w:rsid w:val="0E2055ED"/>
    <w:rsid w:val="0EBA1B76"/>
    <w:rsid w:val="0EC06389"/>
    <w:rsid w:val="0ECE329B"/>
    <w:rsid w:val="0EEB0949"/>
    <w:rsid w:val="0EED3AD5"/>
    <w:rsid w:val="0EFB41C8"/>
    <w:rsid w:val="0F126B2F"/>
    <w:rsid w:val="0F1420B5"/>
    <w:rsid w:val="0F4C41C0"/>
    <w:rsid w:val="0F582B65"/>
    <w:rsid w:val="0F5D2ECD"/>
    <w:rsid w:val="0F7A6104"/>
    <w:rsid w:val="0FE46C69"/>
    <w:rsid w:val="0FF744AF"/>
    <w:rsid w:val="0FF9575C"/>
    <w:rsid w:val="10172A20"/>
    <w:rsid w:val="101833B4"/>
    <w:rsid w:val="101E292F"/>
    <w:rsid w:val="102B2027"/>
    <w:rsid w:val="102D0579"/>
    <w:rsid w:val="102D2243"/>
    <w:rsid w:val="107C6D27"/>
    <w:rsid w:val="108765D6"/>
    <w:rsid w:val="10C009C2"/>
    <w:rsid w:val="10CA5CE4"/>
    <w:rsid w:val="10D43444"/>
    <w:rsid w:val="10F644F5"/>
    <w:rsid w:val="110A4F79"/>
    <w:rsid w:val="110C1E59"/>
    <w:rsid w:val="112836B9"/>
    <w:rsid w:val="112C5E98"/>
    <w:rsid w:val="11317B11"/>
    <w:rsid w:val="11457E7E"/>
    <w:rsid w:val="11496C09"/>
    <w:rsid w:val="11542D1E"/>
    <w:rsid w:val="11553800"/>
    <w:rsid w:val="116E041E"/>
    <w:rsid w:val="11836E7B"/>
    <w:rsid w:val="118801A1"/>
    <w:rsid w:val="11A27B01"/>
    <w:rsid w:val="11B00A36"/>
    <w:rsid w:val="11D840DD"/>
    <w:rsid w:val="11E01CC0"/>
    <w:rsid w:val="11E10C03"/>
    <w:rsid w:val="12137217"/>
    <w:rsid w:val="121470EA"/>
    <w:rsid w:val="121E4192"/>
    <w:rsid w:val="125C6E10"/>
    <w:rsid w:val="12701699"/>
    <w:rsid w:val="12887666"/>
    <w:rsid w:val="12AD544A"/>
    <w:rsid w:val="12E017EF"/>
    <w:rsid w:val="12EB0137"/>
    <w:rsid w:val="130A5D94"/>
    <w:rsid w:val="133B7018"/>
    <w:rsid w:val="133D36D6"/>
    <w:rsid w:val="134202B1"/>
    <w:rsid w:val="13682F98"/>
    <w:rsid w:val="13715B2A"/>
    <w:rsid w:val="13A666CE"/>
    <w:rsid w:val="13BC3EEE"/>
    <w:rsid w:val="13EC1FE4"/>
    <w:rsid w:val="144638D4"/>
    <w:rsid w:val="144D6A10"/>
    <w:rsid w:val="14627FE2"/>
    <w:rsid w:val="14902DA1"/>
    <w:rsid w:val="149A41EF"/>
    <w:rsid w:val="14B81816"/>
    <w:rsid w:val="150115A9"/>
    <w:rsid w:val="150712B5"/>
    <w:rsid w:val="155D250F"/>
    <w:rsid w:val="156B21DE"/>
    <w:rsid w:val="157B24DC"/>
    <w:rsid w:val="157B50AD"/>
    <w:rsid w:val="15A9236C"/>
    <w:rsid w:val="15BC4035"/>
    <w:rsid w:val="15C33ED5"/>
    <w:rsid w:val="160550C9"/>
    <w:rsid w:val="160F08DF"/>
    <w:rsid w:val="1615355E"/>
    <w:rsid w:val="162605E4"/>
    <w:rsid w:val="16473933"/>
    <w:rsid w:val="164E4CC1"/>
    <w:rsid w:val="166521AC"/>
    <w:rsid w:val="166C5F35"/>
    <w:rsid w:val="16970CA9"/>
    <w:rsid w:val="16AA2483"/>
    <w:rsid w:val="16AC5558"/>
    <w:rsid w:val="16C76BDA"/>
    <w:rsid w:val="16CB00C0"/>
    <w:rsid w:val="16CB6A64"/>
    <w:rsid w:val="16CF5E02"/>
    <w:rsid w:val="16E30B31"/>
    <w:rsid w:val="16F72C63"/>
    <w:rsid w:val="16FA09A5"/>
    <w:rsid w:val="170B0B62"/>
    <w:rsid w:val="171D1C21"/>
    <w:rsid w:val="174E544F"/>
    <w:rsid w:val="17914E66"/>
    <w:rsid w:val="17B212C8"/>
    <w:rsid w:val="17BA0860"/>
    <w:rsid w:val="17C57205"/>
    <w:rsid w:val="17C7342C"/>
    <w:rsid w:val="17DC76E8"/>
    <w:rsid w:val="17E458DD"/>
    <w:rsid w:val="1813400F"/>
    <w:rsid w:val="184B14B9"/>
    <w:rsid w:val="18690A6B"/>
    <w:rsid w:val="18714C97"/>
    <w:rsid w:val="1872464D"/>
    <w:rsid w:val="18745314"/>
    <w:rsid w:val="188D751D"/>
    <w:rsid w:val="188F1A4B"/>
    <w:rsid w:val="18B20FCE"/>
    <w:rsid w:val="18BB3140"/>
    <w:rsid w:val="18C64D24"/>
    <w:rsid w:val="18CB43A7"/>
    <w:rsid w:val="18D23988"/>
    <w:rsid w:val="18E216F1"/>
    <w:rsid w:val="18F558C8"/>
    <w:rsid w:val="18FE477D"/>
    <w:rsid w:val="194354F7"/>
    <w:rsid w:val="194D74B2"/>
    <w:rsid w:val="195715A3"/>
    <w:rsid w:val="197F764D"/>
    <w:rsid w:val="19882298"/>
    <w:rsid w:val="199724DC"/>
    <w:rsid w:val="19BF413C"/>
    <w:rsid w:val="19E12006"/>
    <w:rsid w:val="19EF40C6"/>
    <w:rsid w:val="1A045DC3"/>
    <w:rsid w:val="1A147FD0"/>
    <w:rsid w:val="1A5907D2"/>
    <w:rsid w:val="1A5F166A"/>
    <w:rsid w:val="1A606D71"/>
    <w:rsid w:val="1A7F18ED"/>
    <w:rsid w:val="1A8C697D"/>
    <w:rsid w:val="1A9F3D3E"/>
    <w:rsid w:val="1AAE3F81"/>
    <w:rsid w:val="1AB01AA7"/>
    <w:rsid w:val="1AC12C8C"/>
    <w:rsid w:val="1AC76058"/>
    <w:rsid w:val="1B155DAE"/>
    <w:rsid w:val="1B237AF5"/>
    <w:rsid w:val="1B763A45"/>
    <w:rsid w:val="1B9F2C40"/>
    <w:rsid w:val="1BAF7FB0"/>
    <w:rsid w:val="1BB35CDF"/>
    <w:rsid w:val="1BF0493A"/>
    <w:rsid w:val="1C004A47"/>
    <w:rsid w:val="1C095610"/>
    <w:rsid w:val="1C0B07A6"/>
    <w:rsid w:val="1C1C4F1A"/>
    <w:rsid w:val="1C294ACB"/>
    <w:rsid w:val="1C3E5A1F"/>
    <w:rsid w:val="1C4C57FF"/>
    <w:rsid w:val="1C4F3541"/>
    <w:rsid w:val="1C662D65"/>
    <w:rsid w:val="1C7573D9"/>
    <w:rsid w:val="1C7A236C"/>
    <w:rsid w:val="1CAF51C3"/>
    <w:rsid w:val="1CB13310"/>
    <w:rsid w:val="1CC979D3"/>
    <w:rsid w:val="1CD777BF"/>
    <w:rsid w:val="1CDC4DD5"/>
    <w:rsid w:val="1CE011BF"/>
    <w:rsid w:val="1CEE613C"/>
    <w:rsid w:val="1CFA0420"/>
    <w:rsid w:val="1D1D719C"/>
    <w:rsid w:val="1D1D7575"/>
    <w:rsid w:val="1D4A682D"/>
    <w:rsid w:val="1DAD35B6"/>
    <w:rsid w:val="1DB16111"/>
    <w:rsid w:val="1DE2466D"/>
    <w:rsid w:val="1E0068A1"/>
    <w:rsid w:val="1E0A3384"/>
    <w:rsid w:val="1E3173A3"/>
    <w:rsid w:val="1E46140E"/>
    <w:rsid w:val="1E4A3FC0"/>
    <w:rsid w:val="1E683756"/>
    <w:rsid w:val="1E9640D5"/>
    <w:rsid w:val="1EAC7F7A"/>
    <w:rsid w:val="1F016D75"/>
    <w:rsid w:val="1F06438B"/>
    <w:rsid w:val="1F226CEB"/>
    <w:rsid w:val="1F391B42"/>
    <w:rsid w:val="1F4A26C0"/>
    <w:rsid w:val="1F582F19"/>
    <w:rsid w:val="1FC57DA2"/>
    <w:rsid w:val="1FD67160"/>
    <w:rsid w:val="1FE741BD"/>
    <w:rsid w:val="1FED5F05"/>
    <w:rsid w:val="20173F0C"/>
    <w:rsid w:val="207D067D"/>
    <w:rsid w:val="20947775"/>
    <w:rsid w:val="20A7394C"/>
    <w:rsid w:val="20B0742B"/>
    <w:rsid w:val="20B07673"/>
    <w:rsid w:val="20D65FDF"/>
    <w:rsid w:val="20DD277B"/>
    <w:rsid w:val="20E73FDC"/>
    <w:rsid w:val="20E95D13"/>
    <w:rsid w:val="21112E5D"/>
    <w:rsid w:val="2122506F"/>
    <w:rsid w:val="213B5E42"/>
    <w:rsid w:val="21515666"/>
    <w:rsid w:val="21535882"/>
    <w:rsid w:val="215947D8"/>
    <w:rsid w:val="215A276C"/>
    <w:rsid w:val="21A83D12"/>
    <w:rsid w:val="21BC429F"/>
    <w:rsid w:val="21CD2FA2"/>
    <w:rsid w:val="21D54581"/>
    <w:rsid w:val="21D85052"/>
    <w:rsid w:val="21F63227"/>
    <w:rsid w:val="22226492"/>
    <w:rsid w:val="22226997"/>
    <w:rsid w:val="22352B64"/>
    <w:rsid w:val="22464D50"/>
    <w:rsid w:val="228C06EB"/>
    <w:rsid w:val="22974425"/>
    <w:rsid w:val="22D71F89"/>
    <w:rsid w:val="22D868D3"/>
    <w:rsid w:val="230865AC"/>
    <w:rsid w:val="231150AD"/>
    <w:rsid w:val="23675344"/>
    <w:rsid w:val="236E6FF8"/>
    <w:rsid w:val="237A7BAB"/>
    <w:rsid w:val="23850189"/>
    <w:rsid w:val="23BE6B4B"/>
    <w:rsid w:val="23D60ACB"/>
    <w:rsid w:val="23ED5C4B"/>
    <w:rsid w:val="23F46EA8"/>
    <w:rsid w:val="24007AC0"/>
    <w:rsid w:val="24067069"/>
    <w:rsid w:val="244D65E7"/>
    <w:rsid w:val="24575689"/>
    <w:rsid w:val="245E2574"/>
    <w:rsid w:val="245F1E6E"/>
    <w:rsid w:val="246021F5"/>
    <w:rsid w:val="24992DAF"/>
    <w:rsid w:val="24FA5429"/>
    <w:rsid w:val="2506571D"/>
    <w:rsid w:val="252C028A"/>
    <w:rsid w:val="25950217"/>
    <w:rsid w:val="259D70CC"/>
    <w:rsid w:val="25BB0AAA"/>
    <w:rsid w:val="25C87478"/>
    <w:rsid w:val="25CA09E8"/>
    <w:rsid w:val="25CE6CA7"/>
    <w:rsid w:val="25E74730"/>
    <w:rsid w:val="26061115"/>
    <w:rsid w:val="260E10FE"/>
    <w:rsid w:val="261B217C"/>
    <w:rsid w:val="26261652"/>
    <w:rsid w:val="26296BB1"/>
    <w:rsid w:val="26373E99"/>
    <w:rsid w:val="264810FF"/>
    <w:rsid w:val="266B541C"/>
    <w:rsid w:val="26A30712"/>
    <w:rsid w:val="26C540E2"/>
    <w:rsid w:val="26C62652"/>
    <w:rsid w:val="26D21EAD"/>
    <w:rsid w:val="26EF7DFB"/>
    <w:rsid w:val="270F12F9"/>
    <w:rsid w:val="271D59D0"/>
    <w:rsid w:val="2725381D"/>
    <w:rsid w:val="27286E69"/>
    <w:rsid w:val="27C11484"/>
    <w:rsid w:val="27C26BE0"/>
    <w:rsid w:val="27D8088F"/>
    <w:rsid w:val="2820139C"/>
    <w:rsid w:val="2826784C"/>
    <w:rsid w:val="282E191D"/>
    <w:rsid w:val="28393256"/>
    <w:rsid w:val="284657F9"/>
    <w:rsid w:val="287E1436"/>
    <w:rsid w:val="28A6518C"/>
    <w:rsid w:val="28C01A4F"/>
    <w:rsid w:val="28C96CBB"/>
    <w:rsid w:val="28E43737"/>
    <w:rsid w:val="28EA2628"/>
    <w:rsid w:val="28FB2A87"/>
    <w:rsid w:val="290A6828"/>
    <w:rsid w:val="291453F2"/>
    <w:rsid w:val="295771C4"/>
    <w:rsid w:val="29614AE4"/>
    <w:rsid w:val="29712A36"/>
    <w:rsid w:val="29AC6A1D"/>
    <w:rsid w:val="29AE18A7"/>
    <w:rsid w:val="29B03871"/>
    <w:rsid w:val="29CA4207"/>
    <w:rsid w:val="29CB2141"/>
    <w:rsid w:val="29FA2D3E"/>
    <w:rsid w:val="29FF4B88"/>
    <w:rsid w:val="2A0B547C"/>
    <w:rsid w:val="2A0C024B"/>
    <w:rsid w:val="2A1D4C7F"/>
    <w:rsid w:val="2A6C2367"/>
    <w:rsid w:val="2A862824"/>
    <w:rsid w:val="2A8D5961"/>
    <w:rsid w:val="2AC624D6"/>
    <w:rsid w:val="2AF15A7A"/>
    <w:rsid w:val="2B0426A5"/>
    <w:rsid w:val="2B116592"/>
    <w:rsid w:val="2B141BDE"/>
    <w:rsid w:val="2B180563"/>
    <w:rsid w:val="2B2B5786"/>
    <w:rsid w:val="2B4B6F96"/>
    <w:rsid w:val="2B5B1A2F"/>
    <w:rsid w:val="2B62401D"/>
    <w:rsid w:val="2B813779"/>
    <w:rsid w:val="2B8F21F0"/>
    <w:rsid w:val="2B942D1F"/>
    <w:rsid w:val="2BB02D46"/>
    <w:rsid w:val="2BB90F47"/>
    <w:rsid w:val="2BB97D84"/>
    <w:rsid w:val="2BCE0689"/>
    <w:rsid w:val="2BD15D21"/>
    <w:rsid w:val="2BE03161"/>
    <w:rsid w:val="2BE05F64"/>
    <w:rsid w:val="2BF35C97"/>
    <w:rsid w:val="2C016606"/>
    <w:rsid w:val="2C0B2F55"/>
    <w:rsid w:val="2C1F6A8C"/>
    <w:rsid w:val="2C2B5431"/>
    <w:rsid w:val="2C384B42"/>
    <w:rsid w:val="2C583D4C"/>
    <w:rsid w:val="2C6018A8"/>
    <w:rsid w:val="2C73502A"/>
    <w:rsid w:val="2C737F26"/>
    <w:rsid w:val="2CA94D64"/>
    <w:rsid w:val="2CE87E3E"/>
    <w:rsid w:val="2CF12C21"/>
    <w:rsid w:val="2CF96FB4"/>
    <w:rsid w:val="2D061C45"/>
    <w:rsid w:val="2D241F75"/>
    <w:rsid w:val="2D26209C"/>
    <w:rsid w:val="2D330463"/>
    <w:rsid w:val="2D366C89"/>
    <w:rsid w:val="2D483AF4"/>
    <w:rsid w:val="2D711922"/>
    <w:rsid w:val="2D995F29"/>
    <w:rsid w:val="2D9C02BF"/>
    <w:rsid w:val="2D9F1767"/>
    <w:rsid w:val="2DC0604D"/>
    <w:rsid w:val="2DCC629E"/>
    <w:rsid w:val="2DE16C1B"/>
    <w:rsid w:val="2E005246"/>
    <w:rsid w:val="2E112405"/>
    <w:rsid w:val="2E1E4D06"/>
    <w:rsid w:val="2E287D41"/>
    <w:rsid w:val="2E4E5659"/>
    <w:rsid w:val="2EA15E7F"/>
    <w:rsid w:val="2EAE2349"/>
    <w:rsid w:val="2EBD0C89"/>
    <w:rsid w:val="2ED84D84"/>
    <w:rsid w:val="2EF07656"/>
    <w:rsid w:val="2F091041"/>
    <w:rsid w:val="2F236894"/>
    <w:rsid w:val="2F246BF9"/>
    <w:rsid w:val="2F566C69"/>
    <w:rsid w:val="2F6046B5"/>
    <w:rsid w:val="2F642EBB"/>
    <w:rsid w:val="2F9C74F7"/>
    <w:rsid w:val="2FBB4D1E"/>
    <w:rsid w:val="2FE80256"/>
    <w:rsid w:val="2FFA3A98"/>
    <w:rsid w:val="2FFD0189"/>
    <w:rsid w:val="300C557A"/>
    <w:rsid w:val="303348B4"/>
    <w:rsid w:val="303705CB"/>
    <w:rsid w:val="30433499"/>
    <w:rsid w:val="304C3BC8"/>
    <w:rsid w:val="307D0225"/>
    <w:rsid w:val="3089665D"/>
    <w:rsid w:val="30AC0D80"/>
    <w:rsid w:val="30B71989"/>
    <w:rsid w:val="30C936A1"/>
    <w:rsid w:val="30DA7426"/>
    <w:rsid w:val="30ED7159"/>
    <w:rsid w:val="30F71D86"/>
    <w:rsid w:val="30FA5FEE"/>
    <w:rsid w:val="30FF5EFC"/>
    <w:rsid w:val="31050127"/>
    <w:rsid w:val="31283ADD"/>
    <w:rsid w:val="313E192D"/>
    <w:rsid w:val="31413001"/>
    <w:rsid w:val="3192385D"/>
    <w:rsid w:val="31BF03CC"/>
    <w:rsid w:val="31CA6FEB"/>
    <w:rsid w:val="31D7607A"/>
    <w:rsid w:val="31E17E6B"/>
    <w:rsid w:val="31E340B8"/>
    <w:rsid w:val="31EB11BF"/>
    <w:rsid w:val="31EE2735"/>
    <w:rsid w:val="31F36F75"/>
    <w:rsid w:val="320329AC"/>
    <w:rsid w:val="320A370E"/>
    <w:rsid w:val="320F0AA4"/>
    <w:rsid w:val="322112BA"/>
    <w:rsid w:val="322F4323"/>
    <w:rsid w:val="325E6763"/>
    <w:rsid w:val="32C24F9D"/>
    <w:rsid w:val="32C35957"/>
    <w:rsid w:val="32CB3E17"/>
    <w:rsid w:val="32E93950"/>
    <w:rsid w:val="32FA0324"/>
    <w:rsid w:val="33134E71"/>
    <w:rsid w:val="33242A7F"/>
    <w:rsid w:val="334E5A9F"/>
    <w:rsid w:val="3381639C"/>
    <w:rsid w:val="33A43D3B"/>
    <w:rsid w:val="33B331B5"/>
    <w:rsid w:val="33BB3FC3"/>
    <w:rsid w:val="33D50520"/>
    <w:rsid w:val="33EF143A"/>
    <w:rsid w:val="34060532"/>
    <w:rsid w:val="341B5A49"/>
    <w:rsid w:val="342514E8"/>
    <w:rsid w:val="347115B5"/>
    <w:rsid w:val="34880F47"/>
    <w:rsid w:val="35064C8D"/>
    <w:rsid w:val="351D3D85"/>
    <w:rsid w:val="35694D08"/>
    <w:rsid w:val="3589141A"/>
    <w:rsid w:val="358B2D34"/>
    <w:rsid w:val="35935DF5"/>
    <w:rsid w:val="35B205C3"/>
    <w:rsid w:val="35C67F79"/>
    <w:rsid w:val="35D46F87"/>
    <w:rsid w:val="35DA1C76"/>
    <w:rsid w:val="35DC0741"/>
    <w:rsid w:val="35FB603C"/>
    <w:rsid w:val="363219AB"/>
    <w:rsid w:val="364E6A9B"/>
    <w:rsid w:val="36533F02"/>
    <w:rsid w:val="36572D3F"/>
    <w:rsid w:val="365D08DD"/>
    <w:rsid w:val="36634B09"/>
    <w:rsid w:val="36637357"/>
    <w:rsid w:val="366F56BE"/>
    <w:rsid w:val="369167D9"/>
    <w:rsid w:val="369C3F7E"/>
    <w:rsid w:val="36BE0654"/>
    <w:rsid w:val="36C46BAE"/>
    <w:rsid w:val="36CE74F3"/>
    <w:rsid w:val="370945C1"/>
    <w:rsid w:val="37384DC5"/>
    <w:rsid w:val="3752696B"/>
    <w:rsid w:val="37597553"/>
    <w:rsid w:val="376965A9"/>
    <w:rsid w:val="37833A11"/>
    <w:rsid w:val="37851194"/>
    <w:rsid w:val="37894DEF"/>
    <w:rsid w:val="378C0D4E"/>
    <w:rsid w:val="37976071"/>
    <w:rsid w:val="37A97B52"/>
    <w:rsid w:val="37C77810"/>
    <w:rsid w:val="37E1109A"/>
    <w:rsid w:val="37E81288"/>
    <w:rsid w:val="380F690B"/>
    <w:rsid w:val="3812164A"/>
    <w:rsid w:val="381A63F5"/>
    <w:rsid w:val="38396895"/>
    <w:rsid w:val="386A72E1"/>
    <w:rsid w:val="38806B05"/>
    <w:rsid w:val="388E0998"/>
    <w:rsid w:val="38C369F1"/>
    <w:rsid w:val="38FB262F"/>
    <w:rsid w:val="390154AF"/>
    <w:rsid w:val="39073ED2"/>
    <w:rsid w:val="39093876"/>
    <w:rsid w:val="391758F5"/>
    <w:rsid w:val="392C4597"/>
    <w:rsid w:val="394915ED"/>
    <w:rsid w:val="39513FFD"/>
    <w:rsid w:val="3953201A"/>
    <w:rsid w:val="397F214F"/>
    <w:rsid w:val="39810D86"/>
    <w:rsid w:val="39B7228B"/>
    <w:rsid w:val="39EE58F5"/>
    <w:rsid w:val="3A142705"/>
    <w:rsid w:val="3A1B7675"/>
    <w:rsid w:val="3A1C016B"/>
    <w:rsid w:val="3A301E36"/>
    <w:rsid w:val="3A3302E2"/>
    <w:rsid w:val="3A4A1178"/>
    <w:rsid w:val="3A541787"/>
    <w:rsid w:val="3A6209E7"/>
    <w:rsid w:val="3AAA452C"/>
    <w:rsid w:val="3AE0561C"/>
    <w:rsid w:val="3AFB06C4"/>
    <w:rsid w:val="3B153A8E"/>
    <w:rsid w:val="3B36136A"/>
    <w:rsid w:val="3B3D0CDD"/>
    <w:rsid w:val="3B43343F"/>
    <w:rsid w:val="3B491430"/>
    <w:rsid w:val="3B660234"/>
    <w:rsid w:val="3B6E1810"/>
    <w:rsid w:val="3B702E61"/>
    <w:rsid w:val="3B762441"/>
    <w:rsid w:val="3B9823B7"/>
    <w:rsid w:val="3BB276B2"/>
    <w:rsid w:val="3BDC4BF4"/>
    <w:rsid w:val="3BE06C7E"/>
    <w:rsid w:val="3BE253E0"/>
    <w:rsid w:val="3BFA4E20"/>
    <w:rsid w:val="3C003E02"/>
    <w:rsid w:val="3C314ADE"/>
    <w:rsid w:val="3C467E80"/>
    <w:rsid w:val="3C4D4F50"/>
    <w:rsid w:val="3C4E7CED"/>
    <w:rsid w:val="3C601127"/>
    <w:rsid w:val="3C613C0E"/>
    <w:rsid w:val="3C856F2B"/>
    <w:rsid w:val="3CA31014"/>
    <w:rsid w:val="3CEA09F1"/>
    <w:rsid w:val="3CEB6988"/>
    <w:rsid w:val="3CEC7805"/>
    <w:rsid w:val="3CF346EA"/>
    <w:rsid w:val="3D436B95"/>
    <w:rsid w:val="3D4A6ED2"/>
    <w:rsid w:val="3D612090"/>
    <w:rsid w:val="3D807B1A"/>
    <w:rsid w:val="3D931088"/>
    <w:rsid w:val="3D9848F1"/>
    <w:rsid w:val="3D9A2417"/>
    <w:rsid w:val="3D9B618F"/>
    <w:rsid w:val="3DC0664E"/>
    <w:rsid w:val="3DC079A3"/>
    <w:rsid w:val="3DE1436E"/>
    <w:rsid w:val="3DE90CA8"/>
    <w:rsid w:val="3DEA4545"/>
    <w:rsid w:val="3DEB23F1"/>
    <w:rsid w:val="3DEC1BA3"/>
    <w:rsid w:val="3E012496"/>
    <w:rsid w:val="3E057E5C"/>
    <w:rsid w:val="3E0870F1"/>
    <w:rsid w:val="3E2B12C1"/>
    <w:rsid w:val="3E573E64"/>
    <w:rsid w:val="3E6E56EE"/>
    <w:rsid w:val="3E6F7B87"/>
    <w:rsid w:val="3E8E7DEC"/>
    <w:rsid w:val="3E916FCA"/>
    <w:rsid w:val="3E937510"/>
    <w:rsid w:val="3E976956"/>
    <w:rsid w:val="3EA30D21"/>
    <w:rsid w:val="3EA37367"/>
    <w:rsid w:val="3EE03F1C"/>
    <w:rsid w:val="3EE6343A"/>
    <w:rsid w:val="3EE84604"/>
    <w:rsid w:val="3EFE4C27"/>
    <w:rsid w:val="3F044850"/>
    <w:rsid w:val="3F1F2DEF"/>
    <w:rsid w:val="3F223B34"/>
    <w:rsid w:val="3F3142F6"/>
    <w:rsid w:val="3F327BFC"/>
    <w:rsid w:val="3F3C12AC"/>
    <w:rsid w:val="3F4F1C13"/>
    <w:rsid w:val="3F547054"/>
    <w:rsid w:val="3F6F78D3"/>
    <w:rsid w:val="3F71532A"/>
    <w:rsid w:val="3F737426"/>
    <w:rsid w:val="3F8D5C9F"/>
    <w:rsid w:val="3FB928FC"/>
    <w:rsid w:val="4001677D"/>
    <w:rsid w:val="40086045"/>
    <w:rsid w:val="40102619"/>
    <w:rsid w:val="402828F4"/>
    <w:rsid w:val="40430557"/>
    <w:rsid w:val="405A5E8D"/>
    <w:rsid w:val="4061225A"/>
    <w:rsid w:val="40A9536C"/>
    <w:rsid w:val="40AE1504"/>
    <w:rsid w:val="40B97058"/>
    <w:rsid w:val="40CE503D"/>
    <w:rsid w:val="41001EB1"/>
    <w:rsid w:val="41365B3D"/>
    <w:rsid w:val="413D1A37"/>
    <w:rsid w:val="41511846"/>
    <w:rsid w:val="416C170D"/>
    <w:rsid w:val="4172527C"/>
    <w:rsid w:val="418C02C8"/>
    <w:rsid w:val="419B675D"/>
    <w:rsid w:val="41A05B22"/>
    <w:rsid w:val="41B14053"/>
    <w:rsid w:val="41B85EB6"/>
    <w:rsid w:val="41D42537"/>
    <w:rsid w:val="41EF2605"/>
    <w:rsid w:val="41F35125"/>
    <w:rsid w:val="423B584A"/>
    <w:rsid w:val="42446DF5"/>
    <w:rsid w:val="42531754"/>
    <w:rsid w:val="42750D64"/>
    <w:rsid w:val="42A96B18"/>
    <w:rsid w:val="42D23768"/>
    <w:rsid w:val="42D53D7E"/>
    <w:rsid w:val="42E5074D"/>
    <w:rsid w:val="43164FEF"/>
    <w:rsid w:val="432E070E"/>
    <w:rsid w:val="43566DE0"/>
    <w:rsid w:val="436A16A6"/>
    <w:rsid w:val="43785ED1"/>
    <w:rsid w:val="437F530D"/>
    <w:rsid w:val="438A12F4"/>
    <w:rsid w:val="43BE2B29"/>
    <w:rsid w:val="43D321DE"/>
    <w:rsid w:val="43F403A7"/>
    <w:rsid w:val="44055CF9"/>
    <w:rsid w:val="44120BB1"/>
    <w:rsid w:val="444829E0"/>
    <w:rsid w:val="445B5DD8"/>
    <w:rsid w:val="44623562"/>
    <w:rsid w:val="44655E14"/>
    <w:rsid w:val="4467501D"/>
    <w:rsid w:val="449A0F4E"/>
    <w:rsid w:val="449F5DD3"/>
    <w:rsid w:val="44DC42BA"/>
    <w:rsid w:val="44ED2FD3"/>
    <w:rsid w:val="44ED5522"/>
    <w:rsid w:val="44F67147"/>
    <w:rsid w:val="4509503D"/>
    <w:rsid w:val="453F244F"/>
    <w:rsid w:val="45446354"/>
    <w:rsid w:val="455F7AA2"/>
    <w:rsid w:val="45644F92"/>
    <w:rsid w:val="457458E7"/>
    <w:rsid w:val="464E1FF0"/>
    <w:rsid w:val="46730342"/>
    <w:rsid w:val="467414CE"/>
    <w:rsid w:val="46824E5A"/>
    <w:rsid w:val="468C2B19"/>
    <w:rsid w:val="46EF6F8D"/>
    <w:rsid w:val="470E1780"/>
    <w:rsid w:val="471D6BB8"/>
    <w:rsid w:val="47356E70"/>
    <w:rsid w:val="477E46F8"/>
    <w:rsid w:val="479C7DAA"/>
    <w:rsid w:val="47B16162"/>
    <w:rsid w:val="47C03DA6"/>
    <w:rsid w:val="47DC362C"/>
    <w:rsid w:val="47DD14F1"/>
    <w:rsid w:val="47EB37C9"/>
    <w:rsid w:val="480C40F9"/>
    <w:rsid w:val="481E1B94"/>
    <w:rsid w:val="482753AB"/>
    <w:rsid w:val="482F34C6"/>
    <w:rsid w:val="483E7E42"/>
    <w:rsid w:val="48461DA8"/>
    <w:rsid w:val="48592243"/>
    <w:rsid w:val="48592ECE"/>
    <w:rsid w:val="485D0ECC"/>
    <w:rsid w:val="48677399"/>
    <w:rsid w:val="486907AD"/>
    <w:rsid w:val="48741AB6"/>
    <w:rsid w:val="488100CD"/>
    <w:rsid w:val="4894362D"/>
    <w:rsid w:val="489857A5"/>
    <w:rsid w:val="489D2DBB"/>
    <w:rsid w:val="48A96D19"/>
    <w:rsid w:val="48B923A7"/>
    <w:rsid w:val="48C7550C"/>
    <w:rsid w:val="48CF6B94"/>
    <w:rsid w:val="48F04396"/>
    <w:rsid w:val="48F11BFC"/>
    <w:rsid w:val="48F13107"/>
    <w:rsid w:val="49035633"/>
    <w:rsid w:val="49064A23"/>
    <w:rsid w:val="490B241B"/>
    <w:rsid w:val="491C0184"/>
    <w:rsid w:val="492B175F"/>
    <w:rsid w:val="493D08D6"/>
    <w:rsid w:val="49543DC1"/>
    <w:rsid w:val="4965112A"/>
    <w:rsid w:val="49773DAE"/>
    <w:rsid w:val="49AE00AE"/>
    <w:rsid w:val="49B605D8"/>
    <w:rsid w:val="49BC2509"/>
    <w:rsid w:val="49C32CF5"/>
    <w:rsid w:val="49F25388"/>
    <w:rsid w:val="49F770B6"/>
    <w:rsid w:val="4A225C6E"/>
    <w:rsid w:val="4A280C46"/>
    <w:rsid w:val="4A3C09D0"/>
    <w:rsid w:val="4A5144F5"/>
    <w:rsid w:val="4A832F04"/>
    <w:rsid w:val="4A9F72BE"/>
    <w:rsid w:val="4AC565F9"/>
    <w:rsid w:val="4ACF7D3D"/>
    <w:rsid w:val="4AEE31EB"/>
    <w:rsid w:val="4AF13892"/>
    <w:rsid w:val="4AF762F7"/>
    <w:rsid w:val="4B022911"/>
    <w:rsid w:val="4B0C73E6"/>
    <w:rsid w:val="4B33219C"/>
    <w:rsid w:val="4B3F45FD"/>
    <w:rsid w:val="4B4E2A92"/>
    <w:rsid w:val="4B58443C"/>
    <w:rsid w:val="4B693428"/>
    <w:rsid w:val="4B6A1E13"/>
    <w:rsid w:val="4BAF37F7"/>
    <w:rsid w:val="4BB40B47"/>
    <w:rsid w:val="4BD9235C"/>
    <w:rsid w:val="4BE70EF5"/>
    <w:rsid w:val="4BF76C86"/>
    <w:rsid w:val="4C0D05F7"/>
    <w:rsid w:val="4C253ED6"/>
    <w:rsid w:val="4C405C18"/>
    <w:rsid w:val="4C505F95"/>
    <w:rsid w:val="4C6940F1"/>
    <w:rsid w:val="4C785E03"/>
    <w:rsid w:val="4C8E208B"/>
    <w:rsid w:val="4CA30709"/>
    <w:rsid w:val="4CB91BB2"/>
    <w:rsid w:val="4CCD5AED"/>
    <w:rsid w:val="4CD34FFD"/>
    <w:rsid w:val="4CDF1BF4"/>
    <w:rsid w:val="4CE459C5"/>
    <w:rsid w:val="4CFF2296"/>
    <w:rsid w:val="4D072EF9"/>
    <w:rsid w:val="4D337862"/>
    <w:rsid w:val="4D4D1254"/>
    <w:rsid w:val="4D510618"/>
    <w:rsid w:val="4D722A68"/>
    <w:rsid w:val="4D925B1F"/>
    <w:rsid w:val="4D956757"/>
    <w:rsid w:val="4D9D6B08"/>
    <w:rsid w:val="4DAB5F7A"/>
    <w:rsid w:val="4DB937C7"/>
    <w:rsid w:val="4DC82688"/>
    <w:rsid w:val="4DDC2416"/>
    <w:rsid w:val="4E7445BE"/>
    <w:rsid w:val="4E9006F3"/>
    <w:rsid w:val="4E9407BC"/>
    <w:rsid w:val="4E9D1D67"/>
    <w:rsid w:val="4EAB356F"/>
    <w:rsid w:val="4EB57961"/>
    <w:rsid w:val="4EBB21ED"/>
    <w:rsid w:val="4EC13F43"/>
    <w:rsid w:val="4ECF13C9"/>
    <w:rsid w:val="4ED8534D"/>
    <w:rsid w:val="4F100246"/>
    <w:rsid w:val="4F3A21CB"/>
    <w:rsid w:val="4F3B63E4"/>
    <w:rsid w:val="4F400944"/>
    <w:rsid w:val="4F4072EC"/>
    <w:rsid w:val="4F5023DA"/>
    <w:rsid w:val="4F5519E2"/>
    <w:rsid w:val="4F724648"/>
    <w:rsid w:val="4F9F47EA"/>
    <w:rsid w:val="4FF10923"/>
    <w:rsid w:val="4FFC2ABD"/>
    <w:rsid w:val="50004A95"/>
    <w:rsid w:val="50083210"/>
    <w:rsid w:val="501446FD"/>
    <w:rsid w:val="502838B2"/>
    <w:rsid w:val="5033485E"/>
    <w:rsid w:val="504306EC"/>
    <w:rsid w:val="50441BF3"/>
    <w:rsid w:val="50631D4D"/>
    <w:rsid w:val="50720FD1"/>
    <w:rsid w:val="50760AC1"/>
    <w:rsid w:val="508807F5"/>
    <w:rsid w:val="50920ED6"/>
    <w:rsid w:val="50AD3DB7"/>
    <w:rsid w:val="50BB2978"/>
    <w:rsid w:val="50D852D8"/>
    <w:rsid w:val="51071719"/>
    <w:rsid w:val="51190299"/>
    <w:rsid w:val="511F6F5C"/>
    <w:rsid w:val="51217A74"/>
    <w:rsid w:val="51237AAF"/>
    <w:rsid w:val="51354F21"/>
    <w:rsid w:val="51450494"/>
    <w:rsid w:val="51857589"/>
    <w:rsid w:val="51C615D4"/>
    <w:rsid w:val="520B5239"/>
    <w:rsid w:val="52140592"/>
    <w:rsid w:val="52171194"/>
    <w:rsid w:val="521A2D60"/>
    <w:rsid w:val="52240AA0"/>
    <w:rsid w:val="52904DEF"/>
    <w:rsid w:val="52911BE2"/>
    <w:rsid w:val="52E360BE"/>
    <w:rsid w:val="52F1442F"/>
    <w:rsid w:val="53073C53"/>
    <w:rsid w:val="53155E76"/>
    <w:rsid w:val="53492B23"/>
    <w:rsid w:val="535D1AC5"/>
    <w:rsid w:val="539F192F"/>
    <w:rsid w:val="53A616BE"/>
    <w:rsid w:val="53B01CF2"/>
    <w:rsid w:val="541A0123"/>
    <w:rsid w:val="5463135D"/>
    <w:rsid w:val="54640C31"/>
    <w:rsid w:val="54790B80"/>
    <w:rsid w:val="548D63DA"/>
    <w:rsid w:val="54A379AB"/>
    <w:rsid w:val="54CC563E"/>
    <w:rsid w:val="54D66671"/>
    <w:rsid w:val="54D933CD"/>
    <w:rsid w:val="54EF2BF0"/>
    <w:rsid w:val="55052414"/>
    <w:rsid w:val="550A4368"/>
    <w:rsid w:val="55355BDF"/>
    <w:rsid w:val="553F41FA"/>
    <w:rsid w:val="55E262B1"/>
    <w:rsid w:val="55EE2161"/>
    <w:rsid w:val="560728C4"/>
    <w:rsid w:val="561E0534"/>
    <w:rsid w:val="562A41F7"/>
    <w:rsid w:val="56462CE4"/>
    <w:rsid w:val="568E6439"/>
    <w:rsid w:val="569763B8"/>
    <w:rsid w:val="56A8375A"/>
    <w:rsid w:val="56C667BE"/>
    <w:rsid w:val="56D976B4"/>
    <w:rsid w:val="56DB5BC3"/>
    <w:rsid w:val="56F24B88"/>
    <w:rsid w:val="56F73A0D"/>
    <w:rsid w:val="56FE00DA"/>
    <w:rsid w:val="571164F6"/>
    <w:rsid w:val="571679F1"/>
    <w:rsid w:val="571A713B"/>
    <w:rsid w:val="572709E0"/>
    <w:rsid w:val="574B7E86"/>
    <w:rsid w:val="575B4C3B"/>
    <w:rsid w:val="576553EC"/>
    <w:rsid w:val="57800480"/>
    <w:rsid w:val="57811AFA"/>
    <w:rsid w:val="57835872"/>
    <w:rsid w:val="57845D25"/>
    <w:rsid w:val="57A852D8"/>
    <w:rsid w:val="57AF7445"/>
    <w:rsid w:val="57BA080A"/>
    <w:rsid w:val="57BA40CB"/>
    <w:rsid w:val="57DE652D"/>
    <w:rsid w:val="57DF519E"/>
    <w:rsid w:val="580F7106"/>
    <w:rsid w:val="58123253"/>
    <w:rsid w:val="582C5F09"/>
    <w:rsid w:val="58675193"/>
    <w:rsid w:val="588303AC"/>
    <w:rsid w:val="588B4C8B"/>
    <w:rsid w:val="58A261CC"/>
    <w:rsid w:val="58E54CC3"/>
    <w:rsid w:val="58E9186D"/>
    <w:rsid w:val="590D1127"/>
    <w:rsid w:val="590F5E8A"/>
    <w:rsid w:val="59396B30"/>
    <w:rsid w:val="59480B21"/>
    <w:rsid w:val="595C281E"/>
    <w:rsid w:val="595D13D8"/>
    <w:rsid w:val="59771406"/>
    <w:rsid w:val="598C3104"/>
    <w:rsid w:val="59A2301C"/>
    <w:rsid w:val="59B51489"/>
    <w:rsid w:val="59D61B39"/>
    <w:rsid w:val="59D85DF8"/>
    <w:rsid w:val="59E06C63"/>
    <w:rsid w:val="5A062EB0"/>
    <w:rsid w:val="5A282BA3"/>
    <w:rsid w:val="5A292701"/>
    <w:rsid w:val="5A2E1B19"/>
    <w:rsid w:val="5A2F3A8F"/>
    <w:rsid w:val="5A3E3CD2"/>
    <w:rsid w:val="5A511C57"/>
    <w:rsid w:val="5A6000EC"/>
    <w:rsid w:val="5A731BCE"/>
    <w:rsid w:val="5A8A2B8D"/>
    <w:rsid w:val="5AB346C0"/>
    <w:rsid w:val="5AC266B1"/>
    <w:rsid w:val="5ACB37B8"/>
    <w:rsid w:val="5AD703AE"/>
    <w:rsid w:val="5ADF3707"/>
    <w:rsid w:val="5AF7771D"/>
    <w:rsid w:val="5AFE1DDF"/>
    <w:rsid w:val="5B033869"/>
    <w:rsid w:val="5B0E7B48"/>
    <w:rsid w:val="5B102138"/>
    <w:rsid w:val="5B1E0E25"/>
    <w:rsid w:val="5B5A2921"/>
    <w:rsid w:val="5B774531"/>
    <w:rsid w:val="5BAC40AF"/>
    <w:rsid w:val="5BAD110F"/>
    <w:rsid w:val="5BD26DC8"/>
    <w:rsid w:val="5BF02FCB"/>
    <w:rsid w:val="5C462241"/>
    <w:rsid w:val="5C4868CC"/>
    <w:rsid w:val="5C974299"/>
    <w:rsid w:val="5CB169DD"/>
    <w:rsid w:val="5CFF3299"/>
    <w:rsid w:val="5D0E3E30"/>
    <w:rsid w:val="5D133A5F"/>
    <w:rsid w:val="5D60653C"/>
    <w:rsid w:val="5D616655"/>
    <w:rsid w:val="5D621401"/>
    <w:rsid w:val="5D6B7EBD"/>
    <w:rsid w:val="5D722610"/>
    <w:rsid w:val="5D9702C9"/>
    <w:rsid w:val="5DCA7D57"/>
    <w:rsid w:val="5DD5494D"/>
    <w:rsid w:val="5DE27796"/>
    <w:rsid w:val="5DE4727B"/>
    <w:rsid w:val="5E075275"/>
    <w:rsid w:val="5E1706BA"/>
    <w:rsid w:val="5E5166CA"/>
    <w:rsid w:val="5E6301AB"/>
    <w:rsid w:val="5E714676"/>
    <w:rsid w:val="5E9860A7"/>
    <w:rsid w:val="5E9D7136"/>
    <w:rsid w:val="5EAC3900"/>
    <w:rsid w:val="5EB266CD"/>
    <w:rsid w:val="5EB872A8"/>
    <w:rsid w:val="5EEC63F2"/>
    <w:rsid w:val="5EF552A7"/>
    <w:rsid w:val="5F4C4B1F"/>
    <w:rsid w:val="5F5928DB"/>
    <w:rsid w:val="5F6D4899"/>
    <w:rsid w:val="5F771D87"/>
    <w:rsid w:val="5F7A13D9"/>
    <w:rsid w:val="5F930AF8"/>
    <w:rsid w:val="5FA13AEE"/>
    <w:rsid w:val="5FA840C8"/>
    <w:rsid w:val="5FC15189"/>
    <w:rsid w:val="5FC80BD7"/>
    <w:rsid w:val="5FD411DB"/>
    <w:rsid w:val="60017C7C"/>
    <w:rsid w:val="600F2399"/>
    <w:rsid w:val="60145C01"/>
    <w:rsid w:val="60794FF2"/>
    <w:rsid w:val="607A1B92"/>
    <w:rsid w:val="608F5287"/>
    <w:rsid w:val="60AA20C1"/>
    <w:rsid w:val="60AF1486"/>
    <w:rsid w:val="60BA09A1"/>
    <w:rsid w:val="60D630E7"/>
    <w:rsid w:val="60DD7536"/>
    <w:rsid w:val="60E46F03"/>
    <w:rsid w:val="61220E83"/>
    <w:rsid w:val="61300818"/>
    <w:rsid w:val="6131633F"/>
    <w:rsid w:val="613A45BD"/>
    <w:rsid w:val="61512DC3"/>
    <w:rsid w:val="61572249"/>
    <w:rsid w:val="617D3332"/>
    <w:rsid w:val="61813665"/>
    <w:rsid w:val="61AF635B"/>
    <w:rsid w:val="61C64CD9"/>
    <w:rsid w:val="61C92272"/>
    <w:rsid w:val="61D70C94"/>
    <w:rsid w:val="61DB5A7C"/>
    <w:rsid w:val="61ED495B"/>
    <w:rsid w:val="621E68C3"/>
    <w:rsid w:val="62407431"/>
    <w:rsid w:val="62450C5C"/>
    <w:rsid w:val="626B78E0"/>
    <w:rsid w:val="6280757E"/>
    <w:rsid w:val="62882B1C"/>
    <w:rsid w:val="62A0552A"/>
    <w:rsid w:val="62A05DC4"/>
    <w:rsid w:val="62AC65C5"/>
    <w:rsid w:val="630F26B0"/>
    <w:rsid w:val="630F506C"/>
    <w:rsid w:val="63144C61"/>
    <w:rsid w:val="63273E9D"/>
    <w:rsid w:val="63364070"/>
    <w:rsid w:val="634379A6"/>
    <w:rsid w:val="63556314"/>
    <w:rsid w:val="637C7D45"/>
    <w:rsid w:val="637F7680"/>
    <w:rsid w:val="63A04620"/>
    <w:rsid w:val="63A80222"/>
    <w:rsid w:val="63AC3405"/>
    <w:rsid w:val="63B70D7D"/>
    <w:rsid w:val="63C416EC"/>
    <w:rsid w:val="63C57AD8"/>
    <w:rsid w:val="63DC0629"/>
    <w:rsid w:val="63FB4D53"/>
    <w:rsid w:val="640A735C"/>
    <w:rsid w:val="640E2967"/>
    <w:rsid w:val="643E1DDB"/>
    <w:rsid w:val="644C3818"/>
    <w:rsid w:val="646B538C"/>
    <w:rsid w:val="647D600E"/>
    <w:rsid w:val="649F152A"/>
    <w:rsid w:val="64B82FFF"/>
    <w:rsid w:val="64DF6129"/>
    <w:rsid w:val="64F14763"/>
    <w:rsid w:val="64F222AF"/>
    <w:rsid w:val="651C3508"/>
    <w:rsid w:val="652C50A4"/>
    <w:rsid w:val="653E102A"/>
    <w:rsid w:val="65652A5B"/>
    <w:rsid w:val="65875F01"/>
    <w:rsid w:val="6588405D"/>
    <w:rsid w:val="658C7FE7"/>
    <w:rsid w:val="65993662"/>
    <w:rsid w:val="65AE016F"/>
    <w:rsid w:val="65D86BEF"/>
    <w:rsid w:val="65F173BB"/>
    <w:rsid w:val="66167BA9"/>
    <w:rsid w:val="661C7ED9"/>
    <w:rsid w:val="664072C6"/>
    <w:rsid w:val="6673221F"/>
    <w:rsid w:val="669E5544"/>
    <w:rsid w:val="66B34B97"/>
    <w:rsid w:val="66BC0BE7"/>
    <w:rsid w:val="66CC0FE3"/>
    <w:rsid w:val="66CC2D91"/>
    <w:rsid w:val="66E46B80"/>
    <w:rsid w:val="66FE4C4B"/>
    <w:rsid w:val="67241546"/>
    <w:rsid w:val="67317098"/>
    <w:rsid w:val="67363981"/>
    <w:rsid w:val="673708DA"/>
    <w:rsid w:val="674535A5"/>
    <w:rsid w:val="675F44C0"/>
    <w:rsid w:val="6764746E"/>
    <w:rsid w:val="67B37AAD"/>
    <w:rsid w:val="67BB4BB4"/>
    <w:rsid w:val="67BF418F"/>
    <w:rsid w:val="67E450A9"/>
    <w:rsid w:val="681B3B41"/>
    <w:rsid w:val="68212C69"/>
    <w:rsid w:val="68214B88"/>
    <w:rsid w:val="68224C33"/>
    <w:rsid w:val="68354966"/>
    <w:rsid w:val="68541802"/>
    <w:rsid w:val="68C55CEA"/>
    <w:rsid w:val="68D036B7"/>
    <w:rsid w:val="68FD68D8"/>
    <w:rsid w:val="6906356D"/>
    <w:rsid w:val="69270753"/>
    <w:rsid w:val="692F053C"/>
    <w:rsid w:val="69430BDA"/>
    <w:rsid w:val="694A3E5D"/>
    <w:rsid w:val="696E0A9A"/>
    <w:rsid w:val="69A262CD"/>
    <w:rsid w:val="69A41DA4"/>
    <w:rsid w:val="69B76692"/>
    <w:rsid w:val="69C17F22"/>
    <w:rsid w:val="69C34EFD"/>
    <w:rsid w:val="6A191710"/>
    <w:rsid w:val="6A5A10B5"/>
    <w:rsid w:val="6A6908F7"/>
    <w:rsid w:val="6ABC50DC"/>
    <w:rsid w:val="6AC23D01"/>
    <w:rsid w:val="6AD803A3"/>
    <w:rsid w:val="6AF74155"/>
    <w:rsid w:val="6AFD58BD"/>
    <w:rsid w:val="6B0C3C5A"/>
    <w:rsid w:val="6B0D4FFE"/>
    <w:rsid w:val="6B221C24"/>
    <w:rsid w:val="6B23319C"/>
    <w:rsid w:val="6B367586"/>
    <w:rsid w:val="6B667A77"/>
    <w:rsid w:val="6B774D46"/>
    <w:rsid w:val="6BB107A8"/>
    <w:rsid w:val="6BD91AAD"/>
    <w:rsid w:val="6C1E7B69"/>
    <w:rsid w:val="6C621DE3"/>
    <w:rsid w:val="6C6972D4"/>
    <w:rsid w:val="6C6F1EA4"/>
    <w:rsid w:val="6C6F526A"/>
    <w:rsid w:val="6C8B2DA7"/>
    <w:rsid w:val="6CA6400E"/>
    <w:rsid w:val="6D214429"/>
    <w:rsid w:val="6D324605"/>
    <w:rsid w:val="6D716441"/>
    <w:rsid w:val="6D8D0DA1"/>
    <w:rsid w:val="6D910891"/>
    <w:rsid w:val="6D9264BC"/>
    <w:rsid w:val="6DB34AC8"/>
    <w:rsid w:val="6DC01C88"/>
    <w:rsid w:val="6E0F4A6C"/>
    <w:rsid w:val="6E2E7ECC"/>
    <w:rsid w:val="6E3206D6"/>
    <w:rsid w:val="6E5642A5"/>
    <w:rsid w:val="6E602011"/>
    <w:rsid w:val="6E6243E1"/>
    <w:rsid w:val="6E6B2E90"/>
    <w:rsid w:val="6E930639"/>
    <w:rsid w:val="6E95110E"/>
    <w:rsid w:val="6EB72579"/>
    <w:rsid w:val="6EC735FE"/>
    <w:rsid w:val="6ECA348F"/>
    <w:rsid w:val="6EF47329"/>
    <w:rsid w:val="6EF70BC7"/>
    <w:rsid w:val="6EF74724"/>
    <w:rsid w:val="6EFF42EB"/>
    <w:rsid w:val="6F203A84"/>
    <w:rsid w:val="6F2E3EBD"/>
    <w:rsid w:val="6F5558EE"/>
    <w:rsid w:val="6F5B1156"/>
    <w:rsid w:val="6F751AEC"/>
    <w:rsid w:val="6F7F4719"/>
    <w:rsid w:val="6F832989"/>
    <w:rsid w:val="6F8A4B2B"/>
    <w:rsid w:val="6F8B0B99"/>
    <w:rsid w:val="6FA11970"/>
    <w:rsid w:val="6FB95E7D"/>
    <w:rsid w:val="6FC33ACF"/>
    <w:rsid w:val="6FCF56A0"/>
    <w:rsid w:val="6FD418AD"/>
    <w:rsid w:val="70501BB5"/>
    <w:rsid w:val="705A4C09"/>
    <w:rsid w:val="70617EC8"/>
    <w:rsid w:val="707A20B1"/>
    <w:rsid w:val="707E0282"/>
    <w:rsid w:val="70812E3F"/>
    <w:rsid w:val="708F4524"/>
    <w:rsid w:val="70991D7A"/>
    <w:rsid w:val="70E248CD"/>
    <w:rsid w:val="70F52EE5"/>
    <w:rsid w:val="712156AB"/>
    <w:rsid w:val="7130216F"/>
    <w:rsid w:val="71477CD0"/>
    <w:rsid w:val="71681909"/>
    <w:rsid w:val="7185070D"/>
    <w:rsid w:val="71A010A2"/>
    <w:rsid w:val="71B22914"/>
    <w:rsid w:val="71D5345C"/>
    <w:rsid w:val="71E73175"/>
    <w:rsid w:val="71F039A4"/>
    <w:rsid w:val="71F11F74"/>
    <w:rsid w:val="72473C14"/>
    <w:rsid w:val="726A7902"/>
    <w:rsid w:val="72750CA3"/>
    <w:rsid w:val="728409C4"/>
    <w:rsid w:val="72943314"/>
    <w:rsid w:val="7295792B"/>
    <w:rsid w:val="72A961B1"/>
    <w:rsid w:val="72C12EE0"/>
    <w:rsid w:val="72CE6C35"/>
    <w:rsid w:val="72F826A1"/>
    <w:rsid w:val="73010267"/>
    <w:rsid w:val="731F25E1"/>
    <w:rsid w:val="734B3E2F"/>
    <w:rsid w:val="73522870"/>
    <w:rsid w:val="73696D7E"/>
    <w:rsid w:val="737E7D7B"/>
    <w:rsid w:val="739015EB"/>
    <w:rsid w:val="73AA445A"/>
    <w:rsid w:val="73AF1221"/>
    <w:rsid w:val="73B40E35"/>
    <w:rsid w:val="73CC1F06"/>
    <w:rsid w:val="73EA0CFB"/>
    <w:rsid w:val="74040D09"/>
    <w:rsid w:val="745F66ED"/>
    <w:rsid w:val="74826A17"/>
    <w:rsid w:val="74E514C2"/>
    <w:rsid w:val="74E90725"/>
    <w:rsid w:val="74F00593"/>
    <w:rsid w:val="74F30675"/>
    <w:rsid w:val="74F51705"/>
    <w:rsid w:val="750078FB"/>
    <w:rsid w:val="75175B20"/>
    <w:rsid w:val="751C3E82"/>
    <w:rsid w:val="752635D2"/>
    <w:rsid w:val="752B5127"/>
    <w:rsid w:val="752F3287"/>
    <w:rsid w:val="7534591D"/>
    <w:rsid w:val="753C3B04"/>
    <w:rsid w:val="757B54AB"/>
    <w:rsid w:val="759772D7"/>
    <w:rsid w:val="75BE243F"/>
    <w:rsid w:val="75C34064"/>
    <w:rsid w:val="75CA7C6D"/>
    <w:rsid w:val="75FB0B46"/>
    <w:rsid w:val="760746A1"/>
    <w:rsid w:val="761958C7"/>
    <w:rsid w:val="762640F9"/>
    <w:rsid w:val="766528BB"/>
    <w:rsid w:val="767679C0"/>
    <w:rsid w:val="7682346D"/>
    <w:rsid w:val="768B79A1"/>
    <w:rsid w:val="76CB4EF4"/>
    <w:rsid w:val="76D55916"/>
    <w:rsid w:val="76D72E23"/>
    <w:rsid w:val="76DD59DF"/>
    <w:rsid w:val="76F51E90"/>
    <w:rsid w:val="76F61765"/>
    <w:rsid w:val="775D7F99"/>
    <w:rsid w:val="777D1E86"/>
    <w:rsid w:val="77940F04"/>
    <w:rsid w:val="779B7915"/>
    <w:rsid w:val="77F14573"/>
    <w:rsid w:val="77FF289B"/>
    <w:rsid w:val="780B7492"/>
    <w:rsid w:val="78101336"/>
    <w:rsid w:val="781A0349"/>
    <w:rsid w:val="7827085A"/>
    <w:rsid w:val="7855323B"/>
    <w:rsid w:val="78A25FC3"/>
    <w:rsid w:val="78A74E1C"/>
    <w:rsid w:val="78B33A12"/>
    <w:rsid w:val="78B410C1"/>
    <w:rsid w:val="78F14974"/>
    <w:rsid w:val="7917715F"/>
    <w:rsid w:val="794A5D98"/>
    <w:rsid w:val="79507852"/>
    <w:rsid w:val="795C4A93"/>
    <w:rsid w:val="79A60B66"/>
    <w:rsid w:val="79AD76D8"/>
    <w:rsid w:val="79B3393D"/>
    <w:rsid w:val="79B85F2C"/>
    <w:rsid w:val="79C142AC"/>
    <w:rsid w:val="79C66CD5"/>
    <w:rsid w:val="79D73ACF"/>
    <w:rsid w:val="79E306C6"/>
    <w:rsid w:val="79E35140"/>
    <w:rsid w:val="79F74132"/>
    <w:rsid w:val="7A066163"/>
    <w:rsid w:val="7A1B2203"/>
    <w:rsid w:val="7A1F5BDD"/>
    <w:rsid w:val="7A230AC3"/>
    <w:rsid w:val="7A2D7B93"/>
    <w:rsid w:val="7A3743B5"/>
    <w:rsid w:val="7A4131B6"/>
    <w:rsid w:val="7A55402C"/>
    <w:rsid w:val="7A756769"/>
    <w:rsid w:val="7A791842"/>
    <w:rsid w:val="7A9521FB"/>
    <w:rsid w:val="7A980753"/>
    <w:rsid w:val="7AA5597C"/>
    <w:rsid w:val="7AE04C06"/>
    <w:rsid w:val="7AEA5A84"/>
    <w:rsid w:val="7AF95CC7"/>
    <w:rsid w:val="7B474C85"/>
    <w:rsid w:val="7B4A4AE8"/>
    <w:rsid w:val="7B512E8E"/>
    <w:rsid w:val="7B713AB0"/>
    <w:rsid w:val="7B737828"/>
    <w:rsid w:val="7B7703D1"/>
    <w:rsid w:val="7B95105C"/>
    <w:rsid w:val="7BBA5457"/>
    <w:rsid w:val="7BE95A94"/>
    <w:rsid w:val="7BF5648F"/>
    <w:rsid w:val="7BF77F9C"/>
    <w:rsid w:val="7BFF3890"/>
    <w:rsid w:val="7C5E5DE2"/>
    <w:rsid w:val="7C63164A"/>
    <w:rsid w:val="7C8204B4"/>
    <w:rsid w:val="7CBD2C36"/>
    <w:rsid w:val="7CD3115D"/>
    <w:rsid w:val="7CDB4F2C"/>
    <w:rsid w:val="7CE309DD"/>
    <w:rsid w:val="7CFB1883"/>
    <w:rsid w:val="7CFBD1B6"/>
    <w:rsid w:val="7D1444F3"/>
    <w:rsid w:val="7D412A8D"/>
    <w:rsid w:val="7D576338"/>
    <w:rsid w:val="7D58558B"/>
    <w:rsid w:val="7D731D61"/>
    <w:rsid w:val="7D9F4904"/>
    <w:rsid w:val="7DA22646"/>
    <w:rsid w:val="7DA95783"/>
    <w:rsid w:val="7DD86068"/>
    <w:rsid w:val="7DE71E07"/>
    <w:rsid w:val="7DF52673"/>
    <w:rsid w:val="7E453AB3"/>
    <w:rsid w:val="7E4E5490"/>
    <w:rsid w:val="7E524281"/>
    <w:rsid w:val="7E8B0888"/>
    <w:rsid w:val="7E924469"/>
    <w:rsid w:val="7EB119B6"/>
    <w:rsid w:val="7EC02D84"/>
    <w:rsid w:val="7EC55276"/>
    <w:rsid w:val="7EC565EC"/>
    <w:rsid w:val="7F086780"/>
    <w:rsid w:val="7F21759B"/>
    <w:rsid w:val="7F9703BE"/>
    <w:rsid w:val="7FB977D3"/>
    <w:rsid w:val="7FBC6124"/>
    <w:rsid w:val="7FBE4DEA"/>
    <w:rsid w:val="7FD61336"/>
    <w:rsid w:val="7FDD34C2"/>
    <w:rsid w:val="DFDA3238"/>
    <w:rsid w:val="FBEFC1C6"/>
    <w:rsid w:val="FFD7E5B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tabs>
        <w:tab w:val="left" w:pos="3360"/>
      </w:tabs>
      <w:snapToGrid w:val="0"/>
      <w:spacing w:before="312" w:beforeLines="100" w:after="156" w:afterLines="50" w:line="800" w:lineRule="atLeast"/>
      <w:jc w:val="center"/>
      <w:outlineLvl w:val="0"/>
    </w:pPr>
    <w:rPr>
      <w:rFonts w:eastAsia="黑体"/>
      <w:sz w:val="44"/>
    </w:rPr>
  </w:style>
  <w:style w:type="paragraph" w:styleId="4">
    <w:name w:val="heading 2"/>
    <w:basedOn w:val="1"/>
    <w:next w:val="1"/>
    <w:link w:val="41"/>
    <w:qFormat/>
    <w:uiPriority w:val="0"/>
    <w:pPr>
      <w:keepNext/>
      <w:keepLines/>
      <w:adjustRightInd w:val="0"/>
      <w:snapToGrid w:val="0"/>
      <w:spacing w:line="360" w:lineRule="auto"/>
      <w:outlineLvl w:val="1"/>
    </w:pPr>
    <w:rPr>
      <w:rFonts w:ascii="宋体" w:hAnsi="宋体"/>
    </w:rPr>
  </w:style>
  <w:style w:type="paragraph" w:styleId="5">
    <w:name w:val="heading 3"/>
    <w:basedOn w:val="1"/>
    <w:next w:val="1"/>
    <w:link w:val="42"/>
    <w:qFormat/>
    <w:uiPriority w:val="0"/>
    <w:pPr>
      <w:keepNext/>
      <w:keepLines/>
      <w:spacing w:before="260" w:after="260" w:line="413" w:lineRule="auto"/>
      <w:jc w:val="center"/>
      <w:outlineLvl w:val="2"/>
    </w:pPr>
    <w:rPr>
      <w:b/>
      <w:sz w:val="44"/>
    </w:rPr>
  </w:style>
  <w:style w:type="paragraph" w:styleId="6">
    <w:name w:val="heading 4"/>
    <w:basedOn w:val="1"/>
    <w:next w:val="1"/>
    <w:qFormat/>
    <w:uiPriority w:val="0"/>
    <w:pPr>
      <w:keepNext/>
      <w:keepLines/>
      <w:spacing w:before="280" w:after="290" w:line="372" w:lineRule="auto"/>
      <w:outlineLvl w:val="3"/>
    </w:pPr>
    <w:rPr>
      <w:rFonts w:ascii="Arial" w:hAnsi="Arial" w:eastAsia="黑体"/>
      <w:b/>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style>
  <w:style w:type="paragraph" w:styleId="7">
    <w:name w:val="Normal Indent"/>
    <w:basedOn w:val="1"/>
    <w:qFormat/>
    <w:uiPriority w:val="0"/>
    <w:pPr>
      <w:adjustRightInd w:val="0"/>
      <w:snapToGrid w:val="0"/>
      <w:spacing w:line="360" w:lineRule="auto"/>
      <w:ind w:firstLine="420"/>
    </w:pPr>
    <w:rPr>
      <w:sz w:val="24"/>
    </w:rPr>
  </w:style>
  <w:style w:type="paragraph" w:styleId="8">
    <w:name w:val="toa heading"/>
    <w:basedOn w:val="1"/>
    <w:next w:val="1"/>
    <w:qFormat/>
    <w:uiPriority w:val="0"/>
    <w:pPr>
      <w:spacing w:before="120"/>
    </w:pPr>
    <w:rPr>
      <w:rFonts w:ascii="Arial" w:hAnsi="Arial"/>
      <w:sz w:val="24"/>
    </w:rPr>
  </w:style>
  <w:style w:type="paragraph" w:styleId="9">
    <w:name w:val="annotation text"/>
    <w:basedOn w:val="1"/>
    <w:link w:val="43"/>
    <w:qFormat/>
    <w:uiPriority w:val="0"/>
    <w:pPr>
      <w:jc w:val="left"/>
    </w:pPr>
  </w:style>
  <w:style w:type="paragraph" w:styleId="10">
    <w:name w:val="Body Text Indent"/>
    <w:basedOn w:val="1"/>
    <w:qFormat/>
    <w:uiPriority w:val="0"/>
    <w:pPr>
      <w:spacing w:line="700" w:lineRule="exact"/>
      <w:ind w:left="960"/>
    </w:pPr>
    <w:rPr>
      <w:sz w:val="44"/>
    </w:rPr>
  </w:style>
  <w:style w:type="paragraph" w:styleId="11">
    <w:name w:val="Plain Text"/>
    <w:basedOn w:val="1"/>
    <w:qFormat/>
    <w:uiPriority w:val="0"/>
    <w:rPr>
      <w:rFonts w:hAnsi="Courier New"/>
      <w:kern w:val="0"/>
      <w:sz w:val="20"/>
      <w:szCs w:val="20"/>
    </w:rPr>
  </w:style>
  <w:style w:type="paragraph" w:styleId="12">
    <w:name w:val="Date"/>
    <w:basedOn w:val="1"/>
    <w:next w:val="1"/>
    <w:qFormat/>
    <w:uiPriority w:val="0"/>
  </w:style>
  <w:style w:type="paragraph" w:styleId="13">
    <w:name w:val="Body Text Indent 2"/>
    <w:basedOn w:val="1"/>
    <w:qFormat/>
    <w:uiPriority w:val="99"/>
    <w:pPr>
      <w:snapToGrid w:val="0"/>
      <w:spacing w:line="560" w:lineRule="atLeast"/>
      <w:ind w:firstLine="540"/>
    </w:pPr>
  </w:style>
  <w:style w:type="paragraph" w:styleId="14">
    <w:name w:val="Balloon Text"/>
    <w:basedOn w:val="1"/>
    <w:qFormat/>
    <w:uiPriority w:val="0"/>
    <w:rPr>
      <w:sz w:val="18"/>
    </w:rPr>
  </w:style>
  <w:style w:type="paragraph" w:styleId="15">
    <w:name w:val="footer"/>
    <w:basedOn w:val="1"/>
    <w:qFormat/>
    <w:uiPriority w:val="0"/>
    <w:pPr>
      <w:tabs>
        <w:tab w:val="center" w:pos="4153"/>
        <w:tab w:val="right" w:pos="8306"/>
      </w:tabs>
      <w:snapToGrid w:val="0"/>
      <w:jc w:val="left"/>
    </w:pPr>
    <w:rPr>
      <w:rFonts w:eastAsia="宋体"/>
      <w:sz w:val="18"/>
    </w:rPr>
  </w:style>
  <w:style w:type="paragraph" w:styleId="16">
    <w:name w:val="header"/>
    <w:basedOn w:val="1"/>
    <w:qFormat/>
    <w:uiPriority w:val="0"/>
    <w:pPr>
      <w:pBdr>
        <w:bottom w:val="single" w:color="auto" w:sz="6" w:space="1"/>
      </w:pBdr>
      <w:tabs>
        <w:tab w:val="center" w:pos="4153"/>
        <w:tab w:val="right" w:pos="8306"/>
      </w:tabs>
      <w:snapToGrid w:val="0"/>
      <w:jc w:val="center"/>
    </w:pPr>
    <w:rPr>
      <w:rFonts w:eastAsia="宋体"/>
      <w:sz w:val="18"/>
    </w:rPr>
  </w:style>
  <w:style w:type="paragraph" w:styleId="17">
    <w:name w:val="toc 1"/>
    <w:basedOn w:val="1"/>
    <w:next w:val="1"/>
    <w:qFormat/>
    <w:uiPriority w:val="39"/>
    <w:pPr>
      <w:tabs>
        <w:tab w:val="left" w:pos="1260"/>
        <w:tab w:val="left" w:pos="1685"/>
        <w:tab w:val="right" w:leader="dot" w:pos="8400"/>
      </w:tabs>
      <w:spacing w:line="320" w:lineRule="exact"/>
      <w:ind w:firstLine="280" w:firstLineChars="100"/>
    </w:pPr>
  </w:style>
  <w:style w:type="paragraph" w:styleId="18">
    <w:name w:val="toc 2"/>
    <w:basedOn w:val="1"/>
    <w:next w:val="1"/>
    <w:qFormat/>
    <w:uiPriority w:val="39"/>
    <w:pPr>
      <w:tabs>
        <w:tab w:val="right" w:leader="dot" w:pos="8400"/>
      </w:tabs>
      <w:spacing w:line="440" w:lineRule="exact"/>
      <w:ind w:left="280" w:leftChars="100" w:right="-91" w:rightChars="-91"/>
    </w:pPr>
  </w:style>
  <w:style w:type="paragraph" w:styleId="19">
    <w:name w:val="Title"/>
    <w:basedOn w:val="1"/>
    <w:next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20">
    <w:name w:val="annotation subject"/>
    <w:basedOn w:val="9"/>
    <w:next w:val="9"/>
    <w:link w:val="44"/>
    <w:qFormat/>
    <w:uiPriority w:val="0"/>
    <w:rPr>
      <w:b/>
      <w:bCs/>
    </w:rPr>
  </w:style>
  <w:style w:type="paragraph" w:styleId="21">
    <w:name w:val="Body Text First Indent"/>
    <w:basedOn w:val="2"/>
    <w:next w:val="1"/>
    <w:qFormat/>
    <w:uiPriority w:val="0"/>
    <w:pPr>
      <w:spacing w:line="360" w:lineRule="auto"/>
      <w:ind w:firstLine="420"/>
    </w:pPr>
    <w:rPr>
      <w:rFonts w:ascii="宋体" w:hAnsi="宋体"/>
      <w:sz w:val="24"/>
    </w:rPr>
  </w:style>
  <w:style w:type="paragraph" w:styleId="22">
    <w:name w:val="Body Text First Indent 2"/>
    <w:basedOn w:val="10"/>
    <w:next w:val="21"/>
    <w:qFormat/>
    <w:uiPriority w:val="0"/>
    <w:pPr>
      <w:spacing w:line="240" w:lineRule="auto"/>
      <w:ind w:left="420" w:leftChars="200" w:firstLine="420" w:firstLineChars="200"/>
    </w:pPr>
    <w:rPr>
      <w:sz w:val="21"/>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bCs/>
    </w:rPr>
  </w:style>
  <w:style w:type="character" w:styleId="27">
    <w:name w:val="page number"/>
    <w:basedOn w:val="25"/>
    <w:qFormat/>
    <w:uiPriority w:val="0"/>
  </w:style>
  <w:style w:type="character" w:styleId="28">
    <w:name w:val="FollowedHyperlink"/>
    <w:basedOn w:val="25"/>
    <w:qFormat/>
    <w:uiPriority w:val="0"/>
    <w:rPr>
      <w:color w:val="000000"/>
      <w:u w:val="none"/>
    </w:rPr>
  </w:style>
  <w:style w:type="character" w:styleId="29">
    <w:name w:val="Emphasis"/>
    <w:basedOn w:val="25"/>
    <w:qFormat/>
    <w:uiPriority w:val="0"/>
    <w:rPr>
      <w:i/>
      <w:iCs/>
    </w:rPr>
  </w:style>
  <w:style w:type="character" w:styleId="30">
    <w:name w:val="Hyperlink"/>
    <w:qFormat/>
    <w:uiPriority w:val="99"/>
    <w:rPr>
      <w:color w:val="0000FF"/>
      <w:u w:val="single"/>
    </w:rPr>
  </w:style>
  <w:style w:type="character" w:styleId="31">
    <w:name w:val="HTML Code"/>
    <w:basedOn w:val="25"/>
    <w:qFormat/>
    <w:uiPriority w:val="0"/>
    <w:rPr>
      <w:rFonts w:ascii="Consolas" w:hAnsi="Consolas" w:eastAsia="Consolas" w:cs="Consolas"/>
      <w:color w:val="DD1144"/>
      <w:sz w:val="12"/>
      <w:szCs w:val="12"/>
      <w:bdr w:val="single" w:color="E1E1E8" w:sz="4" w:space="0"/>
      <w:shd w:val="clear" w:fill="F7F7F9"/>
    </w:rPr>
  </w:style>
  <w:style w:type="character" w:styleId="32">
    <w:name w:val="annotation reference"/>
    <w:basedOn w:val="25"/>
    <w:qFormat/>
    <w:uiPriority w:val="0"/>
    <w:rPr>
      <w:sz w:val="21"/>
      <w:szCs w:val="21"/>
    </w:rPr>
  </w:style>
  <w:style w:type="character" w:styleId="33">
    <w:name w:val="HTML Cite"/>
    <w:basedOn w:val="25"/>
    <w:qFormat/>
    <w:uiPriority w:val="0"/>
  </w:style>
  <w:style w:type="paragraph" w:customStyle="1" w:styleId="34">
    <w:name w:val="Quote"/>
    <w:basedOn w:val="1"/>
    <w:next w:val="1"/>
    <w:qFormat/>
    <w:uiPriority w:val="29"/>
    <w:pPr>
      <w:spacing w:beforeLines="50" w:afterLines="50" w:line="360" w:lineRule="auto"/>
    </w:pPr>
    <w:rPr>
      <w:i/>
      <w:iCs/>
      <w:color w:val="000000"/>
      <w:sz w:val="21"/>
      <w:szCs w:val="24"/>
      <w:lang w:val="zh-CN"/>
    </w:rPr>
  </w:style>
  <w:style w:type="paragraph" w:customStyle="1" w:styleId="35">
    <w:name w:val="样式 宋体 五号 行距: 单倍行距"/>
    <w:basedOn w:val="1"/>
    <w:qFormat/>
    <w:uiPriority w:val="0"/>
    <w:pPr>
      <w:adjustRightInd w:val="0"/>
      <w:jc w:val="left"/>
    </w:pPr>
    <w:rPr>
      <w:rFonts w:ascii="宋体" w:hAnsi="宋体"/>
      <w:kern w:val="0"/>
      <w:sz w:val="21"/>
    </w:rPr>
  </w:style>
  <w:style w:type="paragraph" w:customStyle="1" w:styleId="36">
    <w:name w:val="无间隔1"/>
    <w:qFormat/>
    <w:uiPriority w:val="1"/>
    <w:pPr>
      <w:jc w:val="both"/>
    </w:pPr>
    <w:rPr>
      <w:rFonts w:ascii="Times New Roman" w:hAnsi="Times New Roman" w:eastAsia="Times New Roman" w:cs="Times New Roman"/>
      <w:lang w:val="en-US" w:eastAsia="zh-CN" w:bidi="ar-SA"/>
    </w:rPr>
  </w:style>
  <w:style w:type="paragraph" w:customStyle="1" w:styleId="37">
    <w:name w:val="目录 53"/>
    <w:next w:val="1"/>
    <w:qFormat/>
    <w:uiPriority w:val="0"/>
    <w:pPr>
      <w:wordWrap w:val="0"/>
      <w:ind w:left="1275"/>
      <w:jc w:val="both"/>
    </w:pPr>
    <w:rPr>
      <w:rFonts w:ascii="Calibri" w:hAnsi="Calibri" w:eastAsia="宋体" w:cs="Times New Roman"/>
      <w:sz w:val="21"/>
      <w:lang w:val="en-US" w:eastAsia="zh-CN" w:bidi="ar-SA"/>
    </w:r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9">
    <w:name w:val="1"/>
    <w:basedOn w:val="1"/>
    <w:qFormat/>
    <w:uiPriority w:val="0"/>
    <w:rPr>
      <w:rFonts w:ascii="Tahoma" w:hAnsi="Tahoma"/>
      <w:sz w:val="24"/>
    </w:rPr>
  </w:style>
  <w:style w:type="paragraph" w:customStyle="1" w:styleId="40">
    <w:name w:val="标书正文1"/>
    <w:basedOn w:val="1"/>
    <w:qFormat/>
    <w:uiPriority w:val="0"/>
    <w:pPr>
      <w:spacing w:line="520" w:lineRule="exact"/>
      <w:ind w:firstLine="640" w:firstLineChars="200"/>
    </w:pPr>
  </w:style>
  <w:style w:type="character" w:customStyle="1" w:styleId="41">
    <w:name w:val="标题 2 字符"/>
    <w:link w:val="4"/>
    <w:qFormat/>
    <w:uiPriority w:val="0"/>
    <w:rPr>
      <w:rFonts w:ascii="宋体" w:hAnsi="宋体"/>
    </w:rPr>
  </w:style>
  <w:style w:type="character" w:customStyle="1" w:styleId="42">
    <w:name w:val="标题 3 字符"/>
    <w:link w:val="5"/>
    <w:qFormat/>
    <w:uiPriority w:val="0"/>
    <w:rPr>
      <w:b/>
      <w:sz w:val="44"/>
    </w:rPr>
  </w:style>
  <w:style w:type="character" w:customStyle="1" w:styleId="43">
    <w:name w:val="批注文字 字符"/>
    <w:basedOn w:val="25"/>
    <w:link w:val="9"/>
    <w:qFormat/>
    <w:uiPriority w:val="0"/>
    <w:rPr>
      <w:rFonts w:ascii="等线" w:hAnsi="等线" w:eastAsia="等线"/>
      <w:kern w:val="2"/>
      <w:sz w:val="21"/>
      <w:szCs w:val="22"/>
    </w:rPr>
  </w:style>
  <w:style w:type="character" w:customStyle="1" w:styleId="44">
    <w:name w:val="批注主题 字符"/>
    <w:basedOn w:val="43"/>
    <w:link w:val="20"/>
    <w:qFormat/>
    <w:uiPriority w:val="0"/>
    <w:rPr>
      <w:rFonts w:ascii="等线" w:hAnsi="等线" w:eastAsia="等线"/>
      <w:b/>
      <w:bCs/>
      <w:kern w:val="2"/>
      <w:sz w:val="21"/>
      <w:szCs w:val="22"/>
    </w:rPr>
  </w:style>
  <w:style w:type="paragraph" w:customStyle="1" w:styleId="45">
    <w:name w:val="p0"/>
    <w:basedOn w:val="1"/>
    <w:qFormat/>
    <w:uiPriority w:val="0"/>
    <w:pPr>
      <w:widowControl/>
    </w:pPr>
    <w:rPr>
      <w:kern w:val="0"/>
      <w:sz w:val="20"/>
      <w:szCs w:val="21"/>
    </w:rPr>
  </w:style>
  <w:style w:type="paragraph" w:customStyle="1" w:styleId="46">
    <w:name w:val="图例"/>
    <w:basedOn w:val="1"/>
    <w:qFormat/>
    <w:uiPriority w:val="99"/>
    <w:pPr>
      <w:spacing w:before="120" w:after="120" w:line="360" w:lineRule="auto"/>
      <w:jc w:val="center"/>
    </w:pPr>
    <w:rPr>
      <w:rFonts w:eastAsia="仿宋_GB2312"/>
      <w:b/>
      <w:sz w:val="24"/>
    </w:rPr>
  </w:style>
  <w:style w:type="paragraph" w:customStyle="1" w:styleId="47">
    <w:name w:val="Heading1"/>
    <w:basedOn w:val="1"/>
    <w:next w:val="1"/>
    <w:qFormat/>
    <w:uiPriority w:val="0"/>
    <w:pPr>
      <w:keepNext/>
      <w:tabs>
        <w:tab w:val="left" w:pos="3360"/>
      </w:tabs>
      <w:snapToGrid w:val="0"/>
      <w:spacing w:before="312" w:after="156" w:line="800" w:lineRule="atLeast"/>
      <w:jc w:val="center"/>
      <w:textAlignment w:val="baseline"/>
    </w:pPr>
    <w:rPr>
      <w:rFonts w:eastAsia="黑体"/>
      <w:kern w:val="2"/>
      <w:sz w:val="44"/>
      <w:lang w:val="en-US" w:eastAsia="zh-CN" w:bidi="ar-SA"/>
    </w:rPr>
  </w:style>
  <w:style w:type="paragraph" w:customStyle="1" w:styleId="48">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49">
    <w:name w:val="正文1"/>
    <w:basedOn w:val="1"/>
    <w:next w:val="1"/>
    <w:qFormat/>
    <w:uiPriority w:val="0"/>
    <w:pPr>
      <w:spacing w:line="300" w:lineRule="auto"/>
      <w:ind w:firstLine="200" w:firstLineChars="200"/>
    </w:pPr>
    <w:rPr>
      <w:sz w:val="24"/>
    </w:rPr>
  </w:style>
  <w:style w:type="character" w:customStyle="1" w:styleId="50">
    <w:name w:val="active7"/>
    <w:basedOn w:val="25"/>
    <w:qFormat/>
    <w:uiPriority w:val="0"/>
    <w:rPr>
      <w:color w:val="FFFFFF"/>
      <w:shd w:val="clear" w:fill="E02F23"/>
    </w:rPr>
  </w:style>
  <w:style w:type="paragraph" w:customStyle="1" w:styleId="51">
    <w:name w:val="BodyText"/>
    <w:basedOn w:val="1"/>
    <w:qFormat/>
    <w:uiPriority w:val="99"/>
    <w:pPr>
      <w:textAlignment w:val="baseline"/>
    </w:pPr>
    <w:rPr>
      <w:rFonts w:ascii="仿宋_GB2312" w:eastAsia="仿宋_GB2312"/>
      <w:sz w:val="32"/>
    </w:rPr>
  </w:style>
  <w:style w:type="character" w:customStyle="1" w:styleId="52">
    <w:name w:val="NormalCharacter"/>
    <w:qFormat/>
    <w:uiPriority w:val="0"/>
  </w:style>
  <w:style w:type="paragraph" w:customStyle="1" w:styleId="53">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character" w:customStyle="1" w:styleId="54">
    <w:name w:val="active"/>
    <w:basedOn w:val="25"/>
    <w:qFormat/>
    <w:uiPriority w:val="0"/>
    <w:rPr>
      <w:color w:val="FFFFFF"/>
      <w:shd w:val="clear" w:fill="E02F23"/>
    </w:rPr>
  </w:style>
  <w:style w:type="character" w:customStyle="1" w:styleId="55">
    <w:name w:val="font51"/>
    <w:basedOn w:val="25"/>
    <w:qFormat/>
    <w:uiPriority w:val="0"/>
    <w:rPr>
      <w:rFonts w:hint="eastAsia" w:ascii="宋体" w:hAnsi="宋体" w:eastAsia="宋体" w:cs="宋体"/>
      <w:color w:val="000000"/>
      <w:sz w:val="20"/>
      <w:szCs w:val="20"/>
      <w:u w:val="none"/>
    </w:rPr>
  </w:style>
  <w:style w:type="paragraph" w:customStyle="1" w:styleId="56">
    <w:name w:val="null3"/>
    <w:qFormat/>
    <w:uiPriority w:val="0"/>
    <w:rPr>
      <w:rFonts w:hint="eastAsia" w:ascii="Calibri" w:hAnsi="Calibri" w:eastAsia="宋体" w:cs="Times New Roman"/>
      <w:lang w:val="en-US" w:eastAsia="zh-Hans"/>
    </w:rPr>
  </w:style>
  <w:style w:type="paragraph" w:customStyle="1" w:styleId="57">
    <w:name w:val="样式 样式 左侧:  2 字符 + 左侧:  0.85 厘米 首行缩进:  2 字符1"/>
    <w:qFormat/>
    <w:uiPriority w:val="0"/>
    <w:pPr>
      <w:widowControl w:val="0"/>
      <w:ind w:left="482" w:firstLine="200" w:firstLineChars="200"/>
      <w:jc w:val="both"/>
    </w:pPr>
    <w:rPr>
      <w:rFonts w:ascii="Calibri" w:hAnsi="Calibri" w:eastAsia="宋体" w:cs="宋体"/>
      <w:kern w:val="2"/>
      <w:sz w:val="21"/>
      <w:lang w:val="en-US" w:eastAsia="zh-CN" w:bidi="ar-SA"/>
    </w:rPr>
  </w:style>
  <w:style w:type="character" w:customStyle="1" w:styleId="58">
    <w:name w:val="font71"/>
    <w:basedOn w:val="25"/>
    <w:qFormat/>
    <w:uiPriority w:val="0"/>
    <w:rPr>
      <w:rFonts w:ascii="微软雅黑" w:hAnsi="微软雅黑" w:eastAsia="微软雅黑" w:cs="微软雅黑"/>
      <w:color w:val="808080"/>
      <w:sz w:val="21"/>
      <w:szCs w:val="21"/>
      <w:u w:val="none"/>
    </w:rPr>
  </w:style>
  <w:style w:type="character" w:customStyle="1" w:styleId="59">
    <w:name w:val="font11"/>
    <w:basedOn w:val="25"/>
    <w:qFormat/>
    <w:uiPriority w:val="0"/>
    <w:rPr>
      <w:rFonts w:hint="default" w:ascii="Times New Roman" w:hAnsi="Times New Roman" w:cs="Times New Roman"/>
      <w:color w:val="000000"/>
      <w:sz w:val="24"/>
      <w:szCs w:val="24"/>
      <w:u w:val="none"/>
    </w:rPr>
  </w:style>
  <w:style w:type="character" w:customStyle="1" w:styleId="60">
    <w:name w:val="font21"/>
    <w:basedOn w:val="25"/>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51</Pages>
  <Words>20369</Words>
  <Characters>24189</Characters>
  <Lines>232</Lines>
  <Paragraphs>65</Paragraphs>
  <TotalTime>36</TotalTime>
  <ScaleCrop>false</ScaleCrop>
  <LinksUpToDate>false</LinksUpToDate>
  <CharactersWithSpaces>25756</CharactersWithSpaces>
  <Application>WPS Office_12.1.0.20260_F1E327BC-269C-435d-A152-05C5408002CA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2022-06-20T08:39:00Z</dcterms:created>
  <dc:creator>Administrator</dc:creator>
  <cp:lastModifiedBy>孙伟</cp:lastModifiedBy>
  <cp:lastPrinted>2021-07-14T11:22:00Z</cp:lastPrinted>
  <dcterms:modified xsi:type="dcterms:W3CDTF">2025-02-14T02:23:41Z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2052-12.1.0.20260</vt:lpwstr>
  </property>
  <property fmtid="{D5CDD505-2E9C-101B-9397-08002B2CF9AE}" pid="3" name="ICV">
    <vt:lpwstr>43722CC1591B41658EFA047D4413CBEA_13</vt:lpwstr>
  </property>
  <property fmtid="{D5CDD505-2E9C-101B-9397-08002B2CF9AE}" pid="4" name="KSOTemplateDocerSaveRecord">
    <vt:lpwstr>eyJoZGlkIjoiMDQ1OWI2NWExNjZiODkwYTZjYWU0NGEwNWQ0N2JlNmYiLCJ1c2VySWQiOiIxNDM4MDk2NjQzIn0=</vt:lpwstr>
  </property>
</Properties>
</file>