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6D3AF">
      <w:pPr>
        <w:pStyle w:val="18"/>
        <w:snapToGrid w:val="0"/>
        <w:spacing w:line="240" w:lineRule="auto"/>
        <w:ind w:left="1347" w:leftChars="54" w:right="0" w:hanging="1234" w:hangingChars="256"/>
        <w:jc w:val="center"/>
        <w:rPr>
          <w:rFonts w:hint="eastAsia" w:ascii="宋体" w:hAnsi="宋体" w:eastAsia="宋体" w:cs="宋体"/>
          <w:b/>
          <w:sz w:val="72"/>
          <w:szCs w:val="72"/>
          <w:highlight w:val="none"/>
        </w:rPr>
      </w:pPr>
      <w:r>
        <w:rPr>
          <w:rFonts w:hint="eastAsia" w:ascii="宋体" w:hAnsi="宋体" w:eastAsia="宋体" w:cs="宋体"/>
          <w:b/>
          <w:sz w:val="48"/>
          <w:szCs w:val="48"/>
          <w:highlight w:val="none"/>
          <w:lang w:val="en-US" w:eastAsia="zh-CN"/>
        </w:rPr>
        <w:t>白市驿川剧主题美陈广告制作</w:t>
      </w:r>
    </w:p>
    <w:p w14:paraId="0BC98874">
      <w:pPr>
        <w:pStyle w:val="18"/>
        <w:snapToGrid w:val="0"/>
        <w:spacing w:line="240" w:lineRule="auto"/>
        <w:ind w:left="2272" w:leftChars="54" w:right="0" w:hanging="2159" w:hangingChars="256"/>
        <w:jc w:val="center"/>
        <w:rPr>
          <w:rFonts w:hint="eastAsia" w:ascii="宋体" w:hAnsi="宋体" w:eastAsia="宋体" w:cs="宋体"/>
          <w:b/>
          <w:sz w:val="84"/>
          <w:szCs w:val="84"/>
          <w:highlight w:val="none"/>
        </w:rPr>
      </w:pPr>
    </w:p>
    <w:p w14:paraId="6E8EEBD9">
      <w:pPr>
        <w:pStyle w:val="18"/>
        <w:snapToGrid w:val="0"/>
        <w:spacing w:line="240" w:lineRule="auto"/>
        <w:ind w:left="2272" w:leftChars="54" w:right="0" w:hanging="2159" w:hangingChars="256"/>
        <w:jc w:val="center"/>
        <w:rPr>
          <w:rFonts w:hint="eastAsia" w:ascii="宋体" w:hAnsi="宋体" w:eastAsia="宋体" w:cs="宋体"/>
          <w:b/>
          <w:sz w:val="84"/>
          <w:szCs w:val="84"/>
          <w:highlight w:val="none"/>
        </w:rPr>
      </w:pPr>
    </w:p>
    <w:p w14:paraId="4D848F13">
      <w:pPr>
        <w:pStyle w:val="18"/>
        <w:snapToGrid w:val="0"/>
        <w:spacing w:line="240" w:lineRule="auto"/>
        <w:ind w:left="2525" w:leftChars="801" w:right="0" w:hanging="843" w:hangingChars="100"/>
        <w:jc w:val="both"/>
        <w:rPr>
          <w:rFonts w:hint="eastAsia" w:ascii="宋体" w:hAnsi="宋体" w:eastAsia="宋体" w:cs="宋体"/>
          <w:b/>
          <w:sz w:val="84"/>
          <w:szCs w:val="84"/>
          <w:highlight w:val="none"/>
        </w:rPr>
      </w:pPr>
      <w:r>
        <w:rPr>
          <w:rFonts w:hint="eastAsia" w:ascii="宋体" w:hAnsi="宋体" w:eastAsia="宋体" w:cs="宋体"/>
          <w:b/>
          <w:sz w:val="84"/>
          <w:szCs w:val="84"/>
          <w:highlight w:val="none"/>
        </w:rPr>
        <w:t>竞争性比选文件</w:t>
      </w:r>
    </w:p>
    <w:p w14:paraId="7171A9EF">
      <w:pPr>
        <w:widowControl/>
        <w:jc w:val="left"/>
        <w:rPr>
          <w:rFonts w:hint="eastAsia" w:ascii="宋体" w:hAnsi="宋体" w:cs="宋体"/>
          <w:kern w:val="0"/>
          <w:sz w:val="28"/>
          <w:szCs w:val="28"/>
          <w:highlight w:val="none"/>
        </w:rPr>
      </w:pPr>
      <w:r>
        <w:rPr>
          <w:rFonts w:hint="eastAsia" w:ascii="宋体" w:hAnsi="宋体" w:cs="宋体"/>
          <w:b/>
          <w:bCs/>
          <w:kern w:val="0"/>
          <w:sz w:val="32"/>
          <w:szCs w:val="32"/>
          <w:highlight w:val="none"/>
        </w:rPr>
        <w:t xml:space="preserve">        </w:t>
      </w:r>
    </w:p>
    <w:p w14:paraId="30913474">
      <w:pPr>
        <w:widowControl/>
        <w:spacing w:line="360" w:lineRule="auto"/>
        <w:jc w:val="left"/>
        <w:rPr>
          <w:rFonts w:hint="eastAsia" w:ascii="宋体" w:hAnsi="宋体" w:cs="宋体"/>
          <w:b/>
          <w:bCs/>
          <w:kern w:val="0"/>
          <w:sz w:val="24"/>
          <w:highlight w:val="none"/>
        </w:rPr>
      </w:pPr>
    </w:p>
    <w:p w14:paraId="4D961F14">
      <w:pPr>
        <w:pStyle w:val="4"/>
        <w:rPr>
          <w:rFonts w:hint="eastAsia" w:ascii="宋体" w:hAnsi="宋体" w:eastAsia="宋体" w:cs="宋体"/>
          <w:bCs/>
          <w:highlight w:val="none"/>
        </w:rPr>
      </w:pPr>
    </w:p>
    <w:p w14:paraId="13333369">
      <w:pPr>
        <w:rPr>
          <w:highlight w:val="none"/>
        </w:rPr>
      </w:pPr>
    </w:p>
    <w:p w14:paraId="2E480143">
      <w:pPr>
        <w:widowControl/>
        <w:spacing w:line="360" w:lineRule="auto"/>
        <w:jc w:val="left"/>
        <w:rPr>
          <w:rFonts w:hint="eastAsia" w:ascii="宋体" w:hAnsi="宋体" w:cs="宋体"/>
          <w:b/>
          <w:kern w:val="0"/>
          <w:sz w:val="30"/>
          <w:szCs w:val="30"/>
          <w:highlight w:val="none"/>
        </w:rPr>
      </w:pPr>
    </w:p>
    <w:p w14:paraId="1B653112">
      <w:pPr>
        <w:widowControl/>
        <w:spacing w:line="360" w:lineRule="auto"/>
        <w:ind w:firstLine="281" w:firstLineChars="100"/>
        <w:jc w:val="left"/>
        <w:rPr>
          <w:rFonts w:hint="eastAsia" w:ascii="宋体" w:hAnsi="宋体" w:cs="宋体"/>
          <w:b/>
          <w:kern w:val="0"/>
          <w:sz w:val="28"/>
          <w:szCs w:val="28"/>
          <w:highlight w:val="none"/>
        </w:rPr>
      </w:pPr>
    </w:p>
    <w:p w14:paraId="364E4339">
      <w:pPr>
        <w:widowControl/>
        <w:spacing w:line="360" w:lineRule="auto"/>
        <w:ind w:firstLine="281" w:firstLineChars="100"/>
        <w:jc w:val="left"/>
        <w:rPr>
          <w:rFonts w:hint="eastAsia" w:ascii="宋体" w:hAnsi="宋体" w:cs="宋体"/>
          <w:b/>
          <w:kern w:val="0"/>
          <w:sz w:val="28"/>
          <w:szCs w:val="28"/>
          <w:highlight w:val="none"/>
        </w:rPr>
      </w:pPr>
    </w:p>
    <w:p w14:paraId="6E744DF3">
      <w:pPr>
        <w:widowControl/>
        <w:spacing w:line="360" w:lineRule="auto"/>
        <w:ind w:firstLine="281" w:firstLineChars="100"/>
        <w:jc w:val="left"/>
        <w:rPr>
          <w:rFonts w:hint="eastAsia" w:ascii="宋体" w:hAnsi="宋体" w:cs="宋体"/>
          <w:b/>
          <w:kern w:val="0"/>
          <w:sz w:val="28"/>
          <w:szCs w:val="28"/>
          <w:highlight w:val="none"/>
        </w:rPr>
      </w:pPr>
    </w:p>
    <w:p w14:paraId="271EF13C">
      <w:pPr>
        <w:widowControl/>
        <w:spacing w:line="360" w:lineRule="auto"/>
        <w:ind w:firstLine="281" w:firstLineChars="100"/>
        <w:jc w:val="left"/>
        <w:rPr>
          <w:rFonts w:hint="eastAsia" w:ascii="宋体" w:hAnsi="宋体" w:cs="宋体"/>
          <w:b/>
          <w:kern w:val="0"/>
          <w:sz w:val="28"/>
          <w:szCs w:val="28"/>
          <w:highlight w:val="none"/>
        </w:rPr>
      </w:pPr>
    </w:p>
    <w:p w14:paraId="14184F31">
      <w:pPr>
        <w:widowControl/>
        <w:spacing w:line="360" w:lineRule="auto"/>
        <w:ind w:firstLine="280" w:firstLineChars="100"/>
        <w:jc w:val="left"/>
        <w:rPr>
          <w:rFonts w:hint="eastAsia" w:ascii="宋体" w:hAnsi="宋体" w:cs="宋体"/>
          <w:bCs/>
          <w:kern w:val="0"/>
          <w:sz w:val="28"/>
          <w:szCs w:val="28"/>
          <w:highlight w:val="none"/>
        </w:rPr>
      </w:pPr>
    </w:p>
    <w:p w14:paraId="03A2C181">
      <w:pPr>
        <w:widowControl/>
        <w:spacing w:line="360" w:lineRule="auto"/>
        <w:rPr>
          <w:rFonts w:hint="eastAsia" w:ascii="宋体" w:hAnsi="宋体" w:cs="宋体"/>
          <w:b/>
          <w:kern w:val="0"/>
          <w:sz w:val="30"/>
          <w:szCs w:val="30"/>
          <w:highlight w:val="none"/>
          <w:u w:val="single"/>
        </w:rPr>
      </w:pPr>
      <w:r>
        <w:rPr>
          <w:rFonts w:hint="eastAsia" w:ascii="宋体" w:hAnsi="宋体" w:cs="宋体"/>
          <w:b/>
          <w:spacing w:val="225"/>
          <w:kern w:val="0"/>
          <w:sz w:val="30"/>
          <w:szCs w:val="30"/>
          <w:highlight w:val="none"/>
          <w:fitText w:val="1800" w:id="211963432"/>
        </w:rPr>
        <w:t>比选</w:t>
      </w:r>
      <w:r>
        <w:rPr>
          <w:rFonts w:hint="eastAsia" w:ascii="宋体" w:hAnsi="宋体" w:cs="宋体"/>
          <w:b/>
          <w:spacing w:val="0"/>
          <w:kern w:val="0"/>
          <w:sz w:val="30"/>
          <w:szCs w:val="30"/>
          <w:highlight w:val="none"/>
          <w:fitText w:val="1800" w:id="211963432"/>
        </w:rPr>
        <w:t>人</w:t>
      </w:r>
      <w:r>
        <w:rPr>
          <w:rFonts w:hint="eastAsia" w:ascii="宋体" w:hAnsi="宋体" w:cs="宋体"/>
          <w:b/>
          <w:kern w:val="0"/>
          <w:sz w:val="30"/>
          <w:szCs w:val="30"/>
          <w:highlight w:val="none"/>
        </w:rPr>
        <w:t>：</w:t>
      </w:r>
      <w:r>
        <w:rPr>
          <w:rFonts w:hint="eastAsia" w:ascii="宋体" w:hAnsi="宋体" w:cs="宋体"/>
          <w:b/>
          <w:kern w:val="0"/>
          <w:sz w:val="30"/>
          <w:szCs w:val="30"/>
          <w:highlight w:val="none"/>
          <w:u w:val="single"/>
        </w:rPr>
        <w:t>重庆市九龙坡区白市驿镇人民政府（盖单位公章）</w:t>
      </w:r>
    </w:p>
    <w:p w14:paraId="15E615E8">
      <w:pPr>
        <w:widowControl/>
        <w:spacing w:line="360" w:lineRule="auto"/>
        <w:rPr>
          <w:rFonts w:hint="eastAsia" w:ascii="宋体" w:hAnsi="宋体" w:cs="宋体"/>
          <w:b/>
          <w:kern w:val="0"/>
          <w:sz w:val="30"/>
          <w:szCs w:val="30"/>
          <w:highlight w:val="none"/>
          <w:u w:val="single"/>
        </w:rPr>
      </w:pPr>
      <w:r>
        <w:rPr>
          <w:rFonts w:hint="eastAsia" w:ascii="宋体" w:hAnsi="宋体" w:cs="宋体"/>
          <w:b/>
          <w:kern w:val="0"/>
          <w:sz w:val="30"/>
          <w:szCs w:val="30"/>
          <w:highlight w:val="none"/>
          <w:u w:val="none"/>
        </w:rPr>
        <w:t>比选代理机构：</w:t>
      </w:r>
      <w:r>
        <w:rPr>
          <w:rFonts w:hint="eastAsia" w:ascii="宋体" w:hAnsi="宋体" w:cs="宋体"/>
          <w:b/>
          <w:kern w:val="0"/>
          <w:sz w:val="30"/>
          <w:szCs w:val="30"/>
          <w:highlight w:val="none"/>
          <w:u w:val="single"/>
          <w:lang w:eastAsia="zh-CN"/>
        </w:rPr>
        <w:t>中金招标有限责任公司</w:t>
      </w:r>
      <w:r>
        <w:rPr>
          <w:rFonts w:hint="eastAsia" w:ascii="宋体" w:hAnsi="宋体" w:cs="宋体"/>
          <w:b/>
          <w:kern w:val="0"/>
          <w:sz w:val="30"/>
          <w:szCs w:val="30"/>
          <w:highlight w:val="none"/>
          <w:u w:val="single"/>
        </w:rPr>
        <w:t>（盖单位公章）</w:t>
      </w:r>
    </w:p>
    <w:p w14:paraId="36E326EB">
      <w:pPr>
        <w:widowControl/>
        <w:tabs>
          <w:tab w:val="left" w:pos="3300"/>
          <w:tab w:val="center" w:pos="4422"/>
        </w:tabs>
        <w:spacing w:line="360" w:lineRule="auto"/>
        <w:ind w:firstLine="148" w:firstLineChars="49"/>
        <w:jc w:val="left"/>
        <w:rPr>
          <w:rFonts w:hint="eastAsia" w:ascii="宋体" w:hAnsi="宋体" w:cs="宋体"/>
          <w:b/>
          <w:kern w:val="0"/>
          <w:sz w:val="30"/>
          <w:szCs w:val="30"/>
          <w:highlight w:val="none"/>
        </w:rPr>
      </w:pPr>
    </w:p>
    <w:p w14:paraId="4358E3B5">
      <w:pPr>
        <w:pStyle w:val="16"/>
        <w:rPr>
          <w:rFonts w:hint="eastAsia" w:ascii="宋体" w:hAnsi="宋体" w:cs="宋体"/>
          <w:b/>
          <w:highlight w:val="none"/>
        </w:rPr>
      </w:pPr>
    </w:p>
    <w:p w14:paraId="44246488">
      <w:pPr>
        <w:widowControl/>
        <w:tabs>
          <w:tab w:val="left" w:pos="3300"/>
          <w:tab w:val="center" w:pos="4422"/>
        </w:tabs>
        <w:spacing w:line="360" w:lineRule="auto"/>
        <w:jc w:val="center"/>
        <w:rPr>
          <w:rFonts w:hint="eastAsia" w:ascii="宋体" w:hAnsi="宋体" w:cs="宋体"/>
          <w:b/>
          <w:kern w:val="0"/>
          <w:sz w:val="32"/>
          <w:szCs w:val="32"/>
          <w:highlight w:val="none"/>
        </w:rPr>
      </w:pPr>
      <w:r>
        <w:rPr>
          <w:rFonts w:hint="eastAsia" w:ascii="宋体" w:hAnsi="宋体" w:cs="宋体"/>
          <w:b/>
          <w:kern w:val="0"/>
          <w:sz w:val="32"/>
          <w:szCs w:val="32"/>
          <w:highlight w:val="none"/>
        </w:rPr>
        <w:t>202</w:t>
      </w:r>
      <w:r>
        <w:rPr>
          <w:rFonts w:hint="eastAsia" w:ascii="宋体" w:hAnsi="宋体" w:cs="宋体"/>
          <w:b/>
          <w:kern w:val="0"/>
          <w:sz w:val="32"/>
          <w:szCs w:val="32"/>
          <w:highlight w:val="none"/>
          <w:lang w:val="en-US" w:eastAsia="zh-CN"/>
        </w:rPr>
        <w:t>5</w:t>
      </w:r>
      <w:r>
        <w:rPr>
          <w:rFonts w:hint="eastAsia" w:ascii="宋体" w:hAnsi="宋体" w:cs="宋体"/>
          <w:b/>
          <w:kern w:val="0"/>
          <w:sz w:val="32"/>
          <w:szCs w:val="32"/>
          <w:highlight w:val="none"/>
        </w:rPr>
        <w:t>年</w:t>
      </w:r>
      <w:r>
        <w:rPr>
          <w:rFonts w:hint="eastAsia" w:ascii="宋体" w:hAnsi="宋体" w:cs="宋体"/>
          <w:b/>
          <w:kern w:val="0"/>
          <w:sz w:val="32"/>
          <w:szCs w:val="32"/>
          <w:highlight w:val="none"/>
          <w:lang w:val="en-US" w:eastAsia="zh-CN"/>
        </w:rPr>
        <w:t>7</w:t>
      </w:r>
      <w:r>
        <w:rPr>
          <w:rFonts w:hint="eastAsia" w:ascii="宋体" w:hAnsi="宋体" w:cs="宋体"/>
          <w:b/>
          <w:kern w:val="0"/>
          <w:sz w:val="32"/>
          <w:szCs w:val="32"/>
          <w:highlight w:val="none"/>
        </w:rPr>
        <w:t>月</w:t>
      </w:r>
      <w:bookmarkStart w:id="0" w:name="_Toc342573897"/>
      <w:bookmarkStart w:id="1" w:name="_Toc22375565"/>
    </w:p>
    <w:p w14:paraId="43317DB6">
      <w:pPr>
        <w:widowControl/>
        <w:tabs>
          <w:tab w:val="left" w:pos="3300"/>
          <w:tab w:val="center" w:pos="4422"/>
        </w:tabs>
        <w:spacing w:line="360" w:lineRule="auto"/>
        <w:jc w:val="center"/>
        <w:rPr>
          <w:rFonts w:hint="eastAsia" w:ascii="宋体" w:hAnsi="宋体" w:cs="宋体"/>
          <w:b/>
          <w:sz w:val="44"/>
          <w:szCs w:val="44"/>
          <w:highlight w:val="none"/>
        </w:rPr>
      </w:pPr>
      <w:r>
        <w:rPr>
          <w:rFonts w:hint="eastAsia" w:ascii="宋体" w:hAnsi="宋体" w:cs="宋体"/>
          <w:b/>
          <w:kern w:val="0"/>
          <w:sz w:val="30"/>
          <w:szCs w:val="30"/>
          <w:highlight w:val="none"/>
        </w:rPr>
        <w:br w:type="page"/>
      </w:r>
      <w:bookmarkStart w:id="2" w:name="_Toc22990007"/>
      <w:r>
        <w:rPr>
          <w:rFonts w:hint="eastAsia" w:ascii="宋体" w:hAnsi="宋体" w:cs="宋体"/>
          <w:b/>
          <w:sz w:val="52"/>
          <w:szCs w:val="52"/>
          <w:highlight w:val="none"/>
        </w:rPr>
        <w:t>目  录</w:t>
      </w:r>
    </w:p>
    <w:p w14:paraId="5CB093D2">
      <w:pPr>
        <w:jc w:val="center"/>
        <w:rPr>
          <w:rFonts w:hint="eastAsia" w:ascii="宋体" w:hAnsi="宋体" w:cs="宋体"/>
          <w:highlight w:val="none"/>
        </w:rPr>
      </w:pPr>
    </w:p>
    <w:p w14:paraId="7D23BDEC">
      <w:pPr>
        <w:pStyle w:val="190"/>
        <w:tabs>
          <w:tab w:val="right" w:leader="dot" w:pos="9072"/>
        </w:tabs>
        <w:spacing w:line="600" w:lineRule="auto"/>
        <w:rPr>
          <w:rFonts w:hint="eastAsia" w:ascii="宋体" w:hAnsi="宋体" w:cs="宋体"/>
          <w:b/>
          <w:bCs/>
          <w:sz w:val="32"/>
          <w:szCs w:val="32"/>
          <w:highlight w:val="none"/>
        </w:rPr>
      </w:pPr>
      <w:r>
        <w:rPr>
          <w:rFonts w:hint="eastAsia" w:ascii="宋体" w:hAnsi="宋体" w:cs="宋体"/>
          <w:sz w:val="32"/>
          <w:szCs w:val="32"/>
          <w:highlight w:val="none"/>
        </w:rPr>
        <w:fldChar w:fldCharType="begin"/>
      </w:r>
      <w:r>
        <w:rPr>
          <w:rFonts w:hint="eastAsia" w:ascii="宋体" w:hAnsi="宋体" w:cs="宋体"/>
          <w:sz w:val="32"/>
          <w:szCs w:val="32"/>
          <w:highlight w:val="none"/>
        </w:rPr>
        <w:instrText xml:space="preserve">TOC \o "1-1" \h \u </w:instrText>
      </w:r>
      <w:r>
        <w:rPr>
          <w:rFonts w:hint="eastAsia" w:ascii="宋体" w:hAnsi="宋体" w:cs="宋体"/>
          <w:sz w:val="32"/>
          <w:szCs w:val="32"/>
          <w:highlight w:val="none"/>
        </w:rPr>
        <w:fldChar w:fldCharType="separate"/>
      </w:r>
      <w:r>
        <w:rPr>
          <w:highlight w:val="none"/>
        </w:rPr>
        <w:fldChar w:fldCharType="begin"/>
      </w:r>
      <w:r>
        <w:rPr>
          <w:highlight w:val="none"/>
        </w:rPr>
        <w:instrText xml:space="preserve"> HYPERLINK \l "_Toc6569" </w:instrText>
      </w:r>
      <w:r>
        <w:rPr>
          <w:highlight w:val="none"/>
        </w:rPr>
        <w:fldChar w:fldCharType="separate"/>
      </w:r>
      <w:r>
        <w:rPr>
          <w:rFonts w:hint="eastAsia" w:ascii="宋体" w:hAnsi="宋体" w:cs="宋体"/>
          <w:b/>
          <w:bCs/>
          <w:sz w:val="32"/>
          <w:szCs w:val="32"/>
          <w:highlight w:val="none"/>
        </w:rPr>
        <w:t>第一章  比选公告</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_Toc6569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3</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5F39F062">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"_Toc13984" </w:instrText>
      </w:r>
      <w:r>
        <w:rPr>
          <w:highlight w:val="none"/>
        </w:rPr>
        <w:fldChar w:fldCharType="separate"/>
      </w:r>
      <w:r>
        <w:rPr>
          <w:rFonts w:hint="eastAsia" w:ascii="宋体" w:hAnsi="宋体" w:cs="宋体"/>
          <w:b/>
          <w:bCs/>
          <w:sz w:val="32"/>
          <w:szCs w:val="32"/>
          <w:highlight w:val="none"/>
        </w:rPr>
        <w:t>第二章  比选申请人须知</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_Toc13984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5</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4CC7BDF0">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"_Toc15653" </w:instrText>
      </w:r>
      <w:r>
        <w:rPr>
          <w:highlight w:val="none"/>
        </w:rPr>
        <w:fldChar w:fldCharType="separate"/>
      </w:r>
      <w:r>
        <w:rPr>
          <w:rFonts w:hint="eastAsia" w:ascii="宋体" w:hAnsi="宋体" w:cs="宋体"/>
          <w:b/>
          <w:bCs/>
          <w:sz w:val="32"/>
          <w:szCs w:val="32"/>
          <w:highlight w:val="none"/>
        </w:rPr>
        <w:t>第三章  评标办法（综合评估法）</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_Toc15653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36</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25CE6DF7">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"_Toc813" </w:instrText>
      </w:r>
      <w:r>
        <w:rPr>
          <w:highlight w:val="none"/>
        </w:rPr>
        <w:fldChar w:fldCharType="separate"/>
      </w:r>
      <w:r>
        <w:rPr>
          <w:rFonts w:hint="eastAsia" w:ascii="宋体" w:hAnsi="宋体" w:cs="宋体"/>
          <w:b/>
          <w:bCs/>
          <w:sz w:val="32"/>
          <w:szCs w:val="32"/>
          <w:highlight w:val="none"/>
        </w:rPr>
        <w:t>第四章  合同条款及格式</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_Toc813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46</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7B5D6508">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"_Toc5116" </w:instrText>
      </w:r>
      <w:r>
        <w:rPr>
          <w:highlight w:val="none"/>
        </w:rPr>
        <w:fldChar w:fldCharType="separate"/>
      </w:r>
      <w:r>
        <w:rPr>
          <w:rFonts w:hint="eastAsia" w:ascii="宋体" w:hAnsi="宋体" w:cs="宋体"/>
          <w:b/>
          <w:bCs/>
          <w:sz w:val="32"/>
          <w:szCs w:val="32"/>
          <w:highlight w:val="none"/>
        </w:rPr>
        <w:t>第五章  工程量清单</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_Toc5116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85</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48F9EEF9">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"_Toc31973" </w:instrText>
      </w:r>
      <w:r>
        <w:rPr>
          <w:highlight w:val="none"/>
        </w:rPr>
        <w:fldChar w:fldCharType="separate"/>
      </w:r>
      <w:r>
        <w:rPr>
          <w:rFonts w:hint="eastAsia" w:ascii="宋体" w:hAnsi="宋体" w:cs="宋体"/>
          <w:b/>
          <w:bCs/>
          <w:sz w:val="32"/>
          <w:szCs w:val="32"/>
          <w:highlight w:val="none"/>
        </w:rPr>
        <w:t>第六章 比选申请文件格式</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_Toc31973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86</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3751A518">
      <w:pPr>
        <w:pStyle w:val="190"/>
        <w:tabs>
          <w:tab w:val="right" w:leader="dot" w:pos="9072"/>
        </w:tabs>
        <w:spacing w:line="600" w:lineRule="auto"/>
        <w:rPr>
          <w:rFonts w:hint="eastAsia" w:ascii="宋体" w:hAnsi="宋体" w:cs="宋体"/>
          <w:sz w:val="32"/>
          <w:szCs w:val="32"/>
          <w:highlight w:val="none"/>
        </w:rPr>
      </w:pPr>
    </w:p>
    <w:p w14:paraId="52374D01">
      <w:pPr>
        <w:pStyle w:val="16"/>
        <w:spacing w:line="600" w:lineRule="auto"/>
        <w:rPr>
          <w:rFonts w:hint="eastAsia" w:ascii="宋体" w:hAnsi="宋体" w:cs="宋体"/>
          <w:sz w:val="32"/>
          <w:szCs w:val="32"/>
          <w:highlight w:val="none"/>
        </w:rPr>
      </w:pPr>
      <w:r>
        <w:rPr>
          <w:rFonts w:hint="eastAsia" w:ascii="宋体" w:hAnsi="宋体" w:cs="宋体"/>
          <w:sz w:val="32"/>
          <w:szCs w:val="32"/>
          <w:highlight w:val="none"/>
        </w:rPr>
        <w:fldChar w:fldCharType="end"/>
      </w:r>
    </w:p>
    <w:p w14:paraId="2E91FD8D">
      <w:pPr>
        <w:pStyle w:val="30"/>
        <w:tabs>
          <w:tab w:val="right" w:leader="dot" w:pos="9072"/>
        </w:tabs>
        <w:rPr>
          <w:rFonts w:hint="eastAsia" w:ascii="宋体" w:hAnsi="宋体" w:eastAsia="宋体" w:cs="宋体"/>
          <w:highlight w:val="none"/>
        </w:rPr>
      </w:pPr>
      <w:r>
        <w:rPr>
          <w:rFonts w:hint="eastAsia" w:ascii="宋体" w:hAnsi="宋体" w:eastAsia="宋体" w:cs="宋体"/>
          <w:b w:val="0"/>
          <w:sz w:val="30"/>
          <w:szCs w:val="30"/>
          <w:highlight w:val="none"/>
        </w:rPr>
        <w:fldChar w:fldCharType="begin"/>
      </w:r>
      <w:r>
        <w:rPr>
          <w:rFonts w:hint="eastAsia" w:ascii="宋体" w:hAnsi="宋体" w:eastAsia="宋体" w:cs="宋体"/>
          <w:b w:val="0"/>
          <w:sz w:val="30"/>
          <w:szCs w:val="30"/>
          <w:highlight w:val="none"/>
        </w:rPr>
        <w:instrText xml:space="preserve">TOC \o "1-1" \h \u </w:instrText>
      </w:r>
      <w:r>
        <w:rPr>
          <w:rFonts w:hint="eastAsia" w:ascii="宋体" w:hAnsi="宋体" w:eastAsia="宋体" w:cs="宋体"/>
          <w:b w:val="0"/>
          <w:sz w:val="30"/>
          <w:szCs w:val="30"/>
          <w:highlight w:val="none"/>
        </w:rPr>
        <w:fldChar w:fldCharType="separate"/>
      </w:r>
    </w:p>
    <w:p w14:paraId="31B8CA10">
      <w:pPr>
        <w:spacing w:line="720" w:lineRule="auto"/>
        <w:rPr>
          <w:rFonts w:hint="eastAsia" w:ascii="宋体" w:hAnsi="宋体" w:cs="宋体"/>
          <w:highlight w:val="none"/>
        </w:rPr>
      </w:pPr>
      <w:r>
        <w:rPr>
          <w:rFonts w:hint="eastAsia" w:ascii="宋体" w:hAnsi="宋体" w:cs="宋体"/>
          <w:szCs w:val="30"/>
          <w:highlight w:val="none"/>
        </w:rPr>
        <w:fldChar w:fldCharType="end"/>
      </w:r>
    </w:p>
    <w:p w14:paraId="192C985D">
      <w:pPr>
        <w:pStyle w:val="2"/>
        <w:numPr>
          <w:ilvl w:val="0"/>
          <w:numId w:val="0"/>
        </w:numPr>
        <w:spacing w:line="276" w:lineRule="auto"/>
        <w:rPr>
          <w:rFonts w:hint="eastAsia" w:ascii="宋体" w:hAnsi="宋体" w:eastAsia="宋体" w:cs="宋体"/>
          <w:b/>
          <w:kern w:val="0"/>
          <w:highlight w:val="none"/>
        </w:rPr>
      </w:pPr>
      <w:r>
        <w:rPr>
          <w:rFonts w:hint="eastAsia" w:ascii="宋体" w:hAnsi="宋体" w:eastAsia="宋体" w:cs="宋体"/>
          <w:b/>
          <w:kern w:val="0"/>
          <w:highlight w:val="none"/>
        </w:rPr>
        <w:br w:type="page"/>
      </w:r>
      <w:bookmarkStart w:id="3" w:name="_Toc6569"/>
      <w:bookmarkStart w:id="4" w:name="_Toc6567"/>
      <w:r>
        <w:rPr>
          <w:rFonts w:hint="eastAsia" w:ascii="宋体" w:hAnsi="宋体" w:eastAsia="宋体" w:cs="宋体"/>
          <w:b/>
          <w:kern w:val="0"/>
          <w:highlight w:val="none"/>
        </w:rPr>
        <w:t>第一章  比选</w:t>
      </w:r>
      <w:bookmarkEnd w:id="0"/>
      <w:bookmarkEnd w:id="1"/>
      <w:bookmarkEnd w:id="2"/>
      <w:r>
        <w:rPr>
          <w:rFonts w:hint="eastAsia" w:ascii="宋体" w:hAnsi="宋体" w:eastAsia="宋体" w:cs="宋体"/>
          <w:b/>
          <w:kern w:val="0"/>
          <w:highlight w:val="none"/>
        </w:rPr>
        <w:t>公告</w:t>
      </w:r>
      <w:bookmarkEnd w:id="3"/>
      <w:bookmarkEnd w:id="4"/>
    </w:p>
    <w:p w14:paraId="5EDDE560">
      <w:pPr>
        <w:rPr>
          <w:rFonts w:hint="eastAsia" w:ascii="宋体" w:hAnsi="宋体" w:cs="宋体"/>
          <w:highlight w:val="none"/>
        </w:rPr>
      </w:pPr>
    </w:p>
    <w:p w14:paraId="2EF06ADB">
      <w:pPr>
        <w:pStyle w:val="2"/>
        <w:numPr>
          <w:ilvl w:val="0"/>
          <w:numId w:val="0"/>
        </w:numPr>
        <w:spacing w:line="276" w:lineRule="auto"/>
        <w:rPr>
          <w:rFonts w:hint="eastAsia" w:ascii="宋体" w:hAnsi="宋体" w:eastAsia="宋体" w:cs="宋体"/>
          <w:b/>
          <w:kern w:val="0"/>
          <w:sz w:val="36"/>
          <w:szCs w:val="36"/>
          <w:highlight w:val="none"/>
          <w:lang w:eastAsia="zh-CN"/>
        </w:rPr>
      </w:pPr>
      <w:r>
        <w:rPr>
          <w:rFonts w:hint="eastAsia" w:ascii="宋体" w:hAnsi="宋体" w:eastAsia="宋体" w:cs="宋体"/>
          <w:b/>
          <w:kern w:val="0"/>
          <w:sz w:val="36"/>
          <w:szCs w:val="36"/>
          <w:highlight w:val="none"/>
          <w:lang w:eastAsia="zh-CN"/>
        </w:rPr>
        <w:t>白市驿川剧主题美陈广告制作</w:t>
      </w:r>
    </w:p>
    <w:p w14:paraId="01B5798F">
      <w:pPr>
        <w:pStyle w:val="2"/>
        <w:numPr>
          <w:ilvl w:val="0"/>
          <w:numId w:val="0"/>
        </w:numPr>
        <w:spacing w:line="276" w:lineRule="auto"/>
        <w:rPr>
          <w:rFonts w:hint="eastAsia" w:ascii="宋体" w:hAnsi="宋体" w:eastAsia="宋体" w:cs="宋体"/>
          <w:b/>
          <w:kern w:val="0"/>
          <w:sz w:val="36"/>
          <w:szCs w:val="36"/>
          <w:highlight w:val="none"/>
        </w:rPr>
      </w:pPr>
      <w:r>
        <w:rPr>
          <w:rFonts w:hint="eastAsia" w:ascii="宋体" w:hAnsi="宋体" w:eastAsia="宋体" w:cs="宋体"/>
          <w:b/>
          <w:kern w:val="0"/>
          <w:sz w:val="36"/>
          <w:szCs w:val="36"/>
          <w:highlight w:val="none"/>
        </w:rPr>
        <w:t>竞争性比选公告</w:t>
      </w:r>
    </w:p>
    <w:p w14:paraId="2A0502B8">
      <w:pPr>
        <w:pStyle w:val="4"/>
        <w:spacing w:line="480" w:lineRule="auto"/>
        <w:rPr>
          <w:rFonts w:hint="eastAsia" w:ascii="宋体" w:hAnsi="宋体" w:eastAsia="宋体" w:cs="宋体"/>
          <w:snapToGrid w:val="0"/>
          <w:sz w:val="21"/>
          <w:szCs w:val="21"/>
          <w:highlight w:val="none"/>
        </w:rPr>
      </w:pPr>
      <w:bookmarkStart w:id="5" w:name="_Toc492994322"/>
      <w:bookmarkStart w:id="6" w:name="_Toc266110006"/>
      <w:bookmarkStart w:id="7" w:name="_Toc22375566"/>
      <w:bookmarkStart w:id="8" w:name="_Toc492644378"/>
      <w:bookmarkStart w:id="9" w:name="_Toc22990008"/>
      <w:r>
        <w:rPr>
          <w:rFonts w:hint="eastAsia" w:ascii="宋体" w:hAnsi="宋体" w:eastAsia="宋体" w:cs="宋体"/>
          <w:snapToGrid w:val="0"/>
          <w:sz w:val="21"/>
          <w:szCs w:val="21"/>
          <w:highlight w:val="none"/>
        </w:rPr>
        <w:t>1.比选条件</w:t>
      </w:r>
      <w:bookmarkEnd w:id="5"/>
      <w:bookmarkEnd w:id="6"/>
      <w:bookmarkEnd w:id="7"/>
      <w:bookmarkEnd w:id="8"/>
      <w:bookmarkEnd w:id="9"/>
    </w:p>
    <w:p w14:paraId="1D462749">
      <w:pPr>
        <w:pStyle w:val="22"/>
        <w:snapToGrid w:val="0"/>
        <w:spacing w:line="360" w:lineRule="auto"/>
        <w:ind w:firstLine="457" w:firstLineChars="218"/>
        <w:rPr>
          <w:rFonts w:hint="eastAsia" w:hAnsi="宋体" w:cs="宋体"/>
          <w:snapToGrid w:val="0"/>
          <w:sz w:val="21"/>
          <w:szCs w:val="21"/>
          <w:highlight w:val="none"/>
        </w:rPr>
      </w:pPr>
      <w:bookmarkStart w:id="10" w:name="_Toc22375567"/>
      <w:bookmarkStart w:id="11" w:name="_Toc492644379"/>
      <w:bookmarkStart w:id="12" w:name="_Toc22990009"/>
      <w:bookmarkStart w:id="13" w:name="_Toc492994323"/>
      <w:bookmarkStart w:id="14" w:name="_Toc266110007"/>
      <w:r>
        <w:rPr>
          <w:rFonts w:hint="eastAsia" w:hAnsi="宋体" w:cs="宋体"/>
          <w:snapToGrid w:val="0"/>
          <w:sz w:val="21"/>
          <w:szCs w:val="21"/>
          <w:highlight w:val="none"/>
        </w:rPr>
        <w:t>本比选项目</w:t>
      </w:r>
      <w:r>
        <w:rPr>
          <w:rFonts w:hint="eastAsia" w:hAnsi="宋体" w:cs="宋体"/>
          <w:snapToGrid w:val="0"/>
          <w:sz w:val="21"/>
          <w:szCs w:val="21"/>
          <w:highlight w:val="none"/>
          <w:u w:val="single"/>
          <w:lang w:eastAsia="zh-CN"/>
        </w:rPr>
        <w:t>白市驿川剧主题美陈广告制作</w:t>
      </w:r>
      <w:r>
        <w:rPr>
          <w:rFonts w:hint="eastAsia" w:hAnsi="宋体" w:cs="宋体"/>
          <w:snapToGrid w:val="0"/>
          <w:sz w:val="21"/>
          <w:szCs w:val="21"/>
          <w:highlight w:val="none"/>
        </w:rPr>
        <w:t>已批准实施，比选人为</w:t>
      </w:r>
      <w:r>
        <w:rPr>
          <w:rFonts w:hint="eastAsia" w:hAnsi="宋体" w:cs="宋体"/>
          <w:snapToGrid w:val="0"/>
          <w:sz w:val="21"/>
          <w:szCs w:val="21"/>
          <w:highlight w:val="none"/>
          <w:u w:val="single"/>
        </w:rPr>
        <w:t>重庆市九龙坡区白市驿镇人民政府</w:t>
      </w:r>
      <w:r>
        <w:rPr>
          <w:rFonts w:hint="eastAsia" w:hAnsi="宋体" w:cs="宋体"/>
          <w:snapToGrid w:val="0"/>
          <w:sz w:val="21"/>
          <w:szCs w:val="21"/>
          <w:highlight w:val="none"/>
        </w:rPr>
        <w:t>。建设资金来自</w:t>
      </w:r>
      <w:r>
        <w:rPr>
          <w:rFonts w:hint="eastAsia" w:hAnsi="宋体" w:cs="宋体"/>
          <w:snapToGrid w:val="0"/>
          <w:sz w:val="21"/>
          <w:szCs w:val="21"/>
          <w:highlight w:val="none"/>
          <w:u w:val="single"/>
        </w:rPr>
        <w:t>财政资金</w:t>
      </w:r>
      <w:r>
        <w:rPr>
          <w:rFonts w:hint="eastAsia" w:hAnsi="宋体" w:cs="宋体"/>
          <w:snapToGrid w:val="0"/>
          <w:sz w:val="21"/>
          <w:szCs w:val="21"/>
          <w:highlight w:val="none"/>
        </w:rPr>
        <w:t>，出资比例</w:t>
      </w:r>
      <w:r>
        <w:rPr>
          <w:rFonts w:hint="eastAsia" w:hAnsi="宋体" w:cs="宋体"/>
          <w:snapToGrid w:val="0"/>
          <w:sz w:val="21"/>
          <w:szCs w:val="21"/>
          <w:highlight w:val="none"/>
          <w:u w:val="single"/>
        </w:rPr>
        <w:t>100%</w:t>
      </w:r>
      <w:r>
        <w:rPr>
          <w:rFonts w:hint="eastAsia" w:hAnsi="宋体" w:cs="宋体"/>
          <w:snapToGrid w:val="0"/>
          <w:sz w:val="21"/>
          <w:szCs w:val="21"/>
          <w:highlight w:val="none"/>
        </w:rPr>
        <w:t>，现项目已具备招标条件，欢迎有资格的比选申请人参加比选。</w:t>
      </w:r>
    </w:p>
    <w:p w14:paraId="275DEF37">
      <w:pPr>
        <w:pStyle w:val="4"/>
        <w:spacing w:line="480" w:lineRule="auto"/>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2. 项目概况与比选范围</w:t>
      </w:r>
      <w:bookmarkEnd w:id="10"/>
      <w:bookmarkEnd w:id="11"/>
      <w:bookmarkEnd w:id="12"/>
      <w:bookmarkEnd w:id="13"/>
      <w:bookmarkEnd w:id="14"/>
    </w:p>
    <w:p w14:paraId="59AEE6B2">
      <w:pPr>
        <w:pStyle w:val="22"/>
        <w:snapToGrid w:val="0"/>
        <w:spacing w:line="360" w:lineRule="auto"/>
        <w:ind w:firstLine="457" w:firstLineChars="218"/>
        <w:rPr>
          <w:rFonts w:hint="eastAsia" w:hAnsi="宋体" w:cs="宋体"/>
          <w:snapToGrid w:val="0"/>
          <w:sz w:val="21"/>
          <w:szCs w:val="21"/>
          <w:highlight w:val="none"/>
        </w:rPr>
      </w:pPr>
      <w:bookmarkStart w:id="15" w:name="_Toc266110008"/>
      <w:r>
        <w:rPr>
          <w:rFonts w:hint="eastAsia" w:hAnsi="宋体" w:cs="宋体"/>
          <w:snapToGrid w:val="0"/>
          <w:sz w:val="21"/>
          <w:szCs w:val="21"/>
          <w:highlight w:val="none"/>
        </w:rPr>
        <w:t>2.1 工程地点：</w:t>
      </w:r>
      <w:r>
        <w:rPr>
          <w:rFonts w:hint="eastAsia" w:hAnsi="宋体" w:cs="宋体"/>
          <w:snapToGrid w:val="0"/>
          <w:sz w:val="21"/>
          <w:szCs w:val="21"/>
          <w:highlight w:val="none"/>
          <w:u w:val="none"/>
        </w:rPr>
        <w:t>重庆高新区白市驿镇</w:t>
      </w:r>
      <w:r>
        <w:rPr>
          <w:rFonts w:hint="eastAsia" w:hAnsi="宋体" w:cs="宋体"/>
          <w:snapToGrid w:val="0"/>
          <w:sz w:val="21"/>
          <w:szCs w:val="21"/>
          <w:highlight w:val="none"/>
        </w:rPr>
        <w:t>。</w:t>
      </w:r>
    </w:p>
    <w:p w14:paraId="25D53313">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2.2 工程规模：</w:t>
      </w:r>
      <w:r>
        <w:rPr>
          <w:rFonts w:hint="eastAsia" w:hAnsi="宋体" w:cs="宋体"/>
          <w:snapToGrid w:val="0"/>
          <w:sz w:val="21"/>
          <w:szCs w:val="21"/>
          <w:highlight w:val="none"/>
          <w:u w:val="none"/>
          <w:lang w:val="en-US" w:eastAsia="zh-CN"/>
        </w:rPr>
        <w:t>白市驿川剧主题美陈广告制作</w:t>
      </w:r>
      <w:r>
        <w:rPr>
          <w:rFonts w:hint="eastAsia" w:hAnsi="宋体" w:cs="宋体"/>
          <w:snapToGrid w:val="0"/>
          <w:sz w:val="21"/>
          <w:szCs w:val="21"/>
          <w:highlight w:val="none"/>
        </w:rPr>
        <w:t>。</w:t>
      </w:r>
    </w:p>
    <w:p w14:paraId="7F1535C4">
      <w:pPr>
        <w:pStyle w:val="22"/>
        <w:snapToGrid w:val="0"/>
        <w:spacing w:line="360" w:lineRule="auto"/>
        <w:ind w:firstLine="457" w:firstLineChars="218"/>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2.3 比选招标范围：具体工作内容详见工程量清单</w:t>
      </w:r>
      <w:r>
        <w:rPr>
          <w:rFonts w:hint="eastAsia" w:ascii="宋体" w:hAnsi="宋体" w:eastAsia="宋体" w:cs="宋体"/>
          <w:snapToGrid w:val="0"/>
          <w:sz w:val="21"/>
          <w:szCs w:val="21"/>
          <w:highlight w:val="none"/>
          <w:lang w:val="en-US" w:eastAsia="zh-CN"/>
        </w:rPr>
        <w:t>及设计方案，如有不一致，以设计方案为准。</w:t>
      </w:r>
    </w:p>
    <w:p w14:paraId="6BBCA68C">
      <w:pPr>
        <w:pStyle w:val="22"/>
        <w:snapToGrid w:val="0"/>
        <w:spacing w:line="360" w:lineRule="auto"/>
        <w:ind w:firstLine="457" w:firstLineChars="218"/>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2.4 计划工期：</w:t>
      </w:r>
      <w:r>
        <w:rPr>
          <w:rFonts w:hint="eastAsia" w:ascii="宋体" w:hAnsi="宋体" w:eastAsia="宋体" w:cs="宋体"/>
          <w:snapToGrid w:val="0"/>
          <w:sz w:val="21"/>
          <w:szCs w:val="21"/>
          <w:highlight w:val="none"/>
          <w:lang w:val="en-US" w:eastAsia="zh-CN"/>
        </w:rPr>
        <w:t>2025年8月18日前完成制作安装，并通过比选人验收</w:t>
      </w:r>
      <w:r>
        <w:rPr>
          <w:rFonts w:hint="eastAsia" w:ascii="宋体" w:hAnsi="宋体" w:eastAsia="宋体" w:cs="宋体"/>
          <w:snapToGrid w:val="0"/>
          <w:sz w:val="21"/>
          <w:szCs w:val="21"/>
          <w:highlight w:val="none"/>
        </w:rPr>
        <w:t>。</w:t>
      </w:r>
    </w:p>
    <w:p w14:paraId="3F4E3CEC">
      <w:pPr>
        <w:pStyle w:val="4"/>
        <w:spacing w:line="480" w:lineRule="auto"/>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3.比选申请人资格要求</w:t>
      </w:r>
      <w:bookmarkEnd w:id="15"/>
    </w:p>
    <w:p w14:paraId="37841183">
      <w:pPr>
        <w:pStyle w:val="22"/>
        <w:snapToGrid w:val="0"/>
        <w:spacing w:line="360" w:lineRule="auto"/>
        <w:ind w:firstLine="457" w:firstLineChars="218"/>
        <w:rPr>
          <w:rFonts w:hint="eastAsia" w:hAnsi="宋体" w:cs="宋体"/>
          <w:snapToGrid w:val="0"/>
          <w:sz w:val="21"/>
          <w:szCs w:val="21"/>
          <w:highlight w:val="none"/>
        </w:rPr>
      </w:pPr>
      <w:bookmarkStart w:id="16" w:name="_Toc492994324"/>
      <w:bookmarkStart w:id="17" w:name="_Toc492644380"/>
      <w:bookmarkStart w:id="18" w:name="_Toc266110009"/>
      <w:r>
        <w:rPr>
          <w:rFonts w:hint="eastAsia" w:hAnsi="宋体" w:cs="宋体"/>
          <w:snapToGrid w:val="0"/>
          <w:sz w:val="21"/>
          <w:szCs w:val="21"/>
          <w:highlight w:val="none"/>
        </w:rPr>
        <w:t>3.1本次招标实行资格后审，比选申请人应同时满足下列资格条件要求：</w:t>
      </w:r>
    </w:p>
    <w:p w14:paraId="60A09805">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3.1.1比选申请人必须是独立法人资格的单位；</w:t>
      </w:r>
    </w:p>
    <w:p w14:paraId="464C08AB">
      <w:pPr>
        <w:pStyle w:val="22"/>
        <w:snapToGrid w:val="0"/>
        <w:spacing w:line="360" w:lineRule="auto"/>
        <w:ind w:firstLine="457" w:firstLineChars="218"/>
        <w:rPr>
          <w:rFonts w:hint="default" w:ascii="宋体" w:hAnsi="宋体" w:eastAsia="宋体" w:cs="宋体"/>
          <w:snapToGrid w:val="0"/>
          <w:sz w:val="21"/>
          <w:szCs w:val="21"/>
          <w:highlight w:val="none"/>
          <w:lang w:val="en-US" w:eastAsia="zh-CN"/>
        </w:rPr>
      </w:pPr>
      <w:r>
        <w:rPr>
          <w:rFonts w:hint="eastAsia" w:ascii="宋体" w:hAnsi="宋体" w:eastAsia="宋体" w:cs="宋体"/>
          <w:snapToGrid w:val="0"/>
          <w:sz w:val="21"/>
          <w:szCs w:val="21"/>
          <w:highlight w:val="none"/>
          <w:lang w:val="en-US" w:eastAsia="zh-CN"/>
        </w:rPr>
        <w:t>2.1.2比选申请人近三年（2022年1月1日至比选截止日止）完成过合同金额大于8万元的广告制作</w:t>
      </w:r>
      <w:r>
        <w:rPr>
          <w:rFonts w:hint="eastAsia" w:hAnsi="宋体" w:cs="宋体"/>
          <w:snapToGrid w:val="0"/>
          <w:sz w:val="21"/>
          <w:szCs w:val="21"/>
          <w:highlight w:val="none"/>
          <w:lang w:val="en-US" w:eastAsia="zh-CN"/>
        </w:rPr>
        <w:t>安装</w:t>
      </w:r>
      <w:r>
        <w:rPr>
          <w:rFonts w:hint="eastAsia" w:ascii="宋体" w:hAnsi="宋体" w:eastAsia="宋体" w:cs="宋体"/>
          <w:snapToGrid w:val="0"/>
          <w:sz w:val="21"/>
          <w:szCs w:val="21"/>
          <w:highlight w:val="none"/>
          <w:lang w:val="en-US" w:eastAsia="zh-CN"/>
        </w:rPr>
        <w:t>业绩1个。</w:t>
      </w:r>
    </w:p>
    <w:p w14:paraId="6547D957">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3.2本次招标不接受联合体比选投标。</w:t>
      </w:r>
    </w:p>
    <w:bookmarkEnd w:id="16"/>
    <w:bookmarkEnd w:id="17"/>
    <w:bookmarkEnd w:id="18"/>
    <w:p w14:paraId="1069D4B2">
      <w:pPr>
        <w:pStyle w:val="4"/>
        <w:spacing w:line="360" w:lineRule="auto"/>
        <w:rPr>
          <w:rFonts w:hint="eastAsia" w:ascii="宋体" w:hAnsi="宋体" w:eastAsia="宋体" w:cs="宋体"/>
          <w:snapToGrid w:val="0"/>
          <w:sz w:val="21"/>
          <w:szCs w:val="21"/>
          <w:highlight w:val="none"/>
        </w:rPr>
      </w:pPr>
      <w:bookmarkStart w:id="19" w:name="_Toc22990010"/>
      <w:bookmarkStart w:id="20" w:name="_Toc22375568"/>
      <w:r>
        <w:rPr>
          <w:rFonts w:hint="eastAsia" w:ascii="宋体" w:hAnsi="宋体" w:eastAsia="宋体" w:cs="宋体"/>
          <w:snapToGrid w:val="0"/>
          <w:sz w:val="21"/>
          <w:szCs w:val="21"/>
          <w:highlight w:val="none"/>
        </w:rPr>
        <w:t>4.比选文件的获取</w:t>
      </w:r>
      <w:bookmarkEnd w:id="19"/>
      <w:bookmarkEnd w:id="20"/>
    </w:p>
    <w:p w14:paraId="47116E54">
      <w:pPr>
        <w:tabs>
          <w:tab w:val="left" w:pos="2000"/>
          <w:tab w:val="left" w:pos="5580"/>
          <w:tab w:val="left" w:pos="6220"/>
          <w:tab w:val="left" w:pos="6840"/>
          <w:tab w:val="left" w:pos="7460"/>
          <w:tab w:val="left" w:pos="8100"/>
        </w:tabs>
        <w:autoSpaceDE w:val="0"/>
        <w:autoSpaceDN w:val="0"/>
        <w:adjustRightInd w:val="0"/>
        <w:snapToGrid w:val="0"/>
        <w:spacing w:line="450" w:lineRule="exact"/>
        <w:ind w:firstLine="420" w:firstLineChars="200"/>
        <w:rPr>
          <w:rFonts w:hint="eastAsia" w:ascii="宋体" w:hAnsi="宋体" w:cs="宋体"/>
          <w:snapToGrid w:val="0"/>
          <w:kern w:val="0"/>
          <w:highlight w:val="none"/>
        </w:rPr>
      </w:pPr>
      <w:bookmarkStart w:id="21" w:name="_Toc492644381"/>
      <w:bookmarkStart w:id="22" w:name="_Toc22990011"/>
      <w:bookmarkStart w:id="23" w:name="_Toc22375569"/>
      <w:bookmarkStart w:id="24" w:name="_Toc266110010"/>
      <w:bookmarkStart w:id="25" w:name="_Toc492994325"/>
      <w:r>
        <w:rPr>
          <w:rFonts w:hint="eastAsia" w:ascii="宋体" w:hAnsi="宋体" w:cs="宋体"/>
          <w:snapToGrid w:val="0"/>
          <w:kern w:val="0"/>
          <w:highlight w:val="none"/>
        </w:rPr>
        <w:t>4.1本次招标信息在“行采家https://www.gec123.com”发布。</w:t>
      </w:r>
    </w:p>
    <w:p w14:paraId="3A35335F">
      <w:pPr>
        <w:keepNext w:val="0"/>
        <w:keepLines w:val="0"/>
        <w:pageBreakBefore w:val="0"/>
        <w:widowControl w:val="0"/>
        <w:tabs>
          <w:tab w:val="left" w:pos="3840"/>
          <w:tab w:val="left" w:pos="5300"/>
        </w:tabs>
        <w:kinsoku/>
        <w:wordWrap w:val="0"/>
        <w:overflowPunct/>
        <w:topLinePunct w:val="0"/>
        <w:autoSpaceDE w:val="0"/>
        <w:autoSpaceDN w:val="0"/>
        <w:bidi w:val="0"/>
        <w:adjustRightInd w:val="0"/>
        <w:snapToGrid w:val="0"/>
        <w:spacing w:line="460" w:lineRule="exact"/>
        <w:ind w:firstLine="420" w:firstLineChars="200"/>
        <w:jc w:val="left"/>
        <w:textAlignment w:val="auto"/>
        <w:rPr>
          <w:rFonts w:hint="eastAsia" w:ascii="仿宋" w:hAnsi="仿宋" w:eastAsia="仿宋" w:cs="仿宋"/>
          <w:color w:val="auto"/>
          <w:sz w:val="24"/>
          <w:szCs w:val="24"/>
          <w:highlight w:val="none"/>
          <w:lang w:val="en-US" w:eastAsia="zh-CN"/>
        </w:rPr>
      </w:pPr>
      <w:r>
        <w:rPr>
          <w:rFonts w:hint="eastAsia" w:ascii="宋体" w:hAnsi="宋体" w:cs="宋体"/>
          <w:snapToGrid w:val="0"/>
          <w:kern w:val="0"/>
          <w:highlight w:val="none"/>
        </w:rPr>
        <w:t>4.2凡有意参加投标者，请</w:t>
      </w:r>
      <w:r>
        <w:rPr>
          <w:rFonts w:hint="eastAsia" w:ascii="宋体" w:hAnsi="宋体" w:eastAsia="宋体" w:cs="宋体"/>
          <w:snapToGrid w:val="0"/>
          <w:kern w:val="0"/>
          <w:highlight w:val="none"/>
          <w:lang w:val="en-US" w:eastAsia="zh-CN"/>
        </w:rPr>
        <w:t>在文件发售期限内</w:t>
      </w:r>
      <w:r>
        <w:rPr>
          <w:rFonts w:hint="eastAsia" w:ascii="宋体" w:hAnsi="宋体" w:eastAsia="宋体" w:cs="宋体"/>
          <w:color w:val="auto"/>
          <w:sz w:val="24"/>
          <w:szCs w:val="24"/>
          <w:highlight w:val="none"/>
          <w:lang w:val="en-US" w:eastAsia="zh-CN"/>
        </w:rPr>
        <w:t>（</w:t>
      </w:r>
      <w:r>
        <w:rPr>
          <w:rFonts w:hint="eastAsia" w:ascii="宋体" w:hAnsi="宋体" w:cs="宋体"/>
          <w:snapToGrid w:val="0"/>
          <w:kern w:val="0"/>
          <w:highlight w:val="none"/>
        </w:rPr>
        <w:t>202</w:t>
      </w:r>
      <w:r>
        <w:rPr>
          <w:rFonts w:hint="eastAsia" w:ascii="宋体" w:hAnsi="宋体" w:cs="宋体"/>
          <w:snapToGrid w:val="0"/>
          <w:kern w:val="0"/>
          <w:highlight w:val="none"/>
          <w:lang w:val="en-US" w:eastAsia="zh-CN"/>
        </w:rPr>
        <w:t>5</w:t>
      </w:r>
      <w:r>
        <w:rPr>
          <w:rFonts w:hint="eastAsia" w:ascii="宋体" w:hAnsi="宋体" w:cs="宋体"/>
          <w:snapToGrid w:val="0"/>
          <w:kern w:val="0"/>
          <w:highlight w:val="none"/>
        </w:rPr>
        <w:t>年</w:t>
      </w:r>
      <w:r>
        <w:rPr>
          <w:rFonts w:hint="eastAsia" w:ascii="宋体" w:hAnsi="宋体" w:cs="宋体"/>
          <w:snapToGrid w:val="0"/>
          <w:kern w:val="0"/>
          <w:highlight w:val="none"/>
          <w:lang w:val="en-US" w:eastAsia="zh-CN"/>
        </w:rPr>
        <w:t>07</w:t>
      </w:r>
      <w:r>
        <w:rPr>
          <w:rFonts w:hint="eastAsia" w:ascii="宋体" w:hAnsi="宋体" w:cs="宋体"/>
          <w:snapToGrid w:val="0"/>
          <w:kern w:val="0"/>
          <w:highlight w:val="none"/>
        </w:rPr>
        <w:t>月</w:t>
      </w:r>
      <w:r>
        <w:rPr>
          <w:rFonts w:hint="eastAsia" w:ascii="宋体" w:hAnsi="宋体" w:cs="宋体"/>
          <w:snapToGrid w:val="0"/>
          <w:kern w:val="0"/>
          <w:highlight w:val="none"/>
          <w:lang w:val="en-US" w:eastAsia="zh-CN"/>
        </w:rPr>
        <w:t>18</w:t>
      </w:r>
      <w:r>
        <w:rPr>
          <w:rFonts w:hint="eastAsia" w:ascii="宋体" w:hAnsi="宋体" w:cs="宋体"/>
          <w:snapToGrid w:val="0"/>
          <w:kern w:val="0"/>
          <w:highlight w:val="none"/>
        </w:rPr>
        <w:t>日至202</w:t>
      </w:r>
      <w:r>
        <w:rPr>
          <w:rFonts w:hint="eastAsia" w:ascii="宋体" w:hAnsi="宋体" w:cs="宋体"/>
          <w:snapToGrid w:val="0"/>
          <w:kern w:val="0"/>
          <w:highlight w:val="none"/>
          <w:lang w:val="en-US" w:eastAsia="zh-CN"/>
        </w:rPr>
        <w:t>5</w:t>
      </w:r>
      <w:r>
        <w:rPr>
          <w:rFonts w:hint="eastAsia" w:ascii="宋体" w:hAnsi="宋体" w:cs="宋体"/>
          <w:snapToGrid w:val="0"/>
          <w:kern w:val="0"/>
          <w:highlight w:val="none"/>
        </w:rPr>
        <w:t>年</w:t>
      </w:r>
      <w:r>
        <w:rPr>
          <w:rFonts w:hint="eastAsia" w:ascii="宋体" w:hAnsi="宋体" w:cs="宋体"/>
          <w:snapToGrid w:val="0"/>
          <w:kern w:val="0"/>
          <w:highlight w:val="none"/>
          <w:lang w:val="en-US" w:eastAsia="zh-CN"/>
        </w:rPr>
        <w:t>07</w:t>
      </w:r>
      <w:r>
        <w:rPr>
          <w:rFonts w:hint="eastAsia" w:ascii="宋体" w:hAnsi="宋体" w:cs="宋体"/>
          <w:snapToGrid w:val="0"/>
          <w:kern w:val="0"/>
          <w:highlight w:val="none"/>
        </w:rPr>
        <w:t>月</w:t>
      </w:r>
      <w:r>
        <w:rPr>
          <w:rFonts w:hint="eastAsia" w:ascii="宋体" w:hAnsi="宋体" w:cs="宋体"/>
          <w:snapToGrid w:val="0"/>
          <w:kern w:val="0"/>
          <w:highlight w:val="none"/>
          <w:lang w:val="en-US" w:eastAsia="zh-CN"/>
        </w:rPr>
        <w:t>22</w:t>
      </w:r>
      <w:r>
        <w:rPr>
          <w:rFonts w:hint="eastAsia" w:ascii="宋体" w:hAnsi="宋体" w:cs="宋体"/>
          <w:snapToGrid w:val="0"/>
          <w:kern w:val="0"/>
          <w:highlight w:val="none"/>
        </w:rPr>
        <w:t>日</w:t>
      </w:r>
      <w:r>
        <w:rPr>
          <w:rFonts w:hint="eastAsia" w:ascii="宋体" w:hAnsi="宋体" w:cs="宋体"/>
          <w:snapToGrid w:val="0"/>
          <w:kern w:val="0"/>
          <w:highlight w:val="none"/>
          <w:lang w:val="en-US" w:eastAsia="zh-CN"/>
        </w:rPr>
        <w:t>17:00</w:t>
      </w:r>
      <w:r>
        <w:rPr>
          <w:rFonts w:hint="eastAsia" w:ascii="宋体" w:hAnsi="宋体" w:cs="宋体"/>
          <w:snapToGrid w:val="0"/>
          <w:kern w:val="0"/>
          <w:highlight w:val="none"/>
          <w:lang w:eastAsia="zh-CN"/>
        </w:rPr>
        <w:t>）</w:t>
      </w:r>
      <w:r>
        <w:rPr>
          <w:rFonts w:hint="eastAsia" w:ascii="宋体" w:hAnsi="宋体" w:eastAsia="宋体" w:cs="宋体"/>
          <w:color w:val="auto"/>
          <w:sz w:val="24"/>
          <w:szCs w:val="24"/>
          <w:highlight w:val="none"/>
          <w:lang w:val="en-US" w:eastAsia="zh-CN"/>
        </w:rPr>
        <w:t>，</w:t>
      </w:r>
      <w:r>
        <w:rPr>
          <w:rFonts w:hint="eastAsia" w:ascii="宋体" w:hAnsi="宋体" w:eastAsia="宋体" w:cs="宋体"/>
          <w:snapToGrid w:val="0"/>
          <w:kern w:val="0"/>
          <w:highlight w:val="none"/>
          <w:lang w:val="en-US" w:eastAsia="zh-CN"/>
        </w:rPr>
        <w:t>比选申请人须将附件1《比选文件发售登记表》（加盖</w:t>
      </w:r>
      <w:r>
        <w:rPr>
          <w:rFonts w:hint="eastAsia" w:ascii="宋体" w:hAnsi="宋体" w:cs="宋体"/>
          <w:snapToGrid w:val="0"/>
          <w:kern w:val="0"/>
          <w:highlight w:val="none"/>
          <w:lang w:val="en-US" w:eastAsia="zh-CN"/>
        </w:rPr>
        <w:t>比选申请人</w:t>
      </w:r>
      <w:r>
        <w:rPr>
          <w:rFonts w:hint="eastAsia" w:ascii="宋体" w:hAnsi="宋体" w:eastAsia="宋体" w:cs="宋体"/>
          <w:snapToGrid w:val="0"/>
          <w:kern w:val="0"/>
          <w:highlight w:val="none"/>
          <w:lang w:val="en-US" w:eastAsia="zh-CN"/>
        </w:rPr>
        <w:t>公章）扫描后发送至</w:t>
      </w:r>
      <w:r>
        <w:rPr>
          <w:rFonts w:hint="eastAsia" w:ascii="宋体" w:hAnsi="宋体" w:cs="宋体"/>
          <w:snapToGrid w:val="0"/>
          <w:kern w:val="0"/>
          <w:highlight w:val="none"/>
          <w:lang w:val="en-US" w:eastAsia="zh-CN"/>
        </w:rPr>
        <w:t>835519042</w:t>
      </w:r>
      <w:r>
        <w:rPr>
          <w:rFonts w:hint="eastAsia" w:ascii="宋体" w:hAnsi="宋体" w:eastAsia="宋体" w:cs="宋体"/>
          <w:snapToGrid w:val="0"/>
          <w:kern w:val="0"/>
          <w:highlight w:val="none"/>
          <w:lang w:val="en-US" w:eastAsia="zh-CN"/>
        </w:rPr>
        <w:t>@qq.com或到代理机构递交纸质件，按要求发送邮箱或递交纸质件的比选申请人方才报名成功。（邮件主题为：项目名称+</w:t>
      </w:r>
      <w:r>
        <w:rPr>
          <w:rFonts w:hint="eastAsia" w:ascii="宋体" w:hAnsi="宋体" w:cs="宋体"/>
          <w:snapToGrid w:val="0"/>
          <w:kern w:val="0"/>
          <w:highlight w:val="none"/>
          <w:lang w:val="en-US" w:eastAsia="zh-CN"/>
        </w:rPr>
        <w:t>比选申请人</w:t>
      </w:r>
      <w:r>
        <w:rPr>
          <w:rFonts w:hint="eastAsia" w:ascii="宋体" w:hAnsi="宋体" w:eastAsia="宋体" w:cs="宋体"/>
          <w:snapToGrid w:val="0"/>
          <w:kern w:val="0"/>
          <w:highlight w:val="none"/>
          <w:lang w:val="en-US" w:eastAsia="zh-CN"/>
        </w:rPr>
        <w:t>名称）</w:t>
      </w:r>
    </w:p>
    <w:p w14:paraId="79AF0244">
      <w:pPr>
        <w:tabs>
          <w:tab w:val="left" w:pos="3840"/>
          <w:tab w:val="left" w:pos="5300"/>
        </w:tabs>
        <w:autoSpaceDE w:val="0"/>
        <w:autoSpaceDN w:val="0"/>
        <w:adjustRightInd w:val="0"/>
        <w:snapToGrid w:val="0"/>
        <w:spacing w:line="46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4.3比选文件每套售价￥500元，售后不退，由比选申请人在报名时一并缴纳。未按规定报名的投标无效。</w:t>
      </w:r>
    </w:p>
    <w:p w14:paraId="49F6EBE2">
      <w:pPr>
        <w:pStyle w:val="4"/>
        <w:spacing w:line="360" w:lineRule="auto"/>
        <w:ind w:firstLine="420" w:firstLineChars="200"/>
        <w:rPr>
          <w:rFonts w:hint="eastAsia" w:ascii="宋体" w:hAnsi="宋体" w:eastAsia="宋体" w:cs="宋体"/>
          <w:b w:val="0"/>
          <w:snapToGrid w:val="0"/>
          <w:sz w:val="21"/>
          <w:szCs w:val="21"/>
          <w:highlight w:val="none"/>
        </w:rPr>
      </w:pPr>
      <w:r>
        <w:rPr>
          <w:rFonts w:hint="eastAsia" w:ascii="宋体" w:hAnsi="宋体" w:eastAsia="宋体" w:cs="宋体"/>
          <w:b w:val="0"/>
          <w:snapToGrid w:val="0"/>
          <w:sz w:val="21"/>
          <w:szCs w:val="21"/>
          <w:highlight w:val="none"/>
        </w:rPr>
        <w:t>4.4 比选人发出的答疑及补遗书，比选人在开标前以电话通知并传真或电子邮件的方式将关于本工程答疑、补遗等相关资料</w:t>
      </w:r>
      <w:r>
        <w:rPr>
          <w:rFonts w:hint="eastAsia" w:ascii="宋体" w:hAnsi="宋体" w:eastAsia="宋体" w:cs="宋体"/>
          <w:b w:val="0"/>
          <w:snapToGrid w:val="0"/>
          <w:sz w:val="21"/>
          <w:szCs w:val="21"/>
          <w:highlight w:val="none"/>
          <w:lang w:val="en-US" w:eastAsia="zh-CN"/>
        </w:rPr>
        <w:t>发送</w:t>
      </w:r>
      <w:r>
        <w:rPr>
          <w:rFonts w:hint="eastAsia" w:ascii="宋体" w:hAnsi="宋体" w:eastAsia="宋体" w:cs="宋体"/>
          <w:b w:val="0"/>
          <w:snapToGrid w:val="0"/>
          <w:sz w:val="21"/>
          <w:szCs w:val="21"/>
          <w:highlight w:val="none"/>
        </w:rPr>
        <w:t>给比选申请人，若比选申请人未及时接收任何关于本工程的相关文件资料，则比选人视为比选申请人已了解，并不对此负任何责任。</w:t>
      </w:r>
    </w:p>
    <w:p w14:paraId="20C40D5A">
      <w:pPr>
        <w:pStyle w:val="4"/>
        <w:spacing w:line="360" w:lineRule="auto"/>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5.比选文件的递交</w:t>
      </w:r>
      <w:bookmarkEnd w:id="21"/>
      <w:bookmarkEnd w:id="22"/>
      <w:bookmarkEnd w:id="23"/>
      <w:bookmarkEnd w:id="24"/>
      <w:bookmarkEnd w:id="25"/>
    </w:p>
    <w:p w14:paraId="1C40FDC7">
      <w:pPr>
        <w:pStyle w:val="22"/>
        <w:snapToGrid w:val="0"/>
        <w:spacing w:line="360" w:lineRule="auto"/>
        <w:ind w:firstLine="457" w:firstLineChars="218"/>
        <w:rPr>
          <w:rFonts w:hint="eastAsia" w:hAnsi="宋体" w:cs="宋体"/>
          <w:snapToGrid w:val="0"/>
          <w:sz w:val="21"/>
          <w:szCs w:val="21"/>
          <w:highlight w:val="none"/>
        </w:rPr>
      </w:pPr>
      <w:bookmarkStart w:id="26" w:name="_Toc266110011"/>
      <w:r>
        <w:rPr>
          <w:rFonts w:hint="eastAsia" w:hAnsi="宋体" w:cs="宋体"/>
          <w:snapToGrid w:val="0"/>
          <w:sz w:val="21"/>
          <w:szCs w:val="21"/>
          <w:highlight w:val="none"/>
        </w:rPr>
        <w:t>5.1 纸质比选申请文件递交时间：202</w:t>
      </w:r>
      <w:r>
        <w:rPr>
          <w:rFonts w:hint="eastAsia" w:hAnsi="宋体" w:cs="宋体"/>
          <w:snapToGrid w:val="0"/>
          <w:sz w:val="21"/>
          <w:szCs w:val="21"/>
          <w:highlight w:val="none"/>
          <w:lang w:val="en-US" w:eastAsia="zh-CN"/>
        </w:rPr>
        <w:t>5</w:t>
      </w:r>
      <w:r>
        <w:rPr>
          <w:rFonts w:hint="eastAsia" w:hAnsi="宋体" w:cs="宋体"/>
          <w:snapToGrid w:val="0"/>
          <w:sz w:val="21"/>
          <w:szCs w:val="21"/>
          <w:highlight w:val="none"/>
        </w:rPr>
        <w:t>年</w:t>
      </w:r>
      <w:r>
        <w:rPr>
          <w:rFonts w:hint="eastAsia" w:hAnsi="宋体" w:cs="宋体"/>
          <w:snapToGrid w:val="0"/>
          <w:sz w:val="21"/>
          <w:szCs w:val="21"/>
          <w:highlight w:val="none"/>
          <w:lang w:val="en-US" w:eastAsia="zh-CN"/>
        </w:rPr>
        <w:t>07</w:t>
      </w:r>
      <w:r>
        <w:rPr>
          <w:rFonts w:hint="eastAsia" w:hAnsi="宋体" w:cs="宋体"/>
          <w:snapToGrid w:val="0"/>
          <w:sz w:val="21"/>
          <w:szCs w:val="21"/>
          <w:highlight w:val="none"/>
        </w:rPr>
        <w:t>月</w:t>
      </w:r>
      <w:r>
        <w:rPr>
          <w:rFonts w:hint="eastAsia" w:hAnsi="宋体" w:cs="宋体"/>
          <w:snapToGrid w:val="0"/>
          <w:sz w:val="21"/>
          <w:szCs w:val="21"/>
          <w:highlight w:val="none"/>
          <w:lang w:val="en-US" w:eastAsia="zh-CN"/>
        </w:rPr>
        <w:t>24</w:t>
      </w:r>
      <w:r>
        <w:rPr>
          <w:rFonts w:hint="eastAsia" w:hAnsi="宋体" w:cs="宋体"/>
          <w:snapToGrid w:val="0"/>
          <w:sz w:val="21"/>
          <w:szCs w:val="21"/>
          <w:highlight w:val="none"/>
        </w:rPr>
        <w:t>日9时30分至1</w:t>
      </w:r>
      <w:r>
        <w:rPr>
          <w:rFonts w:hint="eastAsia" w:hAnsi="宋体" w:cs="宋体"/>
          <w:snapToGrid w:val="0"/>
          <w:sz w:val="21"/>
          <w:szCs w:val="21"/>
          <w:highlight w:val="none"/>
          <w:lang w:val="en-US" w:eastAsia="zh-CN"/>
        </w:rPr>
        <w:t>4</w:t>
      </w:r>
      <w:r>
        <w:rPr>
          <w:rFonts w:hint="eastAsia" w:hAnsi="宋体" w:cs="宋体"/>
          <w:snapToGrid w:val="0"/>
          <w:sz w:val="21"/>
          <w:szCs w:val="21"/>
          <w:highlight w:val="none"/>
        </w:rPr>
        <w:t>时</w:t>
      </w:r>
      <w:r>
        <w:rPr>
          <w:rFonts w:hint="eastAsia" w:hAnsi="宋体" w:cs="宋体"/>
          <w:snapToGrid w:val="0"/>
          <w:sz w:val="21"/>
          <w:szCs w:val="21"/>
          <w:highlight w:val="none"/>
          <w:lang w:val="en-US" w:eastAsia="zh-CN"/>
        </w:rPr>
        <w:t>3</w:t>
      </w:r>
      <w:r>
        <w:rPr>
          <w:rFonts w:hint="eastAsia" w:hAnsi="宋体" w:cs="宋体"/>
          <w:snapToGrid w:val="0"/>
          <w:sz w:val="21"/>
          <w:szCs w:val="21"/>
          <w:highlight w:val="none"/>
        </w:rPr>
        <w:t>0分。比选申请文件的递交截止和比选时间：202</w:t>
      </w:r>
      <w:r>
        <w:rPr>
          <w:rFonts w:hint="eastAsia" w:hAnsi="宋体" w:cs="宋体"/>
          <w:snapToGrid w:val="0"/>
          <w:sz w:val="21"/>
          <w:szCs w:val="21"/>
          <w:highlight w:val="none"/>
          <w:lang w:val="en-US" w:eastAsia="zh-CN"/>
        </w:rPr>
        <w:t>5</w:t>
      </w:r>
      <w:r>
        <w:rPr>
          <w:rFonts w:hint="eastAsia" w:hAnsi="宋体" w:cs="宋体"/>
          <w:snapToGrid w:val="0"/>
          <w:sz w:val="21"/>
          <w:szCs w:val="21"/>
          <w:highlight w:val="none"/>
        </w:rPr>
        <w:t>年</w:t>
      </w:r>
      <w:r>
        <w:rPr>
          <w:rFonts w:hint="eastAsia" w:hAnsi="宋体" w:cs="宋体"/>
          <w:snapToGrid w:val="0"/>
          <w:sz w:val="21"/>
          <w:szCs w:val="21"/>
          <w:highlight w:val="none"/>
          <w:lang w:val="en-US" w:eastAsia="zh-CN"/>
        </w:rPr>
        <w:t>07</w:t>
      </w:r>
      <w:r>
        <w:rPr>
          <w:rFonts w:hint="eastAsia" w:hAnsi="宋体" w:cs="宋体"/>
          <w:snapToGrid w:val="0"/>
          <w:sz w:val="21"/>
          <w:szCs w:val="21"/>
          <w:highlight w:val="none"/>
        </w:rPr>
        <w:t>月</w:t>
      </w:r>
      <w:r>
        <w:rPr>
          <w:rFonts w:hint="eastAsia" w:hAnsi="宋体" w:cs="宋体"/>
          <w:snapToGrid w:val="0"/>
          <w:sz w:val="21"/>
          <w:szCs w:val="21"/>
          <w:highlight w:val="none"/>
          <w:lang w:val="en-US" w:eastAsia="zh-CN"/>
        </w:rPr>
        <w:t>24</w:t>
      </w:r>
      <w:r>
        <w:rPr>
          <w:rFonts w:hint="eastAsia" w:hAnsi="宋体" w:cs="宋体"/>
          <w:snapToGrid w:val="0"/>
          <w:sz w:val="21"/>
          <w:szCs w:val="21"/>
          <w:highlight w:val="none"/>
        </w:rPr>
        <w:t>日</w:t>
      </w:r>
      <w:r>
        <w:rPr>
          <w:rFonts w:hint="eastAsia" w:hAnsi="宋体" w:cs="宋体"/>
          <w:snapToGrid w:val="0"/>
          <w:sz w:val="21"/>
          <w:szCs w:val="21"/>
          <w:highlight w:val="none"/>
          <w:lang w:val="en-US" w:eastAsia="zh-CN"/>
        </w:rPr>
        <w:t>14</w:t>
      </w:r>
      <w:r>
        <w:rPr>
          <w:rFonts w:hint="eastAsia" w:hAnsi="宋体" w:cs="宋体"/>
          <w:snapToGrid w:val="0"/>
          <w:sz w:val="21"/>
          <w:szCs w:val="21"/>
          <w:highlight w:val="none"/>
        </w:rPr>
        <w:t>时</w:t>
      </w:r>
      <w:r>
        <w:rPr>
          <w:rFonts w:hint="eastAsia" w:hAnsi="宋体" w:cs="宋体"/>
          <w:snapToGrid w:val="0"/>
          <w:sz w:val="21"/>
          <w:szCs w:val="21"/>
          <w:highlight w:val="none"/>
          <w:lang w:val="en-US" w:eastAsia="zh-CN"/>
        </w:rPr>
        <w:t>3</w:t>
      </w:r>
      <w:r>
        <w:rPr>
          <w:rFonts w:hint="eastAsia" w:hAnsi="宋体" w:cs="宋体"/>
          <w:snapToGrid w:val="0"/>
          <w:sz w:val="21"/>
          <w:szCs w:val="21"/>
          <w:highlight w:val="none"/>
        </w:rPr>
        <w:t>0分（北京时间），开标地点详见比选文件。</w:t>
      </w:r>
    </w:p>
    <w:p w14:paraId="04548B18">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5.2.线上报价</w:t>
      </w:r>
    </w:p>
    <w:p w14:paraId="3A68DC5B">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5.2.1线上报价时间：截止时间：202</w:t>
      </w:r>
      <w:r>
        <w:rPr>
          <w:rFonts w:hint="eastAsia" w:hAnsi="宋体" w:cs="宋体"/>
          <w:snapToGrid w:val="0"/>
          <w:sz w:val="21"/>
          <w:szCs w:val="21"/>
          <w:highlight w:val="none"/>
          <w:lang w:val="en-US" w:eastAsia="zh-CN"/>
        </w:rPr>
        <w:t>5</w:t>
      </w:r>
      <w:r>
        <w:rPr>
          <w:rFonts w:hint="eastAsia" w:hAnsi="宋体" w:cs="宋体"/>
          <w:snapToGrid w:val="0"/>
          <w:sz w:val="21"/>
          <w:szCs w:val="21"/>
          <w:highlight w:val="none"/>
        </w:rPr>
        <w:t>年</w:t>
      </w:r>
      <w:r>
        <w:rPr>
          <w:rFonts w:hint="eastAsia" w:hAnsi="宋体" w:cs="宋体"/>
          <w:snapToGrid w:val="0"/>
          <w:sz w:val="21"/>
          <w:szCs w:val="21"/>
          <w:highlight w:val="none"/>
          <w:lang w:val="en-US" w:eastAsia="zh-CN"/>
        </w:rPr>
        <w:t>07</w:t>
      </w:r>
      <w:r>
        <w:rPr>
          <w:rFonts w:hint="eastAsia" w:hAnsi="宋体" w:cs="宋体"/>
          <w:snapToGrid w:val="0"/>
          <w:sz w:val="21"/>
          <w:szCs w:val="21"/>
          <w:highlight w:val="none"/>
        </w:rPr>
        <w:t>月</w:t>
      </w:r>
      <w:r>
        <w:rPr>
          <w:rFonts w:hint="eastAsia" w:hAnsi="宋体" w:cs="宋体"/>
          <w:snapToGrid w:val="0"/>
          <w:sz w:val="21"/>
          <w:szCs w:val="21"/>
          <w:highlight w:val="none"/>
          <w:lang w:val="en-US" w:eastAsia="zh-CN"/>
        </w:rPr>
        <w:t>24</w:t>
      </w:r>
      <w:r>
        <w:rPr>
          <w:rFonts w:hint="eastAsia" w:hAnsi="宋体" w:cs="宋体"/>
          <w:snapToGrid w:val="0"/>
          <w:sz w:val="21"/>
          <w:szCs w:val="21"/>
          <w:highlight w:val="none"/>
        </w:rPr>
        <w:t>日</w:t>
      </w:r>
      <w:r>
        <w:rPr>
          <w:rFonts w:hint="eastAsia" w:hAnsi="宋体" w:cs="宋体"/>
          <w:snapToGrid w:val="0"/>
          <w:sz w:val="21"/>
          <w:szCs w:val="21"/>
          <w:highlight w:val="none"/>
          <w:lang w:val="en-US" w:eastAsia="zh-CN"/>
        </w:rPr>
        <w:t>14</w:t>
      </w:r>
      <w:r>
        <w:rPr>
          <w:rFonts w:hint="eastAsia" w:hAnsi="宋体" w:cs="宋体"/>
          <w:snapToGrid w:val="0"/>
          <w:sz w:val="21"/>
          <w:szCs w:val="21"/>
          <w:highlight w:val="none"/>
        </w:rPr>
        <w:t>:</w:t>
      </w:r>
      <w:r>
        <w:rPr>
          <w:rFonts w:hint="eastAsia" w:hAnsi="宋体" w:cs="宋体"/>
          <w:snapToGrid w:val="0"/>
          <w:sz w:val="21"/>
          <w:szCs w:val="21"/>
          <w:highlight w:val="none"/>
          <w:lang w:val="en-US" w:eastAsia="zh-CN"/>
        </w:rPr>
        <w:t>3</w:t>
      </w:r>
      <w:r>
        <w:rPr>
          <w:rFonts w:hint="eastAsia" w:hAnsi="宋体" w:cs="宋体"/>
          <w:snapToGrid w:val="0"/>
          <w:sz w:val="21"/>
          <w:szCs w:val="21"/>
          <w:highlight w:val="none"/>
        </w:rPr>
        <w:t>0:00（北京时间）</w:t>
      </w:r>
    </w:p>
    <w:p w14:paraId="63DA5138">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5.2.2线上报价要求：按本项目规定的时间在行采家https://www.gec123.com进行网上报价及上传比选申请文件，未在规定时间内进行网上报价及上传响应文件的将失去竞标资格。</w:t>
      </w:r>
    </w:p>
    <w:p w14:paraId="496ABA18">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5.2.3供应商在行采家https://www.gec123.com的网上需上传盖章签字后的完整比选申请文件（PDF格式）一份。</w:t>
      </w:r>
    </w:p>
    <w:p w14:paraId="1E720203">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5.3 纸质比选申请文件逾期送达的或者未送达指定地点的比选文件，招标代理机构不予受理。</w:t>
      </w:r>
    </w:p>
    <w:p w14:paraId="16C3F805">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 xml:space="preserve">5.4 须满足以下三种要件，其比选申请文件才被接受，否则将失去竞标资格： </w:t>
      </w:r>
    </w:p>
    <w:p w14:paraId="770EA3DE">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 xml:space="preserve">5.4.1 按时到比选文件获取地点报名并缴纳了比选文件费； </w:t>
      </w:r>
    </w:p>
    <w:p w14:paraId="07B16381">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5.4.2 按时缴纳比选保证金；</w:t>
      </w:r>
    </w:p>
    <w:p w14:paraId="3B42F60C">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5.4.3按比选文件的要求，按时上传比选申请文件和递交纸质比选申请文件。</w:t>
      </w:r>
    </w:p>
    <w:p w14:paraId="12E60E51">
      <w:pPr>
        <w:pStyle w:val="4"/>
        <w:spacing w:line="420" w:lineRule="exact"/>
        <w:rPr>
          <w:rFonts w:hint="eastAsia" w:ascii="宋体" w:hAnsi="宋体" w:eastAsia="宋体" w:cs="宋体"/>
          <w:snapToGrid w:val="0"/>
          <w:sz w:val="21"/>
          <w:szCs w:val="21"/>
          <w:highlight w:val="none"/>
        </w:rPr>
      </w:pPr>
      <w:bookmarkStart w:id="27" w:name="_Toc492994326"/>
      <w:bookmarkStart w:id="28" w:name="_Toc22375570"/>
      <w:bookmarkStart w:id="29" w:name="_Toc492644382"/>
      <w:bookmarkStart w:id="30" w:name="_Toc22990012"/>
      <w:r>
        <w:rPr>
          <w:rFonts w:hint="eastAsia" w:ascii="宋体" w:hAnsi="宋体" w:eastAsia="宋体" w:cs="宋体"/>
          <w:snapToGrid w:val="0"/>
          <w:sz w:val="21"/>
          <w:szCs w:val="21"/>
          <w:highlight w:val="none"/>
        </w:rPr>
        <w:t>6.</w:t>
      </w:r>
      <w:bookmarkEnd w:id="27"/>
      <w:bookmarkEnd w:id="28"/>
      <w:bookmarkEnd w:id="29"/>
      <w:bookmarkEnd w:id="30"/>
      <w:r>
        <w:rPr>
          <w:rFonts w:hint="eastAsia" w:ascii="宋体" w:hAnsi="宋体" w:eastAsia="宋体" w:cs="宋体"/>
          <w:snapToGrid w:val="0"/>
          <w:sz w:val="21"/>
          <w:szCs w:val="21"/>
          <w:highlight w:val="none"/>
        </w:rPr>
        <w:t>发布公告的媒介</w:t>
      </w:r>
    </w:p>
    <w:p w14:paraId="1EBFF8BE">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本次竞争性比选公告同时在</w:t>
      </w:r>
      <w:r>
        <w:rPr>
          <w:rFonts w:hint="eastAsia" w:hAnsi="宋体" w:cs="宋体"/>
          <w:snapToGrid w:val="0"/>
          <w:sz w:val="21"/>
          <w:szCs w:val="21"/>
          <w:highlight w:val="none"/>
          <w:u w:val="single"/>
        </w:rPr>
        <w:t>“行采家https://www.gec123.com”上发布</w:t>
      </w:r>
      <w:r>
        <w:rPr>
          <w:rFonts w:hint="eastAsia" w:hAnsi="宋体" w:cs="宋体"/>
          <w:snapToGrid w:val="0"/>
          <w:sz w:val="21"/>
          <w:szCs w:val="21"/>
          <w:highlight w:val="none"/>
        </w:rPr>
        <w:t>。</w:t>
      </w:r>
    </w:p>
    <w:bookmarkEnd w:id="26"/>
    <w:p w14:paraId="45B65728">
      <w:pPr>
        <w:pStyle w:val="4"/>
        <w:spacing w:line="480" w:lineRule="auto"/>
        <w:rPr>
          <w:rFonts w:hint="eastAsia" w:ascii="宋体" w:hAnsi="宋体" w:eastAsia="宋体" w:cs="宋体"/>
          <w:snapToGrid w:val="0"/>
          <w:sz w:val="21"/>
          <w:szCs w:val="21"/>
          <w:highlight w:val="none"/>
        </w:rPr>
      </w:pPr>
      <w:bookmarkStart w:id="31" w:name="_Toc22990013"/>
      <w:bookmarkStart w:id="32" w:name="_Toc22375571"/>
      <w:bookmarkStart w:id="33" w:name="_Toc492994327"/>
      <w:bookmarkStart w:id="34" w:name="_Toc492644383"/>
      <w:bookmarkStart w:id="35" w:name="_Toc266110012"/>
      <w:r>
        <w:rPr>
          <w:rFonts w:hint="eastAsia" w:ascii="宋体" w:hAnsi="宋体" w:eastAsia="宋体" w:cs="宋体"/>
          <w:snapToGrid w:val="0"/>
          <w:sz w:val="21"/>
          <w:szCs w:val="21"/>
          <w:highlight w:val="none"/>
        </w:rPr>
        <w:t>7.联系方式</w:t>
      </w:r>
      <w:bookmarkEnd w:id="31"/>
      <w:bookmarkEnd w:id="32"/>
      <w:bookmarkEnd w:id="33"/>
      <w:bookmarkEnd w:id="34"/>
      <w:bookmarkEnd w:id="35"/>
    </w:p>
    <w:p w14:paraId="7F3A73F7">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 xml:space="preserve">比选人：重庆市九龙坡区白市驿镇人民政府    </w:t>
      </w:r>
    </w:p>
    <w:p w14:paraId="007FD427">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地  址：重庆市九龙坡区白市驿镇人民政府</w:t>
      </w:r>
    </w:p>
    <w:p w14:paraId="42FA94BD">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联系人：</w:t>
      </w:r>
      <w:r>
        <w:rPr>
          <w:rFonts w:hint="eastAsia" w:hAnsi="宋体" w:cs="宋体"/>
          <w:snapToGrid w:val="0"/>
          <w:sz w:val="21"/>
          <w:szCs w:val="21"/>
          <w:highlight w:val="none"/>
          <w:lang w:val="en-US" w:eastAsia="zh-CN"/>
        </w:rPr>
        <w:t>刘</w:t>
      </w:r>
      <w:r>
        <w:rPr>
          <w:rFonts w:hint="eastAsia" w:hAnsi="宋体" w:cs="宋体"/>
          <w:snapToGrid w:val="0"/>
          <w:sz w:val="21"/>
          <w:szCs w:val="21"/>
          <w:highlight w:val="none"/>
        </w:rPr>
        <w:t>老师</w:t>
      </w:r>
    </w:p>
    <w:p w14:paraId="186B5275">
      <w:pPr>
        <w:pStyle w:val="22"/>
        <w:snapToGrid w:val="0"/>
        <w:spacing w:line="360" w:lineRule="auto"/>
        <w:ind w:firstLine="457" w:firstLineChars="218"/>
        <w:rPr>
          <w:rFonts w:hint="default" w:hAnsi="宋体" w:eastAsia="宋体" w:cs="宋体"/>
          <w:snapToGrid w:val="0"/>
          <w:sz w:val="21"/>
          <w:szCs w:val="21"/>
          <w:highlight w:val="none"/>
          <w:lang w:val="en-US" w:eastAsia="zh-CN"/>
        </w:rPr>
      </w:pPr>
      <w:r>
        <w:rPr>
          <w:rFonts w:hint="eastAsia" w:hAnsi="宋体" w:cs="宋体"/>
          <w:snapToGrid w:val="0"/>
          <w:sz w:val="21"/>
          <w:szCs w:val="21"/>
          <w:highlight w:val="none"/>
        </w:rPr>
        <w:t>电  话：</w:t>
      </w:r>
      <w:r>
        <w:rPr>
          <w:rFonts w:hint="eastAsia" w:hAnsi="宋体" w:cs="宋体"/>
          <w:snapToGrid w:val="0"/>
          <w:sz w:val="21"/>
          <w:szCs w:val="21"/>
          <w:highlight w:val="none"/>
          <w:lang w:eastAsia="zh-CN"/>
        </w:rPr>
        <w:t>023</w:t>
      </w:r>
      <w:r>
        <w:rPr>
          <w:rFonts w:hint="eastAsia" w:hAnsi="宋体" w:cs="宋体"/>
          <w:snapToGrid w:val="0"/>
          <w:sz w:val="21"/>
          <w:szCs w:val="21"/>
          <w:highlight w:val="none"/>
          <w:lang w:val="en-US" w:eastAsia="zh-CN"/>
        </w:rPr>
        <w:t>-65702388</w:t>
      </w:r>
    </w:p>
    <w:p w14:paraId="68470BD2">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比选代理机构：</w:t>
      </w:r>
      <w:r>
        <w:rPr>
          <w:rFonts w:hint="eastAsia" w:hAnsi="宋体" w:cs="宋体"/>
          <w:snapToGrid w:val="0"/>
          <w:sz w:val="21"/>
          <w:szCs w:val="21"/>
          <w:highlight w:val="none"/>
          <w:lang w:eastAsia="zh-CN"/>
        </w:rPr>
        <w:t>中金招标有限责任公司</w:t>
      </w:r>
      <w:r>
        <w:rPr>
          <w:rFonts w:hint="eastAsia" w:hAnsi="宋体" w:cs="宋体"/>
          <w:snapToGrid w:val="0"/>
          <w:sz w:val="21"/>
          <w:szCs w:val="21"/>
          <w:highlight w:val="none"/>
        </w:rPr>
        <w:t xml:space="preserve"> </w:t>
      </w:r>
    </w:p>
    <w:p w14:paraId="089D75C6">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地址：重庆市渝北区金州大道湖彩路88号约克郡汀兰Loft3栋5-11</w:t>
      </w:r>
    </w:p>
    <w:p w14:paraId="1BBBD16C">
      <w:pPr>
        <w:pStyle w:val="22"/>
        <w:snapToGrid w:val="0"/>
        <w:spacing w:line="360" w:lineRule="auto"/>
        <w:ind w:firstLine="457" w:firstLineChars="218"/>
        <w:rPr>
          <w:rFonts w:hint="default" w:hAnsi="宋体" w:eastAsia="宋体" w:cs="宋体"/>
          <w:snapToGrid w:val="0"/>
          <w:sz w:val="21"/>
          <w:szCs w:val="21"/>
          <w:highlight w:val="none"/>
          <w:lang w:val="en-US" w:eastAsia="zh-CN"/>
        </w:rPr>
      </w:pPr>
      <w:r>
        <w:rPr>
          <w:rFonts w:hint="eastAsia" w:hAnsi="宋体" w:cs="宋体"/>
          <w:snapToGrid w:val="0"/>
          <w:sz w:val="21"/>
          <w:szCs w:val="21"/>
          <w:highlight w:val="none"/>
        </w:rPr>
        <w:t>联系人：</w:t>
      </w:r>
      <w:r>
        <w:rPr>
          <w:rFonts w:hint="eastAsia" w:hAnsi="宋体" w:cs="宋体"/>
          <w:snapToGrid w:val="0"/>
          <w:sz w:val="21"/>
          <w:szCs w:val="21"/>
          <w:highlight w:val="none"/>
          <w:lang w:val="en-US" w:eastAsia="zh-CN"/>
        </w:rPr>
        <w:t>周老师</w:t>
      </w:r>
    </w:p>
    <w:p w14:paraId="0F5DE152">
      <w:pPr>
        <w:pStyle w:val="22"/>
        <w:snapToGrid w:val="0"/>
        <w:spacing w:line="360" w:lineRule="auto"/>
        <w:ind w:firstLine="457" w:firstLineChars="218"/>
        <w:rPr>
          <w:rFonts w:hint="default" w:hAnsi="宋体" w:eastAsia="宋体" w:cs="宋体"/>
          <w:snapToGrid w:val="0"/>
          <w:sz w:val="21"/>
          <w:szCs w:val="21"/>
          <w:highlight w:val="none"/>
          <w:lang w:val="en-US" w:eastAsia="zh-CN"/>
        </w:rPr>
      </w:pPr>
      <w:r>
        <w:rPr>
          <w:rFonts w:hint="eastAsia" w:hAnsi="宋体" w:cs="宋体"/>
          <w:snapToGrid w:val="0"/>
          <w:sz w:val="21"/>
          <w:szCs w:val="21"/>
          <w:highlight w:val="none"/>
        </w:rPr>
        <w:t>电话：</w:t>
      </w:r>
      <w:r>
        <w:rPr>
          <w:rFonts w:hint="eastAsia" w:hAnsi="宋体" w:cs="宋体"/>
          <w:snapToGrid w:val="0"/>
          <w:sz w:val="21"/>
          <w:szCs w:val="21"/>
          <w:highlight w:val="none"/>
          <w:lang w:val="en-US" w:eastAsia="zh-CN"/>
        </w:rPr>
        <w:t>023-67081033、18523344630</w:t>
      </w:r>
    </w:p>
    <w:p w14:paraId="1F99CC66">
      <w:pPr>
        <w:jc w:val="right"/>
        <w:rPr>
          <w:rFonts w:hint="eastAsia" w:ascii="宋体" w:hAnsi="宋体" w:cs="宋体"/>
          <w:snapToGrid w:val="0"/>
          <w:kern w:val="0"/>
          <w:highlight w:val="none"/>
        </w:rPr>
      </w:pPr>
      <w:r>
        <w:rPr>
          <w:rFonts w:hint="eastAsia" w:ascii="宋体" w:hAnsi="宋体" w:cs="宋体"/>
          <w:highlight w:val="none"/>
        </w:rPr>
        <w:t xml:space="preserve">                                                                                           </w:t>
      </w:r>
    </w:p>
    <w:p w14:paraId="6A433513">
      <w:pPr>
        <w:pStyle w:val="2"/>
        <w:numPr>
          <w:ilvl w:val="0"/>
          <w:numId w:val="0"/>
        </w:numPr>
        <w:rPr>
          <w:rFonts w:hint="eastAsia" w:ascii="宋体" w:hAnsi="宋体" w:eastAsia="宋体" w:cs="宋体"/>
          <w:b/>
          <w:kern w:val="0"/>
          <w:highlight w:val="none"/>
        </w:rPr>
      </w:pPr>
      <w:r>
        <w:rPr>
          <w:rFonts w:hint="eastAsia" w:ascii="宋体" w:hAnsi="宋体" w:eastAsia="宋体" w:cs="宋体"/>
          <w:b/>
          <w:kern w:val="0"/>
          <w:highlight w:val="none"/>
        </w:rPr>
        <w:br w:type="page"/>
      </w:r>
      <w:bookmarkStart w:id="36" w:name="_Toc2368"/>
      <w:bookmarkStart w:id="37" w:name="_Toc13908"/>
      <w:bookmarkStart w:id="38" w:name="_Toc13984"/>
      <w:bookmarkStart w:id="39" w:name="_Toc22990014"/>
      <w:bookmarkStart w:id="40" w:name="_Toc22375572"/>
      <w:bookmarkStart w:id="41" w:name="_Toc2533"/>
      <w:r>
        <w:rPr>
          <w:rFonts w:hint="eastAsia" w:ascii="宋体" w:hAnsi="宋体" w:eastAsia="宋体" w:cs="宋体"/>
          <w:b/>
          <w:kern w:val="0"/>
          <w:highlight w:val="none"/>
        </w:rPr>
        <w:t>第二章  比选申请人须知</w:t>
      </w:r>
      <w:bookmarkEnd w:id="36"/>
      <w:bookmarkEnd w:id="37"/>
      <w:bookmarkEnd w:id="38"/>
      <w:bookmarkEnd w:id="39"/>
      <w:bookmarkEnd w:id="40"/>
      <w:bookmarkEnd w:id="41"/>
    </w:p>
    <w:p w14:paraId="2F5819CE">
      <w:pPr>
        <w:pStyle w:val="3"/>
        <w:rPr>
          <w:rFonts w:hint="eastAsia" w:ascii="宋体" w:hAnsi="宋体" w:eastAsia="宋体" w:cs="宋体"/>
          <w:sz w:val="20"/>
          <w:highlight w:val="none"/>
        </w:rPr>
      </w:pPr>
      <w:bookmarkStart w:id="42" w:name="_Toc304992504"/>
      <w:bookmarkStart w:id="43" w:name="_Toc22990015"/>
      <w:bookmarkStart w:id="44" w:name="_Toc492644385"/>
      <w:bookmarkStart w:id="45" w:name="_Toc492994329"/>
      <w:bookmarkStart w:id="46" w:name="_Toc22375573"/>
      <w:r>
        <w:rPr>
          <w:rFonts w:hint="eastAsia" w:ascii="宋体" w:hAnsi="宋体" w:eastAsia="宋体" w:cs="宋体"/>
          <w:highlight w:val="none"/>
        </w:rPr>
        <w:t>比选申请人须知前附表</w:t>
      </w:r>
      <w:bookmarkEnd w:id="42"/>
      <w:bookmarkEnd w:id="43"/>
      <w:bookmarkEnd w:id="44"/>
      <w:bookmarkEnd w:id="45"/>
      <w:bookmarkEnd w:id="46"/>
    </w:p>
    <w:tbl>
      <w:tblPr>
        <w:tblStyle w:val="4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678"/>
        <w:gridCol w:w="6367"/>
      </w:tblGrid>
      <w:tr w14:paraId="781F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51" w:type="pct"/>
            <w:vAlign w:val="center"/>
          </w:tcPr>
          <w:p w14:paraId="61E2CFFF">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条 款 号</w:t>
            </w:r>
          </w:p>
        </w:tc>
        <w:tc>
          <w:tcPr>
            <w:tcW w:w="907" w:type="pct"/>
            <w:vAlign w:val="center"/>
          </w:tcPr>
          <w:p w14:paraId="55525382">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条款名称</w:t>
            </w:r>
          </w:p>
        </w:tc>
        <w:tc>
          <w:tcPr>
            <w:tcW w:w="3441" w:type="pct"/>
            <w:vAlign w:val="center"/>
          </w:tcPr>
          <w:p w14:paraId="525A9551">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编  列  内  容</w:t>
            </w:r>
          </w:p>
        </w:tc>
      </w:tr>
      <w:tr w14:paraId="65A12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651" w:type="pct"/>
            <w:vAlign w:val="center"/>
          </w:tcPr>
          <w:p w14:paraId="5CD8E860">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1.1.2</w:t>
            </w:r>
          </w:p>
        </w:tc>
        <w:tc>
          <w:tcPr>
            <w:tcW w:w="907" w:type="pct"/>
            <w:vAlign w:val="center"/>
          </w:tcPr>
          <w:p w14:paraId="0857846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比选人</w:t>
            </w:r>
          </w:p>
        </w:tc>
        <w:tc>
          <w:tcPr>
            <w:tcW w:w="3441" w:type="pct"/>
            <w:vAlign w:val="center"/>
          </w:tcPr>
          <w:p w14:paraId="207FB2AC">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 xml:space="preserve">比选人：重庆市九龙坡区白市驿镇人民政府    </w:t>
            </w:r>
          </w:p>
          <w:p w14:paraId="5DF633FE">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地  址：重庆市九龙坡区白市驿镇人民政府</w:t>
            </w:r>
          </w:p>
          <w:p w14:paraId="49358A5D">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联系人：张老师</w:t>
            </w:r>
          </w:p>
          <w:p w14:paraId="2609EBA0">
            <w:pPr>
              <w:autoSpaceDE w:val="0"/>
              <w:autoSpaceDN w:val="0"/>
              <w:adjustRightInd w:val="0"/>
              <w:snapToGrid w:val="0"/>
              <w:spacing w:line="360" w:lineRule="auto"/>
              <w:jc w:val="left"/>
              <w:rPr>
                <w:rFonts w:hint="eastAsia" w:ascii="宋体" w:hAnsi="宋体" w:eastAsia="宋体" w:cs="宋体"/>
                <w:highlight w:val="none"/>
                <w:lang w:eastAsia="zh-CN"/>
              </w:rPr>
            </w:pPr>
            <w:r>
              <w:rPr>
                <w:rFonts w:hint="eastAsia" w:ascii="宋体" w:hAnsi="宋体" w:cs="宋体"/>
                <w:highlight w:val="none"/>
              </w:rPr>
              <w:t>电  话：</w:t>
            </w:r>
            <w:r>
              <w:rPr>
                <w:rFonts w:hint="eastAsia" w:ascii="宋体" w:hAnsi="宋体" w:cs="宋体"/>
                <w:highlight w:val="none"/>
                <w:lang w:eastAsia="zh-CN"/>
              </w:rPr>
              <w:t>023</w:t>
            </w:r>
            <w:r>
              <w:rPr>
                <w:rFonts w:hint="eastAsia" w:ascii="宋体" w:hAnsi="宋体" w:cs="宋体"/>
                <w:highlight w:val="none"/>
                <w:lang w:val="en-US" w:eastAsia="zh-CN"/>
              </w:rPr>
              <w:t>-65701567</w:t>
            </w:r>
          </w:p>
        </w:tc>
      </w:tr>
      <w:tr w14:paraId="6043C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651" w:type="pct"/>
            <w:vAlign w:val="center"/>
          </w:tcPr>
          <w:p w14:paraId="72F3AD7F">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1.1.3</w:t>
            </w:r>
          </w:p>
        </w:tc>
        <w:tc>
          <w:tcPr>
            <w:tcW w:w="907" w:type="pct"/>
            <w:vAlign w:val="center"/>
          </w:tcPr>
          <w:p w14:paraId="0953D5B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比选代理机构</w:t>
            </w:r>
          </w:p>
        </w:tc>
        <w:tc>
          <w:tcPr>
            <w:tcW w:w="3441" w:type="pct"/>
            <w:vAlign w:val="center"/>
          </w:tcPr>
          <w:p w14:paraId="703B0C52">
            <w:pPr>
              <w:pStyle w:val="22"/>
              <w:snapToGrid w:val="0"/>
              <w:spacing w:line="360" w:lineRule="auto"/>
              <w:rPr>
                <w:rFonts w:hint="eastAsia" w:hAnsi="宋体" w:cs="宋体"/>
                <w:snapToGrid w:val="0"/>
                <w:sz w:val="21"/>
                <w:szCs w:val="21"/>
                <w:highlight w:val="none"/>
              </w:rPr>
            </w:pPr>
            <w:r>
              <w:rPr>
                <w:rFonts w:hint="eastAsia" w:hAnsi="宋体" w:cs="宋体"/>
                <w:snapToGrid w:val="0"/>
                <w:sz w:val="21"/>
                <w:szCs w:val="21"/>
                <w:highlight w:val="none"/>
              </w:rPr>
              <w:t>比选代理机构：</w:t>
            </w:r>
            <w:r>
              <w:rPr>
                <w:rFonts w:hint="eastAsia" w:hAnsi="宋体" w:cs="宋体"/>
                <w:snapToGrid w:val="0"/>
                <w:sz w:val="21"/>
                <w:szCs w:val="21"/>
                <w:highlight w:val="none"/>
                <w:lang w:eastAsia="zh-CN"/>
              </w:rPr>
              <w:t>中金招标有限责任公司</w:t>
            </w:r>
            <w:r>
              <w:rPr>
                <w:rFonts w:hint="eastAsia" w:hAnsi="宋体" w:cs="宋体"/>
                <w:snapToGrid w:val="0"/>
                <w:sz w:val="21"/>
                <w:szCs w:val="21"/>
                <w:highlight w:val="none"/>
              </w:rPr>
              <w:t xml:space="preserve"> </w:t>
            </w:r>
          </w:p>
          <w:p w14:paraId="24549822">
            <w:pPr>
              <w:spacing w:line="360" w:lineRule="auto"/>
              <w:rPr>
                <w:rFonts w:hint="eastAsia" w:ascii="宋体" w:hAnsi="宋体" w:cs="宋体"/>
                <w:snapToGrid w:val="0"/>
                <w:highlight w:val="none"/>
              </w:rPr>
            </w:pPr>
            <w:r>
              <w:rPr>
                <w:rFonts w:hint="eastAsia" w:ascii="宋体" w:hAnsi="宋体" w:cs="宋体"/>
                <w:snapToGrid w:val="0"/>
                <w:highlight w:val="none"/>
              </w:rPr>
              <w:t>地址：重庆市渝北区金州大道湖彩路88号约克郡汀兰Loft3栋5-11</w:t>
            </w:r>
            <w:r>
              <w:rPr>
                <w:rFonts w:hint="eastAsia" w:ascii="宋体" w:hAnsi="宋体" w:cs="宋体"/>
                <w:snapToGrid w:val="0"/>
                <w:highlight w:val="none"/>
                <w:lang w:val="en-US" w:eastAsia="zh-CN"/>
              </w:rPr>
              <w:t xml:space="preserve"> </w:t>
            </w:r>
          </w:p>
          <w:p w14:paraId="5C5D0B05">
            <w:pPr>
              <w:spacing w:line="360" w:lineRule="auto"/>
              <w:rPr>
                <w:rFonts w:hint="default" w:ascii="宋体" w:hAnsi="宋体" w:eastAsia="宋体" w:cs="宋体"/>
                <w:snapToGrid w:val="0"/>
                <w:highlight w:val="none"/>
                <w:lang w:val="en-US" w:eastAsia="zh-CN"/>
              </w:rPr>
            </w:pPr>
            <w:r>
              <w:rPr>
                <w:rFonts w:hint="eastAsia" w:ascii="宋体" w:hAnsi="宋体" w:cs="宋体"/>
                <w:snapToGrid w:val="0"/>
                <w:highlight w:val="none"/>
              </w:rPr>
              <w:t>联系人：</w:t>
            </w:r>
            <w:r>
              <w:rPr>
                <w:rFonts w:hint="eastAsia" w:ascii="宋体" w:hAnsi="宋体" w:cs="宋体"/>
                <w:snapToGrid w:val="0"/>
                <w:highlight w:val="none"/>
                <w:lang w:val="en-US" w:eastAsia="zh-CN"/>
              </w:rPr>
              <w:t>周老师</w:t>
            </w:r>
          </w:p>
          <w:p w14:paraId="787CA145">
            <w:pPr>
              <w:spacing w:line="360" w:lineRule="auto"/>
              <w:rPr>
                <w:rFonts w:hint="eastAsia" w:ascii="宋体" w:hAnsi="宋体" w:cs="宋体"/>
                <w:highlight w:val="none"/>
              </w:rPr>
            </w:pPr>
            <w:r>
              <w:rPr>
                <w:rFonts w:hint="eastAsia" w:ascii="宋体" w:hAnsi="宋体" w:cs="宋体"/>
                <w:snapToGrid w:val="0"/>
                <w:highlight w:val="none"/>
              </w:rPr>
              <w:t>电话：</w:t>
            </w:r>
            <w:r>
              <w:rPr>
                <w:rFonts w:hint="eastAsia" w:ascii="宋体" w:hAnsi="宋体" w:cs="宋体"/>
                <w:snapToGrid w:val="0"/>
                <w:highlight w:val="none"/>
                <w:lang w:val="en-US" w:eastAsia="zh-CN"/>
              </w:rPr>
              <w:t>023-67081033、18523344630</w:t>
            </w:r>
          </w:p>
        </w:tc>
      </w:tr>
      <w:tr w14:paraId="5C3D0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51" w:type="pct"/>
            <w:vAlign w:val="center"/>
          </w:tcPr>
          <w:p w14:paraId="23560249">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1.1.4</w:t>
            </w:r>
          </w:p>
        </w:tc>
        <w:tc>
          <w:tcPr>
            <w:tcW w:w="907" w:type="pct"/>
            <w:vAlign w:val="center"/>
          </w:tcPr>
          <w:p w14:paraId="35A25E12">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项目名称</w:t>
            </w:r>
          </w:p>
        </w:tc>
        <w:tc>
          <w:tcPr>
            <w:tcW w:w="3441" w:type="pct"/>
            <w:vAlign w:val="center"/>
          </w:tcPr>
          <w:p w14:paraId="30FFB12E">
            <w:pPr>
              <w:autoSpaceDE w:val="0"/>
              <w:autoSpaceDN w:val="0"/>
              <w:adjustRightInd w:val="0"/>
              <w:snapToGrid w:val="0"/>
              <w:spacing w:line="360" w:lineRule="auto"/>
              <w:jc w:val="left"/>
              <w:rPr>
                <w:rFonts w:hint="default" w:ascii="宋体" w:hAnsi="宋体" w:eastAsia="宋体" w:cs="宋体"/>
                <w:kern w:val="0"/>
                <w:highlight w:val="none"/>
                <w:lang w:val="en-US" w:eastAsia="zh-CN"/>
              </w:rPr>
            </w:pPr>
            <w:r>
              <w:rPr>
                <w:rFonts w:hint="eastAsia" w:ascii="宋体" w:hAnsi="宋体" w:cs="宋体"/>
                <w:highlight w:val="none"/>
                <w:lang w:eastAsia="zh-CN"/>
              </w:rPr>
              <w:t>白市驿川剧主题美陈广告制作</w:t>
            </w:r>
          </w:p>
        </w:tc>
      </w:tr>
      <w:tr w14:paraId="599D2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51" w:type="pct"/>
            <w:vAlign w:val="center"/>
          </w:tcPr>
          <w:p w14:paraId="2C4199C9">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1.1.5</w:t>
            </w:r>
          </w:p>
        </w:tc>
        <w:tc>
          <w:tcPr>
            <w:tcW w:w="907" w:type="pct"/>
            <w:vAlign w:val="center"/>
          </w:tcPr>
          <w:p w14:paraId="6BB57C40">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建设地点</w:t>
            </w:r>
          </w:p>
        </w:tc>
        <w:tc>
          <w:tcPr>
            <w:tcW w:w="3441" w:type="pct"/>
            <w:vAlign w:val="center"/>
          </w:tcPr>
          <w:p w14:paraId="2C6C80FD">
            <w:pPr>
              <w:autoSpaceDE w:val="0"/>
              <w:autoSpaceDN w:val="0"/>
              <w:adjustRightInd w:val="0"/>
              <w:snapToGrid w:val="0"/>
              <w:spacing w:line="360" w:lineRule="auto"/>
              <w:jc w:val="left"/>
              <w:rPr>
                <w:rFonts w:hint="eastAsia" w:ascii="宋体" w:hAnsi="宋体" w:cs="宋体"/>
                <w:kern w:val="0"/>
                <w:highlight w:val="none"/>
                <w:u w:val="none"/>
              </w:rPr>
            </w:pPr>
            <w:r>
              <w:rPr>
                <w:rFonts w:hint="eastAsia" w:ascii="宋体" w:hAnsi="宋体" w:cs="宋体"/>
                <w:snapToGrid w:val="0"/>
                <w:highlight w:val="none"/>
                <w:u w:val="none"/>
              </w:rPr>
              <w:t>重庆高新区白市驿镇</w:t>
            </w:r>
          </w:p>
        </w:tc>
      </w:tr>
      <w:tr w14:paraId="41B3F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51" w:type="pct"/>
            <w:vAlign w:val="center"/>
          </w:tcPr>
          <w:p w14:paraId="7CD6211D">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1.2.3</w:t>
            </w:r>
          </w:p>
        </w:tc>
        <w:tc>
          <w:tcPr>
            <w:tcW w:w="907" w:type="pct"/>
            <w:vAlign w:val="center"/>
          </w:tcPr>
          <w:p w14:paraId="3DC1597C">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资金情况</w:t>
            </w:r>
          </w:p>
        </w:tc>
        <w:tc>
          <w:tcPr>
            <w:tcW w:w="3441" w:type="pct"/>
            <w:vAlign w:val="center"/>
          </w:tcPr>
          <w:p w14:paraId="3D92BEF1">
            <w:pPr>
              <w:autoSpaceDE w:val="0"/>
              <w:autoSpaceDN w:val="0"/>
              <w:adjustRightInd w:val="0"/>
              <w:snapToGrid w:val="0"/>
              <w:spacing w:line="360" w:lineRule="auto"/>
              <w:jc w:val="left"/>
              <w:rPr>
                <w:rFonts w:hint="eastAsia" w:ascii="宋体" w:hAnsi="宋体" w:cs="宋体"/>
                <w:kern w:val="0"/>
                <w:highlight w:val="none"/>
              </w:rPr>
            </w:pPr>
            <w:r>
              <w:rPr>
                <w:rFonts w:hint="eastAsia" w:ascii="宋体" w:hAnsi="宋体" w:cs="宋体"/>
                <w:kern w:val="0"/>
                <w:highlight w:val="none"/>
              </w:rPr>
              <w:t>出资比例为：100%。资金落实情况：</w:t>
            </w:r>
            <w:r>
              <w:rPr>
                <w:rFonts w:hint="eastAsia" w:ascii="宋体" w:hAnsi="宋体" w:cs="宋体"/>
                <w:kern w:val="0"/>
                <w:highlight w:val="none"/>
                <w:lang w:val="en-US" w:eastAsia="zh-CN"/>
              </w:rPr>
              <w:t>已落实</w:t>
            </w:r>
            <w:r>
              <w:rPr>
                <w:rFonts w:hint="eastAsia" w:ascii="宋体" w:hAnsi="宋体" w:cs="宋体"/>
                <w:kern w:val="0"/>
                <w:highlight w:val="none"/>
              </w:rPr>
              <w:t>。</w:t>
            </w:r>
          </w:p>
        </w:tc>
      </w:tr>
      <w:tr w14:paraId="4302C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651" w:type="pct"/>
            <w:vAlign w:val="center"/>
          </w:tcPr>
          <w:p w14:paraId="2FE4A452">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1.3.1</w:t>
            </w:r>
          </w:p>
        </w:tc>
        <w:tc>
          <w:tcPr>
            <w:tcW w:w="907" w:type="pct"/>
            <w:vAlign w:val="center"/>
          </w:tcPr>
          <w:p w14:paraId="7180B9A6">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比选范围</w:t>
            </w:r>
          </w:p>
        </w:tc>
        <w:tc>
          <w:tcPr>
            <w:tcW w:w="3441" w:type="pct"/>
            <w:vAlign w:val="center"/>
          </w:tcPr>
          <w:p w14:paraId="725F09AA">
            <w:pPr>
              <w:autoSpaceDE w:val="0"/>
              <w:autoSpaceDN w:val="0"/>
              <w:adjustRightInd w:val="0"/>
              <w:snapToGrid w:val="0"/>
              <w:spacing w:line="360" w:lineRule="auto"/>
              <w:jc w:val="left"/>
              <w:rPr>
                <w:rFonts w:hint="eastAsia" w:ascii="宋体" w:hAnsi="宋体" w:cs="宋体"/>
                <w:kern w:val="0"/>
                <w:highlight w:val="none"/>
              </w:rPr>
            </w:pPr>
            <w:r>
              <w:rPr>
                <w:rFonts w:asciiTheme="minorEastAsia" w:hAnsiTheme="minorEastAsia" w:eastAsiaTheme="minorEastAsia"/>
                <w:highlight w:val="none"/>
              </w:rPr>
              <w:t>具体</w:t>
            </w:r>
            <w:r>
              <w:rPr>
                <w:rFonts w:hint="eastAsia" w:asciiTheme="minorEastAsia" w:hAnsiTheme="minorEastAsia" w:eastAsiaTheme="minorEastAsia"/>
                <w:highlight w:val="none"/>
              </w:rPr>
              <w:t>工作内容</w:t>
            </w:r>
            <w:r>
              <w:rPr>
                <w:rFonts w:asciiTheme="minorEastAsia" w:hAnsiTheme="minorEastAsia" w:eastAsiaTheme="minorEastAsia"/>
                <w:highlight w:val="none"/>
              </w:rPr>
              <w:t>详见工程量清单</w:t>
            </w:r>
            <w:r>
              <w:rPr>
                <w:rFonts w:hint="eastAsia" w:hAnsi="宋体" w:cs="MingLiU"/>
                <w:snapToGrid w:val="0"/>
                <w:sz w:val="21"/>
                <w:szCs w:val="21"/>
                <w:highlight w:val="none"/>
                <w:u w:val="none"/>
                <w:lang w:val="zh-CN"/>
              </w:rPr>
              <w:t>。</w:t>
            </w:r>
          </w:p>
        </w:tc>
      </w:tr>
      <w:tr w14:paraId="0E5A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651" w:type="pct"/>
            <w:vAlign w:val="center"/>
          </w:tcPr>
          <w:p w14:paraId="5BE8EF2A">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1.3.2</w:t>
            </w:r>
          </w:p>
        </w:tc>
        <w:tc>
          <w:tcPr>
            <w:tcW w:w="907" w:type="pct"/>
            <w:vAlign w:val="center"/>
          </w:tcPr>
          <w:p w14:paraId="122C00DE">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计划工期</w:t>
            </w:r>
          </w:p>
        </w:tc>
        <w:tc>
          <w:tcPr>
            <w:tcW w:w="3441" w:type="pct"/>
            <w:vAlign w:val="center"/>
          </w:tcPr>
          <w:p w14:paraId="3D29F9A0">
            <w:pPr>
              <w:snapToGrid w:val="0"/>
              <w:spacing w:line="360" w:lineRule="auto"/>
              <w:jc w:val="left"/>
              <w:rPr>
                <w:rFonts w:hint="eastAsia" w:ascii="宋体" w:hAnsi="宋体" w:cs="宋体"/>
                <w:kern w:val="0"/>
                <w:highlight w:val="none"/>
              </w:rPr>
            </w:pPr>
            <w:r>
              <w:rPr>
                <w:rFonts w:hint="eastAsia" w:ascii="宋体" w:hAnsi="宋体" w:eastAsia="宋体" w:cs="宋体"/>
                <w:snapToGrid w:val="0"/>
                <w:sz w:val="21"/>
                <w:szCs w:val="21"/>
                <w:highlight w:val="none"/>
                <w:lang w:val="en-US" w:eastAsia="zh-CN"/>
              </w:rPr>
              <w:t>2025年8月18日前完成制作安装，并通过比选人验收</w:t>
            </w:r>
            <w:r>
              <w:rPr>
                <w:rFonts w:hint="eastAsia" w:ascii="宋体" w:hAnsi="宋体" w:eastAsia="宋体" w:cs="宋体"/>
                <w:snapToGrid w:val="0"/>
                <w:sz w:val="21"/>
                <w:szCs w:val="21"/>
                <w:highlight w:val="none"/>
              </w:rPr>
              <w:t>。</w:t>
            </w:r>
          </w:p>
        </w:tc>
      </w:tr>
      <w:tr w14:paraId="3D2B6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51" w:type="pct"/>
            <w:vAlign w:val="center"/>
          </w:tcPr>
          <w:p w14:paraId="355843D0">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1.3.3</w:t>
            </w:r>
          </w:p>
        </w:tc>
        <w:tc>
          <w:tcPr>
            <w:tcW w:w="907" w:type="pct"/>
            <w:vAlign w:val="center"/>
          </w:tcPr>
          <w:p w14:paraId="162E5849">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质量要求</w:t>
            </w:r>
          </w:p>
        </w:tc>
        <w:tc>
          <w:tcPr>
            <w:tcW w:w="3441" w:type="pct"/>
            <w:vAlign w:val="center"/>
          </w:tcPr>
          <w:p w14:paraId="0AFD9435">
            <w:pPr>
              <w:snapToGrid w:val="0"/>
              <w:spacing w:line="360" w:lineRule="auto"/>
              <w:rPr>
                <w:rFonts w:hint="eastAsia" w:ascii="宋体" w:hAnsi="宋体" w:cs="宋体"/>
                <w:highlight w:val="none"/>
              </w:rPr>
            </w:pPr>
            <w:r>
              <w:rPr>
                <w:rFonts w:hint="eastAsia" w:ascii="宋体" w:hAnsi="宋体" w:cs="宋体"/>
                <w:highlight w:val="none"/>
              </w:rPr>
              <w:t>达到国家现行有关质量验收规范要求。</w:t>
            </w:r>
          </w:p>
        </w:tc>
      </w:tr>
      <w:tr w14:paraId="6E1C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51" w:type="pct"/>
            <w:vAlign w:val="center"/>
          </w:tcPr>
          <w:p w14:paraId="44C54676">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1.4.1</w:t>
            </w:r>
          </w:p>
        </w:tc>
        <w:tc>
          <w:tcPr>
            <w:tcW w:w="907" w:type="pct"/>
            <w:vAlign w:val="center"/>
          </w:tcPr>
          <w:p w14:paraId="5F2CEA7E">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比选申请人条件、能力和信誉</w:t>
            </w:r>
          </w:p>
          <w:p w14:paraId="592CC481">
            <w:pPr>
              <w:snapToGrid w:val="0"/>
              <w:spacing w:line="300" w:lineRule="auto"/>
              <w:rPr>
                <w:rFonts w:hint="eastAsia" w:ascii="宋体" w:hAnsi="宋体" w:cs="宋体"/>
                <w:kern w:val="0"/>
                <w:highlight w:val="none"/>
              </w:rPr>
            </w:pPr>
          </w:p>
        </w:tc>
        <w:tc>
          <w:tcPr>
            <w:tcW w:w="3441" w:type="pct"/>
            <w:vAlign w:val="center"/>
          </w:tcPr>
          <w:p w14:paraId="257B75D0">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本</w:t>
            </w:r>
            <w:r>
              <w:rPr>
                <w:rFonts w:hint="eastAsia" w:ascii="宋体" w:hAnsi="宋体" w:cs="宋体"/>
                <w:highlight w:val="none"/>
                <w:lang w:val="en-US" w:eastAsia="zh-CN"/>
              </w:rPr>
              <w:t>项目</w:t>
            </w:r>
            <w:r>
              <w:rPr>
                <w:rFonts w:hint="eastAsia" w:ascii="宋体" w:hAnsi="宋体" w:cs="宋体"/>
                <w:highlight w:val="none"/>
              </w:rPr>
              <w:t>比选，</w:t>
            </w:r>
            <w:r>
              <w:rPr>
                <w:rFonts w:hint="eastAsia" w:ascii="宋体" w:hAnsi="宋体" w:cs="宋体"/>
                <w:kern w:val="0"/>
                <w:highlight w:val="none"/>
              </w:rPr>
              <w:t>比选申请人应具备以下资格条件：</w:t>
            </w:r>
          </w:p>
          <w:p w14:paraId="0C636416">
            <w:pPr>
              <w:autoSpaceDE w:val="0"/>
              <w:autoSpaceDN w:val="0"/>
              <w:adjustRightInd w:val="0"/>
              <w:snapToGrid w:val="0"/>
              <w:spacing w:line="360" w:lineRule="auto"/>
              <w:ind w:firstLine="415" w:firstLineChars="198"/>
              <w:jc w:val="left"/>
              <w:rPr>
                <w:rFonts w:hint="eastAsia" w:ascii="宋体" w:hAnsi="宋体" w:cs="宋体"/>
                <w:highlight w:val="none"/>
              </w:rPr>
            </w:pPr>
            <w:r>
              <w:rPr>
                <w:rFonts w:hint="eastAsia" w:ascii="宋体" w:hAnsi="宋体" w:cs="宋体"/>
                <w:highlight w:val="none"/>
              </w:rPr>
              <w:t>1.</w:t>
            </w:r>
            <w:r>
              <w:rPr>
                <w:rFonts w:hint="eastAsia" w:ascii="宋体" w:hAnsi="宋体" w:cs="宋体"/>
                <w:kern w:val="0"/>
                <w:highlight w:val="none"/>
              </w:rPr>
              <w:t xml:space="preserve"> 比选申请人条件</w:t>
            </w:r>
          </w:p>
          <w:p w14:paraId="5C036A52">
            <w:pPr>
              <w:autoSpaceDE w:val="0"/>
              <w:autoSpaceDN w:val="0"/>
              <w:adjustRightInd w:val="0"/>
              <w:snapToGrid w:val="0"/>
              <w:spacing w:line="360" w:lineRule="auto"/>
              <w:ind w:firstLine="415" w:firstLineChars="198"/>
              <w:jc w:val="left"/>
              <w:rPr>
                <w:rFonts w:hint="eastAsia" w:ascii="宋体" w:hAnsi="宋体" w:cs="宋体"/>
                <w:highlight w:val="none"/>
              </w:rPr>
            </w:pPr>
            <w:r>
              <w:rPr>
                <w:rFonts w:hint="eastAsia" w:ascii="宋体" w:hAnsi="宋体" w:cs="宋体"/>
                <w:highlight w:val="none"/>
              </w:rPr>
              <w:t>（1）比选申请人必须是独立法人资格的单位，取得有效的营业执照。</w:t>
            </w:r>
          </w:p>
          <w:p w14:paraId="0A12ACD3">
            <w:pPr>
              <w:autoSpaceDE w:val="0"/>
              <w:autoSpaceDN w:val="0"/>
              <w:adjustRightInd w:val="0"/>
              <w:snapToGrid w:val="0"/>
              <w:spacing w:line="360" w:lineRule="auto"/>
              <w:ind w:firstLine="422" w:firstLineChars="200"/>
              <w:rPr>
                <w:rFonts w:hint="eastAsia" w:ascii="宋体" w:hAnsi="宋体" w:cs="宋体"/>
                <w:b/>
                <w:highlight w:val="none"/>
              </w:rPr>
            </w:pPr>
            <w:r>
              <w:rPr>
                <w:rFonts w:hint="eastAsia" w:ascii="宋体" w:hAnsi="宋体" w:cs="宋体"/>
                <w:b/>
                <w:highlight w:val="none"/>
              </w:rPr>
              <w:t>注：提供有效的营业执照副本复印件，并加盖比选申请人公章。</w:t>
            </w:r>
          </w:p>
          <w:p w14:paraId="4EA513F2">
            <w:pPr>
              <w:spacing w:line="360" w:lineRule="auto"/>
              <w:ind w:firstLine="420" w:firstLineChars="200"/>
              <w:rPr>
                <w:rFonts w:hint="eastAsia" w:ascii="宋体" w:hAnsi="宋体" w:cs="宋体"/>
                <w:b w:val="0"/>
                <w:bCs w:val="0"/>
                <w:highlight w:val="none"/>
              </w:rPr>
            </w:pPr>
            <w:r>
              <w:rPr>
                <w:rFonts w:hint="eastAsia" w:ascii="宋体" w:hAnsi="宋体" w:cs="宋体"/>
                <w:highlight w:val="none"/>
              </w:rPr>
              <w:t>2.</w:t>
            </w:r>
            <w:r>
              <w:rPr>
                <w:rFonts w:hint="eastAsia" w:ascii="宋体" w:hAnsi="宋体" w:cs="宋体"/>
                <w:b/>
                <w:bCs/>
                <w:highlight w:val="none"/>
              </w:rPr>
              <w:t xml:space="preserve"> </w:t>
            </w:r>
            <w:r>
              <w:rPr>
                <w:rFonts w:hint="eastAsia" w:ascii="宋体" w:hAnsi="宋体" w:cs="宋体"/>
                <w:b w:val="0"/>
                <w:bCs w:val="0"/>
                <w:highlight w:val="none"/>
              </w:rPr>
              <w:t>业绩要求</w:t>
            </w:r>
          </w:p>
          <w:p w14:paraId="23F37A5A">
            <w:pPr>
              <w:pStyle w:val="22"/>
              <w:snapToGrid w:val="0"/>
              <w:spacing w:line="360" w:lineRule="auto"/>
              <w:ind w:firstLine="457" w:firstLineChars="218"/>
              <w:rPr>
                <w:rFonts w:hint="eastAsia" w:ascii="宋体" w:hAnsi="宋体" w:eastAsia="宋体" w:cs="宋体"/>
                <w:snapToGrid w:val="0"/>
                <w:sz w:val="21"/>
                <w:szCs w:val="21"/>
                <w:highlight w:val="none"/>
                <w:lang w:val="en-US" w:eastAsia="zh-CN"/>
              </w:rPr>
            </w:pPr>
            <w:r>
              <w:rPr>
                <w:rFonts w:hint="eastAsia" w:ascii="宋体" w:hAnsi="宋体" w:eastAsia="宋体" w:cs="宋体"/>
                <w:snapToGrid w:val="0"/>
                <w:sz w:val="21"/>
                <w:szCs w:val="21"/>
                <w:highlight w:val="none"/>
                <w:lang w:val="en-US" w:eastAsia="zh-CN"/>
              </w:rPr>
              <w:t>近三年（2022年1月1日至比选截止日止）完成过合同金额大于8万元的广告制作</w:t>
            </w:r>
            <w:r>
              <w:rPr>
                <w:rFonts w:hint="eastAsia" w:hAnsi="宋体" w:cs="宋体"/>
                <w:snapToGrid w:val="0"/>
                <w:sz w:val="21"/>
                <w:szCs w:val="21"/>
                <w:highlight w:val="none"/>
                <w:lang w:val="en-US" w:eastAsia="zh-CN"/>
              </w:rPr>
              <w:t>安装</w:t>
            </w:r>
            <w:r>
              <w:rPr>
                <w:rFonts w:hint="eastAsia" w:ascii="宋体" w:hAnsi="宋体" w:eastAsia="宋体" w:cs="宋体"/>
                <w:snapToGrid w:val="0"/>
                <w:sz w:val="21"/>
                <w:szCs w:val="21"/>
                <w:highlight w:val="none"/>
                <w:lang w:val="en-US" w:eastAsia="zh-CN"/>
              </w:rPr>
              <w:t>业绩1个。</w:t>
            </w:r>
          </w:p>
          <w:p w14:paraId="5AF1176B">
            <w:pPr>
              <w:pStyle w:val="22"/>
              <w:snapToGrid w:val="0"/>
              <w:spacing w:line="360" w:lineRule="auto"/>
              <w:ind w:firstLine="460" w:firstLineChars="218"/>
              <w:rPr>
                <w:rFonts w:hint="eastAsia" w:ascii="宋体" w:hAnsi="宋体" w:cs="宋体"/>
                <w:bCs/>
                <w:highlight w:val="none"/>
              </w:rPr>
            </w:pPr>
            <w:r>
              <w:rPr>
                <w:rFonts w:hint="eastAsia" w:ascii="宋体" w:hAnsi="宋体" w:eastAsia="宋体" w:cs="宋体"/>
                <w:b/>
                <w:bCs/>
                <w:snapToGrid w:val="0"/>
                <w:sz w:val="21"/>
                <w:szCs w:val="21"/>
                <w:highlight w:val="none"/>
                <w:lang w:val="en-US" w:eastAsia="zh-CN"/>
              </w:rPr>
              <w:t>注：提供合同复印件，并加盖比选申请人公章</w:t>
            </w:r>
            <w:r>
              <w:rPr>
                <w:rFonts w:hint="eastAsia" w:ascii="宋体" w:hAnsi="宋体" w:eastAsia="宋体" w:cs="宋体"/>
                <w:snapToGrid w:val="0"/>
                <w:sz w:val="21"/>
                <w:szCs w:val="21"/>
                <w:highlight w:val="none"/>
                <w:lang w:val="en-US" w:eastAsia="zh-CN"/>
              </w:rPr>
              <w:t>。</w:t>
            </w:r>
          </w:p>
        </w:tc>
      </w:tr>
      <w:tr w14:paraId="7DABD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506C1344">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1.4.2</w:t>
            </w:r>
          </w:p>
        </w:tc>
        <w:tc>
          <w:tcPr>
            <w:tcW w:w="907" w:type="pct"/>
            <w:vAlign w:val="center"/>
          </w:tcPr>
          <w:p w14:paraId="5D2BF86F">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是否接受联合体比选投标</w:t>
            </w:r>
          </w:p>
        </w:tc>
        <w:tc>
          <w:tcPr>
            <w:tcW w:w="3441" w:type="pct"/>
            <w:vAlign w:val="center"/>
          </w:tcPr>
          <w:p w14:paraId="7AE6A744">
            <w:pPr>
              <w:snapToGrid w:val="0"/>
              <w:spacing w:line="360" w:lineRule="auto"/>
              <w:rPr>
                <w:rFonts w:hint="eastAsia" w:ascii="宋体" w:hAnsi="宋体" w:cs="宋体"/>
                <w:kern w:val="0"/>
                <w:highlight w:val="none"/>
              </w:rPr>
            </w:pPr>
            <w:r>
              <w:rPr>
                <w:rFonts w:hint="eastAsia" w:ascii="宋体" w:hAnsi="宋体" w:cs="宋体"/>
                <w:kern w:val="0"/>
                <w:highlight w:val="none"/>
              </w:rPr>
              <w:t>不接受。</w:t>
            </w:r>
          </w:p>
        </w:tc>
      </w:tr>
      <w:tr w14:paraId="679D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651" w:type="pct"/>
            <w:vAlign w:val="center"/>
          </w:tcPr>
          <w:p w14:paraId="45BB5E0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1.9.1</w:t>
            </w:r>
          </w:p>
        </w:tc>
        <w:tc>
          <w:tcPr>
            <w:tcW w:w="907" w:type="pct"/>
            <w:vAlign w:val="center"/>
          </w:tcPr>
          <w:p w14:paraId="4013B412">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踏勘现场</w:t>
            </w:r>
          </w:p>
        </w:tc>
        <w:tc>
          <w:tcPr>
            <w:tcW w:w="3441" w:type="pct"/>
            <w:vAlign w:val="center"/>
          </w:tcPr>
          <w:p w14:paraId="4EEFFBD7">
            <w:pPr>
              <w:snapToGrid w:val="0"/>
              <w:spacing w:line="360" w:lineRule="auto"/>
              <w:rPr>
                <w:rFonts w:hint="eastAsia" w:ascii="宋体" w:hAnsi="宋体" w:cs="宋体"/>
                <w:kern w:val="0"/>
                <w:highlight w:val="none"/>
              </w:rPr>
            </w:pPr>
            <w:r>
              <w:rPr>
                <w:rFonts w:hint="eastAsia" w:ascii="宋体" w:hAnsi="宋体" w:cs="宋体"/>
                <w:kern w:val="0"/>
                <w:highlight w:val="none"/>
              </w:rPr>
              <w:t>不组织，自行踏勘。</w:t>
            </w:r>
          </w:p>
        </w:tc>
      </w:tr>
      <w:tr w14:paraId="125C2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1A242F4F">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1.10.1</w:t>
            </w:r>
          </w:p>
        </w:tc>
        <w:tc>
          <w:tcPr>
            <w:tcW w:w="907" w:type="pct"/>
            <w:vAlign w:val="center"/>
          </w:tcPr>
          <w:p w14:paraId="7937A484">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比选投标</w:t>
            </w:r>
          </w:p>
          <w:p w14:paraId="66AF4C58">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预备会</w:t>
            </w:r>
          </w:p>
        </w:tc>
        <w:tc>
          <w:tcPr>
            <w:tcW w:w="3441" w:type="pct"/>
            <w:vAlign w:val="center"/>
          </w:tcPr>
          <w:p w14:paraId="6E10B77D">
            <w:pPr>
              <w:snapToGrid w:val="0"/>
              <w:spacing w:line="360" w:lineRule="auto"/>
              <w:rPr>
                <w:rFonts w:hint="eastAsia" w:ascii="宋体" w:hAnsi="宋体" w:cs="宋体"/>
                <w:kern w:val="0"/>
                <w:highlight w:val="none"/>
              </w:rPr>
            </w:pPr>
            <w:r>
              <w:rPr>
                <w:rFonts w:hint="eastAsia" w:ascii="宋体" w:hAnsi="宋体" w:cs="宋体"/>
                <w:kern w:val="0"/>
                <w:highlight w:val="none"/>
              </w:rPr>
              <w:t>不召开。</w:t>
            </w:r>
          </w:p>
        </w:tc>
      </w:tr>
      <w:tr w14:paraId="031F8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74AB2DBF">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1.10.2</w:t>
            </w:r>
          </w:p>
        </w:tc>
        <w:tc>
          <w:tcPr>
            <w:tcW w:w="907" w:type="pct"/>
            <w:vAlign w:val="center"/>
          </w:tcPr>
          <w:p w14:paraId="6606E03C">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比选申请人提出问题的截止时间</w:t>
            </w:r>
          </w:p>
        </w:tc>
        <w:tc>
          <w:tcPr>
            <w:tcW w:w="3441" w:type="pct"/>
            <w:vAlign w:val="center"/>
          </w:tcPr>
          <w:p w14:paraId="30D554B6">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比选申请人在收到比选文件后，应仔细检查比选文件的所有内容，如有残缺或文字表述不清及存在错、碰、漏、缺、概念模糊和有可能出现歧义或理解上的偏差的内容等应在</w:t>
            </w:r>
            <w:r>
              <w:rPr>
                <w:rFonts w:hint="eastAsia"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07</w:t>
            </w:r>
            <w:r>
              <w:rPr>
                <w:rFonts w:hint="eastAsia" w:ascii="宋体" w:hAnsi="宋体" w:cs="宋体"/>
                <w:highlight w:val="none"/>
              </w:rPr>
              <w:t>月</w:t>
            </w:r>
            <w:r>
              <w:rPr>
                <w:rFonts w:hint="eastAsia" w:ascii="宋体" w:hAnsi="宋体" w:cs="宋体"/>
                <w:highlight w:val="none"/>
                <w:u w:val="single"/>
                <w:lang w:val="en-US" w:eastAsia="zh-CN"/>
              </w:rPr>
              <w:t>23</w:t>
            </w:r>
            <w:r>
              <w:rPr>
                <w:rFonts w:hint="eastAsia" w:ascii="宋体" w:hAnsi="宋体" w:cs="宋体"/>
                <w:highlight w:val="none"/>
              </w:rPr>
              <w:t>日</w:t>
            </w:r>
            <w:r>
              <w:rPr>
                <w:rFonts w:hint="eastAsia" w:ascii="宋体" w:hAnsi="宋体" w:cs="宋体"/>
                <w:highlight w:val="none"/>
                <w:u w:val="single"/>
              </w:rPr>
              <w:t>1</w:t>
            </w:r>
            <w:r>
              <w:rPr>
                <w:rFonts w:hint="eastAsia" w:ascii="宋体" w:hAnsi="宋体" w:cs="宋体"/>
                <w:highlight w:val="none"/>
                <w:u w:val="single"/>
                <w:lang w:val="en-US" w:eastAsia="zh-CN"/>
              </w:rPr>
              <w:t>2</w:t>
            </w:r>
            <w:r>
              <w:rPr>
                <w:rFonts w:hint="eastAsia" w:ascii="宋体" w:hAnsi="宋体" w:cs="宋体"/>
                <w:highlight w:val="none"/>
              </w:rPr>
              <w:t>时</w:t>
            </w:r>
            <w:r>
              <w:rPr>
                <w:rFonts w:hint="eastAsia" w:ascii="宋体" w:hAnsi="宋体" w:cs="宋体"/>
                <w:highlight w:val="none"/>
                <w:u w:val="single"/>
              </w:rPr>
              <w:t>00</w:t>
            </w:r>
            <w:r>
              <w:rPr>
                <w:rFonts w:hint="eastAsia" w:ascii="宋体" w:hAnsi="宋体" w:cs="宋体"/>
                <w:highlight w:val="none"/>
              </w:rPr>
              <w:t>分（北京时间）前书面方式向比选人或比选代理机构提出质疑。各比选申请人的质疑不得显示和隐含企业及个人名称，否则其质疑无效。</w:t>
            </w:r>
          </w:p>
        </w:tc>
      </w:tr>
      <w:tr w14:paraId="19D8E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6BA6106E">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1.10.3</w:t>
            </w:r>
          </w:p>
        </w:tc>
        <w:tc>
          <w:tcPr>
            <w:tcW w:w="907" w:type="pct"/>
            <w:vAlign w:val="center"/>
          </w:tcPr>
          <w:p w14:paraId="5CD13875">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比选人书面澄清的时间</w:t>
            </w:r>
          </w:p>
        </w:tc>
        <w:tc>
          <w:tcPr>
            <w:tcW w:w="3441" w:type="pct"/>
            <w:vAlign w:val="center"/>
          </w:tcPr>
          <w:p w14:paraId="616FD205">
            <w:pPr>
              <w:spacing w:line="360" w:lineRule="auto"/>
              <w:rPr>
                <w:rFonts w:hint="eastAsia" w:ascii="宋体" w:hAnsi="宋体" w:cs="宋体"/>
                <w:highlight w:val="none"/>
              </w:rPr>
            </w:pPr>
            <w:r>
              <w:rPr>
                <w:rFonts w:hint="eastAsia"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07</w:t>
            </w:r>
            <w:r>
              <w:rPr>
                <w:rFonts w:hint="eastAsia" w:ascii="宋体" w:hAnsi="宋体" w:cs="宋体"/>
                <w:highlight w:val="none"/>
              </w:rPr>
              <w:t>月</w:t>
            </w:r>
            <w:r>
              <w:rPr>
                <w:rFonts w:hint="eastAsia" w:ascii="宋体" w:hAnsi="宋体" w:cs="宋体"/>
                <w:highlight w:val="none"/>
                <w:u w:val="single"/>
                <w:lang w:val="en-US" w:eastAsia="zh-CN"/>
              </w:rPr>
              <w:t>23</w:t>
            </w:r>
            <w:r>
              <w:rPr>
                <w:rFonts w:hint="eastAsia" w:ascii="宋体" w:hAnsi="宋体" w:cs="宋体"/>
                <w:highlight w:val="none"/>
              </w:rPr>
              <w:t>日</w:t>
            </w:r>
            <w:r>
              <w:rPr>
                <w:rFonts w:hint="eastAsia" w:ascii="宋体" w:hAnsi="宋体" w:cs="宋体"/>
                <w:highlight w:val="none"/>
                <w:u w:val="single"/>
              </w:rPr>
              <w:t>1</w:t>
            </w:r>
            <w:r>
              <w:rPr>
                <w:rFonts w:hint="eastAsia" w:ascii="宋体" w:hAnsi="宋体" w:cs="宋体"/>
                <w:highlight w:val="none"/>
                <w:u w:val="single"/>
                <w:lang w:val="en-US" w:eastAsia="zh-CN"/>
              </w:rPr>
              <w:t>8</w:t>
            </w:r>
            <w:r>
              <w:rPr>
                <w:rFonts w:hint="eastAsia" w:ascii="宋体" w:hAnsi="宋体" w:cs="宋体"/>
                <w:highlight w:val="none"/>
              </w:rPr>
              <w:t>时</w:t>
            </w:r>
            <w:r>
              <w:rPr>
                <w:rFonts w:hint="eastAsia" w:ascii="宋体" w:hAnsi="宋体" w:cs="宋体"/>
                <w:highlight w:val="none"/>
                <w:u w:val="single"/>
              </w:rPr>
              <w:t>00</w:t>
            </w:r>
            <w:r>
              <w:rPr>
                <w:rFonts w:hint="eastAsia" w:ascii="宋体" w:hAnsi="宋体" w:cs="宋体"/>
                <w:highlight w:val="none"/>
              </w:rPr>
              <w:t>分前。</w:t>
            </w:r>
          </w:p>
        </w:tc>
      </w:tr>
      <w:tr w14:paraId="7CAEA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31B3896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1.11</w:t>
            </w:r>
          </w:p>
        </w:tc>
        <w:tc>
          <w:tcPr>
            <w:tcW w:w="907" w:type="pct"/>
            <w:vAlign w:val="center"/>
          </w:tcPr>
          <w:p w14:paraId="4FAB9F64">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分包</w:t>
            </w:r>
          </w:p>
        </w:tc>
        <w:tc>
          <w:tcPr>
            <w:tcW w:w="3441" w:type="pct"/>
            <w:vAlign w:val="center"/>
          </w:tcPr>
          <w:p w14:paraId="060EB126">
            <w:pPr>
              <w:snapToGrid w:val="0"/>
              <w:spacing w:line="360" w:lineRule="auto"/>
              <w:rPr>
                <w:rFonts w:hint="eastAsia" w:ascii="宋体" w:hAnsi="宋体" w:cs="宋体"/>
                <w:kern w:val="0"/>
                <w:highlight w:val="none"/>
              </w:rPr>
            </w:pPr>
            <w:r>
              <w:rPr>
                <w:rFonts w:hint="eastAsia" w:ascii="宋体" w:hAnsi="宋体" w:cs="宋体"/>
                <w:kern w:val="0"/>
                <w:highlight w:val="none"/>
              </w:rPr>
              <w:t>不允许</w:t>
            </w:r>
          </w:p>
        </w:tc>
      </w:tr>
      <w:tr w14:paraId="25AF6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51" w:type="pct"/>
            <w:vAlign w:val="center"/>
          </w:tcPr>
          <w:p w14:paraId="5478EBA6">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2.1</w:t>
            </w:r>
          </w:p>
        </w:tc>
        <w:tc>
          <w:tcPr>
            <w:tcW w:w="907" w:type="pct"/>
            <w:vAlign w:val="center"/>
          </w:tcPr>
          <w:p w14:paraId="3DF51267">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构成比选文件的其他材料</w:t>
            </w:r>
          </w:p>
        </w:tc>
        <w:tc>
          <w:tcPr>
            <w:tcW w:w="3441" w:type="pct"/>
            <w:vAlign w:val="center"/>
          </w:tcPr>
          <w:p w14:paraId="7DCFBDC0">
            <w:pPr>
              <w:snapToGrid w:val="0"/>
              <w:spacing w:line="360" w:lineRule="auto"/>
              <w:rPr>
                <w:rFonts w:hint="eastAsia" w:ascii="宋体" w:hAnsi="宋体" w:cs="宋体"/>
                <w:highlight w:val="none"/>
              </w:rPr>
            </w:pPr>
            <w:r>
              <w:rPr>
                <w:rFonts w:hint="eastAsia" w:ascii="宋体" w:hAnsi="宋体" w:cs="宋体"/>
                <w:highlight w:val="none"/>
              </w:rPr>
              <w:t>比选人发出的答疑及补遗书</w:t>
            </w:r>
          </w:p>
        </w:tc>
      </w:tr>
      <w:tr w14:paraId="276A4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51" w:type="pct"/>
            <w:vAlign w:val="center"/>
          </w:tcPr>
          <w:p w14:paraId="54466F26">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2.3</w:t>
            </w:r>
          </w:p>
        </w:tc>
        <w:tc>
          <w:tcPr>
            <w:tcW w:w="907" w:type="pct"/>
            <w:vAlign w:val="center"/>
          </w:tcPr>
          <w:p w14:paraId="2D22E191">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比选申请文件递交截止时间</w:t>
            </w:r>
          </w:p>
        </w:tc>
        <w:tc>
          <w:tcPr>
            <w:tcW w:w="3441" w:type="pct"/>
            <w:vAlign w:val="center"/>
          </w:tcPr>
          <w:p w14:paraId="2E344C92">
            <w:pPr>
              <w:snapToGrid w:val="0"/>
              <w:spacing w:line="360" w:lineRule="auto"/>
              <w:rPr>
                <w:rFonts w:hint="eastAsia" w:ascii="宋体" w:hAnsi="宋体" w:cs="宋体"/>
                <w:kern w:val="0"/>
                <w:highlight w:val="none"/>
              </w:rPr>
            </w:pPr>
            <w:r>
              <w:rPr>
                <w:rFonts w:hint="eastAsia"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07</w:t>
            </w:r>
            <w:r>
              <w:rPr>
                <w:rFonts w:hint="eastAsia" w:ascii="宋体" w:hAnsi="宋体" w:cs="宋体"/>
                <w:highlight w:val="none"/>
              </w:rPr>
              <w:t>月</w:t>
            </w:r>
            <w:r>
              <w:rPr>
                <w:rFonts w:hint="eastAsia" w:ascii="宋体" w:hAnsi="宋体" w:cs="宋体"/>
                <w:highlight w:val="none"/>
                <w:u w:val="single"/>
                <w:lang w:val="en-US" w:eastAsia="zh-CN"/>
              </w:rPr>
              <w:t>24</w:t>
            </w:r>
            <w:r>
              <w:rPr>
                <w:rFonts w:hint="eastAsia" w:ascii="宋体" w:hAnsi="宋体" w:cs="宋体"/>
                <w:highlight w:val="none"/>
              </w:rPr>
              <w:t>日</w:t>
            </w:r>
            <w:r>
              <w:rPr>
                <w:rFonts w:hint="eastAsia" w:ascii="宋体" w:hAnsi="宋体" w:cs="宋体"/>
                <w:highlight w:val="none"/>
                <w:u w:val="single"/>
              </w:rPr>
              <w:t>1</w:t>
            </w:r>
            <w:r>
              <w:rPr>
                <w:rFonts w:hint="eastAsia" w:ascii="宋体" w:hAnsi="宋体" w:cs="宋体"/>
                <w:highlight w:val="none"/>
                <w:u w:val="single"/>
                <w:lang w:val="en-US" w:eastAsia="zh-CN"/>
              </w:rPr>
              <w:t>4</w:t>
            </w:r>
            <w:r>
              <w:rPr>
                <w:rFonts w:hint="eastAsia" w:ascii="宋体" w:hAnsi="宋体" w:cs="宋体"/>
                <w:highlight w:val="none"/>
              </w:rPr>
              <w:t>时</w:t>
            </w:r>
            <w:r>
              <w:rPr>
                <w:rFonts w:hint="eastAsia" w:ascii="宋体" w:hAnsi="宋体" w:cs="宋体"/>
                <w:highlight w:val="none"/>
                <w:u w:val="single"/>
                <w:lang w:val="en-US" w:eastAsia="zh-CN"/>
              </w:rPr>
              <w:t>3</w:t>
            </w:r>
            <w:r>
              <w:rPr>
                <w:rFonts w:hint="eastAsia" w:ascii="宋体" w:hAnsi="宋体" w:cs="宋体"/>
                <w:highlight w:val="none"/>
                <w:u w:val="single"/>
              </w:rPr>
              <w:t>0</w:t>
            </w:r>
            <w:r>
              <w:rPr>
                <w:rFonts w:hint="eastAsia" w:ascii="宋体" w:hAnsi="宋体" w:cs="宋体"/>
                <w:highlight w:val="none"/>
              </w:rPr>
              <w:t>分（北京时间）</w:t>
            </w:r>
            <w:bookmarkStart w:id="1052" w:name="_GoBack"/>
            <w:bookmarkEnd w:id="1052"/>
          </w:p>
        </w:tc>
      </w:tr>
      <w:tr w14:paraId="7AFF7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651" w:type="pct"/>
            <w:vAlign w:val="center"/>
          </w:tcPr>
          <w:p w14:paraId="346BB4B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3.2</w:t>
            </w:r>
          </w:p>
          <w:p w14:paraId="230145CC">
            <w:pPr>
              <w:snapToGrid w:val="0"/>
              <w:spacing w:line="300" w:lineRule="auto"/>
              <w:jc w:val="center"/>
              <w:rPr>
                <w:rFonts w:hint="eastAsia" w:ascii="宋体" w:hAnsi="宋体" w:cs="宋体"/>
                <w:kern w:val="0"/>
                <w:highlight w:val="none"/>
              </w:rPr>
            </w:pPr>
          </w:p>
        </w:tc>
        <w:tc>
          <w:tcPr>
            <w:tcW w:w="907" w:type="pct"/>
            <w:vAlign w:val="center"/>
          </w:tcPr>
          <w:p w14:paraId="02DF711D">
            <w:pPr>
              <w:snapToGrid w:val="0"/>
              <w:spacing w:line="300" w:lineRule="auto"/>
              <w:jc w:val="center"/>
              <w:rPr>
                <w:rFonts w:hint="eastAsia" w:ascii="宋体" w:hAnsi="宋体" w:cs="宋体"/>
                <w:kern w:val="0"/>
                <w:highlight w:val="none"/>
              </w:rPr>
            </w:pPr>
            <w:r>
              <w:rPr>
                <w:rFonts w:hint="eastAsia" w:ascii="宋体" w:hAnsi="宋体" w:cs="宋体"/>
                <w:highlight w:val="none"/>
              </w:rPr>
              <w:t>报价原则</w:t>
            </w:r>
          </w:p>
        </w:tc>
        <w:tc>
          <w:tcPr>
            <w:tcW w:w="3441" w:type="pct"/>
            <w:vAlign w:val="center"/>
          </w:tcPr>
          <w:p w14:paraId="02B508F4">
            <w:pPr>
              <w:wordWrap w:val="0"/>
              <w:spacing w:line="360" w:lineRule="auto"/>
              <w:ind w:firstLine="480"/>
              <w:rPr>
                <w:rFonts w:hint="eastAsia"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rPr>
              <w:t>1.本项目采用</w:t>
            </w:r>
            <w:r>
              <w:rPr>
                <w:rFonts w:hint="eastAsia" w:ascii="宋体" w:hAnsi="宋体" w:cs="宋体"/>
                <w:kern w:val="2"/>
                <w:sz w:val="21"/>
                <w:szCs w:val="21"/>
                <w:highlight w:val="none"/>
                <w:lang w:val="en-US" w:eastAsia="zh-CN"/>
              </w:rPr>
              <w:t>固定总价包干的计价方式</w:t>
            </w:r>
            <w:r>
              <w:rPr>
                <w:rFonts w:hint="eastAsia" w:ascii="宋体" w:hAnsi="宋体" w:cs="宋体"/>
                <w:kern w:val="2"/>
                <w:sz w:val="21"/>
                <w:szCs w:val="21"/>
                <w:highlight w:val="none"/>
                <w:lang w:val="en-US"/>
              </w:rPr>
              <w:t>。</w:t>
            </w:r>
            <w:r>
              <w:rPr>
                <w:rFonts w:hint="eastAsia" w:ascii="宋体" w:hAnsi="宋体" w:cs="宋体"/>
                <w:kern w:val="2"/>
                <w:sz w:val="21"/>
                <w:szCs w:val="21"/>
                <w:highlight w:val="none"/>
                <w:lang w:val="en-US" w:eastAsia="zh-CN"/>
              </w:rPr>
              <w:t>比选总</w:t>
            </w:r>
            <w:r>
              <w:rPr>
                <w:rFonts w:hint="eastAsia" w:ascii="宋体" w:hAnsi="宋体" w:eastAsia="宋体" w:cs="宋体"/>
                <w:kern w:val="2"/>
                <w:sz w:val="21"/>
                <w:szCs w:val="21"/>
                <w:highlight w:val="none"/>
                <w:lang w:val="en-US" w:eastAsia="zh-CN"/>
              </w:rPr>
              <w:t>报价是完成设计方案要求的全部内容所需要的报价，包括但不仅限于：制作、物料、配送、安装及辅材、工期、质量（所选材料择优考虑）、安全保险（项目实施期间发生任何安全事件由比选申请人承担相应损失，如工人高空安装作业风险、广告品掉落砸伤他人风险）、文明施工、场地清洁、质保期内维修保养、税费等所有完成本项目所需的费用。</w:t>
            </w:r>
          </w:p>
          <w:p w14:paraId="0D2AC1EB">
            <w:pPr>
              <w:wordWrap w:val="0"/>
              <w:spacing w:line="360" w:lineRule="auto"/>
              <w:ind w:firstLine="480" w:firstLineChars="200"/>
              <w:rPr>
                <w:rFonts w:hint="eastAsia" w:ascii="宋体" w:hAnsi="宋体" w:eastAsia="宋体" w:cs="宋体"/>
                <w:kern w:val="2"/>
                <w:sz w:val="21"/>
                <w:szCs w:val="21"/>
                <w:highlight w:val="none"/>
                <w:lang w:val="en-US" w:eastAsia="zh-CN"/>
              </w:rPr>
            </w:pPr>
            <w:r>
              <w:rPr>
                <w:rFonts w:hint="eastAsia" w:ascii="黑体" w:hAnsi="黑体" w:eastAsia="黑体" w:cs="黑体"/>
                <w:color w:val="auto"/>
                <w:sz w:val="24"/>
                <w:szCs w:val="24"/>
                <w:highlight w:val="none"/>
                <w:lang w:val="en-US" w:eastAsia="zh-CN"/>
              </w:rPr>
              <w:t xml:space="preserve"> </w:t>
            </w:r>
            <w:r>
              <w:rPr>
                <w:rFonts w:hint="eastAsia" w:ascii="宋体" w:hAnsi="宋体" w:eastAsia="宋体" w:cs="宋体"/>
                <w:kern w:val="2"/>
                <w:sz w:val="21"/>
                <w:szCs w:val="21"/>
                <w:highlight w:val="none"/>
                <w:lang w:val="en-US" w:eastAsia="zh-CN"/>
              </w:rPr>
              <w:t>2、本比选文件的工程量清单仅作为比选申请人共同报价的统一依据，工程量清单如与设计方案内容存在差异，实际实施</w:t>
            </w:r>
            <w:r>
              <w:rPr>
                <w:rFonts w:hint="eastAsia" w:ascii="宋体" w:hAnsi="宋体" w:cs="宋体"/>
                <w:kern w:val="2"/>
                <w:sz w:val="21"/>
                <w:szCs w:val="21"/>
                <w:highlight w:val="none"/>
                <w:lang w:val="en-US" w:eastAsia="zh-CN"/>
              </w:rPr>
              <w:t>过程中</w:t>
            </w:r>
            <w:r>
              <w:rPr>
                <w:rFonts w:hint="eastAsia" w:ascii="宋体" w:hAnsi="宋体" w:eastAsia="宋体" w:cs="宋体"/>
                <w:kern w:val="2"/>
                <w:sz w:val="21"/>
                <w:szCs w:val="21"/>
                <w:highlight w:val="none"/>
                <w:lang w:val="en-US" w:eastAsia="zh-CN"/>
              </w:rPr>
              <w:t>以随本比选文件发出的设计方案内容为准，该差异风险比选申请人应在报价中综合考虑，不能因此要求比选人调整合同价款，成交供应商应根据本项目的实际情况与自身现实情况，并充分考虑不确定性因素可能导致的风险。</w:t>
            </w:r>
          </w:p>
          <w:p w14:paraId="7BB0AFB3">
            <w:pPr>
              <w:pStyle w:val="16"/>
              <w:tabs>
                <w:tab w:val="left" w:pos="546"/>
                <w:tab w:val="left" w:pos="711"/>
              </w:tabs>
              <w:snapToGrid w:val="0"/>
              <w:spacing w:after="0" w:line="360" w:lineRule="auto"/>
              <w:ind w:left="6" w:leftChars="3" w:firstLine="420" w:firstLineChars="200"/>
              <w:rPr>
                <w:rFonts w:hint="eastAsia" w:ascii="宋体" w:hAnsi="宋体" w:cs="宋体"/>
                <w:kern w:val="2"/>
                <w:sz w:val="21"/>
                <w:szCs w:val="21"/>
                <w:highlight w:val="none"/>
                <w:lang w:val="en-US"/>
              </w:rPr>
            </w:pPr>
            <w:r>
              <w:rPr>
                <w:rFonts w:hint="eastAsia" w:ascii="宋体" w:hAnsi="宋体" w:cs="宋体"/>
                <w:kern w:val="2"/>
                <w:sz w:val="21"/>
                <w:szCs w:val="21"/>
                <w:highlight w:val="none"/>
                <w:lang w:val="en-US"/>
              </w:rPr>
              <w:t>2.比选申请人应按第五章“工程量清单”的要求填写相应清单表格。比选申请人的比选申请报价应是本章比选申请人须知前附表第1.3.1项中所述的本工程合同段比选范围内的全部工程的比选申请报价。</w:t>
            </w:r>
          </w:p>
          <w:p w14:paraId="0F51BB1D">
            <w:pPr>
              <w:tabs>
                <w:tab w:val="left" w:pos="546"/>
                <w:tab w:val="left" w:pos="711"/>
              </w:tabs>
              <w:snapToGrid w:val="0"/>
              <w:spacing w:line="360" w:lineRule="auto"/>
              <w:ind w:left="6" w:leftChars="3" w:firstLine="420" w:firstLineChars="200"/>
              <w:rPr>
                <w:rFonts w:hint="eastAsia" w:ascii="宋体" w:hAnsi="宋体"/>
                <w:szCs w:val="21"/>
                <w:highlight w:val="none"/>
              </w:rPr>
            </w:pPr>
            <w:r>
              <w:rPr>
                <w:rFonts w:ascii="宋体" w:hAnsi="宋体" w:cs="宋体"/>
                <w:szCs w:val="21"/>
                <w:highlight w:val="none"/>
              </w:rPr>
              <w:t>3.</w:t>
            </w:r>
            <w:r>
              <w:rPr>
                <w:rFonts w:hint="eastAsia" w:ascii="宋体" w:hAnsi="宋体" w:cs="宋体"/>
                <w:szCs w:val="21"/>
                <w:highlight w:val="none"/>
              </w:rPr>
              <w:t>比选申请人应认真填写工程量清单中所列的本合同各工程子目的单价或总价。比选申请人没有填入单价或总价的工程子目，比选人将认为该子目的价款已包括在工程量清单其他子目的单价和总价中。比选申请人必须按</w:t>
            </w:r>
            <w:r>
              <w:rPr>
                <w:rFonts w:hint="eastAsia" w:ascii="宋体" w:hAnsi="宋体"/>
                <w:snapToGrid w:val="0"/>
                <w:kern w:val="0"/>
                <w:szCs w:val="21"/>
                <w:highlight w:val="none"/>
              </w:rPr>
              <w:t>比选</w:t>
            </w:r>
            <w:r>
              <w:rPr>
                <w:rFonts w:hint="eastAsia" w:ascii="宋体" w:hAnsi="宋体" w:cs="宋体"/>
                <w:szCs w:val="21"/>
                <w:highlight w:val="none"/>
              </w:rPr>
              <w:t>工程量清单填报价格。项目编码、项目名称、项目特征、计量单位、工程量必须与</w:t>
            </w:r>
            <w:r>
              <w:rPr>
                <w:rFonts w:hint="eastAsia" w:ascii="宋体" w:hAnsi="宋体"/>
                <w:snapToGrid w:val="0"/>
                <w:kern w:val="0"/>
                <w:szCs w:val="21"/>
                <w:highlight w:val="none"/>
              </w:rPr>
              <w:t>比选</w:t>
            </w:r>
            <w:r>
              <w:rPr>
                <w:rFonts w:hint="eastAsia" w:ascii="宋体" w:hAnsi="宋体" w:cs="宋体"/>
                <w:szCs w:val="21"/>
                <w:highlight w:val="none"/>
              </w:rPr>
              <w:t>工程量清单一致。</w:t>
            </w:r>
          </w:p>
          <w:p w14:paraId="326532FF">
            <w:pPr>
              <w:tabs>
                <w:tab w:val="left" w:pos="546"/>
                <w:tab w:val="left" w:pos="711"/>
              </w:tabs>
              <w:snapToGrid w:val="0"/>
              <w:spacing w:line="360" w:lineRule="auto"/>
              <w:ind w:left="6" w:leftChars="3" w:firstLine="420" w:firstLineChars="200"/>
              <w:rPr>
                <w:rFonts w:hint="eastAsia" w:ascii="宋体" w:hAnsi="宋体" w:cs="宋体"/>
                <w:szCs w:val="21"/>
                <w:highlight w:val="none"/>
              </w:rPr>
            </w:pPr>
            <w:r>
              <w:rPr>
                <w:rFonts w:ascii="宋体" w:hAnsi="宋体" w:cs="宋体"/>
                <w:szCs w:val="21"/>
                <w:highlight w:val="none"/>
              </w:rPr>
              <w:t>4.</w:t>
            </w:r>
            <w:r>
              <w:rPr>
                <w:rFonts w:hint="eastAsia" w:ascii="宋体" w:hAnsi="宋体"/>
                <w:snapToGrid w:val="0"/>
                <w:kern w:val="0"/>
                <w:szCs w:val="21"/>
                <w:highlight w:val="none"/>
              </w:rPr>
              <w:t>比选</w:t>
            </w:r>
            <w:r>
              <w:rPr>
                <w:rFonts w:ascii="宋体" w:hAnsi="宋体"/>
                <w:snapToGrid w:val="0"/>
                <w:kern w:val="0"/>
                <w:szCs w:val="21"/>
                <w:highlight w:val="none"/>
              </w:rPr>
              <w:t>申请</w:t>
            </w:r>
            <w:r>
              <w:rPr>
                <w:rFonts w:hint="eastAsia" w:ascii="宋体" w:hAnsi="宋体" w:cs="宋体"/>
                <w:szCs w:val="21"/>
                <w:highlight w:val="none"/>
              </w:rPr>
              <w:t>函中的总报价必须与已标价工程量清单总报价一致。否则由评选委员会作否决比选申请处理。</w:t>
            </w:r>
          </w:p>
          <w:p w14:paraId="1629A365">
            <w:pPr>
              <w:tabs>
                <w:tab w:val="left" w:pos="546"/>
                <w:tab w:val="left" w:pos="711"/>
              </w:tabs>
              <w:snapToGrid w:val="0"/>
              <w:spacing w:line="360" w:lineRule="auto"/>
              <w:ind w:left="6" w:leftChars="3" w:firstLine="420" w:firstLineChars="200"/>
              <w:rPr>
                <w:rFonts w:hint="eastAsia" w:ascii="宋体" w:hAnsi="宋体" w:cs="宋体"/>
                <w:szCs w:val="21"/>
                <w:highlight w:val="none"/>
                <w:u w:val="single"/>
              </w:rPr>
            </w:pPr>
            <w:r>
              <w:rPr>
                <w:rFonts w:ascii="宋体" w:hAnsi="宋体" w:cs="宋体"/>
                <w:szCs w:val="21"/>
                <w:highlight w:val="none"/>
              </w:rPr>
              <w:t>5.</w:t>
            </w:r>
            <w:r>
              <w:rPr>
                <w:rFonts w:hint="eastAsia" w:ascii="宋体" w:hAnsi="宋体" w:cs="宋体"/>
                <w:szCs w:val="21"/>
                <w:highlight w:val="none"/>
                <w:u w:val="single"/>
              </w:rPr>
              <w:t>（1）在合同实施期间，</w:t>
            </w:r>
            <w:r>
              <w:rPr>
                <w:rFonts w:hint="eastAsia" w:ascii="宋体" w:hAnsi="宋体" w:cs="宋体"/>
                <w:szCs w:val="21"/>
                <w:highlight w:val="none"/>
                <w:u w:val="single"/>
                <w:lang w:val="en-US" w:eastAsia="zh-CN"/>
              </w:rPr>
              <w:t>除设计变更外，固定总价不</w:t>
            </w:r>
            <w:r>
              <w:rPr>
                <w:rFonts w:hint="eastAsia" w:ascii="宋体" w:hAnsi="宋体" w:cs="宋体"/>
                <w:szCs w:val="21"/>
                <w:highlight w:val="none"/>
                <w:u w:val="single"/>
              </w:rPr>
              <w:t>可调整。</w:t>
            </w:r>
          </w:p>
          <w:p w14:paraId="5F9DB59A">
            <w:pPr>
              <w:tabs>
                <w:tab w:val="left" w:pos="546"/>
                <w:tab w:val="left" w:pos="711"/>
              </w:tabs>
              <w:snapToGrid w:val="0"/>
              <w:spacing w:line="360" w:lineRule="auto"/>
              <w:ind w:left="6" w:leftChars="3" w:firstLine="420" w:firstLineChars="200"/>
              <w:rPr>
                <w:rFonts w:hint="eastAsia" w:ascii="宋体" w:hAnsi="宋体" w:cs="宋体"/>
                <w:szCs w:val="21"/>
                <w:highlight w:val="none"/>
              </w:rPr>
            </w:pPr>
            <w:r>
              <w:rPr>
                <w:rFonts w:hint="eastAsia" w:ascii="宋体" w:hAnsi="宋体" w:cs="宋体"/>
                <w:szCs w:val="21"/>
                <w:highlight w:val="none"/>
              </w:rPr>
              <w:t>（2）增值税计税方法由比选人依据国家税法规定选择：</w:t>
            </w:r>
          </w:p>
          <w:p w14:paraId="4C2E394B">
            <w:pPr>
              <w:tabs>
                <w:tab w:val="left" w:pos="546"/>
                <w:tab w:val="left" w:pos="711"/>
              </w:tabs>
              <w:snapToGrid w:val="0"/>
              <w:spacing w:line="360" w:lineRule="auto"/>
              <w:ind w:left="6" w:leftChars="3" w:firstLine="420" w:firstLineChars="200"/>
              <w:rPr>
                <w:rFonts w:hint="eastAsia" w:ascii="宋体" w:hAnsi="宋体" w:cs="宋体"/>
                <w:szCs w:val="21"/>
                <w:highlight w:val="none"/>
              </w:rPr>
            </w:pPr>
            <w:r>
              <w:rPr>
                <w:rFonts w:hint="eastAsia" w:ascii="宋体" w:hAnsi="宋体" w:cs="宋体"/>
                <w:szCs w:val="21"/>
                <w:highlight w:val="none"/>
              </w:rPr>
              <w:sym w:font="Wingdings 2" w:char="0052"/>
            </w:r>
            <w:r>
              <w:rPr>
                <w:rFonts w:hint="eastAsia" w:ascii="宋体" w:hAnsi="宋体" w:cs="宋体"/>
                <w:szCs w:val="21"/>
                <w:highlight w:val="none"/>
              </w:rPr>
              <w:t>一般计税法</w:t>
            </w:r>
          </w:p>
          <w:p w14:paraId="17FFEC1B">
            <w:pPr>
              <w:tabs>
                <w:tab w:val="left" w:pos="546"/>
                <w:tab w:val="left" w:pos="711"/>
              </w:tabs>
              <w:snapToGrid w:val="0"/>
              <w:spacing w:line="360" w:lineRule="auto"/>
              <w:ind w:left="6" w:leftChars="3" w:firstLine="420" w:firstLineChars="200"/>
              <w:rPr>
                <w:rFonts w:hint="eastAsia" w:ascii="宋体" w:hAnsi="宋体" w:cs="宋体"/>
                <w:szCs w:val="21"/>
                <w:highlight w:val="none"/>
              </w:rPr>
            </w:pPr>
            <w:r>
              <w:rPr>
                <w:rFonts w:hint="eastAsia" w:ascii="宋体" w:hAnsi="宋体" w:cs="宋体"/>
                <w:szCs w:val="21"/>
                <w:highlight w:val="none"/>
              </w:rPr>
              <w:sym w:font="Wingdings 2" w:char="00A3"/>
            </w:r>
            <w:r>
              <w:rPr>
                <w:rFonts w:hint="eastAsia" w:ascii="宋体" w:hAnsi="宋体" w:cs="宋体"/>
                <w:szCs w:val="21"/>
                <w:highlight w:val="none"/>
              </w:rPr>
              <w:t>简易计税法</w:t>
            </w:r>
          </w:p>
          <w:p w14:paraId="41C776D6">
            <w:pPr>
              <w:tabs>
                <w:tab w:val="left" w:pos="546"/>
                <w:tab w:val="left" w:pos="711"/>
              </w:tabs>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6</w:t>
            </w:r>
            <w:r>
              <w:rPr>
                <w:rFonts w:ascii="宋体" w:hAnsi="宋体" w:cs="宋体"/>
                <w:szCs w:val="21"/>
                <w:highlight w:val="none"/>
              </w:rPr>
              <w:t>.</w:t>
            </w:r>
            <w:r>
              <w:rPr>
                <w:rFonts w:hint="eastAsia" w:ascii="宋体" w:hAnsi="宋体" w:cs="宋体"/>
                <w:b/>
                <w:szCs w:val="21"/>
                <w:highlight w:val="none"/>
              </w:rPr>
              <w:t>本工程比选将设置总报价最高限价，</w:t>
            </w:r>
            <w:r>
              <w:rPr>
                <w:rFonts w:hint="eastAsia" w:ascii="宋体" w:hAnsi="宋体"/>
                <w:b/>
                <w:snapToGrid w:val="0"/>
                <w:kern w:val="0"/>
                <w:szCs w:val="21"/>
                <w:highlight w:val="none"/>
              </w:rPr>
              <w:t>比选</w:t>
            </w:r>
            <w:r>
              <w:rPr>
                <w:rFonts w:hint="eastAsia" w:ascii="宋体" w:hAnsi="宋体" w:cs="宋体"/>
                <w:b/>
                <w:szCs w:val="21"/>
                <w:highlight w:val="none"/>
              </w:rPr>
              <w:t>总报价最高限价</w:t>
            </w:r>
            <w:r>
              <w:rPr>
                <w:rFonts w:hint="eastAsia" w:ascii="宋体" w:hAnsi="宋体"/>
                <w:b/>
                <w:szCs w:val="21"/>
                <w:highlight w:val="none"/>
              </w:rPr>
              <w:t>为人民币</w:t>
            </w:r>
            <w:r>
              <w:rPr>
                <w:rFonts w:hint="eastAsia" w:ascii="宋体" w:hAnsi="宋体"/>
                <w:b/>
                <w:szCs w:val="21"/>
                <w:highlight w:val="none"/>
                <w:u w:val="single"/>
                <w:lang w:val="en-US" w:eastAsia="zh-CN"/>
              </w:rPr>
              <w:t>124500.00</w:t>
            </w:r>
            <w:r>
              <w:rPr>
                <w:rFonts w:hint="eastAsia" w:ascii="宋体" w:hAnsi="宋体"/>
                <w:b/>
                <w:szCs w:val="21"/>
                <w:highlight w:val="none"/>
              </w:rPr>
              <w:t>元（大写：</w:t>
            </w:r>
            <w:r>
              <w:rPr>
                <w:rFonts w:hint="eastAsia" w:ascii="宋体" w:hAnsi="宋体"/>
                <w:b/>
                <w:szCs w:val="21"/>
                <w:highlight w:val="none"/>
                <w:u w:val="single"/>
                <w:lang w:val="en-US" w:eastAsia="zh-CN"/>
              </w:rPr>
              <w:t>壹拾贰万肆仟伍佰</w:t>
            </w:r>
            <w:r>
              <w:rPr>
                <w:rFonts w:hint="eastAsia" w:ascii="宋体" w:hAnsi="宋体"/>
                <w:b/>
                <w:szCs w:val="21"/>
                <w:highlight w:val="none"/>
              </w:rPr>
              <w:t>)</w:t>
            </w:r>
            <w:r>
              <w:rPr>
                <w:rFonts w:hint="eastAsia" w:ascii="宋体" w:hAnsi="宋体"/>
                <w:b/>
                <w:szCs w:val="21"/>
                <w:highlight w:val="none"/>
                <w:lang w:eastAsia="zh-CN"/>
              </w:rPr>
              <w:t>。</w:t>
            </w:r>
            <w:r>
              <w:rPr>
                <w:rFonts w:hint="eastAsia" w:ascii="宋体" w:hAnsi="宋体"/>
                <w:b/>
                <w:szCs w:val="21"/>
                <w:highlight w:val="none"/>
              </w:rPr>
              <w:t>比选申请人的比选申请总报价不得</w:t>
            </w:r>
            <w:r>
              <w:rPr>
                <w:rFonts w:hint="eastAsia" w:ascii="宋体" w:hAnsi="宋体" w:cs="宋体"/>
                <w:b/>
                <w:szCs w:val="21"/>
                <w:highlight w:val="none"/>
              </w:rPr>
              <w:t>超过总报价最高限价，否则由评选委员会作</w:t>
            </w:r>
            <w:r>
              <w:rPr>
                <w:rFonts w:hint="eastAsia" w:ascii="宋体" w:hAnsi="宋体"/>
                <w:b/>
                <w:szCs w:val="21"/>
                <w:highlight w:val="none"/>
              </w:rPr>
              <w:t>否决比选申请处理。</w:t>
            </w:r>
          </w:p>
          <w:p w14:paraId="648CFADE">
            <w:pPr>
              <w:snapToGrid w:val="0"/>
              <w:spacing w:line="360" w:lineRule="auto"/>
              <w:ind w:firstLine="420" w:firstLineChars="200"/>
              <w:rPr>
                <w:highlight w:val="none"/>
              </w:rPr>
            </w:pPr>
            <w:r>
              <w:rPr>
                <w:rFonts w:hint="eastAsia" w:ascii="宋体" w:hAnsi="宋体" w:cs="宋体"/>
                <w:szCs w:val="21"/>
                <w:highlight w:val="none"/>
                <w:lang w:val="en-US" w:eastAsia="zh-CN"/>
              </w:rPr>
              <w:t>7</w:t>
            </w:r>
            <w:r>
              <w:rPr>
                <w:rFonts w:hint="eastAsia" w:ascii="宋体" w:hAnsi="宋体" w:cs="宋体"/>
                <w:szCs w:val="21"/>
                <w:highlight w:val="none"/>
              </w:rPr>
              <w:t>.</w:t>
            </w:r>
            <w:r>
              <w:rPr>
                <w:rFonts w:hint="eastAsia"/>
                <w:highlight w:val="none"/>
              </w:rPr>
              <w:t>其他说明</w:t>
            </w:r>
          </w:p>
          <w:p w14:paraId="57C96380">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.1按政策规定应由</w:t>
            </w:r>
            <w:r>
              <w:rPr>
                <w:rFonts w:hint="eastAsia" w:ascii="宋体" w:hAnsi="宋体" w:cs="宋体"/>
                <w:highlight w:val="none"/>
                <w:lang w:val="en-US" w:eastAsia="zh-CN"/>
              </w:rPr>
              <w:t>比选申请人</w:t>
            </w:r>
            <w:r>
              <w:rPr>
                <w:rFonts w:hint="eastAsia" w:ascii="宋体" w:hAnsi="宋体" w:cs="宋体"/>
                <w:highlight w:val="none"/>
              </w:rPr>
              <w:t>购买和合同约定的应由比选申请人交纳的各种保险费由比选申请人自行投保，保险费由比选申请人承担并支付，并根据企业自身和本</w:t>
            </w:r>
            <w:r>
              <w:rPr>
                <w:rFonts w:hint="eastAsia" w:ascii="宋体" w:hAnsi="宋体" w:cs="宋体"/>
                <w:highlight w:val="none"/>
                <w:lang w:val="en-US" w:eastAsia="zh-CN"/>
              </w:rPr>
              <w:t>项目</w:t>
            </w:r>
            <w:r>
              <w:rPr>
                <w:rFonts w:hint="eastAsia" w:ascii="宋体" w:hAnsi="宋体" w:cs="宋体"/>
                <w:highlight w:val="none"/>
              </w:rPr>
              <w:t>情况，测算包含在相应的报价中。</w:t>
            </w:r>
          </w:p>
          <w:p w14:paraId="5947719E">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.2</w:t>
            </w:r>
            <w:r>
              <w:rPr>
                <w:rFonts w:hint="eastAsia" w:ascii="宋体" w:hAnsi="宋体" w:cs="宋体"/>
                <w:highlight w:val="none"/>
                <w:lang w:val="en-US" w:eastAsia="zh-CN"/>
              </w:rPr>
              <w:t>由</w:t>
            </w:r>
            <w:r>
              <w:rPr>
                <w:rFonts w:hint="eastAsia" w:ascii="宋体" w:hAnsi="宋体" w:cs="宋体"/>
                <w:highlight w:val="none"/>
              </w:rPr>
              <w:t>比选申请人自行解决用水用电。</w:t>
            </w:r>
          </w:p>
          <w:p w14:paraId="591F7B4B">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.3比选申请人的工程量清单总报价应与比选申请函中填写的报价必须一致。否则视为对比选文件不响应，由评选委员会作否决比选申请处理。</w:t>
            </w:r>
          </w:p>
          <w:p w14:paraId="117C1D45">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.4各比选申请人可踏勘现场，了解本工程及周边区域的现场情况，包括</w:t>
            </w:r>
            <w:r>
              <w:rPr>
                <w:rFonts w:hint="eastAsia" w:ascii="宋体" w:hAnsi="宋体" w:cs="宋体"/>
                <w:highlight w:val="none"/>
                <w:lang w:val="en-US" w:eastAsia="zh-CN"/>
              </w:rPr>
              <w:t>项目</w:t>
            </w:r>
            <w:r>
              <w:rPr>
                <w:rFonts w:hint="eastAsia" w:ascii="宋体" w:hAnsi="宋体" w:cs="宋体"/>
                <w:highlight w:val="none"/>
              </w:rPr>
              <w:t>位置、周边区域情况、</w:t>
            </w:r>
            <w:r>
              <w:rPr>
                <w:rFonts w:hint="eastAsia" w:ascii="宋体" w:hAnsi="宋体" w:cs="宋体"/>
                <w:highlight w:val="none"/>
                <w:lang w:val="en-US" w:eastAsia="zh-CN"/>
              </w:rPr>
              <w:t>实施</w:t>
            </w:r>
            <w:r>
              <w:rPr>
                <w:rFonts w:hint="eastAsia" w:ascii="宋体" w:hAnsi="宋体" w:cs="宋体"/>
                <w:highlight w:val="none"/>
              </w:rPr>
              <w:t>难度、地质情况、进出场道路、临时用水、临时用电、场内外排水、临设搭建、场内运输及多次转运、垂直运输、拆迁干扰、材料和机械堆场、作业面、交叉干扰、装卸限制、行车干扰及任何其它足以影响承包价格的情况，任何因忽视或误解</w:t>
            </w:r>
            <w:r>
              <w:rPr>
                <w:rFonts w:hint="eastAsia" w:ascii="宋体" w:hAnsi="宋体" w:cs="宋体"/>
                <w:highlight w:val="none"/>
                <w:lang w:val="en-US" w:eastAsia="zh-CN"/>
              </w:rPr>
              <w:t>实施场地</w:t>
            </w:r>
            <w:r>
              <w:rPr>
                <w:rFonts w:hint="eastAsia" w:ascii="宋体" w:hAnsi="宋体" w:cs="宋体"/>
                <w:highlight w:val="none"/>
              </w:rPr>
              <w:t>及周边区域现场情况等而导致的索赔和工期延长申请将不获批准。</w:t>
            </w:r>
          </w:p>
          <w:p w14:paraId="0EC0B719">
            <w:pPr>
              <w:snapToGrid w:val="0"/>
              <w:spacing w:line="360" w:lineRule="auto"/>
              <w:ind w:firstLine="420" w:firstLineChars="200"/>
              <w:rPr>
                <w:rFonts w:hint="eastAsia" w:ascii="宋体" w:hAnsi="宋体" w:eastAsia="宋体" w:cs="宋体"/>
                <w:szCs w:val="21"/>
                <w:highlight w:val="none"/>
                <w:lang w:eastAsia="zh-CN"/>
              </w:rPr>
            </w:pPr>
            <w:r>
              <w:rPr>
                <w:rFonts w:hint="eastAsia" w:ascii="宋体" w:hAnsi="宋体" w:cs="宋体"/>
                <w:szCs w:val="21"/>
                <w:highlight w:val="none"/>
                <w:lang w:val="en-US" w:eastAsia="zh-CN"/>
              </w:rPr>
              <w:t>7.5</w:t>
            </w:r>
            <w:r>
              <w:rPr>
                <w:rFonts w:hint="eastAsia" w:ascii="宋体" w:hAnsi="宋体" w:cs="宋体"/>
                <w:szCs w:val="21"/>
                <w:highlight w:val="none"/>
              </w:rPr>
              <w:t>.比选申请人应将完成该工程发生的所有措施费由比选申请人自行考虑纳入报价中</w:t>
            </w:r>
            <w:r>
              <w:rPr>
                <w:rFonts w:hint="eastAsia" w:ascii="宋体" w:hAnsi="宋体" w:cs="宋体"/>
                <w:szCs w:val="21"/>
                <w:highlight w:val="none"/>
                <w:lang w:eastAsia="zh-CN"/>
              </w:rPr>
              <w:t>，</w:t>
            </w:r>
            <w:r>
              <w:rPr>
                <w:rFonts w:hint="eastAsia" w:ascii="宋体" w:hAnsi="宋体" w:cs="宋体"/>
                <w:szCs w:val="21"/>
                <w:highlight w:val="none"/>
                <w:lang w:val="en-US" w:eastAsia="zh-CN"/>
              </w:rPr>
              <w:t>包括且不限于</w:t>
            </w:r>
            <w:r>
              <w:rPr>
                <w:rFonts w:hint="eastAsia" w:ascii="宋体" w:hAnsi="宋体" w:cs="宋体"/>
                <w:szCs w:val="21"/>
                <w:highlight w:val="none"/>
                <w:lang w:eastAsia="zh-CN"/>
              </w:rPr>
              <w:t>：</w:t>
            </w:r>
          </w:p>
          <w:p w14:paraId="245C8C37">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（1）</w:t>
            </w:r>
            <w:r>
              <w:rPr>
                <w:rFonts w:hint="eastAsia" w:ascii="宋体" w:hAnsi="宋体" w:cs="宋体"/>
                <w:szCs w:val="21"/>
                <w:highlight w:val="none"/>
              </w:rPr>
              <w:t>保证</w:t>
            </w:r>
            <w:r>
              <w:rPr>
                <w:rFonts w:hint="eastAsia" w:ascii="宋体" w:hAnsi="宋体" w:cs="宋体"/>
                <w:szCs w:val="21"/>
                <w:highlight w:val="none"/>
                <w:lang w:val="en-US" w:eastAsia="zh-CN"/>
              </w:rPr>
              <w:t>项目</w:t>
            </w:r>
            <w:r>
              <w:rPr>
                <w:rFonts w:hint="eastAsia" w:ascii="宋体" w:hAnsi="宋体" w:cs="宋体"/>
                <w:szCs w:val="21"/>
                <w:highlight w:val="none"/>
              </w:rPr>
              <w:t>质量、安全、工期应采取的全部措施费用。</w:t>
            </w:r>
          </w:p>
          <w:p w14:paraId="313D4668">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（2）</w:t>
            </w:r>
            <w:r>
              <w:rPr>
                <w:rFonts w:hint="eastAsia" w:ascii="宋体" w:hAnsi="宋体" w:cs="宋体"/>
                <w:szCs w:val="21"/>
                <w:highlight w:val="none"/>
              </w:rPr>
              <w:t>比选申请人临时设施等用地费用。</w:t>
            </w:r>
          </w:p>
          <w:p w14:paraId="340B8608">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（3）</w:t>
            </w:r>
            <w:r>
              <w:rPr>
                <w:rFonts w:hint="eastAsia" w:ascii="宋体" w:hAnsi="宋体" w:cs="宋体"/>
                <w:szCs w:val="21"/>
                <w:highlight w:val="none"/>
              </w:rPr>
              <w:t>对周边建筑的保护、行车行人干扰、交通转换等措施费用。</w:t>
            </w:r>
          </w:p>
          <w:p w14:paraId="1839822B">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（4）</w:t>
            </w:r>
            <w:r>
              <w:rPr>
                <w:rFonts w:hint="eastAsia" w:ascii="宋体" w:hAnsi="宋体" w:cs="宋体"/>
                <w:szCs w:val="21"/>
                <w:highlight w:val="none"/>
              </w:rPr>
              <w:t>材料及半成品的下车、堆放、仓储保管及二次转运至安装地点等全部费用；</w:t>
            </w:r>
            <w:r>
              <w:rPr>
                <w:rFonts w:hint="eastAsia" w:ascii="宋体" w:hAnsi="宋体" w:cs="宋体"/>
                <w:szCs w:val="21"/>
                <w:highlight w:val="none"/>
                <w:lang w:val="en-US" w:eastAsia="zh-CN"/>
              </w:rPr>
              <w:t>实施</w:t>
            </w:r>
            <w:r>
              <w:rPr>
                <w:rFonts w:hint="eastAsia" w:ascii="宋体" w:hAnsi="宋体" w:cs="宋体"/>
                <w:szCs w:val="21"/>
                <w:highlight w:val="none"/>
              </w:rPr>
              <w:t>范围及周边建筑物、构筑物保护费用；与周边单位、居民等其他工作产生的配合及协调管理等费用。</w:t>
            </w:r>
          </w:p>
          <w:p w14:paraId="0435F99E">
            <w:pPr>
              <w:snapToGrid w:val="0"/>
              <w:spacing w:line="360" w:lineRule="auto"/>
              <w:ind w:firstLine="420" w:firstLineChars="200"/>
              <w:rPr>
                <w:rFonts w:hint="eastAsia" w:ascii="宋体" w:hAnsi="宋体" w:cs="宋体"/>
                <w:sz w:val="21"/>
                <w:szCs w:val="21"/>
                <w:highlight w:val="none"/>
              </w:rPr>
            </w:pPr>
            <w:r>
              <w:rPr>
                <w:rFonts w:hint="eastAsia" w:ascii="宋体" w:hAnsi="宋体" w:cs="宋体"/>
                <w:szCs w:val="21"/>
                <w:highlight w:val="none"/>
                <w:lang w:val="en-US" w:eastAsia="zh-CN"/>
              </w:rPr>
              <w:t>（5）如果有规定，由比选申请人</w:t>
            </w:r>
            <w:r>
              <w:rPr>
                <w:rFonts w:hint="eastAsia" w:ascii="宋体" w:hAnsi="宋体" w:cs="宋体"/>
                <w:szCs w:val="21"/>
                <w:highlight w:val="none"/>
              </w:rPr>
              <w:t>办理环卫、噪音、防尘等相关手续的费用。本工程建筑垃圾外运必须执行渝府办〔2014〕25号《重庆市人民政府办公厅关于印发规范整治都市功能核心区及拓展区建筑垃圾密闭运输工作实施方案的通知》的规定执行。</w:t>
            </w:r>
          </w:p>
        </w:tc>
      </w:tr>
      <w:tr w14:paraId="73B01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51" w:type="pct"/>
            <w:vAlign w:val="center"/>
          </w:tcPr>
          <w:p w14:paraId="352EC22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3.3.1</w:t>
            </w:r>
          </w:p>
        </w:tc>
        <w:tc>
          <w:tcPr>
            <w:tcW w:w="907" w:type="pct"/>
            <w:vAlign w:val="center"/>
          </w:tcPr>
          <w:p w14:paraId="5DDBABFC">
            <w:pPr>
              <w:snapToGrid w:val="0"/>
              <w:spacing w:line="300" w:lineRule="auto"/>
              <w:jc w:val="center"/>
              <w:rPr>
                <w:rFonts w:hint="eastAsia" w:ascii="宋体" w:hAnsi="宋体" w:cs="宋体"/>
                <w:kern w:val="0"/>
                <w:highlight w:val="none"/>
              </w:rPr>
            </w:pPr>
            <w:r>
              <w:rPr>
                <w:rFonts w:hint="eastAsia" w:ascii="宋体" w:hAnsi="宋体" w:cs="宋体"/>
                <w:kern w:val="0"/>
                <w:highlight w:val="none"/>
                <w:lang w:val="en-US" w:eastAsia="zh-CN"/>
              </w:rPr>
              <w:t>投标</w:t>
            </w:r>
            <w:r>
              <w:rPr>
                <w:rFonts w:hint="eastAsia" w:ascii="宋体" w:hAnsi="宋体" w:cs="宋体"/>
                <w:kern w:val="0"/>
                <w:highlight w:val="none"/>
              </w:rPr>
              <w:t>有效期</w:t>
            </w:r>
          </w:p>
        </w:tc>
        <w:tc>
          <w:tcPr>
            <w:tcW w:w="3441" w:type="pct"/>
            <w:vAlign w:val="center"/>
          </w:tcPr>
          <w:p w14:paraId="4F61BD82">
            <w:pPr>
              <w:snapToGrid w:val="0"/>
              <w:spacing w:line="360" w:lineRule="auto"/>
              <w:rPr>
                <w:rFonts w:hint="eastAsia" w:ascii="宋体" w:hAnsi="宋体" w:cs="宋体"/>
                <w:highlight w:val="none"/>
              </w:rPr>
            </w:pPr>
            <w:r>
              <w:rPr>
                <w:rFonts w:hint="eastAsia" w:ascii="宋体" w:hAnsi="宋体" w:cs="宋体"/>
                <w:highlight w:val="none"/>
              </w:rPr>
              <w:t xml:space="preserve"> 90日历天（从提交比选申请文件截止日起计算）</w:t>
            </w:r>
          </w:p>
        </w:tc>
      </w:tr>
      <w:tr w14:paraId="1D58C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651" w:type="pct"/>
            <w:vAlign w:val="center"/>
          </w:tcPr>
          <w:p w14:paraId="44A3C1F7">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3.4</w:t>
            </w:r>
          </w:p>
        </w:tc>
        <w:tc>
          <w:tcPr>
            <w:tcW w:w="907" w:type="pct"/>
            <w:vAlign w:val="center"/>
          </w:tcPr>
          <w:p w14:paraId="5954F493">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比选保证金</w:t>
            </w:r>
          </w:p>
        </w:tc>
        <w:tc>
          <w:tcPr>
            <w:tcW w:w="3441" w:type="pct"/>
            <w:vAlign w:val="center"/>
          </w:tcPr>
          <w:p w14:paraId="2B378F0F">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1. 交纳比选保证金</w:t>
            </w:r>
          </w:p>
          <w:p w14:paraId="0D77FC42">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（1）比选保证金的金额：</w:t>
            </w:r>
            <w:r>
              <w:rPr>
                <w:rFonts w:hint="eastAsia" w:ascii="宋体" w:hAnsi="宋体" w:cs="宋体"/>
                <w:highlight w:val="none"/>
                <w:lang w:val="en-US" w:eastAsia="zh-CN"/>
              </w:rPr>
              <w:t>2000</w:t>
            </w:r>
            <w:r>
              <w:rPr>
                <w:rFonts w:hint="eastAsia" w:ascii="宋体" w:hAnsi="宋体" w:cs="宋体"/>
                <w:highlight w:val="none"/>
              </w:rPr>
              <w:t>.00元</w:t>
            </w:r>
            <w:r>
              <w:rPr>
                <w:rFonts w:hint="eastAsia" w:ascii="宋体" w:hAnsi="宋体" w:cs="宋体"/>
                <w:highlight w:val="none"/>
                <w:lang w:eastAsia="zh-CN"/>
              </w:rPr>
              <w:t>（</w:t>
            </w:r>
            <w:r>
              <w:rPr>
                <w:rFonts w:hint="eastAsia" w:ascii="宋体" w:hAnsi="宋体" w:cs="宋体"/>
                <w:highlight w:val="none"/>
                <w:lang w:val="en-US" w:eastAsia="zh-CN"/>
              </w:rPr>
              <w:t>大写：贰仟元整）</w:t>
            </w:r>
            <w:r>
              <w:rPr>
                <w:rFonts w:hint="eastAsia" w:ascii="宋体" w:hAnsi="宋体" w:cs="宋体"/>
                <w:highlight w:val="none"/>
              </w:rPr>
              <w:t>；</w:t>
            </w:r>
          </w:p>
          <w:p w14:paraId="4F15203B">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（2）保证金提交截止时间：同比选申请文件递交截止时间；</w:t>
            </w:r>
          </w:p>
          <w:p w14:paraId="7882505F">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（3）比选保证金方式（二选一）：</w:t>
            </w:r>
          </w:p>
          <w:p w14:paraId="3A523DA7">
            <w:pPr>
              <w:widowControl/>
              <w:adjustRightInd w:val="0"/>
              <w:snapToGrid w:val="0"/>
              <w:spacing w:line="360" w:lineRule="auto"/>
              <w:ind w:firstLine="420" w:firstLineChars="200"/>
              <w:rPr>
                <w:rFonts w:hint="default" w:ascii="宋体" w:hAnsi="宋体" w:eastAsia="宋体" w:cs="宋体"/>
                <w:highlight w:val="none"/>
                <w:lang w:val="en-US" w:eastAsia="zh-CN"/>
              </w:rPr>
            </w:pPr>
            <w:r>
              <w:rPr>
                <w:rFonts w:hint="eastAsia" w:ascii="宋体" w:hAnsi="宋体" w:cs="宋体"/>
                <w:highlight w:val="none"/>
              </w:rPr>
              <w:t>2.方式1：</w:t>
            </w:r>
            <w:r>
              <w:rPr>
                <w:rFonts w:hint="eastAsia" w:ascii="宋体" w:hAnsi="宋体" w:cs="宋体"/>
                <w:highlight w:val="none"/>
                <w:lang w:val="en-US" w:eastAsia="zh-CN"/>
              </w:rPr>
              <w:t>转账或电汇</w:t>
            </w:r>
          </w:p>
          <w:p w14:paraId="0014144D">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比选申请人从企业基本账户通过转账或者以电汇方式直接划至指定的比选保证金汇入账户：</w:t>
            </w:r>
          </w:p>
          <w:p w14:paraId="1D5B7F47">
            <w:pPr>
              <w:spacing w:line="360" w:lineRule="auto"/>
              <w:ind w:firstLine="422" w:firstLineChars="200"/>
              <w:rPr>
                <w:rFonts w:hint="eastAsia" w:ascii="宋体" w:hAnsi="宋体"/>
                <w:b/>
                <w:highlight w:val="none"/>
              </w:rPr>
            </w:pPr>
            <w:r>
              <w:rPr>
                <w:rFonts w:ascii="宋体" w:hAnsi="宋体"/>
                <w:b/>
                <w:highlight w:val="none"/>
              </w:rPr>
              <w:t>账户名称：</w:t>
            </w:r>
            <w:r>
              <w:rPr>
                <w:rFonts w:hint="eastAsia" w:ascii="宋体" w:hAnsi="宋体"/>
                <w:b/>
                <w:highlight w:val="none"/>
              </w:rPr>
              <w:t>中金招标有限责任公司重庆分公司；</w:t>
            </w:r>
          </w:p>
          <w:p w14:paraId="5A2E8E33">
            <w:pPr>
              <w:spacing w:line="360" w:lineRule="auto"/>
              <w:ind w:firstLine="422" w:firstLineChars="200"/>
              <w:rPr>
                <w:rFonts w:hint="eastAsia" w:ascii="宋体" w:hAnsi="宋体"/>
                <w:b/>
                <w:highlight w:val="none"/>
              </w:rPr>
            </w:pPr>
            <w:r>
              <w:rPr>
                <w:rFonts w:ascii="宋体" w:hAnsi="宋体"/>
                <w:b/>
                <w:highlight w:val="none"/>
              </w:rPr>
              <w:t>开户行：</w:t>
            </w:r>
            <w:r>
              <w:rPr>
                <w:rFonts w:hint="eastAsia" w:ascii="宋体" w:hAnsi="宋体"/>
                <w:b/>
                <w:highlight w:val="none"/>
              </w:rPr>
              <w:t>中国工商银行重庆市江北红五路支行</w:t>
            </w:r>
          </w:p>
          <w:p w14:paraId="2B1467F6">
            <w:pPr>
              <w:spacing w:line="360" w:lineRule="auto"/>
              <w:ind w:firstLine="422" w:firstLineChars="200"/>
              <w:rPr>
                <w:rFonts w:hint="eastAsia" w:ascii="宋体" w:hAnsi="宋体"/>
                <w:b/>
                <w:highlight w:val="none"/>
              </w:rPr>
            </w:pPr>
            <w:r>
              <w:rPr>
                <w:rFonts w:ascii="宋体" w:hAnsi="宋体"/>
                <w:b/>
                <w:highlight w:val="none"/>
              </w:rPr>
              <w:t>账 号</w:t>
            </w:r>
            <w:r>
              <w:rPr>
                <w:rFonts w:hint="eastAsia" w:ascii="宋体" w:hAnsi="宋体" w:eastAsia="宋体"/>
                <w:b/>
                <w:highlight w:val="none"/>
              </w:rPr>
              <w:t>：3100258609100041471</w:t>
            </w:r>
          </w:p>
          <w:p w14:paraId="1E47AD6E">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xml:space="preserve">竟选人必须在付款凭证备注栏中注明 </w:t>
            </w:r>
            <w:r>
              <w:rPr>
                <w:rFonts w:hint="eastAsia" w:ascii="宋体" w:hAnsi="宋体" w:cs="宋体"/>
                <w:highlight w:val="none"/>
                <w:u w:val="single"/>
              </w:rPr>
              <w:t>“</w:t>
            </w:r>
            <w:r>
              <w:rPr>
                <w:rFonts w:hint="eastAsia" w:ascii="宋体" w:hAnsi="宋体" w:cs="宋体"/>
                <w:highlight w:val="none"/>
                <w:u w:val="single"/>
                <w:lang w:val="en-US" w:eastAsia="zh-CN"/>
              </w:rPr>
              <w:t>白市驿川剧主题美陈广告制作</w:t>
            </w:r>
            <w:r>
              <w:rPr>
                <w:rFonts w:hint="eastAsia" w:ascii="宋体" w:hAnsi="宋体" w:cs="宋体"/>
                <w:highlight w:val="none"/>
                <w:u w:val="none"/>
              </w:rPr>
              <w:t>比选保证金”</w:t>
            </w:r>
            <w:r>
              <w:rPr>
                <w:rFonts w:hint="eastAsia" w:ascii="宋体" w:hAnsi="宋体" w:cs="宋体"/>
                <w:highlight w:val="none"/>
              </w:rPr>
              <w:t>。</w:t>
            </w:r>
          </w:p>
          <w:p w14:paraId="3ED524FC">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比选申请人需将比选保证金银行转账汇款凭证复印件加盖单位公章装入比选申请文件中，最终以比选保证金收款账户实际到账为准。</w:t>
            </w:r>
          </w:p>
          <w:p w14:paraId="11F8B117">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3.方式2：</w:t>
            </w:r>
            <w:r>
              <w:rPr>
                <w:rFonts w:hint="eastAsia" w:ascii="宋体" w:hAnsi="宋体" w:cs="宋体"/>
                <w:sz w:val="21"/>
                <w:szCs w:val="21"/>
                <w:highlight w:val="none"/>
              </w:rPr>
              <w:t>电子投标保函</w:t>
            </w:r>
          </w:p>
          <w:p w14:paraId="32DAF3F8">
            <w:pPr>
              <w:pStyle w:val="16"/>
              <w:tabs>
                <w:tab w:val="left" w:pos="546"/>
                <w:tab w:val="left" w:pos="711"/>
              </w:tabs>
              <w:snapToGrid w:val="0"/>
              <w:spacing w:line="400" w:lineRule="exact"/>
              <w:ind w:firstLine="420" w:firstLineChars="200"/>
              <w:rPr>
                <w:rFonts w:hint="eastAsia" w:ascii="宋体" w:hAnsi="宋体" w:cs="宋体"/>
                <w:sz w:val="21"/>
                <w:szCs w:val="21"/>
                <w:highlight w:val="none"/>
              </w:rPr>
            </w:pPr>
            <w:r>
              <w:rPr>
                <w:rFonts w:hint="eastAsia" w:ascii="宋体" w:hAnsi="宋体" w:cs="宋体"/>
                <w:sz w:val="21"/>
                <w:szCs w:val="21"/>
                <w:highlight w:val="none"/>
                <w:lang w:val="en-US" w:eastAsia="zh-CN"/>
              </w:rPr>
              <w:t>3.1</w:t>
            </w:r>
            <w:r>
              <w:rPr>
                <w:rFonts w:hint="eastAsia" w:ascii="宋体" w:hAnsi="宋体" w:cs="宋体"/>
                <w:sz w:val="21"/>
                <w:szCs w:val="21"/>
                <w:highlight w:val="none"/>
              </w:rPr>
              <w:t>保证金交款形式及要求：电子投标保函交纳形式及要求:供应商在投标截止时间前通过行采家采购平台金融服务中心(https://www.gec123.com/financialService/home)向金融机构申请开具电子投标保函，电子投标保函应至少体现如下内容:担保项目必须为本项目:②)受益人必须为本项目招标人:③保函担保金额必须满足本项目要求:④保函生效时间必须在投标截止时间前，有效期限必须至少包含整个投标有效期。</w:t>
            </w:r>
          </w:p>
          <w:p w14:paraId="3F69D3A8">
            <w:pPr>
              <w:pStyle w:val="16"/>
              <w:tabs>
                <w:tab w:val="left" w:pos="546"/>
                <w:tab w:val="left" w:pos="711"/>
              </w:tabs>
              <w:snapToGrid w:val="0"/>
              <w:spacing w:line="400" w:lineRule="exact"/>
              <w:ind w:firstLine="420" w:firstLineChars="200"/>
              <w:rPr>
                <w:rFonts w:hint="eastAsia" w:ascii="宋体" w:hAnsi="宋体" w:cs="宋体"/>
                <w:sz w:val="21"/>
                <w:szCs w:val="21"/>
                <w:highlight w:val="none"/>
              </w:rPr>
            </w:pPr>
            <w:r>
              <w:rPr>
                <w:rFonts w:hint="eastAsia" w:ascii="宋体" w:hAnsi="宋体" w:cs="宋体"/>
                <w:sz w:val="21"/>
                <w:szCs w:val="21"/>
                <w:highlight w:val="none"/>
              </w:rPr>
              <w:t>若投标截止时间延期，则电子投标保函提交的截止时间和投标截止时间应当保持一致。不满足上述要求的电子投标保函无效。</w:t>
            </w:r>
          </w:p>
          <w:p w14:paraId="143B8E8B">
            <w:pPr>
              <w:pStyle w:val="16"/>
              <w:tabs>
                <w:tab w:val="left" w:pos="546"/>
                <w:tab w:val="left" w:pos="711"/>
              </w:tabs>
              <w:snapToGrid w:val="0"/>
              <w:spacing w:line="400" w:lineRule="exact"/>
              <w:ind w:firstLine="420" w:firstLineChars="200"/>
              <w:rPr>
                <w:rFonts w:hint="eastAsia" w:ascii="宋体" w:hAnsi="宋体" w:cs="宋体"/>
                <w:sz w:val="21"/>
                <w:szCs w:val="21"/>
                <w:highlight w:val="none"/>
              </w:rPr>
            </w:pPr>
            <w:r>
              <w:rPr>
                <w:rFonts w:hint="eastAsia" w:ascii="宋体" w:hAnsi="宋体" w:cs="宋体"/>
                <w:sz w:val="21"/>
                <w:szCs w:val="21"/>
                <w:highlight w:val="none"/>
                <w:lang w:val="en-US" w:eastAsia="zh-CN"/>
              </w:rPr>
              <w:t>3.2</w:t>
            </w:r>
            <w:r>
              <w:rPr>
                <w:rFonts w:hint="eastAsia" w:ascii="宋体" w:hAnsi="宋体" w:cs="宋体"/>
                <w:sz w:val="21"/>
                <w:szCs w:val="21"/>
                <w:highlight w:val="none"/>
              </w:rPr>
              <w:t>电子投标保函递交:供应商须在投标文件中提供完整版电子保函。</w:t>
            </w:r>
          </w:p>
          <w:p w14:paraId="1BD1430B">
            <w:pPr>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比选保证金有效期应当与比选有效期一致。</w:t>
            </w:r>
          </w:p>
          <w:p w14:paraId="4605C9B9">
            <w:pPr>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4.保证金的退还：</w:t>
            </w:r>
          </w:p>
          <w:p w14:paraId="358DD608">
            <w:pPr>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4.1转账或电汇方式的退还：</w:t>
            </w:r>
            <w:r>
              <w:rPr>
                <w:rFonts w:hint="eastAsia" w:ascii="宋体" w:hAnsi="宋体" w:cs="宋体"/>
                <w:highlight w:val="none"/>
                <w:lang w:eastAsia="zh-CN"/>
              </w:rPr>
              <w:t>中标通知书</w:t>
            </w:r>
            <w:r>
              <w:rPr>
                <w:rFonts w:hint="eastAsia" w:ascii="宋体" w:hAnsi="宋体" w:cs="宋体"/>
                <w:highlight w:val="none"/>
              </w:rPr>
              <w:t>发出后5个工作日内，以来款渠道原路退还未中选比选申请人（前三名除外）的比选保证金，在中选人与比选人合同签订后5个工作日内，以来款渠道原路退还中选候选人的比选保证金。</w:t>
            </w:r>
          </w:p>
        </w:tc>
      </w:tr>
      <w:tr w14:paraId="47028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651" w:type="pct"/>
            <w:vAlign w:val="center"/>
          </w:tcPr>
          <w:p w14:paraId="725593D5">
            <w:pPr>
              <w:snapToGrid w:val="0"/>
              <w:jc w:val="center"/>
              <w:rPr>
                <w:rFonts w:hint="eastAsia" w:ascii="宋体" w:hAnsi="宋体" w:cs="宋体"/>
                <w:kern w:val="0"/>
                <w:highlight w:val="none"/>
              </w:rPr>
            </w:pPr>
            <w:r>
              <w:rPr>
                <w:rFonts w:hint="eastAsia" w:ascii="宋体" w:hAnsi="宋体" w:cs="宋体"/>
                <w:kern w:val="0"/>
                <w:highlight w:val="none"/>
              </w:rPr>
              <w:t>3.7.3</w:t>
            </w:r>
          </w:p>
        </w:tc>
        <w:tc>
          <w:tcPr>
            <w:tcW w:w="907" w:type="pct"/>
            <w:vAlign w:val="center"/>
          </w:tcPr>
          <w:p w14:paraId="5815447E">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签字盖章要求</w:t>
            </w:r>
          </w:p>
        </w:tc>
        <w:tc>
          <w:tcPr>
            <w:tcW w:w="3441" w:type="pct"/>
            <w:vAlign w:val="center"/>
          </w:tcPr>
          <w:p w14:paraId="42F18830">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按比选文件规定签字或签章要求签字或签章。</w:t>
            </w:r>
          </w:p>
        </w:tc>
      </w:tr>
      <w:tr w14:paraId="78C55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651" w:type="pct"/>
            <w:vAlign w:val="center"/>
          </w:tcPr>
          <w:p w14:paraId="4626C448">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3.7.4</w:t>
            </w:r>
          </w:p>
        </w:tc>
        <w:tc>
          <w:tcPr>
            <w:tcW w:w="907" w:type="pct"/>
            <w:vAlign w:val="center"/>
          </w:tcPr>
          <w:p w14:paraId="638C89E7">
            <w:pPr>
              <w:spacing w:line="440" w:lineRule="exact"/>
              <w:jc w:val="left"/>
              <w:rPr>
                <w:rFonts w:hint="eastAsia" w:ascii="宋体" w:hAnsi="宋体" w:cs="宋体"/>
                <w:snapToGrid w:val="0"/>
                <w:highlight w:val="none"/>
              </w:rPr>
            </w:pPr>
            <w:r>
              <w:rPr>
                <w:rFonts w:hint="eastAsia" w:ascii="宋体" w:hAnsi="宋体" w:cs="宋体"/>
                <w:snapToGrid w:val="0"/>
                <w:highlight w:val="none"/>
              </w:rPr>
              <w:t>比选申请文件的份数</w:t>
            </w:r>
          </w:p>
        </w:tc>
        <w:tc>
          <w:tcPr>
            <w:tcW w:w="3441" w:type="pct"/>
            <w:vAlign w:val="center"/>
          </w:tcPr>
          <w:p w14:paraId="21934EAB">
            <w:pPr>
              <w:spacing w:line="440" w:lineRule="exact"/>
              <w:ind w:firstLine="420" w:firstLineChars="200"/>
              <w:jc w:val="left"/>
              <w:rPr>
                <w:rFonts w:hint="eastAsia" w:ascii="宋体" w:hAnsi="宋体" w:cs="宋体"/>
                <w:snapToGrid w:val="0"/>
                <w:highlight w:val="none"/>
              </w:rPr>
            </w:pPr>
            <w:r>
              <w:rPr>
                <w:rFonts w:hint="eastAsia" w:ascii="宋体" w:hAnsi="宋体" w:cs="宋体"/>
                <w:snapToGrid w:val="0"/>
                <w:highlight w:val="none"/>
              </w:rPr>
              <w:t>1.纸质比选申请文件一式</w:t>
            </w:r>
            <w:r>
              <w:rPr>
                <w:rFonts w:hint="eastAsia" w:ascii="宋体" w:hAnsi="宋体" w:cs="宋体"/>
                <w:snapToGrid w:val="0"/>
                <w:highlight w:val="none"/>
                <w:lang w:val="en-US" w:eastAsia="zh-CN"/>
              </w:rPr>
              <w:t>贰</w:t>
            </w:r>
            <w:r>
              <w:rPr>
                <w:rFonts w:hint="eastAsia" w:ascii="宋体" w:hAnsi="宋体" w:cs="宋体"/>
                <w:snapToGrid w:val="0"/>
                <w:highlight w:val="none"/>
              </w:rPr>
              <w:t>份，正本一份，副本</w:t>
            </w:r>
            <w:r>
              <w:rPr>
                <w:rFonts w:hint="eastAsia" w:ascii="宋体" w:hAnsi="宋体" w:cs="宋体"/>
                <w:snapToGrid w:val="0"/>
                <w:highlight w:val="none"/>
                <w:lang w:val="en-US" w:eastAsia="zh-CN"/>
              </w:rPr>
              <w:t>一</w:t>
            </w:r>
            <w:r>
              <w:rPr>
                <w:rFonts w:hint="eastAsia" w:ascii="宋体" w:hAnsi="宋体" w:cs="宋体"/>
                <w:snapToGrid w:val="0"/>
                <w:highlight w:val="none"/>
              </w:rPr>
              <w:t>份。</w:t>
            </w:r>
          </w:p>
          <w:p w14:paraId="2B3DB13E">
            <w:pPr>
              <w:spacing w:line="440" w:lineRule="exact"/>
              <w:ind w:firstLine="420" w:firstLineChars="200"/>
              <w:jc w:val="left"/>
              <w:rPr>
                <w:rFonts w:hint="eastAsia" w:ascii="宋体" w:hAnsi="宋体" w:cs="宋体"/>
                <w:snapToGrid w:val="0"/>
                <w:highlight w:val="none"/>
              </w:rPr>
            </w:pPr>
            <w:r>
              <w:rPr>
                <w:rFonts w:hint="eastAsia" w:ascii="宋体" w:hAnsi="宋体" w:cs="宋体"/>
                <w:snapToGrid w:val="0"/>
                <w:highlight w:val="none"/>
              </w:rPr>
              <w:t>2.上传比选申请文件电子档一份。</w:t>
            </w:r>
          </w:p>
        </w:tc>
      </w:tr>
      <w:tr w14:paraId="1C473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651" w:type="pct"/>
            <w:vAlign w:val="center"/>
          </w:tcPr>
          <w:p w14:paraId="45A9DBDA">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3.7.5</w:t>
            </w:r>
          </w:p>
        </w:tc>
        <w:tc>
          <w:tcPr>
            <w:tcW w:w="907" w:type="pct"/>
            <w:vAlign w:val="center"/>
          </w:tcPr>
          <w:p w14:paraId="20640859">
            <w:pPr>
              <w:snapToGrid w:val="0"/>
              <w:spacing w:line="288" w:lineRule="auto"/>
              <w:rPr>
                <w:rFonts w:hint="eastAsia" w:ascii="宋体" w:hAnsi="宋体" w:cs="宋体"/>
                <w:kern w:val="0"/>
                <w:highlight w:val="none"/>
              </w:rPr>
            </w:pPr>
            <w:r>
              <w:rPr>
                <w:rFonts w:hint="eastAsia" w:ascii="宋体" w:hAnsi="宋体" w:cs="宋体"/>
                <w:kern w:val="0"/>
                <w:highlight w:val="none"/>
              </w:rPr>
              <w:t xml:space="preserve">  装订要求</w:t>
            </w:r>
          </w:p>
        </w:tc>
        <w:tc>
          <w:tcPr>
            <w:tcW w:w="3441" w:type="pct"/>
            <w:vAlign w:val="center"/>
          </w:tcPr>
          <w:p w14:paraId="38A1031E">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1、比选申请人应将比选申请文件资料装订成册。</w:t>
            </w:r>
          </w:p>
          <w:p w14:paraId="14016600">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2、装订</w:t>
            </w:r>
          </w:p>
          <w:p w14:paraId="29B50B7C">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应按照第六章规定格式左侧订装装订成册，并应编制目录。</w:t>
            </w:r>
          </w:p>
          <w:p w14:paraId="218657EF">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w:t>
            </w:r>
            <w:r>
              <w:rPr>
                <w:rFonts w:hint="eastAsia" w:ascii="宋体" w:hAnsi="宋体" w:cs="宋体"/>
                <w:highlight w:val="none"/>
                <w:lang w:eastAsia="zh-CN"/>
              </w:rPr>
              <w:t>实施方案</w:t>
            </w:r>
            <w:r>
              <w:rPr>
                <w:rFonts w:hint="eastAsia" w:ascii="宋体" w:hAnsi="宋体" w:cs="宋体"/>
                <w:highlight w:val="none"/>
              </w:rPr>
              <w:t>》</w:t>
            </w:r>
            <w:r>
              <w:rPr>
                <w:rFonts w:hint="eastAsia" w:ascii="宋体" w:hAnsi="宋体" w:cs="宋体"/>
                <w:highlight w:val="none"/>
                <w:lang w:val="en-US" w:eastAsia="zh-CN"/>
              </w:rPr>
              <w:t>原则上不超过200页</w:t>
            </w:r>
            <w:r>
              <w:rPr>
                <w:rFonts w:hint="eastAsia" w:ascii="宋体" w:hAnsi="宋体" w:cs="宋体"/>
                <w:highlight w:val="none"/>
              </w:rPr>
              <w:t>。</w:t>
            </w:r>
          </w:p>
          <w:p w14:paraId="39E83508">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比选申请文件的装订，必须保证装订牢固，否则，比选人和比选代理机构对由于比选申请文件装订松散而造成的丢失或其他后果不承担任何责任。</w:t>
            </w:r>
          </w:p>
        </w:tc>
      </w:tr>
      <w:tr w14:paraId="11FEB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51" w:type="pct"/>
            <w:vAlign w:val="center"/>
          </w:tcPr>
          <w:p w14:paraId="7367ED9F">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4.1.1</w:t>
            </w:r>
          </w:p>
        </w:tc>
        <w:tc>
          <w:tcPr>
            <w:tcW w:w="907" w:type="pct"/>
            <w:vAlign w:val="center"/>
          </w:tcPr>
          <w:p w14:paraId="7513DAE7">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比选申请文件的密封</w:t>
            </w:r>
          </w:p>
        </w:tc>
        <w:tc>
          <w:tcPr>
            <w:tcW w:w="3441" w:type="pct"/>
            <w:vAlign w:val="center"/>
          </w:tcPr>
          <w:p w14:paraId="15C1D0B9">
            <w:pPr>
              <w:pStyle w:val="216"/>
              <w:tabs>
                <w:tab w:val="left" w:pos="427"/>
              </w:tabs>
              <w:snapToGrid w:val="0"/>
              <w:spacing w:before="30" w:line="360" w:lineRule="auto"/>
              <w:ind w:right="98" w:firstLine="320" w:firstLineChars="155"/>
              <w:textAlignment w:val="baseline"/>
              <w:rPr>
                <w:rFonts w:hint="eastAsia" w:ascii="宋体" w:hAnsi="宋体" w:cs="宋体"/>
                <w:spacing w:val="2"/>
                <w:highlight w:val="none"/>
              </w:rPr>
            </w:pPr>
            <w:r>
              <w:rPr>
                <w:rFonts w:ascii="宋体" w:hAnsi="宋体" w:cs="宋体"/>
                <w:w w:val="99"/>
                <w:highlight w:val="none"/>
                <w:lang w:val="zh-CN" w:bidi="zh-CN"/>
              </w:rPr>
              <w:t>1.</w:t>
            </w:r>
            <w:r>
              <w:rPr>
                <w:rFonts w:hint="eastAsia" w:ascii="宋体" w:hAnsi="宋体" w:cs="宋体"/>
                <w:highlight w:val="none"/>
              </w:rPr>
              <w:t>比选申请</w:t>
            </w:r>
            <w:r>
              <w:rPr>
                <w:rFonts w:hint="eastAsia" w:ascii="宋体" w:hAnsi="宋体" w:cs="宋体"/>
                <w:spacing w:val="2"/>
                <w:highlight w:val="none"/>
              </w:rPr>
              <w:t>文件由比选申请人自备牛皮纸或文件袋进行封装。</w:t>
            </w:r>
          </w:p>
          <w:p w14:paraId="477105F9">
            <w:pPr>
              <w:pStyle w:val="216"/>
              <w:tabs>
                <w:tab w:val="left" w:pos="427"/>
              </w:tabs>
              <w:snapToGrid w:val="0"/>
              <w:spacing w:before="30" w:line="360" w:lineRule="auto"/>
              <w:ind w:right="98" w:firstLine="320" w:firstLineChars="155"/>
              <w:textAlignment w:val="baseline"/>
              <w:rPr>
                <w:rFonts w:hint="eastAsia" w:ascii="宋体" w:hAnsi="宋体" w:cs="宋体"/>
                <w:spacing w:val="2"/>
                <w:highlight w:val="none"/>
              </w:rPr>
            </w:pPr>
            <w:r>
              <w:rPr>
                <w:rFonts w:ascii="宋体" w:hAnsi="宋体" w:cs="宋体"/>
                <w:w w:val="99"/>
                <w:highlight w:val="none"/>
                <w:lang w:val="zh-CN" w:bidi="zh-CN"/>
              </w:rPr>
              <w:t>2.</w:t>
            </w:r>
            <w:r>
              <w:rPr>
                <w:rFonts w:hint="eastAsia" w:ascii="宋体" w:hAnsi="宋体" w:cs="宋体"/>
                <w:spacing w:val="2"/>
                <w:highlight w:val="none"/>
              </w:rPr>
              <w:t>“</w:t>
            </w:r>
            <w:r>
              <w:rPr>
                <w:rFonts w:hint="eastAsia" w:ascii="宋体" w:hAnsi="宋体" w:cs="宋体"/>
                <w:highlight w:val="none"/>
              </w:rPr>
              <w:t>比选申请</w:t>
            </w:r>
            <w:r>
              <w:rPr>
                <w:rFonts w:hint="eastAsia" w:ascii="宋体" w:hAnsi="宋体" w:cs="宋体"/>
                <w:spacing w:val="2"/>
                <w:highlight w:val="none"/>
              </w:rPr>
              <w:t>文件”袋应按本表第 4.1.2 项的规定写明相应内容。</w:t>
            </w:r>
          </w:p>
          <w:p w14:paraId="55FF0735">
            <w:pPr>
              <w:pStyle w:val="216"/>
              <w:tabs>
                <w:tab w:val="left" w:pos="427"/>
              </w:tabs>
              <w:snapToGrid w:val="0"/>
              <w:spacing w:before="30" w:line="360" w:lineRule="auto"/>
              <w:ind w:right="98" w:firstLine="320" w:firstLineChars="155"/>
              <w:textAlignment w:val="baseline"/>
              <w:rPr>
                <w:rFonts w:hint="eastAsia" w:ascii="宋体" w:hAnsi="宋体" w:cs="宋体"/>
                <w:spacing w:val="2"/>
                <w:highlight w:val="none"/>
              </w:rPr>
            </w:pPr>
            <w:r>
              <w:rPr>
                <w:rFonts w:hint="eastAsia" w:ascii="宋体" w:hAnsi="宋体" w:cs="宋体"/>
                <w:w w:val="99"/>
                <w:highlight w:val="none"/>
                <w:lang w:bidi="zh-CN"/>
              </w:rPr>
              <w:t>3.</w:t>
            </w:r>
            <w:r>
              <w:rPr>
                <w:rFonts w:hint="eastAsia" w:ascii="宋体" w:hAnsi="宋体" w:cs="宋体"/>
                <w:spacing w:val="2"/>
                <w:highlight w:val="none"/>
              </w:rPr>
              <w:t>如果</w:t>
            </w:r>
            <w:r>
              <w:rPr>
                <w:rFonts w:hint="eastAsia" w:ascii="宋体" w:hAnsi="宋体" w:cs="宋体"/>
                <w:highlight w:val="none"/>
              </w:rPr>
              <w:t>比选申请</w:t>
            </w:r>
            <w:r>
              <w:rPr>
                <w:rFonts w:hint="eastAsia" w:ascii="宋体" w:hAnsi="宋体" w:cs="宋体"/>
                <w:spacing w:val="2"/>
                <w:highlight w:val="none"/>
              </w:rPr>
              <w:t>文件没有按上述规定密封，该</w:t>
            </w:r>
            <w:r>
              <w:rPr>
                <w:rFonts w:hint="eastAsia" w:ascii="宋体" w:hAnsi="宋体" w:cs="宋体"/>
                <w:highlight w:val="none"/>
              </w:rPr>
              <w:t>比选申请</w:t>
            </w:r>
            <w:r>
              <w:rPr>
                <w:rFonts w:hint="eastAsia" w:ascii="宋体" w:hAnsi="宋体" w:cs="宋体"/>
                <w:spacing w:val="2"/>
                <w:highlight w:val="none"/>
              </w:rPr>
              <w:t>文件将被拒绝接收。</w:t>
            </w:r>
          </w:p>
          <w:p w14:paraId="33C46FB8">
            <w:pPr>
              <w:spacing w:line="360" w:lineRule="auto"/>
              <w:ind w:firstLine="430" w:firstLineChars="201"/>
              <w:rPr>
                <w:rFonts w:hint="eastAsia" w:ascii="宋体" w:hAnsi="宋体" w:cs="宋体"/>
                <w:kern w:val="0"/>
                <w:highlight w:val="none"/>
              </w:rPr>
            </w:pPr>
            <w:r>
              <w:rPr>
                <w:rFonts w:hint="eastAsia" w:ascii="宋体" w:hAnsi="宋体" w:cs="宋体"/>
                <w:spacing w:val="2"/>
                <w:highlight w:val="none"/>
              </w:rPr>
              <w:t>注：如</w:t>
            </w:r>
            <w:r>
              <w:rPr>
                <w:rFonts w:hint="eastAsia" w:ascii="宋体" w:hAnsi="宋体" w:cs="宋体"/>
                <w:highlight w:val="none"/>
              </w:rPr>
              <w:t>比选申请</w:t>
            </w:r>
            <w:r>
              <w:rPr>
                <w:rFonts w:hint="eastAsia" w:ascii="宋体" w:hAnsi="宋体" w:cs="宋体"/>
                <w:spacing w:val="2"/>
                <w:highlight w:val="none"/>
              </w:rPr>
              <w:t>文件较厚，不能装入</w:t>
            </w:r>
            <w:r>
              <w:rPr>
                <w:rFonts w:hint="eastAsia" w:ascii="宋体" w:hAnsi="宋体" w:cs="宋体"/>
                <w:b/>
                <w:spacing w:val="4"/>
                <w:highlight w:val="none"/>
              </w:rPr>
              <w:t>相</w:t>
            </w:r>
            <w:r>
              <w:rPr>
                <w:rFonts w:hint="eastAsia" w:ascii="宋体" w:hAnsi="宋体" w:cs="宋体"/>
                <w:b/>
                <w:highlight w:val="none"/>
              </w:rPr>
              <w:t>应的一个袋中， 比选申请人可按上述要求增加比选申请文件袋，并注</w:t>
            </w:r>
            <w:r>
              <w:rPr>
                <w:rFonts w:hint="eastAsia" w:ascii="宋体" w:hAnsi="宋体" w:cs="宋体"/>
                <w:b/>
                <w:spacing w:val="4"/>
                <w:highlight w:val="none"/>
              </w:rPr>
              <w:t>明</w:t>
            </w:r>
            <w:r>
              <w:rPr>
                <w:rFonts w:hint="eastAsia" w:ascii="宋体" w:hAnsi="宋体" w:cs="宋体"/>
                <w:b/>
                <w:highlight w:val="none"/>
              </w:rPr>
              <w:t>“第  袋/共  袋”。</w:t>
            </w:r>
          </w:p>
        </w:tc>
      </w:tr>
      <w:tr w14:paraId="14DD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trPr>
        <w:tc>
          <w:tcPr>
            <w:tcW w:w="651" w:type="pct"/>
            <w:vAlign w:val="center"/>
          </w:tcPr>
          <w:p w14:paraId="74855452">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4.1.2</w:t>
            </w:r>
          </w:p>
        </w:tc>
        <w:tc>
          <w:tcPr>
            <w:tcW w:w="907" w:type="pct"/>
            <w:vAlign w:val="center"/>
          </w:tcPr>
          <w:p w14:paraId="3A00CF6A">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封套上写明</w:t>
            </w:r>
          </w:p>
        </w:tc>
        <w:tc>
          <w:tcPr>
            <w:tcW w:w="3441" w:type="pct"/>
            <w:vAlign w:val="center"/>
          </w:tcPr>
          <w:p w14:paraId="4C21F8A3">
            <w:pPr>
              <w:snapToGrid w:val="0"/>
              <w:spacing w:line="360" w:lineRule="auto"/>
              <w:rPr>
                <w:rFonts w:hint="eastAsia" w:ascii="宋体" w:hAnsi="宋体" w:cs="宋体"/>
                <w:kern w:val="0"/>
                <w:highlight w:val="none"/>
              </w:rPr>
            </w:pPr>
            <w:r>
              <w:rPr>
                <w:rFonts w:hint="eastAsia" w:ascii="宋体" w:hAnsi="宋体" w:cs="宋体"/>
                <w:kern w:val="0"/>
                <w:highlight w:val="none"/>
              </w:rPr>
              <w:t>比选人的地址：</w:t>
            </w:r>
          </w:p>
          <w:p w14:paraId="4E4C6AF8">
            <w:pPr>
              <w:snapToGrid w:val="0"/>
              <w:spacing w:line="360" w:lineRule="auto"/>
              <w:rPr>
                <w:rFonts w:hint="eastAsia" w:ascii="宋体" w:hAnsi="宋体" w:cs="宋体"/>
                <w:kern w:val="0"/>
                <w:highlight w:val="none"/>
              </w:rPr>
            </w:pPr>
            <w:r>
              <w:rPr>
                <w:rFonts w:hint="eastAsia" w:ascii="宋体" w:hAnsi="宋体" w:cs="宋体"/>
                <w:kern w:val="0"/>
                <w:highlight w:val="none"/>
              </w:rPr>
              <w:t>比选人名称：</w:t>
            </w:r>
          </w:p>
          <w:p w14:paraId="64B07931">
            <w:pPr>
              <w:snapToGrid w:val="0"/>
              <w:spacing w:line="360" w:lineRule="auto"/>
              <w:rPr>
                <w:rFonts w:hint="eastAsia" w:ascii="宋体" w:hAnsi="宋体" w:cs="宋体"/>
                <w:kern w:val="0"/>
                <w:highlight w:val="none"/>
              </w:rPr>
            </w:pPr>
            <w:r>
              <w:rPr>
                <w:rFonts w:hint="eastAsia" w:ascii="宋体" w:hAnsi="宋体" w:cs="宋体"/>
                <w:kern w:val="0"/>
                <w:highlight w:val="none"/>
                <w:u w:val="single"/>
              </w:rPr>
              <w:t xml:space="preserve">                          </w:t>
            </w:r>
            <w:r>
              <w:rPr>
                <w:rFonts w:hint="eastAsia" w:ascii="宋体" w:hAnsi="宋体" w:cs="宋体"/>
                <w:kern w:val="0"/>
                <w:highlight w:val="none"/>
              </w:rPr>
              <w:t>比选申请文件</w:t>
            </w:r>
          </w:p>
          <w:p w14:paraId="6126497B">
            <w:pPr>
              <w:snapToGrid w:val="0"/>
              <w:spacing w:line="360" w:lineRule="auto"/>
              <w:rPr>
                <w:rFonts w:hint="eastAsia" w:ascii="宋体" w:hAnsi="宋体" w:cs="宋体"/>
                <w:highlight w:val="none"/>
              </w:rPr>
            </w:pPr>
            <w:r>
              <w:rPr>
                <w:rFonts w:hint="eastAsia" w:ascii="宋体" w:hAnsi="宋体" w:cs="宋体"/>
                <w:kern w:val="0"/>
                <w:highlight w:val="none"/>
              </w:rPr>
              <w:t>在</w:t>
            </w:r>
            <w:r>
              <w:rPr>
                <w:rFonts w:hint="eastAsia" w:ascii="宋体" w:hAnsi="宋体" w:cs="宋体"/>
                <w:kern w:val="0"/>
                <w:highlight w:val="none"/>
                <w:u w:val="single"/>
              </w:rPr>
              <w:t xml:space="preserve">     </w:t>
            </w:r>
            <w:r>
              <w:rPr>
                <w:rFonts w:hint="eastAsia" w:ascii="宋体" w:hAnsi="宋体" w:cs="宋体"/>
                <w:kern w:val="0"/>
                <w:highlight w:val="none"/>
              </w:rPr>
              <w:t>年</w:t>
            </w:r>
            <w:r>
              <w:rPr>
                <w:rFonts w:hint="eastAsia" w:ascii="宋体" w:hAnsi="宋体" w:cs="宋体"/>
                <w:kern w:val="0"/>
                <w:highlight w:val="none"/>
                <w:u w:val="single"/>
              </w:rPr>
              <w:t xml:space="preserve">    </w:t>
            </w:r>
            <w:r>
              <w:rPr>
                <w:rFonts w:hint="eastAsia" w:ascii="宋体" w:hAnsi="宋体" w:cs="宋体"/>
                <w:kern w:val="0"/>
                <w:highlight w:val="none"/>
              </w:rPr>
              <w:t>月</w:t>
            </w:r>
            <w:r>
              <w:rPr>
                <w:rFonts w:hint="eastAsia" w:ascii="宋体" w:hAnsi="宋体" w:cs="宋体"/>
                <w:kern w:val="0"/>
                <w:highlight w:val="none"/>
                <w:u w:val="single"/>
              </w:rPr>
              <w:t xml:space="preserve">    </w:t>
            </w:r>
            <w:r>
              <w:rPr>
                <w:rFonts w:hint="eastAsia" w:ascii="宋体" w:hAnsi="宋体" w:cs="宋体"/>
                <w:kern w:val="0"/>
                <w:highlight w:val="none"/>
              </w:rPr>
              <w:t>日</w:t>
            </w:r>
            <w:r>
              <w:rPr>
                <w:rFonts w:hint="eastAsia" w:ascii="宋体" w:hAnsi="宋体" w:cs="宋体"/>
                <w:kern w:val="0"/>
                <w:highlight w:val="none"/>
                <w:u w:val="single"/>
              </w:rPr>
              <w:t xml:space="preserve">    </w:t>
            </w:r>
            <w:r>
              <w:rPr>
                <w:rFonts w:hint="eastAsia" w:ascii="宋体" w:hAnsi="宋体" w:cs="宋体"/>
                <w:kern w:val="0"/>
                <w:highlight w:val="none"/>
              </w:rPr>
              <w:t>时</w:t>
            </w:r>
            <w:r>
              <w:rPr>
                <w:rFonts w:hint="eastAsia" w:ascii="宋体" w:hAnsi="宋体" w:cs="宋体"/>
                <w:kern w:val="0"/>
                <w:highlight w:val="none"/>
                <w:u w:val="single"/>
              </w:rPr>
              <w:t xml:space="preserve">    </w:t>
            </w:r>
            <w:r>
              <w:rPr>
                <w:rFonts w:hint="eastAsia" w:ascii="宋体" w:hAnsi="宋体" w:cs="宋体"/>
                <w:kern w:val="0"/>
                <w:highlight w:val="none"/>
              </w:rPr>
              <w:t>分前不得开启</w:t>
            </w:r>
          </w:p>
        </w:tc>
      </w:tr>
      <w:tr w14:paraId="3B45B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651" w:type="pct"/>
            <w:vAlign w:val="center"/>
          </w:tcPr>
          <w:p w14:paraId="1D924ECD">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4.2.2</w:t>
            </w:r>
          </w:p>
        </w:tc>
        <w:tc>
          <w:tcPr>
            <w:tcW w:w="907" w:type="pct"/>
            <w:vAlign w:val="center"/>
          </w:tcPr>
          <w:p w14:paraId="10E5CB18">
            <w:pPr>
              <w:spacing w:line="360" w:lineRule="auto"/>
              <w:jc w:val="center"/>
              <w:rPr>
                <w:rFonts w:hint="eastAsia" w:ascii="宋体" w:hAnsi="宋体" w:cs="宋体"/>
                <w:kern w:val="0"/>
                <w:highlight w:val="none"/>
              </w:rPr>
            </w:pPr>
            <w:r>
              <w:rPr>
                <w:rFonts w:hint="eastAsia" w:ascii="宋体" w:hAnsi="宋体" w:cs="宋体"/>
                <w:kern w:val="0"/>
                <w:highlight w:val="none"/>
              </w:rPr>
              <w:t>递交比选申请文件地点</w:t>
            </w:r>
          </w:p>
        </w:tc>
        <w:tc>
          <w:tcPr>
            <w:tcW w:w="3441" w:type="pct"/>
            <w:vAlign w:val="center"/>
          </w:tcPr>
          <w:p w14:paraId="5AAD092C">
            <w:pPr>
              <w:spacing w:line="360" w:lineRule="auto"/>
              <w:rPr>
                <w:rFonts w:hint="eastAsia" w:ascii="宋体" w:hAnsi="宋体" w:eastAsia="宋体" w:cs="宋体"/>
                <w:kern w:val="0"/>
                <w:highlight w:val="none"/>
                <w:lang w:eastAsia="zh-CN"/>
              </w:rPr>
            </w:pPr>
            <w:r>
              <w:rPr>
                <w:rFonts w:hint="eastAsia" w:ascii="宋体" w:hAnsi="宋体" w:cs="宋体"/>
                <w:kern w:val="0"/>
                <w:highlight w:val="none"/>
              </w:rPr>
              <w:t>重庆市九龙坡区白市驿镇人民政府</w:t>
            </w:r>
            <w:r>
              <w:rPr>
                <w:rFonts w:hint="eastAsia" w:ascii="宋体" w:hAnsi="宋体" w:cs="宋体"/>
                <w:kern w:val="0"/>
                <w:highlight w:val="none"/>
                <w:lang w:eastAsia="zh-CN"/>
              </w:rPr>
              <w:t>（</w:t>
            </w:r>
            <w:r>
              <w:rPr>
                <w:rFonts w:hint="eastAsia" w:ascii="宋体" w:hAnsi="宋体" w:cs="宋体"/>
                <w:kern w:val="0"/>
                <w:highlight w:val="none"/>
                <w:lang w:val="en-US" w:eastAsia="zh-CN"/>
              </w:rPr>
              <w:t>具体</w:t>
            </w:r>
            <w:r>
              <w:rPr>
                <w:rFonts w:hint="eastAsia" w:ascii="宋体" w:hAnsi="宋体" w:cs="宋体"/>
                <w:kern w:val="0"/>
                <w:highlight w:val="none"/>
              </w:rPr>
              <w:t>会议室</w:t>
            </w:r>
            <w:r>
              <w:rPr>
                <w:rFonts w:hint="eastAsia" w:ascii="宋体" w:hAnsi="宋体" w:cs="宋体"/>
                <w:kern w:val="0"/>
                <w:highlight w:val="none"/>
                <w:lang w:val="en-US" w:eastAsia="zh-CN"/>
              </w:rPr>
              <w:t>地点比选申请人在递交比选申请文件时电话联系。周老师：</w:t>
            </w:r>
            <w:r>
              <w:rPr>
                <w:rFonts w:hint="eastAsia" w:ascii="宋体" w:hAnsi="宋体" w:cs="宋体"/>
                <w:snapToGrid w:val="0"/>
                <w:highlight w:val="none"/>
                <w:lang w:val="en-US" w:eastAsia="zh-CN"/>
              </w:rPr>
              <w:t>18523344630）</w:t>
            </w:r>
          </w:p>
        </w:tc>
      </w:tr>
      <w:tr w14:paraId="0EFDD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651" w:type="pct"/>
            <w:vAlign w:val="center"/>
          </w:tcPr>
          <w:p w14:paraId="7BD71615">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4.2.3</w:t>
            </w:r>
          </w:p>
        </w:tc>
        <w:tc>
          <w:tcPr>
            <w:tcW w:w="907" w:type="pct"/>
            <w:vAlign w:val="center"/>
          </w:tcPr>
          <w:p w14:paraId="05770E1B">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是否退还比选申请文件</w:t>
            </w:r>
          </w:p>
        </w:tc>
        <w:tc>
          <w:tcPr>
            <w:tcW w:w="3441" w:type="pct"/>
            <w:vAlign w:val="center"/>
          </w:tcPr>
          <w:p w14:paraId="4364D9A1">
            <w:pPr>
              <w:snapToGrid w:val="0"/>
              <w:spacing w:line="360" w:lineRule="auto"/>
              <w:rPr>
                <w:rFonts w:hint="eastAsia" w:ascii="宋体" w:hAnsi="宋体" w:cs="宋体"/>
                <w:kern w:val="0"/>
                <w:highlight w:val="none"/>
              </w:rPr>
            </w:pPr>
            <w:r>
              <w:rPr>
                <w:rFonts w:hint="eastAsia" w:ascii="宋体" w:hAnsi="宋体" w:cs="宋体"/>
                <w:kern w:val="0"/>
                <w:highlight w:val="none"/>
              </w:rPr>
              <w:t xml:space="preserve">   否</w:t>
            </w:r>
          </w:p>
        </w:tc>
      </w:tr>
      <w:tr w14:paraId="0B97B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51" w:type="pct"/>
            <w:vAlign w:val="center"/>
          </w:tcPr>
          <w:p w14:paraId="3BE1E5D9">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5.1</w:t>
            </w:r>
          </w:p>
        </w:tc>
        <w:tc>
          <w:tcPr>
            <w:tcW w:w="907" w:type="pct"/>
            <w:vAlign w:val="center"/>
          </w:tcPr>
          <w:p w14:paraId="643B99C9">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比选时间地点</w:t>
            </w:r>
          </w:p>
        </w:tc>
        <w:tc>
          <w:tcPr>
            <w:tcW w:w="3441" w:type="pct"/>
            <w:vAlign w:val="center"/>
          </w:tcPr>
          <w:p w14:paraId="5D8799B2">
            <w:pPr>
              <w:spacing w:line="360" w:lineRule="auto"/>
              <w:rPr>
                <w:rFonts w:hint="eastAsia" w:ascii="宋体" w:hAnsi="宋体" w:cs="宋体"/>
                <w:kern w:val="0"/>
                <w:highlight w:val="none"/>
              </w:rPr>
            </w:pPr>
            <w:r>
              <w:rPr>
                <w:rFonts w:hint="eastAsia" w:ascii="宋体" w:hAnsi="宋体" w:cs="宋体"/>
                <w:kern w:val="0"/>
                <w:highlight w:val="none"/>
              </w:rPr>
              <w:t>开标时间：同比选申请文件递交截止时间</w:t>
            </w:r>
          </w:p>
          <w:p w14:paraId="36202E29">
            <w:pPr>
              <w:spacing w:line="360" w:lineRule="auto"/>
              <w:rPr>
                <w:rFonts w:hint="eastAsia" w:ascii="宋体" w:hAnsi="宋体" w:cs="宋体"/>
                <w:kern w:val="0"/>
                <w:highlight w:val="none"/>
              </w:rPr>
            </w:pPr>
            <w:r>
              <w:rPr>
                <w:rFonts w:hint="eastAsia" w:ascii="宋体" w:hAnsi="宋体" w:cs="宋体"/>
                <w:kern w:val="0"/>
                <w:highlight w:val="none"/>
              </w:rPr>
              <w:t>开标地点：重庆市九龙坡区白市驿镇人民政府会议室</w:t>
            </w:r>
            <w:r>
              <w:rPr>
                <w:rFonts w:hint="eastAsia" w:ascii="宋体" w:hAnsi="宋体" w:cs="宋体"/>
                <w:kern w:val="0"/>
                <w:highlight w:val="none"/>
                <w:lang w:eastAsia="zh-CN"/>
              </w:rPr>
              <w:t>（</w:t>
            </w:r>
            <w:r>
              <w:rPr>
                <w:rFonts w:hint="eastAsia" w:ascii="宋体" w:hAnsi="宋体" w:cs="宋体"/>
                <w:kern w:val="0"/>
                <w:highlight w:val="none"/>
                <w:lang w:val="en-US" w:eastAsia="zh-CN"/>
              </w:rPr>
              <w:t>具体</w:t>
            </w:r>
            <w:r>
              <w:rPr>
                <w:rFonts w:hint="eastAsia" w:ascii="宋体" w:hAnsi="宋体" w:cs="宋体"/>
                <w:kern w:val="0"/>
                <w:highlight w:val="none"/>
              </w:rPr>
              <w:t>会议室</w:t>
            </w:r>
            <w:r>
              <w:rPr>
                <w:rFonts w:hint="eastAsia" w:ascii="宋体" w:hAnsi="宋体" w:cs="宋体"/>
                <w:kern w:val="0"/>
                <w:highlight w:val="none"/>
                <w:lang w:val="en-US" w:eastAsia="zh-CN"/>
              </w:rPr>
              <w:t>地点比选申请人在递交比选申请文件时电话联系。周老师：</w:t>
            </w:r>
            <w:r>
              <w:rPr>
                <w:rFonts w:hint="eastAsia" w:ascii="宋体" w:hAnsi="宋体" w:cs="宋体"/>
                <w:snapToGrid w:val="0"/>
                <w:highlight w:val="none"/>
                <w:lang w:val="en-US" w:eastAsia="zh-CN"/>
              </w:rPr>
              <w:t>18523344630）</w:t>
            </w:r>
          </w:p>
        </w:tc>
      </w:tr>
      <w:tr w14:paraId="09D15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51" w:type="pct"/>
            <w:vAlign w:val="center"/>
          </w:tcPr>
          <w:p w14:paraId="561460EF">
            <w:pPr>
              <w:snapToGrid w:val="0"/>
              <w:spacing w:line="360" w:lineRule="auto"/>
              <w:jc w:val="center"/>
              <w:rPr>
                <w:rFonts w:hint="eastAsia" w:ascii="宋体" w:hAnsi="宋体" w:cs="宋体"/>
                <w:highlight w:val="none"/>
              </w:rPr>
            </w:pPr>
            <w:r>
              <w:rPr>
                <w:rFonts w:hint="eastAsia" w:ascii="宋体" w:hAnsi="宋体" w:cs="宋体"/>
                <w:kern w:val="0"/>
                <w:highlight w:val="none"/>
              </w:rPr>
              <w:t>5.2</w:t>
            </w:r>
          </w:p>
        </w:tc>
        <w:tc>
          <w:tcPr>
            <w:tcW w:w="907" w:type="pct"/>
            <w:vAlign w:val="center"/>
          </w:tcPr>
          <w:p w14:paraId="66D78F9B">
            <w:pPr>
              <w:snapToGrid w:val="0"/>
              <w:spacing w:line="360" w:lineRule="auto"/>
              <w:jc w:val="center"/>
              <w:rPr>
                <w:rFonts w:hint="eastAsia" w:ascii="宋体" w:hAnsi="宋体" w:cs="宋体"/>
                <w:highlight w:val="none"/>
              </w:rPr>
            </w:pPr>
            <w:r>
              <w:rPr>
                <w:rFonts w:hint="eastAsia" w:ascii="宋体" w:hAnsi="宋体" w:cs="宋体"/>
                <w:kern w:val="0"/>
                <w:highlight w:val="none"/>
              </w:rPr>
              <w:t>评选程序</w:t>
            </w:r>
          </w:p>
        </w:tc>
        <w:tc>
          <w:tcPr>
            <w:tcW w:w="3441" w:type="pct"/>
          </w:tcPr>
          <w:p w14:paraId="76AD24E4">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主持人按下列程序进行开标：</w:t>
            </w:r>
          </w:p>
          <w:p w14:paraId="6B6D3B22">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1. 宣布开标纪律；</w:t>
            </w:r>
          </w:p>
          <w:p w14:paraId="58826E60">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2. 宣布开标人、唱标人、记录人、监标人等有关人员姓名；</w:t>
            </w:r>
          </w:p>
          <w:p w14:paraId="1ED14FCA">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3. 公布在比选投标截止时间前递交比选申请文件的比选申请人名称，并点名确认比选申请人是否派人到场；</w:t>
            </w:r>
          </w:p>
          <w:p w14:paraId="5EEEB5F9">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4. 核验参加开标会议的比选申请人的法定代表人身份证明、身份证，或委托代理人本人身份证、附有法定代表人身份证明的授权委托书，以确认其身份合法有效，若比选申请人的法定代表人或委托代理人身份核验不合格，则视为未派代表参加开标会，并默认开标结果；</w:t>
            </w:r>
          </w:p>
          <w:p w14:paraId="06C7F723">
            <w:pPr>
              <w:widowControl/>
              <w:spacing w:line="360" w:lineRule="auto"/>
              <w:rPr>
                <w:rFonts w:hint="eastAsia" w:ascii="宋体" w:hAnsi="宋体" w:cs="宋体"/>
                <w:highlight w:val="none"/>
              </w:rPr>
            </w:pPr>
            <w:r>
              <w:rPr>
                <w:rFonts w:hint="eastAsia" w:ascii="宋体" w:hAnsi="宋体" w:cs="宋体"/>
                <w:highlight w:val="none"/>
              </w:rPr>
              <w:t>5. 密封情况检查：比选人检查比选申请文件是否按本须知4.1.1的规定密封，如发现比选申请文件没按本表4.1.1的规定密封，则当众原封退还。</w:t>
            </w:r>
          </w:p>
          <w:p w14:paraId="4060BFD9">
            <w:pPr>
              <w:snapToGrid w:val="0"/>
              <w:spacing w:line="360" w:lineRule="auto"/>
              <w:ind w:left="44" w:leftChars="21"/>
              <w:rPr>
                <w:rFonts w:hint="eastAsia" w:ascii="宋体" w:hAnsi="宋体" w:cs="宋体"/>
                <w:highlight w:val="none"/>
              </w:rPr>
            </w:pPr>
            <w:r>
              <w:rPr>
                <w:rFonts w:hint="eastAsia" w:ascii="宋体" w:hAnsi="宋体" w:cs="宋体"/>
                <w:highlight w:val="none"/>
              </w:rPr>
              <w:t>6. 设有最高限价或者标底的，公布最高限价或者标底；</w:t>
            </w:r>
          </w:p>
          <w:p w14:paraId="5AACC245">
            <w:pPr>
              <w:snapToGrid w:val="0"/>
              <w:spacing w:line="360" w:lineRule="auto"/>
              <w:ind w:left="44" w:leftChars="21"/>
              <w:rPr>
                <w:rFonts w:hint="eastAsia" w:ascii="宋体" w:hAnsi="宋体" w:cs="宋体"/>
                <w:highlight w:val="none"/>
              </w:rPr>
            </w:pPr>
            <w:r>
              <w:rPr>
                <w:rFonts w:hint="eastAsia" w:ascii="宋体" w:hAnsi="宋体" w:cs="宋体"/>
                <w:highlight w:val="none"/>
              </w:rPr>
              <w:t>7. 开启比选申请文件顺序：随机开启；</w:t>
            </w:r>
          </w:p>
          <w:p w14:paraId="30A5B41F">
            <w:pPr>
              <w:snapToGrid w:val="0"/>
              <w:spacing w:line="360" w:lineRule="auto"/>
              <w:ind w:left="44" w:leftChars="21"/>
              <w:rPr>
                <w:rFonts w:hint="eastAsia" w:ascii="宋体" w:hAnsi="宋体" w:cs="宋体"/>
                <w:highlight w:val="none"/>
              </w:rPr>
            </w:pPr>
            <w:r>
              <w:rPr>
                <w:rFonts w:hint="eastAsia" w:ascii="宋体" w:hAnsi="宋体" w:cs="宋体"/>
                <w:highlight w:val="none"/>
              </w:rPr>
              <w:t>8. 按照宣布的开标顺序当众开标，开启比选申请文件大袋及比选申请人比选申请文件部分袋，公布比选申请人名称、标段名称、比选报价、质量目标、工期及其他内容，并记录在案；</w:t>
            </w:r>
          </w:p>
          <w:p w14:paraId="5FFBE80B">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9. 比选申请人代表、比选人代表、监标人、记录人等有关人员在开标记录上签字确认；</w:t>
            </w:r>
          </w:p>
          <w:p w14:paraId="5E01E595">
            <w:pPr>
              <w:snapToGrid w:val="0"/>
              <w:spacing w:line="360" w:lineRule="auto"/>
              <w:rPr>
                <w:rFonts w:hint="eastAsia" w:ascii="宋体" w:hAnsi="宋体" w:cs="宋体"/>
                <w:highlight w:val="none"/>
              </w:rPr>
            </w:pPr>
            <w:r>
              <w:rPr>
                <w:rFonts w:hint="eastAsia" w:ascii="宋体" w:hAnsi="宋体" w:cs="宋体"/>
                <w:highlight w:val="none"/>
              </w:rPr>
              <w:t>10. 开标结束。</w:t>
            </w:r>
          </w:p>
        </w:tc>
      </w:tr>
      <w:tr w14:paraId="23CCD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651" w:type="pct"/>
            <w:vAlign w:val="center"/>
          </w:tcPr>
          <w:p w14:paraId="3F9FA87E">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6.1.1</w:t>
            </w:r>
          </w:p>
        </w:tc>
        <w:tc>
          <w:tcPr>
            <w:tcW w:w="907" w:type="pct"/>
            <w:vAlign w:val="center"/>
          </w:tcPr>
          <w:p w14:paraId="6B0FB347">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评选小组组建</w:t>
            </w:r>
          </w:p>
        </w:tc>
        <w:tc>
          <w:tcPr>
            <w:tcW w:w="3441" w:type="pct"/>
            <w:vAlign w:val="center"/>
          </w:tcPr>
          <w:p w14:paraId="545D8BE6">
            <w:pPr>
              <w:autoSpaceDE w:val="0"/>
              <w:autoSpaceDN w:val="0"/>
              <w:adjustRightInd w:val="0"/>
              <w:snapToGrid w:val="0"/>
              <w:spacing w:line="360" w:lineRule="auto"/>
              <w:ind w:left="4" w:leftChars="2"/>
              <w:jc w:val="left"/>
              <w:rPr>
                <w:rFonts w:hint="eastAsia" w:ascii="宋体" w:hAnsi="宋体" w:cs="宋体"/>
                <w:kern w:val="0"/>
                <w:highlight w:val="none"/>
              </w:rPr>
            </w:pPr>
            <w:r>
              <w:rPr>
                <w:rFonts w:hint="eastAsia" w:ascii="宋体" w:hAnsi="宋体" w:cs="宋体"/>
                <w:highlight w:val="none"/>
                <w:lang w:eastAsia="zh-CN"/>
              </w:rPr>
              <w:t>评审委员会</w:t>
            </w:r>
            <w:r>
              <w:rPr>
                <w:rFonts w:hint="eastAsia" w:ascii="宋体" w:hAnsi="宋体" w:cs="宋体"/>
                <w:highlight w:val="none"/>
              </w:rPr>
              <w:t>构成：比选人按法律法规及相关规定依法组建</w:t>
            </w:r>
            <w:r>
              <w:rPr>
                <w:rFonts w:hint="eastAsia" w:ascii="宋体" w:hAnsi="宋体" w:cs="宋体"/>
                <w:highlight w:val="none"/>
                <w:lang w:eastAsia="zh-CN"/>
              </w:rPr>
              <w:t>评审委员会</w:t>
            </w:r>
            <w:r>
              <w:rPr>
                <w:rFonts w:hint="eastAsia" w:ascii="宋体" w:hAnsi="宋体" w:cs="宋体"/>
                <w:highlight w:val="none"/>
              </w:rPr>
              <w:t>。</w:t>
            </w:r>
          </w:p>
        </w:tc>
      </w:tr>
      <w:tr w14:paraId="07BF6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trPr>
        <w:tc>
          <w:tcPr>
            <w:tcW w:w="651" w:type="pct"/>
            <w:vAlign w:val="center"/>
          </w:tcPr>
          <w:p w14:paraId="05B96978">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7.1</w:t>
            </w:r>
          </w:p>
        </w:tc>
        <w:tc>
          <w:tcPr>
            <w:tcW w:w="907" w:type="pct"/>
            <w:vAlign w:val="center"/>
          </w:tcPr>
          <w:p w14:paraId="350FC66F">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是否授权评选小组确定中选人</w:t>
            </w:r>
          </w:p>
        </w:tc>
        <w:tc>
          <w:tcPr>
            <w:tcW w:w="3441" w:type="pct"/>
            <w:vAlign w:val="center"/>
          </w:tcPr>
          <w:p w14:paraId="393C5FC0">
            <w:pPr>
              <w:snapToGrid w:val="0"/>
              <w:spacing w:line="276" w:lineRule="auto"/>
              <w:ind w:firstLine="105" w:firstLineChars="50"/>
              <w:rPr>
                <w:rFonts w:hint="eastAsia" w:ascii="宋体" w:hAnsi="宋体" w:cs="宋体"/>
                <w:kern w:val="0"/>
                <w:highlight w:val="none"/>
              </w:rPr>
            </w:pPr>
            <w:r>
              <w:rPr>
                <w:rFonts w:hint="eastAsia" w:ascii="宋体" w:hAnsi="宋体" w:cs="宋体"/>
                <w:kern w:val="0"/>
                <w:highlight w:val="none"/>
              </w:rPr>
              <w:t>口是</w:t>
            </w:r>
          </w:p>
          <w:p w14:paraId="5C3210E8">
            <w:pPr>
              <w:snapToGrid w:val="0"/>
              <w:spacing w:line="276" w:lineRule="auto"/>
              <w:ind w:left="286" w:leftChars="50" w:hanging="181" w:hangingChars="101"/>
              <w:rPr>
                <w:rFonts w:hint="eastAsia" w:ascii="宋体" w:hAnsi="宋体" w:cs="宋体"/>
                <w:kern w:val="0"/>
                <w:highlight w:val="none"/>
              </w:rPr>
            </w:pPr>
            <w:r>
              <w:rPr>
                <w:rFonts w:hint="eastAsia" w:ascii="宋体" w:hAnsi="宋体" w:cs="宋体"/>
                <w:kern w:val="0"/>
                <w:sz w:val="18"/>
                <w:szCs w:val="18"/>
                <w:highlight w:val="none"/>
                <w:bdr w:val="single" w:color="auto" w:sz="4" w:space="0"/>
              </w:rPr>
              <w:t>√</w:t>
            </w:r>
            <w:r>
              <w:rPr>
                <w:rFonts w:hint="eastAsia" w:ascii="宋体" w:hAnsi="宋体" w:cs="宋体"/>
                <w:kern w:val="0"/>
                <w:highlight w:val="none"/>
              </w:rPr>
              <w:t>否，推荐经评审综合得分由高到低排名前三名为中标候选人。</w:t>
            </w:r>
          </w:p>
        </w:tc>
      </w:tr>
      <w:tr w14:paraId="2489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651" w:type="pct"/>
            <w:vAlign w:val="center"/>
          </w:tcPr>
          <w:p w14:paraId="557A923C">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7.2</w:t>
            </w:r>
          </w:p>
        </w:tc>
        <w:tc>
          <w:tcPr>
            <w:tcW w:w="907" w:type="pct"/>
            <w:vAlign w:val="center"/>
          </w:tcPr>
          <w:p w14:paraId="5A48F0B2">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中选通知</w:t>
            </w:r>
          </w:p>
        </w:tc>
        <w:tc>
          <w:tcPr>
            <w:tcW w:w="3441" w:type="pct"/>
            <w:vAlign w:val="center"/>
          </w:tcPr>
          <w:p w14:paraId="3B46C1E5">
            <w:pPr>
              <w:autoSpaceDE w:val="0"/>
              <w:autoSpaceDN w:val="0"/>
              <w:adjustRightInd w:val="0"/>
              <w:snapToGrid w:val="0"/>
              <w:spacing w:line="276" w:lineRule="auto"/>
              <w:jc w:val="left"/>
              <w:rPr>
                <w:rFonts w:hint="eastAsia" w:ascii="宋体" w:hAnsi="宋体" w:cs="宋体"/>
                <w:snapToGrid w:val="0"/>
                <w:kern w:val="0"/>
                <w:highlight w:val="none"/>
              </w:rPr>
            </w:pPr>
            <w:r>
              <w:rPr>
                <w:rFonts w:hint="eastAsia" w:ascii="宋体" w:hAnsi="宋体" w:cs="宋体"/>
                <w:snapToGrid w:val="0"/>
                <w:kern w:val="0"/>
                <w:highlight w:val="none"/>
              </w:rPr>
              <w:t>在本章规定的比选有效期内，比选人以书面形式向中选人发出</w:t>
            </w:r>
            <w:r>
              <w:rPr>
                <w:rFonts w:hint="eastAsia" w:ascii="宋体" w:hAnsi="宋体" w:cs="宋体"/>
                <w:snapToGrid w:val="0"/>
                <w:kern w:val="0"/>
                <w:highlight w:val="none"/>
                <w:lang w:eastAsia="zh-CN"/>
              </w:rPr>
              <w:t>中标通知书</w:t>
            </w:r>
            <w:r>
              <w:rPr>
                <w:rFonts w:hint="eastAsia" w:ascii="宋体" w:hAnsi="宋体" w:cs="宋体"/>
                <w:snapToGrid w:val="0"/>
                <w:kern w:val="0"/>
                <w:highlight w:val="none"/>
              </w:rPr>
              <w:t>。</w:t>
            </w:r>
          </w:p>
        </w:tc>
      </w:tr>
      <w:tr w14:paraId="6884B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51" w:type="pct"/>
            <w:vAlign w:val="center"/>
          </w:tcPr>
          <w:p w14:paraId="3E24F48A">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7.3</w:t>
            </w:r>
          </w:p>
        </w:tc>
        <w:tc>
          <w:tcPr>
            <w:tcW w:w="907" w:type="pct"/>
            <w:vAlign w:val="center"/>
          </w:tcPr>
          <w:p w14:paraId="2AC632F1">
            <w:pPr>
              <w:snapToGrid w:val="0"/>
              <w:spacing w:line="300" w:lineRule="auto"/>
              <w:jc w:val="center"/>
              <w:rPr>
                <w:rFonts w:hint="eastAsia" w:ascii="宋体" w:hAnsi="宋体" w:cs="宋体"/>
                <w:kern w:val="0"/>
                <w:highlight w:val="none"/>
              </w:rPr>
            </w:pPr>
            <w:r>
              <w:rPr>
                <w:rFonts w:hint="eastAsia" w:ascii="宋体" w:hAnsi="宋体" w:cs="宋体"/>
                <w:highlight w:val="none"/>
              </w:rPr>
              <w:t>结算原则</w:t>
            </w:r>
          </w:p>
        </w:tc>
        <w:tc>
          <w:tcPr>
            <w:tcW w:w="3441" w:type="pct"/>
            <w:vAlign w:val="center"/>
          </w:tcPr>
          <w:p w14:paraId="03DDA161">
            <w:pPr>
              <w:pStyle w:val="216"/>
              <w:spacing w:line="364" w:lineRule="auto"/>
              <w:ind w:right="-15"/>
              <w:rPr>
                <w:rFonts w:hint="default" w:ascii="宋体" w:hAnsi="宋体" w:eastAsia="宋体" w:cs="宋体"/>
                <w:snapToGrid w:val="0"/>
                <w:kern w:val="0"/>
                <w:highlight w:val="none"/>
                <w:lang w:val="en-US" w:eastAsia="zh-CN"/>
              </w:rPr>
            </w:pPr>
            <w:r>
              <w:rPr>
                <w:rFonts w:hint="eastAsia" w:ascii="宋体" w:hAnsi="宋体" w:eastAsia="宋体" w:cs="宋体"/>
                <w:snapToGrid w:val="0"/>
                <w:kern w:val="0"/>
                <w:highlight w:val="none"/>
              </w:rPr>
              <w:t>结算总价=</w:t>
            </w:r>
            <w:r>
              <w:rPr>
                <w:rFonts w:hint="eastAsia" w:ascii="宋体" w:hAnsi="宋体" w:cs="宋体"/>
                <w:snapToGrid w:val="0"/>
                <w:kern w:val="0"/>
                <w:highlight w:val="none"/>
                <w:lang w:val="en-US" w:eastAsia="zh-CN"/>
              </w:rPr>
              <w:t>中标合同价</w:t>
            </w:r>
            <w:r>
              <w:rPr>
                <w:rFonts w:hint="eastAsia" w:ascii="宋体" w:hAnsi="宋体" w:eastAsia="宋体" w:cs="宋体"/>
                <w:snapToGrid w:val="0"/>
                <w:kern w:val="0"/>
                <w:highlight w:val="none"/>
              </w:rPr>
              <w:t>。</w:t>
            </w:r>
            <w:r>
              <w:rPr>
                <w:rFonts w:hint="eastAsia" w:ascii="宋体" w:hAnsi="宋体" w:cs="宋体"/>
                <w:snapToGrid w:val="0"/>
                <w:kern w:val="0"/>
                <w:highlight w:val="none"/>
                <w:lang w:val="en-US" w:eastAsia="zh-CN"/>
              </w:rPr>
              <w:t>备注：设计变更除外。</w:t>
            </w:r>
          </w:p>
        </w:tc>
      </w:tr>
      <w:tr w14:paraId="0A93E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651" w:type="pct"/>
            <w:vAlign w:val="center"/>
          </w:tcPr>
          <w:p w14:paraId="4614DBD1">
            <w:pPr>
              <w:snapToGrid w:val="0"/>
              <w:spacing w:line="360" w:lineRule="auto"/>
              <w:jc w:val="center"/>
              <w:rPr>
                <w:rFonts w:hint="eastAsia" w:ascii="宋体" w:hAnsi="宋体" w:eastAsia="宋体" w:cs="宋体"/>
                <w:kern w:val="0"/>
                <w:highlight w:val="none"/>
              </w:rPr>
            </w:pPr>
            <w:r>
              <w:rPr>
                <w:rFonts w:hint="eastAsia" w:ascii="宋体" w:hAnsi="宋体" w:eastAsia="宋体" w:cs="宋体"/>
                <w:kern w:val="0"/>
                <w:highlight w:val="none"/>
              </w:rPr>
              <w:t>7.3.1</w:t>
            </w:r>
          </w:p>
        </w:tc>
        <w:tc>
          <w:tcPr>
            <w:tcW w:w="907" w:type="pct"/>
            <w:vAlign w:val="center"/>
          </w:tcPr>
          <w:p w14:paraId="2941C1E2">
            <w:pPr>
              <w:snapToGrid w:val="0"/>
              <w:spacing w:line="360" w:lineRule="auto"/>
              <w:jc w:val="center"/>
              <w:rPr>
                <w:rFonts w:hint="eastAsia" w:ascii="宋体" w:hAnsi="宋体" w:eastAsia="宋体" w:cs="宋体"/>
                <w:kern w:val="0"/>
                <w:highlight w:val="none"/>
              </w:rPr>
            </w:pPr>
            <w:r>
              <w:rPr>
                <w:rFonts w:hint="eastAsia" w:ascii="宋体" w:hAnsi="宋体" w:eastAsia="宋体" w:cs="宋体"/>
                <w:kern w:val="0"/>
                <w:highlight w:val="none"/>
              </w:rPr>
              <w:t>履约担保</w:t>
            </w:r>
          </w:p>
        </w:tc>
        <w:tc>
          <w:tcPr>
            <w:tcW w:w="3441" w:type="pct"/>
            <w:vAlign w:val="center"/>
          </w:tcPr>
          <w:p w14:paraId="25C8272E">
            <w:pPr>
              <w:snapToGrid w:val="0"/>
              <w:spacing w:line="360" w:lineRule="auto"/>
              <w:jc w:val="center"/>
              <w:rPr>
                <w:rFonts w:hint="eastAsia" w:ascii="宋体" w:hAnsi="宋体" w:eastAsia="宋体" w:cs="宋体"/>
                <w:kern w:val="0"/>
                <w:highlight w:val="none"/>
                <w:lang w:eastAsia="zh-CN"/>
              </w:rPr>
            </w:pPr>
            <w:r>
              <w:rPr>
                <w:rFonts w:hint="eastAsia" w:ascii="宋体" w:hAnsi="宋体" w:eastAsia="宋体" w:cs="宋体"/>
                <w:kern w:val="0"/>
                <w:highlight w:val="none"/>
                <w:lang w:val="en-US" w:eastAsia="zh-CN"/>
              </w:rPr>
              <w:t>无</w:t>
            </w:r>
          </w:p>
        </w:tc>
      </w:tr>
      <w:tr w14:paraId="3B98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651" w:type="pct"/>
            <w:vAlign w:val="center"/>
          </w:tcPr>
          <w:p w14:paraId="62B55BC4">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9</w:t>
            </w:r>
          </w:p>
        </w:tc>
        <w:tc>
          <w:tcPr>
            <w:tcW w:w="907" w:type="pct"/>
            <w:vAlign w:val="center"/>
          </w:tcPr>
          <w:p w14:paraId="628E547A">
            <w:pPr>
              <w:snapToGrid w:val="0"/>
              <w:spacing w:line="300" w:lineRule="auto"/>
              <w:ind w:firstLine="105" w:firstLineChars="50"/>
              <w:jc w:val="center"/>
              <w:rPr>
                <w:rFonts w:hint="eastAsia" w:ascii="宋体" w:hAnsi="宋体" w:cs="宋体"/>
                <w:kern w:val="0"/>
                <w:highlight w:val="none"/>
              </w:rPr>
            </w:pPr>
            <w:r>
              <w:rPr>
                <w:rFonts w:hint="eastAsia" w:ascii="宋体" w:hAnsi="宋体" w:cs="宋体"/>
                <w:kern w:val="0"/>
                <w:highlight w:val="none"/>
              </w:rPr>
              <w:t>纪律监督</w:t>
            </w:r>
          </w:p>
        </w:tc>
        <w:tc>
          <w:tcPr>
            <w:tcW w:w="3441" w:type="pct"/>
            <w:vAlign w:val="center"/>
          </w:tcPr>
          <w:p w14:paraId="094BCA34">
            <w:pPr>
              <w:snapToGrid w:val="0"/>
              <w:spacing w:line="276" w:lineRule="auto"/>
              <w:ind w:firstLine="105" w:firstLineChars="50"/>
              <w:rPr>
                <w:rFonts w:hint="eastAsia" w:ascii="宋体" w:hAnsi="宋体" w:eastAsia="宋体" w:cs="宋体"/>
                <w:kern w:val="0"/>
                <w:highlight w:val="none"/>
                <w:lang w:val="en-US" w:eastAsia="zh-CN"/>
              </w:rPr>
            </w:pPr>
            <w:r>
              <w:rPr>
                <w:rFonts w:hint="eastAsia" w:ascii="宋体" w:hAnsi="宋体" w:cs="宋体"/>
                <w:kern w:val="0"/>
                <w:highlight w:val="none"/>
              </w:rPr>
              <w:t>按国家相关法律规定</w:t>
            </w:r>
            <w:r>
              <w:rPr>
                <w:rFonts w:hint="eastAsia" w:ascii="宋体" w:hAnsi="宋体" w:cs="宋体"/>
                <w:kern w:val="0"/>
                <w:highlight w:val="none"/>
                <w:lang w:val="en-US" w:eastAsia="zh-CN"/>
              </w:rPr>
              <w:t>执行</w:t>
            </w:r>
          </w:p>
        </w:tc>
      </w:tr>
      <w:tr w14:paraId="4CC61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51" w:type="pct"/>
            <w:vAlign w:val="center"/>
          </w:tcPr>
          <w:p w14:paraId="73CA3D79">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10</w:t>
            </w:r>
          </w:p>
        </w:tc>
        <w:tc>
          <w:tcPr>
            <w:tcW w:w="4348" w:type="pct"/>
            <w:gridSpan w:val="2"/>
            <w:vAlign w:val="center"/>
          </w:tcPr>
          <w:p w14:paraId="30A533EF">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需要补充的其他内容</w:t>
            </w:r>
          </w:p>
        </w:tc>
      </w:tr>
      <w:tr w14:paraId="233E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651" w:type="pct"/>
            <w:vAlign w:val="center"/>
          </w:tcPr>
          <w:p w14:paraId="676F7AD4">
            <w:pPr>
              <w:snapToGrid w:val="0"/>
              <w:spacing w:line="400" w:lineRule="exact"/>
              <w:jc w:val="center"/>
              <w:rPr>
                <w:rFonts w:hint="eastAsia" w:ascii="宋体" w:hAnsi="宋体" w:cs="宋体"/>
                <w:kern w:val="0"/>
                <w:highlight w:val="none"/>
              </w:rPr>
            </w:pPr>
            <w:r>
              <w:rPr>
                <w:rFonts w:hint="eastAsia" w:ascii="宋体" w:hAnsi="宋体" w:cs="宋体"/>
                <w:kern w:val="0"/>
                <w:highlight w:val="none"/>
              </w:rPr>
              <w:t>10.1</w:t>
            </w:r>
          </w:p>
        </w:tc>
        <w:tc>
          <w:tcPr>
            <w:tcW w:w="907" w:type="pct"/>
            <w:vAlign w:val="center"/>
          </w:tcPr>
          <w:p w14:paraId="3AC8066F">
            <w:pPr>
              <w:jc w:val="center"/>
              <w:rPr>
                <w:rFonts w:hint="eastAsia" w:ascii="宋体" w:hAnsi="宋体" w:cs="宋体"/>
                <w:kern w:val="0"/>
                <w:highlight w:val="none"/>
              </w:rPr>
            </w:pPr>
            <w:r>
              <w:rPr>
                <w:rFonts w:hint="eastAsia" w:ascii="宋体" w:hAnsi="宋体" w:cs="宋体"/>
                <w:bCs/>
                <w:highlight w:val="none"/>
              </w:rPr>
              <w:t>比选代理服务费</w:t>
            </w:r>
          </w:p>
        </w:tc>
        <w:tc>
          <w:tcPr>
            <w:tcW w:w="3441" w:type="pct"/>
            <w:vAlign w:val="center"/>
          </w:tcPr>
          <w:p w14:paraId="26ABADFD">
            <w:pPr>
              <w:spacing w:line="360" w:lineRule="auto"/>
              <w:ind w:firstLine="420" w:firstLineChars="200"/>
              <w:rPr>
                <w:rFonts w:hint="eastAsia" w:ascii="宋体" w:hAnsi="宋体" w:cs="宋体"/>
                <w:highlight w:val="none"/>
              </w:rPr>
            </w:pPr>
            <w:r>
              <w:rPr>
                <w:rFonts w:hint="eastAsia" w:ascii="宋体" w:hAnsi="宋体" w:cs="宋体"/>
                <w:kern w:val="0"/>
                <w:highlight w:val="none"/>
              </w:rPr>
              <w:t xml:space="preserve"> </w:t>
            </w:r>
            <w:r>
              <w:rPr>
                <w:rFonts w:hint="eastAsia" w:ascii="宋体" w:hAnsi="宋体" w:cs="宋体"/>
                <w:kern w:val="0"/>
                <w:highlight w:val="none"/>
                <w:lang w:val="en-US" w:eastAsia="zh-CN"/>
              </w:rPr>
              <w:t>比选</w:t>
            </w:r>
            <w:r>
              <w:rPr>
                <w:rFonts w:hint="eastAsia" w:ascii="宋体" w:hAnsi="宋体" w:cs="宋体"/>
                <w:kern w:val="0"/>
                <w:highlight w:val="none"/>
              </w:rPr>
              <w:t>代理服务费：以中标金额作为收费基数，收费标准按照国家计委计价格[2002]1980号文件《招标代理服务收费管理暂行办法》的规定计取。代理服务费含在</w:t>
            </w:r>
            <w:r>
              <w:rPr>
                <w:rFonts w:hint="eastAsia" w:ascii="宋体" w:hAnsi="宋体" w:cs="宋体"/>
                <w:kern w:val="0"/>
                <w:highlight w:val="none"/>
                <w:lang w:val="en-US" w:eastAsia="zh-CN"/>
              </w:rPr>
              <w:t>比选</w:t>
            </w:r>
            <w:r>
              <w:rPr>
                <w:rFonts w:hint="eastAsia" w:ascii="宋体" w:hAnsi="宋体" w:cs="宋体"/>
                <w:kern w:val="0"/>
                <w:highlight w:val="none"/>
              </w:rPr>
              <w:t xml:space="preserve">报价中，不单独计列。不足3000元的按3000元计费，由中标人在领取中标通知书时一次性支付给代理机构。 </w:t>
            </w:r>
          </w:p>
        </w:tc>
      </w:tr>
      <w:tr w14:paraId="7A2AA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51" w:type="pct"/>
            <w:vAlign w:val="center"/>
          </w:tcPr>
          <w:p w14:paraId="2E9B4247">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10.2</w:t>
            </w:r>
          </w:p>
        </w:tc>
        <w:tc>
          <w:tcPr>
            <w:tcW w:w="907" w:type="pct"/>
            <w:vAlign w:val="center"/>
          </w:tcPr>
          <w:p w14:paraId="154A58C4">
            <w:pPr>
              <w:tabs>
                <w:tab w:val="left" w:pos="2032"/>
              </w:tabs>
              <w:snapToGrid w:val="0"/>
              <w:spacing w:before="156" w:beforeLines="50" w:line="360" w:lineRule="auto"/>
              <w:jc w:val="center"/>
              <w:rPr>
                <w:rFonts w:hint="eastAsia" w:ascii="宋体" w:hAnsi="宋体" w:cs="宋体"/>
                <w:highlight w:val="none"/>
              </w:rPr>
            </w:pPr>
            <w:r>
              <w:rPr>
                <w:rFonts w:hint="eastAsia" w:ascii="宋体" w:hAnsi="宋体" w:cs="宋体"/>
                <w:highlight w:val="none"/>
              </w:rPr>
              <w:t>比选公示</w:t>
            </w:r>
          </w:p>
        </w:tc>
        <w:tc>
          <w:tcPr>
            <w:tcW w:w="3441" w:type="pct"/>
            <w:vAlign w:val="center"/>
          </w:tcPr>
          <w:p w14:paraId="603C08CE">
            <w:pPr>
              <w:spacing w:line="360" w:lineRule="auto"/>
              <w:ind w:firstLine="420" w:firstLineChars="200"/>
              <w:rPr>
                <w:rFonts w:hint="eastAsia" w:ascii="宋体" w:hAnsi="宋体" w:cs="宋体"/>
                <w:highlight w:val="none"/>
              </w:rPr>
            </w:pPr>
            <w:r>
              <w:rPr>
                <w:rFonts w:hint="eastAsia" w:ascii="宋体" w:hAnsi="宋体" w:cs="宋体"/>
                <w:snapToGrid w:val="0"/>
                <w:highlight w:val="none"/>
              </w:rPr>
              <w:t>在</w:t>
            </w:r>
            <w:r>
              <w:rPr>
                <w:rFonts w:hint="eastAsia" w:ascii="宋体" w:hAnsi="宋体" w:cs="宋体"/>
                <w:snapToGrid w:val="0"/>
                <w:highlight w:val="none"/>
                <w:u w:val="single"/>
              </w:rPr>
              <w:t>“行采家https://www.gec123.com”</w:t>
            </w:r>
            <w:r>
              <w:rPr>
                <w:rFonts w:hint="eastAsia" w:ascii="宋体" w:hAnsi="宋体" w:cs="宋体"/>
                <w:highlight w:val="none"/>
              </w:rPr>
              <w:t>上发布</w:t>
            </w:r>
          </w:p>
        </w:tc>
      </w:tr>
    </w:tbl>
    <w:p w14:paraId="74F1B836">
      <w:pPr>
        <w:snapToGrid w:val="0"/>
        <w:spacing w:before="156" w:beforeLines="50" w:line="360" w:lineRule="auto"/>
        <w:ind w:firstLine="420" w:firstLineChars="200"/>
        <w:rPr>
          <w:rFonts w:hint="eastAsia" w:ascii="宋体" w:hAnsi="宋体" w:cs="宋体"/>
          <w:kern w:val="0"/>
          <w:highlight w:val="none"/>
        </w:rPr>
      </w:pPr>
      <w:bookmarkStart w:id="47" w:name="_Toc200513126"/>
      <w:bookmarkStart w:id="48" w:name="_Toc304992505"/>
      <w:r>
        <w:rPr>
          <w:rFonts w:hint="eastAsia" w:ascii="宋体" w:hAnsi="宋体" w:cs="宋体"/>
          <w:kern w:val="0"/>
          <w:highlight w:val="none"/>
        </w:rPr>
        <w:t>注：1.比选申请人须知前附表与正文不一致的以前附表为准，评标办法前附表与正文不一致的以前附表为准。</w:t>
      </w:r>
    </w:p>
    <w:p w14:paraId="02DD9956">
      <w:pPr>
        <w:snapToGrid w:val="0"/>
        <w:spacing w:before="156" w:beforeLines="50" w:line="360" w:lineRule="auto"/>
        <w:ind w:firstLine="420" w:firstLineChars="200"/>
        <w:rPr>
          <w:rFonts w:hint="eastAsia" w:ascii="宋体" w:hAnsi="宋体" w:cs="宋体"/>
          <w:snapToGrid w:val="0"/>
          <w:highlight w:val="none"/>
        </w:rPr>
      </w:pPr>
      <w:r>
        <w:rPr>
          <w:rFonts w:hint="eastAsia" w:ascii="宋体" w:hAnsi="宋体" w:cs="宋体"/>
          <w:kern w:val="0"/>
          <w:highlight w:val="none"/>
        </w:rPr>
        <w:t>2.本比选文件最终解释权归</w:t>
      </w:r>
      <w:r>
        <w:rPr>
          <w:rFonts w:hint="eastAsia" w:ascii="宋体" w:hAnsi="宋体" w:cs="宋体"/>
          <w:kern w:val="0"/>
          <w:highlight w:val="none"/>
          <w:lang w:val="en-US" w:eastAsia="zh-CN"/>
        </w:rPr>
        <w:t>比选人</w:t>
      </w:r>
      <w:r>
        <w:rPr>
          <w:rFonts w:hint="eastAsia" w:ascii="宋体" w:hAnsi="宋体" w:cs="宋体"/>
          <w:kern w:val="0"/>
          <w:highlight w:val="none"/>
        </w:rPr>
        <w:t>。</w:t>
      </w:r>
      <w:r>
        <w:rPr>
          <w:rFonts w:hint="eastAsia" w:ascii="宋体" w:hAnsi="宋体" w:cs="宋体"/>
          <w:snapToGrid w:val="0"/>
          <w:highlight w:val="none"/>
        </w:rPr>
        <w:br w:type="page"/>
      </w:r>
      <w:bookmarkEnd w:id="47"/>
      <w:bookmarkEnd w:id="48"/>
      <w:bookmarkStart w:id="49" w:name="_Toc22375574"/>
      <w:bookmarkStart w:id="50" w:name="_Toc22990016"/>
      <w:r>
        <w:rPr>
          <w:rFonts w:hint="eastAsia" w:ascii="宋体" w:hAnsi="宋体" w:cs="宋体"/>
          <w:b/>
          <w:snapToGrid w:val="0"/>
          <w:kern w:val="0"/>
          <w:sz w:val="24"/>
          <w:szCs w:val="28"/>
          <w:highlight w:val="none"/>
        </w:rPr>
        <w:t>1.  总则</w:t>
      </w:r>
      <w:bookmarkEnd w:id="49"/>
      <w:bookmarkEnd w:id="50"/>
    </w:p>
    <w:p w14:paraId="0A501BB0">
      <w:pPr>
        <w:pStyle w:val="4"/>
        <w:spacing w:line="360" w:lineRule="auto"/>
        <w:rPr>
          <w:rFonts w:hint="eastAsia" w:ascii="宋体" w:hAnsi="宋体" w:eastAsia="宋体" w:cs="宋体"/>
          <w:snapToGrid w:val="0"/>
          <w:highlight w:val="none"/>
        </w:rPr>
      </w:pPr>
      <w:bookmarkStart w:id="51" w:name="_Toc260740988"/>
      <w:bookmarkStart w:id="52" w:name="_Toc487208650"/>
      <w:bookmarkStart w:id="53" w:name="_Toc22375575"/>
      <w:bookmarkStart w:id="54" w:name="_Toc406575072"/>
      <w:bookmarkStart w:id="55" w:name="_Toc22990017"/>
      <w:bookmarkStart w:id="56" w:name="_Toc492994330"/>
      <w:bookmarkStart w:id="57" w:name="_Toc200513127"/>
      <w:r>
        <w:rPr>
          <w:rFonts w:hint="eastAsia" w:ascii="宋体" w:hAnsi="宋体" w:eastAsia="宋体" w:cs="宋体"/>
          <w:snapToGrid w:val="0"/>
          <w:highlight w:val="none"/>
        </w:rPr>
        <w:t>1.1  项目概况</w:t>
      </w:r>
      <w:bookmarkEnd w:id="51"/>
      <w:bookmarkEnd w:id="52"/>
      <w:bookmarkEnd w:id="53"/>
      <w:bookmarkEnd w:id="54"/>
      <w:bookmarkEnd w:id="55"/>
      <w:bookmarkEnd w:id="56"/>
      <w:bookmarkEnd w:id="57"/>
    </w:p>
    <w:p w14:paraId="3E42DF32">
      <w:pPr>
        <w:autoSpaceDE w:val="0"/>
        <w:autoSpaceDN w:val="0"/>
        <w:adjustRightInd w:val="0"/>
        <w:snapToGrid w:val="0"/>
        <w:spacing w:line="360" w:lineRule="auto"/>
        <w:ind w:firstLine="357" w:firstLineChars="170"/>
        <w:jc w:val="left"/>
        <w:rPr>
          <w:rFonts w:hint="eastAsia" w:ascii="宋体" w:hAnsi="宋体" w:cs="宋体"/>
          <w:snapToGrid w:val="0"/>
          <w:kern w:val="0"/>
          <w:highlight w:val="none"/>
        </w:rPr>
      </w:pPr>
      <w:r>
        <w:rPr>
          <w:rFonts w:hint="eastAsia" w:ascii="宋体" w:hAnsi="宋体" w:cs="宋体"/>
          <w:snapToGrid w:val="0"/>
          <w:kern w:val="0"/>
          <w:highlight w:val="none"/>
        </w:rPr>
        <w:t>1.1.1  根据《中华人民共和国招标投标法》、《中华人民共和国招标投标条例》等有关法律、法规和规章的规定，本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已具备比选招标条件，现对本项目进行比选招标。</w:t>
      </w:r>
    </w:p>
    <w:p w14:paraId="26794ABC">
      <w:pPr>
        <w:autoSpaceDE w:val="0"/>
        <w:autoSpaceDN w:val="0"/>
        <w:adjustRightInd w:val="0"/>
        <w:snapToGrid w:val="0"/>
        <w:spacing w:line="360" w:lineRule="auto"/>
        <w:ind w:firstLine="357" w:firstLineChars="170"/>
        <w:jc w:val="left"/>
        <w:rPr>
          <w:rFonts w:hint="eastAsia" w:ascii="宋体" w:hAnsi="宋体" w:cs="宋体"/>
          <w:snapToGrid w:val="0"/>
          <w:kern w:val="0"/>
          <w:highlight w:val="none"/>
        </w:rPr>
      </w:pPr>
      <w:r>
        <w:rPr>
          <w:rFonts w:hint="eastAsia" w:ascii="宋体" w:hAnsi="宋体" w:cs="宋体"/>
          <w:snapToGrid w:val="0"/>
          <w:kern w:val="0"/>
          <w:highlight w:val="none"/>
        </w:rPr>
        <w:t>1.1.2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比选人：见比选申请人须知前附表。</w:t>
      </w:r>
    </w:p>
    <w:p w14:paraId="1634E717">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1.1.3  本项目比选招标代理机构：见比选申请人须知前附表。</w:t>
      </w:r>
    </w:p>
    <w:p w14:paraId="06921A33">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1.1.4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名称：见比选申请人须知前附表。</w:t>
      </w:r>
    </w:p>
    <w:p w14:paraId="2E03DCE3">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1.1.5  本项目建设地点：见比选申请人须知前附表。</w:t>
      </w:r>
    </w:p>
    <w:p w14:paraId="653DB971">
      <w:pPr>
        <w:pStyle w:val="4"/>
        <w:snapToGrid w:val="0"/>
        <w:spacing w:before="0" w:line="360" w:lineRule="auto"/>
        <w:rPr>
          <w:rFonts w:hint="eastAsia" w:ascii="宋体" w:hAnsi="宋体" w:eastAsia="宋体" w:cs="宋体"/>
          <w:snapToGrid w:val="0"/>
          <w:highlight w:val="none"/>
        </w:rPr>
      </w:pPr>
      <w:bookmarkStart w:id="58" w:name="_Toc22375576"/>
      <w:bookmarkStart w:id="59" w:name="_Toc492994331"/>
      <w:bookmarkStart w:id="60" w:name="_Toc487208651"/>
      <w:bookmarkStart w:id="61" w:name="_Toc22990018"/>
      <w:bookmarkStart w:id="62" w:name="_Toc200513128"/>
      <w:bookmarkStart w:id="63" w:name="_Toc406575073"/>
      <w:bookmarkStart w:id="64" w:name="_Toc260740989"/>
      <w:r>
        <w:rPr>
          <w:rFonts w:hint="eastAsia" w:ascii="宋体" w:hAnsi="宋体" w:eastAsia="宋体" w:cs="宋体"/>
          <w:snapToGrid w:val="0"/>
          <w:highlight w:val="none"/>
        </w:rPr>
        <w:t>1.2  资金来源和落实情况</w:t>
      </w:r>
      <w:bookmarkEnd w:id="58"/>
      <w:bookmarkEnd w:id="59"/>
      <w:bookmarkEnd w:id="60"/>
      <w:bookmarkEnd w:id="61"/>
      <w:bookmarkEnd w:id="62"/>
      <w:bookmarkEnd w:id="63"/>
      <w:bookmarkEnd w:id="64"/>
    </w:p>
    <w:p w14:paraId="0C00211C">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1.2.1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的资金来源：见比选申请人须知前附表。</w:t>
      </w:r>
    </w:p>
    <w:p w14:paraId="7C02E8B7">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1.2.2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的出资比例：见比选申请人须知前附表。</w:t>
      </w:r>
    </w:p>
    <w:p w14:paraId="16A6A181">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1.2.3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的资金落实情况：见比选申请人须知前附表。</w:t>
      </w:r>
    </w:p>
    <w:p w14:paraId="118E906E">
      <w:pPr>
        <w:pStyle w:val="4"/>
        <w:snapToGrid w:val="0"/>
        <w:spacing w:before="0" w:line="360" w:lineRule="auto"/>
        <w:rPr>
          <w:rFonts w:hint="eastAsia" w:ascii="宋体" w:hAnsi="宋体" w:eastAsia="宋体" w:cs="宋体"/>
          <w:snapToGrid w:val="0"/>
          <w:highlight w:val="none"/>
        </w:rPr>
      </w:pPr>
      <w:bookmarkStart w:id="65" w:name="_Toc22990019"/>
      <w:bookmarkStart w:id="66" w:name="_Toc260740990"/>
      <w:bookmarkStart w:id="67" w:name="_Toc22375577"/>
      <w:bookmarkStart w:id="68" w:name="_Toc406575074"/>
      <w:bookmarkStart w:id="69" w:name="_Toc200513129"/>
      <w:bookmarkStart w:id="70" w:name="_Toc487208652"/>
      <w:bookmarkStart w:id="71" w:name="_Toc492994332"/>
      <w:r>
        <w:rPr>
          <w:rFonts w:hint="eastAsia" w:ascii="宋体" w:hAnsi="宋体" w:eastAsia="宋体" w:cs="宋体"/>
          <w:snapToGrid w:val="0"/>
          <w:highlight w:val="none"/>
        </w:rPr>
        <w:t>1.3  比选招标范围、计划工期和质量要求</w:t>
      </w:r>
      <w:bookmarkEnd w:id="65"/>
      <w:bookmarkEnd w:id="66"/>
      <w:bookmarkEnd w:id="67"/>
      <w:bookmarkEnd w:id="68"/>
      <w:bookmarkEnd w:id="69"/>
      <w:bookmarkEnd w:id="70"/>
      <w:bookmarkEnd w:id="71"/>
    </w:p>
    <w:p w14:paraId="25479924">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1.3.1  本次比选招标范围：见比选申请人须知前附表。</w:t>
      </w:r>
    </w:p>
    <w:p w14:paraId="46CAB100">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1.3.2  本项目的计划工期：见比选申请人须知前附表。</w:t>
      </w:r>
    </w:p>
    <w:p w14:paraId="68F52C4E">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1.3.3  本项目的质量要求：见比选申请人须知前附表。</w:t>
      </w:r>
    </w:p>
    <w:p w14:paraId="20B1AE57">
      <w:pPr>
        <w:pStyle w:val="4"/>
        <w:snapToGrid w:val="0"/>
        <w:spacing w:before="0" w:line="360" w:lineRule="auto"/>
        <w:rPr>
          <w:rFonts w:hint="eastAsia" w:ascii="宋体" w:hAnsi="宋体" w:eastAsia="宋体" w:cs="宋体"/>
          <w:snapToGrid w:val="0"/>
          <w:szCs w:val="21"/>
          <w:highlight w:val="none"/>
        </w:rPr>
      </w:pPr>
      <w:bookmarkStart w:id="72" w:name="_Toc487208653"/>
      <w:bookmarkStart w:id="73" w:name="_Toc260740991"/>
      <w:bookmarkStart w:id="74" w:name="_Toc406575075"/>
      <w:bookmarkStart w:id="75" w:name="_Toc492994333"/>
      <w:bookmarkStart w:id="76" w:name="_Toc200513131"/>
      <w:bookmarkStart w:id="77" w:name="_Toc22990020"/>
      <w:bookmarkStart w:id="78" w:name="_Toc22375578"/>
      <w:r>
        <w:rPr>
          <w:rFonts w:hint="eastAsia" w:ascii="宋体" w:hAnsi="宋体" w:eastAsia="宋体" w:cs="宋体"/>
          <w:snapToGrid w:val="0"/>
          <w:highlight w:val="none"/>
        </w:rPr>
        <w:t>1.4  比选申请人资格要求</w:t>
      </w:r>
      <w:bookmarkEnd w:id="72"/>
      <w:bookmarkEnd w:id="73"/>
      <w:bookmarkEnd w:id="74"/>
      <w:bookmarkEnd w:id="75"/>
      <w:bookmarkEnd w:id="76"/>
      <w:bookmarkEnd w:id="77"/>
      <w:bookmarkEnd w:id="78"/>
    </w:p>
    <w:p w14:paraId="5B79F8B3">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bookmarkStart w:id="79" w:name="_Toc492994334"/>
      <w:bookmarkStart w:id="80" w:name="_Toc260740992"/>
      <w:bookmarkStart w:id="81" w:name="_Toc200513132"/>
      <w:bookmarkStart w:id="82" w:name="_Toc487208654"/>
      <w:bookmarkStart w:id="83" w:name="_Toc406575076"/>
      <w:r>
        <w:rPr>
          <w:rFonts w:hint="eastAsia" w:ascii="宋体" w:hAnsi="宋体" w:cs="宋体"/>
          <w:snapToGrid w:val="0"/>
          <w:kern w:val="0"/>
          <w:highlight w:val="none"/>
        </w:rPr>
        <w:t>1.4.1 比选申请人应具备承担本标段施工的条件、能力和信誉。</w:t>
      </w:r>
    </w:p>
    <w:p w14:paraId="7146D499">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（1）营业执照：见比选申请人须知前附表；</w:t>
      </w:r>
    </w:p>
    <w:p w14:paraId="4556EF29">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（2）资格条件要求：见比选申请人须知前附表；</w:t>
      </w:r>
    </w:p>
    <w:p w14:paraId="3321E238">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（3）业绩要求：见比选申请人须知前附表；</w:t>
      </w:r>
    </w:p>
    <w:p w14:paraId="35F04E85">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（4）项目经理要求：见比选申请人须知前附表；</w:t>
      </w:r>
    </w:p>
    <w:p w14:paraId="5F01056D">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（5）技术负责人要求：见比选申请人须知前附表；</w:t>
      </w:r>
    </w:p>
    <w:p w14:paraId="453A20E1">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（6）信誉要求：见比选申请人须知前附表；</w:t>
      </w:r>
    </w:p>
    <w:p w14:paraId="620C425C">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（7）其他要求：见比选申请人须知前附表。</w:t>
      </w:r>
    </w:p>
    <w:p w14:paraId="0B5AAF79">
      <w:pPr>
        <w:pStyle w:val="43"/>
        <w:rPr>
          <w:rFonts w:hint="eastAsia" w:ascii="宋体" w:hAnsi="宋体" w:cs="宋体"/>
          <w:snapToGrid w:val="0"/>
          <w:kern w:val="0"/>
          <w:sz w:val="21"/>
          <w:highlight w:val="none"/>
        </w:rPr>
      </w:pPr>
      <w:r>
        <w:rPr>
          <w:rFonts w:hint="eastAsia" w:ascii="宋体" w:hAnsi="宋体" w:cs="宋体"/>
          <w:snapToGrid w:val="0"/>
          <w:kern w:val="0"/>
          <w:sz w:val="21"/>
          <w:highlight w:val="none"/>
        </w:rPr>
        <w:t>1.4.2  比选申请人须知前附表规定接受联合体投标的，除应符合本章第1.4.1项和比选申请人须知前附表的要求外，还应遵守以下规定：</w:t>
      </w:r>
    </w:p>
    <w:p w14:paraId="310A6596">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（1）联合体各方应按比选文件提供的格式签订联合体协议书，明确联合体牵头人和各方权利义务；</w:t>
      </w:r>
    </w:p>
    <w:p w14:paraId="76E800E8">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（2）由同一专业的单位组成的联合体，按照资质等级较低的单位确定资质等级；</w:t>
      </w:r>
    </w:p>
    <w:p w14:paraId="3D77C72E">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（3）联合体各方不得再以自己名义单独或参加其他联合体在同一标段中投标。</w:t>
      </w:r>
    </w:p>
    <w:p w14:paraId="37211624">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1.4.3  比选申请人不得存在下列情形之一：</w:t>
      </w:r>
    </w:p>
    <w:p w14:paraId="0B5B222C">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position w:val="-2"/>
          <w:highlight w:val="none"/>
        </w:rPr>
        <w:t>（1）与比选人存在利害关系可能影响比选招标公正性的法人、其他组织或者个人；</w:t>
      </w:r>
    </w:p>
    <w:p w14:paraId="423AA336">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（2）为本标段前期准备提供设计或咨询服务的，但设计施工总承包的除外；</w:t>
      </w:r>
    </w:p>
    <w:p w14:paraId="5E94356B">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（3）为本标段的监理人；</w:t>
      </w:r>
    </w:p>
    <w:p w14:paraId="76D22BCD">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（4）为本标段的代建人；</w:t>
      </w:r>
    </w:p>
    <w:p w14:paraId="77E740D2">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（5）为本标段提供比选招标代理服务的；</w:t>
      </w:r>
    </w:p>
    <w:p w14:paraId="7DAEA11C">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（6）与本标段的监理人或代建人或比选招标代理机构同为一个法定代表人的；</w:t>
      </w:r>
    </w:p>
    <w:p w14:paraId="2F67B3DF">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（7）与本标段的监理人或代建人或比选招标代理机构相互控股或参股的；</w:t>
      </w:r>
    </w:p>
    <w:p w14:paraId="386C3FDD">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（8）与本标段的监理人或代建人或比选招标代理机构相互任职或工作的；</w:t>
      </w:r>
    </w:p>
    <w:p w14:paraId="2BDAD090">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（9）被责令停业的；</w:t>
      </w:r>
    </w:p>
    <w:p w14:paraId="047FDE89">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（10）被暂停或取消投标资格的；</w:t>
      </w:r>
    </w:p>
    <w:p w14:paraId="3888E66B">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（11）财产被接管或冻结的；</w:t>
      </w:r>
    </w:p>
    <w:p w14:paraId="76FC56A2">
      <w:pPr>
        <w:pStyle w:val="4"/>
        <w:snapToGrid w:val="0"/>
        <w:spacing w:before="0" w:line="360" w:lineRule="auto"/>
        <w:rPr>
          <w:rFonts w:hint="eastAsia" w:ascii="宋体" w:hAnsi="宋体" w:eastAsia="宋体" w:cs="宋体"/>
          <w:snapToGrid w:val="0"/>
          <w:highlight w:val="none"/>
        </w:rPr>
      </w:pPr>
      <w:bookmarkStart w:id="84" w:name="_Toc22375579"/>
      <w:bookmarkStart w:id="85" w:name="_Toc22990021"/>
      <w:r>
        <w:rPr>
          <w:rFonts w:hint="eastAsia" w:ascii="宋体" w:hAnsi="宋体" w:eastAsia="宋体" w:cs="宋体"/>
          <w:snapToGrid w:val="0"/>
          <w:highlight w:val="none"/>
        </w:rPr>
        <w:t>1.5  费用承担</w:t>
      </w:r>
      <w:bookmarkEnd w:id="79"/>
      <w:bookmarkEnd w:id="80"/>
      <w:bookmarkEnd w:id="81"/>
      <w:bookmarkEnd w:id="82"/>
      <w:bookmarkEnd w:id="83"/>
      <w:bookmarkEnd w:id="84"/>
      <w:bookmarkEnd w:id="85"/>
    </w:p>
    <w:p w14:paraId="499474CB">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不论比选招标投标结果如何，比选申请人应承担其参加本</w:t>
      </w:r>
      <w:r>
        <w:rPr>
          <w:rFonts w:hint="eastAsia" w:ascii="宋体" w:hAnsi="宋体" w:cs="宋体"/>
          <w:snapToGrid w:val="0"/>
          <w:kern w:val="0"/>
          <w:highlight w:val="none"/>
          <w:lang w:eastAsia="zh-CN"/>
        </w:rPr>
        <w:t>比选活动</w:t>
      </w:r>
      <w:r>
        <w:rPr>
          <w:rFonts w:hint="eastAsia" w:ascii="宋体" w:hAnsi="宋体" w:cs="宋体"/>
          <w:snapToGrid w:val="0"/>
          <w:kern w:val="0"/>
          <w:highlight w:val="none"/>
        </w:rPr>
        <w:t>所涉及的一切费用。</w:t>
      </w:r>
    </w:p>
    <w:p w14:paraId="5F5177F8">
      <w:pPr>
        <w:pStyle w:val="4"/>
        <w:snapToGrid w:val="0"/>
        <w:spacing w:before="0" w:line="360" w:lineRule="auto"/>
        <w:rPr>
          <w:rFonts w:hint="eastAsia" w:ascii="宋体" w:hAnsi="宋体" w:eastAsia="宋体" w:cs="宋体"/>
          <w:snapToGrid w:val="0"/>
          <w:highlight w:val="none"/>
        </w:rPr>
      </w:pPr>
      <w:bookmarkStart w:id="86" w:name="_Toc22375580"/>
      <w:bookmarkStart w:id="87" w:name="_Toc406575077"/>
      <w:bookmarkStart w:id="88" w:name="_Toc22990022"/>
      <w:bookmarkStart w:id="89" w:name="_Toc260740993"/>
      <w:bookmarkStart w:id="90" w:name="_Toc487208655"/>
      <w:bookmarkStart w:id="91" w:name="_Toc492994335"/>
      <w:bookmarkStart w:id="92" w:name="_Toc200513133"/>
      <w:r>
        <w:rPr>
          <w:rFonts w:hint="eastAsia" w:ascii="宋体" w:hAnsi="宋体" w:eastAsia="宋体" w:cs="宋体"/>
          <w:snapToGrid w:val="0"/>
          <w:highlight w:val="none"/>
        </w:rPr>
        <w:t>1.6  保密</w:t>
      </w:r>
      <w:bookmarkEnd w:id="86"/>
      <w:bookmarkEnd w:id="87"/>
      <w:bookmarkEnd w:id="88"/>
      <w:bookmarkEnd w:id="89"/>
      <w:bookmarkEnd w:id="90"/>
      <w:bookmarkEnd w:id="91"/>
      <w:bookmarkEnd w:id="92"/>
    </w:p>
    <w:p w14:paraId="53745855">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参与比选招标投标活动的各方应对比选文件和比选申请文件中的商业和技术等秘密保密，违者应 对由此造成的后果承担法律责任。</w:t>
      </w:r>
    </w:p>
    <w:p w14:paraId="316D9CA8">
      <w:pPr>
        <w:pStyle w:val="4"/>
        <w:snapToGrid w:val="0"/>
        <w:spacing w:before="0" w:line="360" w:lineRule="auto"/>
        <w:rPr>
          <w:rFonts w:hint="eastAsia" w:ascii="宋体" w:hAnsi="宋体" w:eastAsia="宋体" w:cs="宋体"/>
          <w:snapToGrid w:val="0"/>
          <w:highlight w:val="none"/>
        </w:rPr>
      </w:pPr>
      <w:bookmarkStart w:id="93" w:name="_Toc260740994"/>
      <w:bookmarkStart w:id="94" w:name="_Toc487208656"/>
      <w:bookmarkStart w:id="95" w:name="_Toc200513134"/>
      <w:bookmarkStart w:id="96" w:name="_Toc406575078"/>
      <w:bookmarkStart w:id="97" w:name="_Toc492994336"/>
      <w:bookmarkStart w:id="98" w:name="_Toc22375581"/>
      <w:bookmarkStart w:id="99" w:name="_Toc22990023"/>
      <w:r>
        <w:rPr>
          <w:rFonts w:hint="eastAsia" w:ascii="宋体" w:hAnsi="宋体" w:eastAsia="宋体" w:cs="宋体"/>
          <w:snapToGrid w:val="0"/>
          <w:highlight w:val="none"/>
        </w:rPr>
        <w:t>1.7  语言文字</w:t>
      </w:r>
      <w:bookmarkEnd w:id="93"/>
      <w:bookmarkEnd w:id="94"/>
      <w:bookmarkEnd w:id="95"/>
      <w:bookmarkEnd w:id="96"/>
      <w:bookmarkEnd w:id="97"/>
      <w:bookmarkEnd w:id="98"/>
      <w:bookmarkEnd w:id="99"/>
    </w:p>
    <w:p w14:paraId="551FA276">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除专用术语外，与比选招标投标有关的语言均使用中文。必要时专用术语应附有中文注释。</w:t>
      </w:r>
    </w:p>
    <w:p w14:paraId="39A86302">
      <w:pPr>
        <w:pStyle w:val="4"/>
        <w:snapToGrid w:val="0"/>
        <w:spacing w:before="0" w:line="360" w:lineRule="auto"/>
        <w:rPr>
          <w:rFonts w:hint="eastAsia" w:ascii="宋体" w:hAnsi="宋体" w:eastAsia="宋体" w:cs="宋体"/>
          <w:snapToGrid w:val="0"/>
          <w:highlight w:val="none"/>
        </w:rPr>
      </w:pPr>
      <w:bookmarkStart w:id="100" w:name="_Toc492994337"/>
      <w:bookmarkStart w:id="101" w:name="_Toc487208657"/>
      <w:bookmarkStart w:id="102" w:name="_Toc22990024"/>
      <w:bookmarkStart w:id="103" w:name="_Toc200513135"/>
      <w:bookmarkStart w:id="104" w:name="_Toc406575079"/>
      <w:bookmarkStart w:id="105" w:name="_Toc260740995"/>
      <w:bookmarkStart w:id="106" w:name="_Toc22375582"/>
      <w:r>
        <w:rPr>
          <w:rFonts w:hint="eastAsia" w:ascii="宋体" w:hAnsi="宋体" w:eastAsia="宋体" w:cs="宋体"/>
          <w:snapToGrid w:val="0"/>
          <w:highlight w:val="none"/>
        </w:rPr>
        <w:t>1.8  计量单位</w:t>
      </w:r>
      <w:bookmarkEnd w:id="100"/>
      <w:bookmarkEnd w:id="101"/>
      <w:bookmarkEnd w:id="102"/>
      <w:bookmarkEnd w:id="103"/>
      <w:bookmarkEnd w:id="104"/>
      <w:bookmarkEnd w:id="105"/>
      <w:bookmarkEnd w:id="106"/>
    </w:p>
    <w:p w14:paraId="0BEB0AE9">
      <w:pPr>
        <w:autoSpaceDE w:val="0"/>
        <w:autoSpaceDN w:val="0"/>
        <w:adjustRightInd w:val="0"/>
        <w:snapToGrid w:val="0"/>
        <w:spacing w:line="360" w:lineRule="auto"/>
        <w:ind w:firstLine="424" w:firstLineChars="202"/>
        <w:jc w:val="left"/>
        <w:rPr>
          <w:rFonts w:hint="eastAsia" w:ascii="宋体" w:hAnsi="宋体" w:cs="宋体"/>
          <w:snapToGrid w:val="0"/>
          <w:kern w:val="0"/>
          <w:highlight w:val="none"/>
        </w:rPr>
      </w:pPr>
      <w:r>
        <w:rPr>
          <w:rFonts w:hint="eastAsia" w:ascii="宋体" w:hAnsi="宋体" w:cs="宋体"/>
          <w:snapToGrid w:val="0"/>
          <w:kern w:val="0"/>
          <w:highlight w:val="none"/>
        </w:rPr>
        <w:t>所有计量均采用中华人民共和国法定计量单位。</w:t>
      </w:r>
    </w:p>
    <w:p w14:paraId="530E558D">
      <w:pPr>
        <w:pStyle w:val="4"/>
        <w:snapToGrid w:val="0"/>
        <w:spacing w:before="0" w:line="360" w:lineRule="auto"/>
        <w:rPr>
          <w:rFonts w:hint="eastAsia" w:ascii="宋体" w:hAnsi="宋体" w:eastAsia="宋体" w:cs="宋体"/>
          <w:snapToGrid w:val="0"/>
          <w:highlight w:val="none"/>
        </w:rPr>
      </w:pPr>
      <w:bookmarkStart w:id="107" w:name="_Toc406575080"/>
      <w:bookmarkStart w:id="108" w:name="_Toc487208658"/>
      <w:bookmarkStart w:id="109" w:name="_Toc260740996"/>
      <w:bookmarkStart w:id="110" w:name="_Toc200513136"/>
      <w:bookmarkStart w:id="111" w:name="_Toc492994338"/>
      <w:bookmarkStart w:id="112" w:name="_Toc22990025"/>
      <w:bookmarkStart w:id="113" w:name="_Toc22375583"/>
      <w:r>
        <w:rPr>
          <w:rFonts w:hint="eastAsia" w:ascii="宋体" w:hAnsi="宋体" w:eastAsia="宋体" w:cs="宋体"/>
          <w:snapToGrid w:val="0"/>
          <w:highlight w:val="none"/>
        </w:rPr>
        <w:t>1.9  踏勘现场</w:t>
      </w:r>
      <w:bookmarkEnd w:id="107"/>
      <w:bookmarkEnd w:id="108"/>
      <w:bookmarkEnd w:id="109"/>
      <w:bookmarkEnd w:id="110"/>
      <w:bookmarkEnd w:id="111"/>
      <w:bookmarkEnd w:id="112"/>
      <w:bookmarkEnd w:id="113"/>
    </w:p>
    <w:p w14:paraId="67F4D1F2">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1.9.1  比选人不组织，比选申请人必须自行前往施工现场踏勘，并在其资格审查资料中对此作出书面说明，对本合同项目的风险和义务已经十分了解，已充分考虑了现场和环境条件，否则视为不响应比选文件。</w:t>
      </w:r>
    </w:p>
    <w:p w14:paraId="362714F2">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1.9.2  比选申请人踏勘现场发生的费用自理。</w:t>
      </w:r>
    </w:p>
    <w:p w14:paraId="145B4E33">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1.9.3  除比选人的原因外，比选申请人自行负责在踏勘现场中所发生的人员伤亡和财产损失。</w:t>
      </w:r>
    </w:p>
    <w:p w14:paraId="0DD3BC8B">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1.9.4  比选人在踏勘现场中介绍的</w:t>
      </w:r>
      <w:r>
        <w:rPr>
          <w:rFonts w:hint="eastAsia" w:ascii="宋体" w:hAnsi="宋体" w:cs="宋体"/>
          <w:snapToGrid w:val="0"/>
          <w:kern w:val="0"/>
          <w:highlight w:val="none"/>
          <w:lang w:eastAsia="zh-CN"/>
        </w:rPr>
        <w:t>项目</w:t>
      </w:r>
      <w:r>
        <w:rPr>
          <w:rFonts w:hint="eastAsia" w:ascii="宋体" w:hAnsi="宋体" w:cs="宋体"/>
          <w:snapToGrid w:val="0"/>
          <w:kern w:val="0"/>
          <w:highlight w:val="none"/>
        </w:rPr>
        <w:t>场地和相关的周边环境情况，供比选申请人在编制比选申请文件时参考，比选人不对比选申请人据此做出的判断和决策负责。</w:t>
      </w:r>
    </w:p>
    <w:p w14:paraId="0EF4D4F3">
      <w:pPr>
        <w:pStyle w:val="4"/>
        <w:snapToGrid w:val="0"/>
        <w:spacing w:before="0" w:line="360" w:lineRule="auto"/>
        <w:rPr>
          <w:rFonts w:hint="eastAsia" w:ascii="宋体" w:hAnsi="宋体" w:eastAsia="宋体" w:cs="宋体"/>
          <w:snapToGrid w:val="0"/>
          <w:highlight w:val="none"/>
        </w:rPr>
      </w:pPr>
      <w:bookmarkStart w:id="114" w:name="_Toc260740997"/>
      <w:bookmarkStart w:id="115" w:name="_Toc22375584"/>
      <w:bookmarkStart w:id="116" w:name="_Toc22990026"/>
      <w:bookmarkStart w:id="117" w:name="_Toc406575081"/>
      <w:bookmarkStart w:id="118" w:name="_Toc200513137"/>
      <w:bookmarkStart w:id="119" w:name="_Toc492994339"/>
      <w:bookmarkStart w:id="120" w:name="_Toc487208659"/>
      <w:r>
        <w:rPr>
          <w:rFonts w:hint="eastAsia" w:ascii="宋体" w:hAnsi="宋体" w:eastAsia="宋体" w:cs="宋体"/>
          <w:snapToGrid w:val="0"/>
          <w:highlight w:val="none"/>
        </w:rPr>
        <w:t>1.10  比选投标预备会</w:t>
      </w:r>
      <w:bookmarkEnd w:id="114"/>
      <w:bookmarkEnd w:id="115"/>
      <w:bookmarkEnd w:id="116"/>
      <w:bookmarkEnd w:id="117"/>
      <w:bookmarkEnd w:id="118"/>
      <w:bookmarkEnd w:id="119"/>
      <w:bookmarkEnd w:id="120"/>
    </w:p>
    <w:p w14:paraId="619A2772">
      <w:pPr>
        <w:autoSpaceDE w:val="0"/>
        <w:autoSpaceDN w:val="0"/>
        <w:adjustRightInd w:val="0"/>
        <w:snapToGrid w:val="0"/>
        <w:spacing w:line="360" w:lineRule="auto"/>
        <w:ind w:firstLine="420"/>
        <w:jc w:val="left"/>
        <w:rPr>
          <w:rFonts w:hint="eastAsia" w:ascii="宋体" w:hAnsi="宋体" w:cs="宋体"/>
          <w:snapToGrid w:val="0"/>
          <w:kern w:val="0"/>
          <w:highlight w:val="none"/>
        </w:rPr>
      </w:pPr>
      <w:bookmarkStart w:id="121" w:name="_Toc260740998"/>
      <w:bookmarkStart w:id="122" w:name="_Toc487208660"/>
      <w:bookmarkStart w:id="123" w:name="_Toc200513138"/>
      <w:bookmarkStart w:id="124" w:name="_Toc406575082"/>
      <w:bookmarkStart w:id="125" w:name="_Toc492994340"/>
      <w:r>
        <w:rPr>
          <w:rFonts w:hint="eastAsia" w:ascii="宋体" w:hAnsi="宋体" w:cs="宋体"/>
          <w:snapToGrid w:val="0"/>
          <w:kern w:val="0"/>
          <w:highlight w:val="none"/>
        </w:rPr>
        <w:t>1.10.1  比选申请人须知前附表规定召开比选投标预备会的，比选人按比选申请人须知前附表规定的时间和地点召开比选投标预备会，澄清比选申请人提出的问题。</w:t>
      </w:r>
    </w:p>
    <w:p w14:paraId="71E830F4">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1.10.2  比选申请人应在比选申请人须知前附表规定的时间前，以书面形式将提出的问题送达比选人，以便比选人在会议期间澄清。</w:t>
      </w:r>
    </w:p>
    <w:p w14:paraId="73AAFA19">
      <w:pPr>
        <w:autoSpaceDE w:val="0"/>
        <w:autoSpaceDN w:val="0"/>
        <w:adjustRightInd w:val="0"/>
        <w:snapToGrid w:val="0"/>
        <w:spacing w:line="360" w:lineRule="auto"/>
        <w:ind w:firstLine="424" w:firstLineChars="202"/>
        <w:jc w:val="left"/>
        <w:rPr>
          <w:rFonts w:hint="eastAsia" w:ascii="宋体" w:hAnsi="宋体" w:cs="宋体"/>
          <w:snapToGrid w:val="0"/>
          <w:kern w:val="0"/>
          <w:highlight w:val="none"/>
        </w:rPr>
      </w:pPr>
      <w:r>
        <w:rPr>
          <w:rFonts w:hint="eastAsia" w:ascii="宋体" w:hAnsi="宋体" w:cs="宋体"/>
          <w:snapToGrid w:val="0"/>
          <w:kern w:val="0"/>
          <w:highlight w:val="none"/>
        </w:rPr>
        <w:t>1.10.3  比选投标预备会后，比选人在比选申请人须知前附表规定的时间内，将对比选申请人所提问题</w:t>
      </w:r>
      <w:r>
        <w:rPr>
          <w:rFonts w:hint="eastAsia" w:ascii="宋体" w:hAnsi="宋体" w:cs="宋体"/>
          <w:snapToGrid w:val="0"/>
          <w:kern w:val="0"/>
          <w:position w:val="-2"/>
          <w:highlight w:val="none"/>
        </w:rPr>
        <w:t>的澄清，以书面方式通知所有购买比选文件的比选申请人。该澄清内容为比选文件的组成部分。</w:t>
      </w:r>
    </w:p>
    <w:p w14:paraId="01497BDC">
      <w:pPr>
        <w:pStyle w:val="4"/>
        <w:snapToGrid w:val="0"/>
        <w:spacing w:before="0" w:line="360" w:lineRule="auto"/>
        <w:rPr>
          <w:rFonts w:hint="eastAsia" w:ascii="宋体" w:hAnsi="宋体" w:eastAsia="宋体" w:cs="宋体"/>
          <w:snapToGrid w:val="0"/>
          <w:highlight w:val="none"/>
        </w:rPr>
      </w:pPr>
      <w:bookmarkStart w:id="126" w:name="_Toc22990027"/>
      <w:bookmarkStart w:id="127" w:name="_Toc22375585"/>
      <w:r>
        <w:rPr>
          <w:rFonts w:hint="eastAsia" w:ascii="宋体" w:hAnsi="宋体" w:eastAsia="宋体" w:cs="宋体"/>
          <w:snapToGrid w:val="0"/>
          <w:highlight w:val="none"/>
        </w:rPr>
        <w:t>1.11  分包</w:t>
      </w:r>
      <w:bookmarkEnd w:id="121"/>
      <w:bookmarkEnd w:id="122"/>
      <w:bookmarkEnd w:id="123"/>
      <w:bookmarkEnd w:id="124"/>
      <w:bookmarkEnd w:id="125"/>
      <w:bookmarkEnd w:id="126"/>
      <w:bookmarkEnd w:id="127"/>
    </w:p>
    <w:p w14:paraId="7B215440">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bookmarkStart w:id="128" w:name="_Toc260740999"/>
      <w:bookmarkStart w:id="129" w:name="_Toc200513139"/>
      <w:bookmarkStart w:id="130" w:name="_Toc487208661"/>
      <w:bookmarkStart w:id="131" w:name="_Toc406575083"/>
      <w:bookmarkStart w:id="132" w:name="_Toc492994341"/>
      <w:r>
        <w:rPr>
          <w:rFonts w:hint="eastAsia" w:ascii="宋体" w:hAnsi="宋体" w:cs="宋体"/>
          <w:snapToGrid w:val="0"/>
          <w:kern w:val="0"/>
          <w:highlight w:val="none"/>
        </w:rPr>
        <w:t>本</w:t>
      </w:r>
      <w:r>
        <w:rPr>
          <w:rFonts w:hint="eastAsia" w:ascii="宋体" w:hAnsi="宋体" w:cs="宋体"/>
          <w:snapToGrid w:val="0"/>
          <w:kern w:val="0"/>
          <w:highlight w:val="none"/>
          <w:lang w:eastAsia="zh-CN"/>
        </w:rPr>
        <w:t>项目</w:t>
      </w:r>
      <w:r>
        <w:rPr>
          <w:rFonts w:hint="eastAsia" w:ascii="宋体" w:hAnsi="宋体" w:cs="宋体"/>
          <w:snapToGrid w:val="0"/>
          <w:kern w:val="0"/>
          <w:highlight w:val="none"/>
        </w:rPr>
        <w:t>不允许分包。</w:t>
      </w:r>
    </w:p>
    <w:p w14:paraId="48AA1755">
      <w:pPr>
        <w:pStyle w:val="4"/>
        <w:snapToGrid w:val="0"/>
        <w:spacing w:before="0" w:line="360" w:lineRule="auto"/>
        <w:rPr>
          <w:rFonts w:hint="eastAsia" w:ascii="宋体" w:hAnsi="宋体" w:eastAsia="宋体" w:cs="宋体"/>
          <w:snapToGrid w:val="0"/>
          <w:highlight w:val="none"/>
        </w:rPr>
      </w:pPr>
      <w:bookmarkStart w:id="133" w:name="_Toc22375586"/>
      <w:bookmarkStart w:id="134" w:name="_Toc22990028"/>
      <w:r>
        <w:rPr>
          <w:rFonts w:hint="eastAsia" w:ascii="宋体" w:hAnsi="宋体" w:eastAsia="宋体" w:cs="宋体"/>
          <w:snapToGrid w:val="0"/>
          <w:highlight w:val="none"/>
        </w:rPr>
        <w:t>1.12  偏离</w:t>
      </w:r>
      <w:bookmarkEnd w:id="128"/>
      <w:bookmarkEnd w:id="129"/>
      <w:bookmarkEnd w:id="130"/>
      <w:bookmarkEnd w:id="131"/>
      <w:bookmarkEnd w:id="132"/>
      <w:bookmarkEnd w:id="133"/>
      <w:bookmarkEnd w:id="134"/>
    </w:p>
    <w:p w14:paraId="404DF577">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比选申请人须知前附表允许比选申请文件偏离比选文件某些要求的，偏离应当符合比选文件规定 的偏离范围和幅度。</w:t>
      </w:r>
    </w:p>
    <w:p w14:paraId="09CEAB0E">
      <w:pPr>
        <w:pStyle w:val="4"/>
        <w:snapToGrid w:val="0"/>
        <w:spacing w:before="0" w:line="360" w:lineRule="auto"/>
        <w:rPr>
          <w:rFonts w:hint="eastAsia" w:ascii="宋体" w:hAnsi="宋体" w:eastAsia="宋体" w:cs="宋体"/>
          <w:snapToGrid w:val="0"/>
          <w:highlight w:val="none"/>
        </w:rPr>
      </w:pPr>
      <w:bookmarkStart w:id="135" w:name="_Toc492994342"/>
      <w:bookmarkStart w:id="136" w:name="_Toc200513140"/>
      <w:bookmarkStart w:id="137" w:name="_Toc22375587"/>
      <w:bookmarkStart w:id="138" w:name="_Toc487208662"/>
      <w:bookmarkStart w:id="139" w:name="_Toc406575084"/>
      <w:bookmarkStart w:id="140" w:name="_Toc22990029"/>
      <w:r>
        <w:rPr>
          <w:rFonts w:hint="eastAsia" w:ascii="宋体" w:hAnsi="宋体" w:eastAsia="宋体" w:cs="宋体"/>
          <w:snapToGrid w:val="0"/>
          <w:highlight w:val="none"/>
        </w:rPr>
        <w:t>2.  比选文件</w:t>
      </w:r>
      <w:bookmarkEnd w:id="135"/>
      <w:bookmarkEnd w:id="136"/>
      <w:bookmarkEnd w:id="137"/>
      <w:bookmarkEnd w:id="138"/>
      <w:bookmarkEnd w:id="139"/>
      <w:bookmarkEnd w:id="140"/>
    </w:p>
    <w:p w14:paraId="5884DCE0">
      <w:pPr>
        <w:pStyle w:val="4"/>
        <w:snapToGrid w:val="0"/>
        <w:spacing w:before="0" w:line="360" w:lineRule="auto"/>
        <w:rPr>
          <w:rFonts w:hint="eastAsia" w:ascii="宋体" w:hAnsi="宋体" w:eastAsia="宋体" w:cs="宋体"/>
          <w:snapToGrid w:val="0"/>
          <w:highlight w:val="none"/>
        </w:rPr>
      </w:pPr>
      <w:bookmarkStart w:id="141" w:name="_Toc260741001"/>
      <w:bookmarkStart w:id="142" w:name="_Toc22375588"/>
      <w:bookmarkStart w:id="143" w:name="_Toc492994343"/>
      <w:bookmarkStart w:id="144" w:name="_Toc487208663"/>
      <w:bookmarkStart w:id="145" w:name="_Toc406575085"/>
      <w:bookmarkStart w:id="146" w:name="_Toc200513141"/>
      <w:bookmarkStart w:id="147" w:name="_Toc22990030"/>
      <w:r>
        <w:rPr>
          <w:rFonts w:hint="eastAsia" w:ascii="宋体" w:hAnsi="宋体" w:eastAsia="宋体" w:cs="宋体"/>
          <w:snapToGrid w:val="0"/>
          <w:highlight w:val="none"/>
        </w:rPr>
        <w:t>2.1  比选文件的组成</w:t>
      </w:r>
      <w:bookmarkEnd w:id="141"/>
      <w:bookmarkEnd w:id="142"/>
      <w:bookmarkEnd w:id="143"/>
      <w:bookmarkEnd w:id="144"/>
      <w:bookmarkEnd w:id="145"/>
      <w:bookmarkEnd w:id="146"/>
      <w:bookmarkEnd w:id="147"/>
    </w:p>
    <w:p w14:paraId="7C1A5E54">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本比选文件包括：</w:t>
      </w:r>
    </w:p>
    <w:p w14:paraId="1AA1BE5E">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（1）竞争性比选邀请书；</w:t>
      </w:r>
    </w:p>
    <w:p w14:paraId="4A10EDBF">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（2）比选申请人须知；</w:t>
      </w:r>
    </w:p>
    <w:p w14:paraId="067D8AD0">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（3）评标办法；</w:t>
      </w:r>
    </w:p>
    <w:p w14:paraId="1942F98C">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（4）合同条款及格式；</w:t>
      </w:r>
    </w:p>
    <w:p w14:paraId="396C3B3D">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（5）工程量清单（如果有）；</w:t>
      </w:r>
    </w:p>
    <w:p w14:paraId="082962AA">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（6）图纸（如果有）；</w:t>
      </w:r>
    </w:p>
    <w:p w14:paraId="36BABC85">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（7）技术标准和要求（如果有）；</w:t>
      </w:r>
    </w:p>
    <w:p w14:paraId="34DF0CF7">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（8）比选申请文件格式；</w:t>
      </w:r>
    </w:p>
    <w:p w14:paraId="6C01209E">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（9）比选申请人须知前附表规定的其他材料。</w:t>
      </w:r>
    </w:p>
    <w:p w14:paraId="024D32C8">
      <w:pPr>
        <w:autoSpaceDE w:val="0"/>
        <w:autoSpaceDN w:val="0"/>
        <w:adjustRightInd w:val="0"/>
        <w:snapToGrid w:val="0"/>
        <w:spacing w:line="360" w:lineRule="auto"/>
        <w:ind w:firstLine="420"/>
        <w:jc w:val="left"/>
        <w:rPr>
          <w:rFonts w:hint="eastAsia" w:ascii="宋体" w:hAnsi="宋体" w:cs="宋体"/>
          <w:snapToGrid w:val="0"/>
          <w:highlight w:val="none"/>
        </w:rPr>
      </w:pPr>
      <w:r>
        <w:rPr>
          <w:rFonts w:hint="eastAsia" w:ascii="宋体" w:hAnsi="宋体" w:cs="宋体"/>
          <w:snapToGrid w:val="0"/>
          <w:kern w:val="0"/>
          <w:highlight w:val="none"/>
        </w:rPr>
        <w:t>根据本章对比选文件所作的澄清、修改，构成比选文件的组成部分。</w:t>
      </w:r>
    </w:p>
    <w:p w14:paraId="66A1CCFD">
      <w:pPr>
        <w:pStyle w:val="4"/>
        <w:snapToGrid w:val="0"/>
        <w:spacing w:before="0" w:line="360" w:lineRule="auto"/>
        <w:rPr>
          <w:rFonts w:hint="eastAsia" w:ascii="宋体" w:hAnsi="宋体" w:eastAsia="宋体" w:cs="宋体"/>
          <w:snapToGrid w:val="0"/>
          <w:highlight w:val="none"/>
        </w:rPr>
      </w:pPr>
      <w:bookmarkStart w:id="148" w:name="_Toc292875782"/>
      <w:bookmarkStart w:id="149" w:name="_Toc22990031"/>
      <w:bookmarkStart w:id="150" w:name="_Toc406575086"/>
      <w:bookmarkStart w:id="151" w:name="_Toc487208664"/>
      <w:bookmarkStart w:id="152" w:name="_Toc22375589"/>
      <w:bookmarkStart w:id="153" w:name="_Toc492994344"/>
      <w:r>
        <w:rPr>
          <w:rFonts w:hint="eastAsia" w:ascii="宋体" w:hAnsi="宋体" w:eastAsia="宋体" w:cs="宋体"/>
          <w:snapToGrid w:val="0"/>
          <w:highlight w:val="none"/>
        </w:rPr>
        <w:t>2.2  比选文件的澄清</w:t>
      </w:r>
      <w:bookmarkEnd w:id="148"/>
      <w:bookmarkEnd w:id="149"/>
      <w:bookmarkEnd w:id="150"/>
      <w:bookmarkEnd w:id="151"/>
      <w:bookmarkEnd w:id="152"/>
      <w:bookmarkEnd w:id="153"/>
    </w:p>
    <w:p w14:paraId="6841F7CD">
      <w:pPr>
        <w:spacing w:line="360" w:lineRule="auto"/>
        <w:ind w:firstLine="420" w:firstLineChars="200"/>
        <w:rPr>
          <w:rFonts w:hint="eastAsia" w:ascii="宋体" w:hAnsi="宋体" w:cs="宋体"/>
          <w:highlight w:val="none"/>
        </w:rPr>
      </w:pPr>
      <w:bookmarkStart w:id="154" w:name="_Toc406575088"/>
      <w:bookmarkStart w:id="155" w:name="_Toc200513144"/>
      <w:r>
        <w:rPr>
          <w:rFonts w:hint="eastAsia" w:ascii="宋体" w:hAnsi="宋体" w:cs="宋体"/>
          <w:snapToGrid w:val="0"/>
          <w:highlight w:val="none"/>
        </w:rPr>
        <w:t>参照比选申请人须知前附表相关条款执行。</w:t>
      </w:r>
    </w:p>
    <w:p w14:paraId="45CC67E9">
      <w:pPr>
        <w:pStyle w:val="4"/>
        <w:snapToGrid w:val="0"/>
        <w:spacing w:before="0" w:line="360" w:lineRule="auto"/>
        <w:rPr>
          <w:rFonts w:hint="eastAsia" w:ascii="宋体" w:hAnsi="宋体" w:eastAsia="宋体" w:cs="宋体"/>
          <w:snapToGrid w:val="0"/>
          <w:highlight w:val="none"/>
        </w:rPr>
      </w:pPr>
      <w:bookmarkStart w:id="156" w:name="_Toc287607763"/>
      <w:bookmarkStart w:id="157" w:name="_Toc224103334"/>
      <w:bookmarkStart w:id="158" w:name="_Toc277082569"/>
      <w:bookmarkStart w:id="159" w:name="_Toc200513143"/>
      <w:bookmarkStart w:id="160" w:name="_Toc426914958"/>
      <w:bookmarkStart w:id="161" w:name="_Toc492994345"/>
      <w:bookmarkStart w:id="162" w:name="_Toc426903639"/>
      <w:bookmarkStart w:id="163" w:name="_Toc426914066"/>
      <w:bookmarkStart w:id="164" w:name="_Toc415675668"/>
      <w:bookmarkStart w:id="165" w:name="_Toc426916206"/>
      <w:bookmarkStart w:id="166" w:name="_Toc487208665"/>
      <w:bookmarkStart w:id="167" w:name="_Toc426901932"/>
      <w:bookmarkStart w:id="168" w:name="_Toc415675146"/>
      <w:bookmarkStart w:id="169" w:name="_Toc415675942"/>
      <w:bookmarkStart w:id="170" w:name="_Toc22375590"/>
      <w:bookmarkStart w:id="171" w:name="_Toc22990032"/>
      <w:r>
        <w:rPr>
          <w:rFonts w:hint="eastAsia" w:ascii="宋体" w:hAnsi="宋体" w:eastAsia="宋体" w:cs="宋体"/>
          <w:snapToGrid w:val="0"/>
          <w:highlight w:val="none"/>
        </w:rPr>
        <w:t>2.3</w:t>
      </w:r>
      <w:bookmarkEnd w:id="156"/>
      <w:bookmarkEnd w:id="157"/>
      <w:bookmarkEnd w:id="158"/>
      <w:bookmarkEnd w:id="159"/>
      <w:r>
        <w:rPr>
          <w:rFonts w:hint="eastAsia" w:ascii="宋体" w:hAnsi="宋体" w:eastAsia="宋体" w:cs="宋体"/>
          <w:snapToGrid w:val="0"/>
          <w:highlight w:val="none"/>
        </w:rPr>
        <w:t xml:space="preserve"> </w:t>
      </w:r>
      <w:bookmarkEnd w:id="160"/>
      <w:bookmarkEnd w:id="161"/>
      <w:bookmarkEnd w:id="162"/>
      <w:bookmarkEnd w:id="163"/>
      <w:bookmarkEnd w:id="164"/>
      <w:bookmarkEnd w:id="165"/>
      <w:bookmarkEnd w:id="166"/>
      <w:bookmarkEnd w:id="167"/>
      <w:bookmarkEnd w:id="168"/>
      <w:bookmarkEnd w:id="169"/>
      <w:r>
        <w:rPr>
          <w:rFonts w:hint="eastAsia" w:ascii="宋体" w:hAnsi="宋体" w:eastAsia="宋体" w:cs="宋体"/>
          <w:snapToGrid w:val="0"/>
          <w:highlight w:val="none"/>
        </w:rPr>
        <w:t>比选申请文件递交截止时间</w:t>
      </w:r>
      <w:bookmarkEnd w:id="170"/>
      <w:bookmarkEnd w:id="171"/>
    </w:p>
    <w:p w14:paraId="4DBB39D3">
      <w:pPr>
        <w:spacing w:line="360" w:lineRule="auto"/>
        <w:ind w:firstLine="420" w:firstLineChars="200"/>
        <w:rPr>
          <w:rFonts w:hint="eastAsia" w:ascii="宋体" w:hAnsi="宋体" w:cs="宋体"/>
          <w:highlight w:val="none"/>
        </w:rPr>
      </w:pPr>
      <w:bookmarkStart w:id="172" w:name="_Toc426903640"/>
      <w:r>
        <w:rPr>
          <w:rFonts w:hint="eastAsia" w:ascii="宋体" w:hAnsi="宋体" w:cs="宋体"/>
          <w:highlight w:val="none"/>
        </w:rPr>
        <w:t>自比选文件发出之日起至比选申请人须知前附表规定的提交比选申请文件截止时间。</w:t>
      </w:r>
      <w:bookmarkEnd w:id="172"/>
    </w:p>
    <w:p w14:paraId="22A627E0">
      <w:pPr>
        <w:pStyle w:val="4"/>
        <w:snapToGrid w:val="0"/>
        <w:spacing w:before="0" w:line="360" w:lineRule="auto"/>
        <w:rPr>
          <w:rFonts w:hint="eastAsia" w:ascii="宋体" w:hAnsi="宋体" w:eastAsia="宋体" w:cs="宋体"/>
          <w:snapToGrid w:val="0"/>
          <w:highlight w:val="none"/>
        </w:rPr>
      </w:pPr>
      <w:bookmarkStart w:id="173" w:name="_Toc492994346"/>
      <w:bookmarkStart w:id="174" w:name="_Toc487208666"/>
      <w:bookmarkStart w:id="175" w:name="_Toc22990033"/>
      <w:bookmarkStart w:id="176" w:name="_Toc22375591"/>
      <w:r>
        <w:rPr>
          <w:rFonts w:hint="eastAsia" w:ascii="宋体" w:hAnsi="宋体" w:eastAsia="宋体" w:cs="宋体"/>
          <w:snapToGrid w:val="0"/>
          <w:highlight w:val="none"/>
        </w:rPr>
        <w:t xml:space="preserve">3.  </w:t>
      </w:r>
      <w:bookmarkEnd w:id="154"/>
      <w:bookmarkEnd w:id="155"/>
      <w:bookmarkEnd w:id="173"/>
      <w:bookmarkEnd w:id="174"/>
      <w:r>
        <w:rPr>
          <w:rFonts w:hint="eastAsia" w:ascii="宋体" w:hAnsi="宋体" w:eastAsia="宋体" w:cs="宋体"/>
          <w:snapToGrid w:val="0"/>
          <w:highlight w:val="none"/>
        </w:rPr>
        <w:t>比选申请文件</w:t>
      </w:r>
      <w:bookmarkEnd w:id="175"/>
      <w:bookmarkEnd w:id="176"/>
    </w:p>
    <w:p w14:paraId="5B547625">
      <w:pPr>
        <w:pStyle w:val="4"/>
        <w:snapToGrid w:val="0"/>
        <w:spacing w:before="0" w:line="360" w:lineRule="auto"/>
        <w:rPr>
          <w:rFonts w:hint="eastAsia" w:ascii="宋体" w:hAnsi="宋体" w:eastAsia="宋体" w:cs="宋体"/>
          <w:snapToGrid w:val="0"/>
          <w:highlight w:val="none"/>
        </w:rPr>
      </w:pPr>
      <w:bookmarkStart w:id="177" w:name="_Toc200513145"/>
      <w:bookmarkStart w:id="178" w:name="_Toc22375592"/>
      <w:bookmarkStart w:id="179" w:name="_Toc487208667"/>
      <w:bookmarkStart w:id="180" w:name="_Toc22990034"/>
      <w:bookmarkStart w:id="181" w:name="_Toc492994347"/>
      <w:bookmarkStart w:id="182" w:name="_Toc260741005"/>
      <w:bookmarkStart w:id="183" w:name="_Toc406575089"/>
      <w:r>
        <w:rPr>
          <w:rFonts w:hint="eastAsia" w:ascii="宋体" w:hAnsi="宋体" w:eastAsia="宋体" w:cs="宋体"/>
          <w:snapToGrid w:val="0"/>
          <w:highlight w:val="none"/>
        </w:rPr>
        <w:t>3.1  比选申请文件的组成</w:t>
      </w:r>
      <w:bookmarkEnd w:id="177"/>
      <w:bookmarkEnd w:id="178"/>
      <w:bookmarkEnd w:id="179"/>
      <w:bookmarkEnd w:id="180"/>
      <w:bookmarkEnd w:id="181"/>
      <w:bookmarkEnd w:id="182"/>
      <w:bookmarkEnd w:id="183"/>
    </w:p>
    <w:p w14:paraId="52454501">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bookmarkStart w:id="184" w:name="_Toc406575090"/>
      <w:bookmarkStart w:id="185" w:name="_Toc260741006"/>
      <w:bookmarkStart w:id="186" w:name="_Toc200513146"/>
      <w:r>
        <w:rPr>
          <w:rFonts w:hint="eastAsia" w:ascii="宋体" w:hAnsi="宋体" w:cs="宋体"/>
          <w:snapToGrid w:val="0"/>
          <w:kern w:val="0"/>
          <w:highlight w:val="none"/>
        </w:rPr>
        <w:t>3.1.1 比选申请文件应包括下列内容：</w:t>
      </w:r>
    </w:p>
    <w:p w14:paraId="46750FDB">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（1）比选比选申请人比选申请文件部分</w:t>
      </w:r>
    </w:p>
    <w:p w14:paraId="13EE0BE5">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3.1.2  比选申请人须知前附表规定不接受联合体投标的，或比选申请人没有组成联合体的，比选申请文件不包括本章所指的联合体协议书。</w:t>
      </w:r>
    </w:p>
    <w:p w14:paraId="2E4B00AC">
      <w:pPr>
        <w:pStyle w:val="4"/>
        <w:snapToGrid w:val="0"/>
        <w:spacing w:before="0" w:line="360" w:lineRule="auto"/>
        <w:rPr>
          <w:rFonts w:hint="eastAsia" w:ascii="宋体" w:hAnsi="宋体" w:eastAsia="宋体" w:cs="宋体"/>
          <w:snapToGrid w:val="0"/>
          <w:highlight w:val="none"/>
        </w:rPr>
      </w:pPr>
      <w:bookmarkStart w:id="187" w:name="_Toc487208668"/>
      <w:bookmarkStart w:id="188" w:name="_Toc22990035"/>
      <w:bookmarkStart w:id="189" w:name="_Toc492994348"/>
      <w:bookmarkStart w:id="190" w:name="_Toc22375593"/>
      <w:r>
        <w:rPr>
          <w:rFonts w:hint="eastAsia" w:ascii="宋体" w:hAnsi="宋体" w:eastAsia="宋体" w:cs="宋体"/>
          <w:snapToGrid w:val="0"/>
          <w:highlight w:val="none"/>
        </w:rPr>
        <w:t>3.2  比选报价</w:t>
      </w:r>
      <w:bookmarkEnd w:id="184"/>
      <w:bookmarkEnd w:id="185"/>
      <w:bookmarkEnd w:id="186"/>
      <w:bookmarkEnd w:id="187"/>
      <w:bookmarkEnd w:id="188"/>
      <w:bookmarkEnd w:id="189"/>
      <w:bookmarkEnd w:id="190"/>
    </w:p>
    <w:p w14:paraId="0E658DF8">
      <w:pPr>
        <w:spacing w:line="360" w:lineRule="auto"/>
        <w:ind w:firstLine="420" w:firstLineChars="200"/>
        <w:rPr>
          <w:rFonts w:hint="eastAsia" w:ascii="宋体" w:hAnsi="宋体" w:cs="宋体"/>
          <w:snapToGrid w:val="0"/>
          <w:highlight w:val="none"/>
        </w:rPr>
      </w:pPr>
      <w:r>
        <w:rPr>
          <w:rFonts w:hint="eastAsia" w:ascii="宋体" w:hAnsi="宋体" w:cs="宋体"/>
          <w:highlight w:val="none"/>
        </w:rPr>
        <w:t xml:space="preserve">   </w:t>
      </w:r>
      <w:bookmarkStart w:id="191" w:name="_Toc426903677"/>
      <w:bookmarkStart w:id="192" w:name="_Toc260741007"/>
      <w:bookmarkStart w:id="193" w:name="_Toc200513147"/>
      <w:r>
        <w:rPr>
          <w:rFonts w:hint="eastAsia" w:ascii="宋体" w:hAnsi="宋体" w:cs="宋体"/>
          <w:snapToGrid w:val="0"/>
          <w:highlight w:val="none"/>
        </w:rPr>
        <w:t>见比选申请人须知前附表</w:t>
      </w:r>
      <w:bookmarkEnd w:id="191"/>
      <w:r>
        <w:rPr>
          <w:rFonts w:hint="eastAsia" w:ascii="宋体" w:hAnsi="宋体" w:cs="宋体"/>
          <w:snapToGrid w:val="0"/>
          <w:kern w:val="0"/>
          <w:highlight w:val="none"/>
        </w:rPr>
        <w:t>。</w:t>
      </w:r>
    </w:p>
    <w:p w14:paraId="69042182">
      <w:pPr>
        <w:pStyle w:val="4"/>
        <w:snapToGrid w:val="0"/>
        <w:spacing w:before="0" w:line="360" w:lineRule="auto"/>
        <w:rPr>
          <w:rFonts w:hint="eastAsia" w:ascii="宋体" w:hAnsi="宋体" w:eastAsia="宋体" w:cs="宋体"/>
          <w:snapToGrid w:val="0"/>
          <w:highlight w:val="none"/>
        </w:rPr>
      </w:pPr>
      <w:bookmarkStart w:id="194" w:name="_Toc406575091"/>
      <w:bookmarkStart w:id="195" w:name="_Toc492994349"/>
      <w:bookmarkStart w:id="196" w:name="_Toc22375594"/>
      <w:bookmarkStart w:id="197" w:name="_Toc487208669"/>
      <w:bookmarkStart w:id="198" w:name="_Toc22990036"/>
      <w:r>
        <w:rPr>
          <w:rFonts w:hint="eastAsia" w:ascii="宋体" w:hAnsi="宋体" w:eastAsia="宋体" w:cs="宋体"/>
          <w:snapToGrid w:val="0"/>
          <w:highlight w:val="none"/>
        </w:rPr>
        <w:t>3.3  投标有效期</w:t>
      </w:r>
      <w:bookmarkEnd w:id="192"/>
      <w:bookmarkEnd w:id="193"/>
      <w:bookmarkEnd w:id="194"/>
      <w:bookmarkEnd w:id="195"/>
      <w:bookmarkEnd w:id="196"/>
      <w:bookmarkEnd w:id="197"/>
      <w:bookmarkEnd w:id="198"/>
    </w:p>
    <w:p w14:paraId="5E865DD4">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3.3.1  在比选申请人须知前附表规定的比选投标有效期内，比选申请人不得要求撤销或修改其比选申请文件。</w:t>
      </w:r>
    </w:p>
    <w:p w14:paraId="63CA738B">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3.3.2  出现特殊情况需要延长比选投标有效期的，比选人以书面形式通知所有比选申请人延长比选投标有效期。</w:t>
      </w:r>
    </w:p>
    <w:p w14:paraId="68BF7A0E">
      <w:pPr>
        <w:pStyle w:val="4"/>
        <w:snapToGrid w:val="0"/>
        <w:spacing w:before="0" w:line="360" w:lineRule="auto"/>
        <w:rPr>
          <w:rFonts w:hint="eastAsia" w:ascii="宋体" w:hAnsi="宋体" w:eastAsia="宋体" w:cs="宋体"/>
          <w:snapToGrid w:val="0"/>
          <w:highlight w:val="none"/>
        </w:rPr>
      </w:pPr>
      <w:bookmarkStart w:id="199" w:name="_Toc200513148"/>
      <w:bookmarkStart w:id="200" w:name="_Toc406575092"/>
      <w:bookmarkStart w:id="201" w:name="_Toc492994350"/>
      <w:bookmarkStart w:id="202" w:name="_Toc22375595"/>
      <w:bookmarkStart w:id="203" w:name="_Toc22990037"/>
      <w:bookmarkStart w:id="204" w:name="_Toc487208670"/>
      <w:bookmarkStart w:id="205" w:name="_Toc260741008"/>
      <w:r>
        <w:rPr>
          <w:rFonts w:hint="eastAsia" w:ascii="宋体" w:hAnsi="宋体" w:eastAsia="宋体" w:cs="宋体"/>
          <w:snapToGrid w:val="0"/>
          <w:highlight w:val="none"/>
        </w:rPr>
        <w:t>3.4  比选保证金</w:t>
      </w:r>
      <w:bookmarkEnd w:id="199"/>
      <w:bookmarkEnd w:id="200"/>
      <w:bookmarkEnd w:id="201"/>
      <w:bookmarkEnd w:id="202"/>
      <w:bookmarkEnd w:id="203"/>
      <w:bookmarkEnd w:id="204"/>
      <w:bookmarkEnd w:id="205"/>
    </w:p>
    <w:p w14:paraId="14BA4DC5">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bookmarkStart w:id="206" w:name="_Toc406575093"/>
      <w:bookmarkStart w:id="207" w:name="_Toc487208671"/>
      <w:bookmarkStart w:id="208" w:name="_Toc200513150"/>
      <w:bookmarkStart w:id="209" w:name="_Toc492994351"/>
      <w:bookmarkStart w:id="210" w:name="_Toc260741009"/>
      <w:r>
        <w:rPr>
          <w:rFonts w:hint="eastAsia" w:ascii="宋体" w:hAnsi="宋体" w:cs="宋体"/>
          <w:snapToGrid w:val="0"/>
          <w:kern w:val="0"/>
          <w:highlight w:val="none"/>
          <w:lang w:val="en-US" w:eastAsia="zh-CN"/>
        </w:rPr>
        <w:t>按</w:t>
      </w:r>
      <w:r>
        <w:rPr>
          <w:rFonts w:hint="eastAsia" w:ascii="宋体" w:hAnsi="宋体" w:eastAsia="宋体" w:cs="宋体"/>
          <w:highlight w:val="none"/>
        </w:rPr>
        <w:t>比选申请人须知前附表</w:t>
      </w:r>
      <w:r>
        <w:rPr>
          <w:rFonts w:hint="eastAsia" w:ascii="宋体" w:hAnsi="宋体" w:cs="宋体"/>
          <w:snapToGrid w:val="0"/>
          <w:kern w:val="0"/>
          <w:highlight w:val="none"/>
          <w:lang w:val="en-US" w:eastAsia="zh-CN"/>
        </w:rPr>
        <w:t>提交。</w:t>
      </w:r>
    </w:p>
    <w:p w14:paraId="4A463A82">
      <w:pPr>
        <w:pStyle w:val="4"/>
        <w:snapToGrid w:val="0"/>
        <w:spacing w:before="0" w:line="360" w:lineRule="auto"/>
        <w:rPr>
          <w:rFonts w:hint="eastAsia" w:ascii="宋体" w:hAnsi="宋体" w:eastAsia="宋体" w:cs="宋体"/>
          <w:snapToGrid w:val="0"/>
          <w:highlight w:val="none"/>
        </w:rPr>
      </w:pPr>
      <w:bookmarkStart w:id="211" w:name="_Toc22990038"/>
      <w:bookmarkStart w:id="212" w:name="_Toc22375596"/>
      <w:r>
        <w:rPr>
          <w:rFonts w:hint="eastAsia" w:ascii="宋体" w:hAnsi="宋体" w:eastAsia="宋体" w:cs="宋体"/>
          <w:snapToGrid w:val="0"/>
          <w:highlight w:val="none"/>
        </w:rPr>
        <w:t>3.5  资格审查资料</w:t>
      </w:r>
      <w:bookmarkEnd w:id="206"/>
      <w:bookmarkEnd w:id="207"/>
      <w:bookmarkEnd w:id="208"/>
      <w:bookmarkEnd w:id="209"/>
      <w:bookmarkEnd w:id="210"/>
      <w:bookmarkEnd w:id="211"/>
      <w:bookmarkEnd w:id="212"/>
    </w:p>
    <w:p w14:paraId="033F730F">
      <w:pPr>
        <w:autoSpaceDE w:val="0"/>
        <w:autoSpaceDN w:val="0"/>
        <w:adjustRightInd w:val="0"/>
        <w:snapToGrid w:val="0"/>
        <w:spacing w:line="360" w:lineRule="auto"/>
        <w:ind w:firstLine="420" w:firstLineChars="200"/>
        <w:jc w:val="left"/>
        <w:rPr>
          <w:rFonts w:hint="eastAsia" w:ascii="宋体" w:hAnsi="宋体" w:cs="宋体"/>
          <w:highlight w:val="none"/>
        </w:rPr>
      </w:pPr>
      <w:bookmarkStart w:id="213" w:name="_Toc200513151"/>
      <w:bookmarkStart w:id="214" w:name="_Toc260741010"/>
      <w:bookmarkStart w:id="215" w:name="_Toc406575094"/>
      <w:r>
        <w:rPr>
          <w:rFonts w:hint="eastAsia" w:ascii="宋体" w:hAnsi="宋体" w:cs="宋体"/>
          <w:highlight w:val="none"/>
        </w:rPr>
        <w:t>所有资格审查资料按须知前附表规定提供。</w:t>
      </w:r>
    </w:p>
    <w:p w14:paraId="342DB428">
      <w:pPr>
        <w:pStyle w:val="4"/>
        <w:snapToGrid w:val="0"/>
        <w:spacing w:before="0" w:line="360" w:lineRule="auto"/>
        <w:rPr>
          <w:rFonts w:hint="eastAsia" w:ascii="宋体" w:hAnsi="宋体" w:eastAsia="宋体" w:cs="宋体"/>
          <w:snapToGrid w:val="0"/>
          <w:highlight w:val="none"/>
        </w:rPr>
      </w:pPr>
      <w:bookmarkStart w:id="216" w:name="_Toc487208672"/>
      <w:bookmarkStart w:id="217" w:name="_Toc22375597"/>
      <w:bookmarkStart w:id="218" w:name="_Toc492994352"/>
      <w:bookmarkStart w:id="219" w:name="_Toc22990039"/>
      <w:r>
        <w:rPr>
          <w:rFonts w:hint="eastAsia" w:ascii="宋体" w:hAnsi="宋体" w:eastAsia="宋体" w:cs="宋体"/>
          <w:snapToGrid w:val="0"/>
          <w:highlight w:val="none"/>
        </w:rPr>
        <w:t>3.6  备选比选投标方案</w:t>
      </w:r>
      <w:bookmarkEnd w:id="213"/>
      <w:bookmarkEnd w:id="214"/>
      <w:bookmarkEnd w:id="215"/>
      <w:bookmarkEnd w:id="216"/>
      <w:bookmarkEnd w:id="217"/>
      <w:bookmarkEnd w:id="218"/>
      <w:bookmarkEnd w:id="219"/>
    </w:p>
    <w:p w14:paraId="586534BB">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除比选申请人须知前附表另有规定外，比选申请人不得递交备选比选投标方案。允许比选申请人递交备选比选投标方案的，只有比选中标人所递交的备选比选投标方案方可予以考虑。</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认为比选中标人的备 选比选投标方案优于其按照比选文件要求编制的比选投标方案的，比选人可以接受该备选比选投标方案。</w:t>
      </w:r>
    </w:p>
    <w:p w14:paraId="3DA4BE61">
      <w:pPr>
        <w:pStyle w:val="4"/>
        <w:snapToGrid w:val="0"/>
        <w:spacing w:before="0" w:line="360" w:lineRule="auto"/>
        <w:rPr>
          <w:rFonts w:hint="eastAsia" w:ascii="宋体" w:hAnsi="宋体" w:eastAsia="宋体" w:cs="宋体"/>
          <w:snapToGrid w:val="0"/>
          <w:highlight w:val="none"/>
        </w:rPr>
      </w:pPr>
      <w:bookmarkStart w:id="220" w:name="_Toc492994353"/>
      <w:bookmarkStart w:id="221" w:name="_Toc487208673"/>
      <w:bookmarkStart w:id="222" w:name="_Toc22990040"/>
      <w:bookmarkStart w:id="223" w:name="_Toc260741011"/>
      <w:bookmarkStart w:id="224" w:name="_Toc22375598"/>
      <w:bookmarkStart w:id="225" w:name="_Toc200513152"/>
      <w:bookmarkStart w:id="226" w:name="_Toc406575095"/>
      <w:r>
        <w:rPr>
          <w:rFonts w:hint="eastAsia" w:ascii="宋体" w:hAnsi="宋体" w:eastAsia="宋体" w:cs="宋体"/>
          <w:snapToGrid w:val="0"/>
          <w:highlight w:val="none"/>
        </w:rPr>
        <w:t>3.7  比选申请文件的编制</w:t>
      </w:r>
      <w:bookmarkEnd w:id="220"/>
      <w:bookmarkEnd w:id="221"/>
      <w:bookmarkEnd w:id="222"/>
      <w:bookmarkEnd w:id="223"/>
      <w:bookmarkEnd w:id="224"/>
      <w:bookmarkEnd w:id="225"/>
      <w:bookmarkEnd w:id="226"/>
    </w:p>
    <w:p w14:paraId="74285DE9">
      <w:pPr>
        <w:autoSpaceDE w:val="0"/>
        <w:autoSpaceDN w:val="0"/>
        <w:adjustRightInd w:val="0"/>
        <w:snapToGrid w:val="0"/>
        <w:spacing w:line="360" w:lineRule="auto"/>
        <w:ind w:firstLine="420"/>
        <w:rPr>
          <w:rFonts w:hint="eastAsia" w:ascii="宋体" w:hAnsi="宋体" w:cs="宋体"/>
          <w:snapToGrid w:val="0"/>
          <w:kern w:val="0"/>
          <w:highlight w:val="none"/>
        </w:rPr>
      </w:pPr>
      <w:bookmarkStart w:id="227" w:name="_Toc492994354"/>
      <w:bookmarkStart w:id="228" w:name="_Toc200513153"/>
      <w:bookmarkStart w:id="229" w:name="_Toc487208674"/>
      <w:bookmarkStart w:id="230" w:name="_Toc406575096"/>
      <w:r>
        <w:rPr>
          <w:rFonts w:hint="eastAsia" w:ascii="宋体" w:hAnsi="宋体" w:cs="宋体"/>
          <w:snapToGrid w:val="0"/>
          <w:kern w:val="0"/>
          <w:highlight w:val="none"/>
        </w:rPr>
        <w:t>3.7.1  比选申请文件应按第六章“比选申请文件格式”进行编写，如有必要，可以增加附页，作为比选申请文件的组成部分。其中，投标函附录在满足比选文件实质性要求的基础上，可以提出比比选文件要求更有利于比选人的承诺。</w:t>
      </w:r>
    </w:p>
    <w:p w14:paraId="4BA7A935">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3.7.2  比选申请文件应当对比选文件有关工期、比选投标有效期、质量要求、技术标准和要求、 招标范围等实质性内容做出响应。</w:t>
      </w:r>
    </w:p>
    <w:p w14:paraId="7A132FF1">
      <w:pPr>
        <w:autoSpaceDE w:val="0"/>
        <w:autoSpaceDN w:val="0"/>
        <w:adjustRightInd w:val="0"/>
        <w:snapToGrid w:val="0"/>
        <w:spacing w:before="1" w:line="360" w:lineRule="auto"/>
        <w:ind w:right="-164" w:firstLine="426"/>
        <w:jc w:val="left"/>
        <w:rPr>
          <w:rFonts w:hint="eastAsia" w:ascii="宋体" w:hAnsi="宋体" w:cs="宋体"/>
          <w:snapToGrid w:val="0"/>
          <w:kern w:val="0"/>
          <w:highlight w:val="none"/>
        </w:rPr>
      </w:pPr>
      <w:r>
        <w:rPr>
          <w:rFonts w:hint="eastAsia" w:ascii="宋体" w:hAnsi="宋体" w:cs="宋体"/>
          <w:snapToGrid w:val="0"/>
          <w:kern w:val="0"/>
          <w:highlight w:val="none"/>
        </w:rPr>
        <w:t xml:space="preserve">3.7.3  </w:t>
      </w:r>
      <w:r>
        <w:rPr>
          <w:rFonts w:hint="eastAsia" w:ascii="宋体" w:hAnsi="宋体" w:cs="宋体"/>
          <w:snapToGrid w:val="0"/>
          <w:kern w:val="0"/>
          <w:position w:val="-2"/>
          <w:highlight w:val="none"/>
        </w:rPr>
        <w:t>比选申请文件应用不褪色的材料书写或打印，并由比选申请人的法定代表人或其委托代理</w:t>
      </w:r>
      <w:r>
        <w:rPr>
          <w:rFonts w:hint="eastAsia" w:ascii="宋体" w:hAnsi="宋体" w:cs="宋体"/>
          <w:snapToGrid w:val="0"/>
          <w:kern w:val="0"/>
          <w:highlight w:val="none"/>
        </w:rPr>
        <w:t>人签字或盖章、盖单位公章。委托代理人签字的，比选申请文件应附法定代表人签署的授权委托书。比选申请文件应尽量避免涂改、行间插字或删除。如果出现上述情况，改动之处应加盖单位公章和由比选申请人的法定代表人或其授权的代理人签字确认。签字或盖章的具体要求见比选申请人须知前附表及第六章比选申请文件格式要求。</w:t>
      </w:r>
    </w:p>
    <w:p w14:paraId="4D231AA6">
      <w:pPr>
        <w:autoSpaceDE w:val="0"/>
        <w:autoSpaceDN w:val="0"/>
        <w:adjustRightInd w:val="0"/>
        <w:snapToGrid w:val="0"/>
        <w:spacing w:before="1" w:line="380" w:lineRule="exact"/>
        <w:ind w:right="-164" w:firstLine="426"/>
        <w:rPr>
          <w:rFonts w:hint="eastAsia" w:ascii="宋体" w:hAnsi="宋体" w:cs="宋体"/>
          <w:snapToGrid w:val="0"/>
          <w:kern w:val="0"/>
          <w:highlight w:val="none"/>
        </w:rPr>
      </w:pPr>
      <w:r>
        <w:rPr>
          <w:rFonts w:hint="eastAsia" w:ascii="宋体" w:hAnsi="宋体" w:cs="宋体"/>
          <w:snapToGrid w:val="0"/>
          <w:kern w:val="0"/>
          <w:highlight w:val="none"/>
        </w:rPr>
        <w:t>3.7.4  比选申请文件份数见比选申请人须知前附表。正本和副本的封面左上角应清楚地标记“正本”或“副本”的字样，正本和副本封面均须加盖单位公章（鲜章），副本可为正本复印件。当副本和正本不一致时，以正本为准。正本与网上上传电子文档不一致时，作否决投标处理。</w:t>
      </w:r>
    </w:p>
    <w:p w14:paraId="56C233EF">
      <w:pPr>
        <w:autoSpaceDE w:val="0"/>
        <w:autoSpaceDN w:val="0"/>
        <w:adjustRightInd w:val="0"/>
        <w:snapToGrid w:val="0"/>
        <w:spacing w:before="1" w:line="380" w:lineRule="exact"/>
        <w:ind w:right="-164" w:firstLine="426"/>
        <w:rPr>
          <w:rFonts w:hint="eastAsia" w:ascii="宋体" w:hAnsi="宋体" w:cs="宋体"/>
          <w:snapToGrid w:val="0"/>
          <w:kern w:val="0"/>
          <w:highlight w:val="none"/>
        </w:rPr>
      </w:pPr>
      <w:r>
        <w:rPr>
          <w:rFonts w:hint="eastAsia" w:ascii="宋体" w:hAnsi="宋体" w:cs="宋体"/>
          <w:snapToGrid w:val="0"/>
          <w:kern w:val="0"/>
          <w:highlight w:val="none"/>
        </w:rPr>
        <w:t>3.7.5  比选申请文件的正本与副本应分别装订成册，并编制目录，具体装订要求见比选申请人须知前附表规定。</w:t>
      </w:r>
    </w:p>
    <w:p w14:paraId="734F4BA9">
      <w:pPr>
        <w:pStyle w:val="3"/>
        <w:rPr>
          <w:rFonts w:hint="eastAsia" w:ascii="宋体" w:hAnsi="宋体" w:eastAsia="宋体" w:cs="宋体"/>
          <w:snapToGrid w:val="0"/>
          <w:spacing w:val="0"/>
          <w:highlight w:val="none"/>
        </w:rPr>
      </w:pPr>
      <w:bookmarkStart w:id="231" w:name="_Toc22990041"/>
      <w:bookmarkStart w:id="232" w:name="_Toc22375599"/>
      <w:r>
        <w:rPr>
          <w:rFonts w:hint="eastAsia" w:ascii="宋体" w:hAnsi="宋体" w:eastAsia="宋体" w:cs="宋体"/>
          <w:snapToGrid w:val="0"/>
          <w:spacing w:val="0"/>
          <w:highlight w:val="none"/>
        </w:rPr>
        <w:t>4.  比选投标</w:t>
      </w:r>
      <w:bookmarkEnd w:id="227"/>
      <w:bookmarkEnd w:id="228"/>
      <w:bookmarkEnd w:id="229"/>
      <w:bookmarkEnd w:id="230"/>
      <w:bookmarkEnd w:id="231"/>
      <w:bookmarkEnd w:id="232"/>
    </w:p>
    <w:p w14:paraId="44168B8E">
      <w:pPr>
        <w:pStyle w:val="4"/>
        <w:snapToGrid w:val="0"/>
        <w:spacing w:before="0" w:line="360" w:lineRule="auto"/>
        <w:rPr>
          <w:rFonts w:hint="eastAsia" w:ascii="宋体" w:hAnsi="宋体" w:eastAsia="宋体" w:cs="宋体"/>
          <w:snapToGrid w:val="0"/>
          <w:highlight w:val="none"/>
        </w:rPr>
      </w:pPr>
      <w:bookmarkStart w:id="233" w:name="_Toc260741013"/>
      <w:bookmarkStart w:id="234" w:name="_Toc406575097"/>
      <w:bookmarkStart w:id="235" w:name="_Toc487208675"/>
      <w:bookmarkStart w:id="236" w:name="_Toc200513154"/>
      <w:bookmarkStart w:id="237" w:name="_Toc22375600"/>
      <w:bookmarkStart w:id="238" w:name="_Toc492994355"/>
      <w:bookmarkStart w:id="239" w:name="_Toc22990042"/>
      <w:r>
        <w:rPr>
          <w:rFonts w:hint="eastAsia" w:ascii="宋体" w:hAnsi="宋体" w:eastAsia="宋体" w:cs="宋体"/>
          <w:snapToGrid w:val="0"/>
          <w:highlight w:val="none"/>
        </w:rPr>
        <w:t>4.1  比选申请文件的密封和标记</w:t>
      </w:r>
      <w:bookmarkEnd w:id="233"/>
      <w:bookmarkEnd w:id="234"/>
      <w:bookmarkEnd w:id="235"/>
      <w:bookmarkEnd w:id="236"/>
      <w:bookmarkEnd w:id="237"/>
      <w:bookmarkEnd w:id="238"/>
      <w:bookmarkEnd w:id="239"/>
    </w:p>
    <w:p w14:paraId="2FF4957D">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bookmarkStart w:id="240" w:name="_Toc200513155"/>
      <w:r>
        <w:rPr>
          <w:rFonts w:hint="eastAsia" w:ascii="宋体" w:hAnsi="宋体" w:cs="宋体"/>
          <w:snapToGrid w:val="0"/>
          <w:kern w:val="0"/>
          <w:highlight w:val="none"/>
        </w:rPr>
        <w:t>4.1.1  比选申请文件的正本与副本密封见比选申请人须知前附表。</w:t>
      </w:r>
    </w:p>
    <w:p w14:paraId="55179A26">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4.1.2  比选申请文件的封套上应写明的内容见比选申请人须知前附表。</w:t>
      </w:r>
    </w:p>
    <w:p w14:paraId="0581976C">
      <w:pPr>
        <w:autoSpaceDE w:val="0"/>
        <w:autoSpaceDN w:val="0"/>
        <w:adjustRightInd w:val="0"/>
        <w:snapToGrid w:val="0"/>
        <w:spacing w:line="360" w:lineRule="auto"/>
        <w:ind w:left="13" w:leftChars="6" w:firstLine="344" w:firstLineChars="164"/>
        <w:jc w:val="left"/>
        <w:rPr>
          <w:rFonts w:hint="eastAsia" w:ascii="宋体" w:hAnsi="宋体" w:cs="宋体"/>
          <w:snapToGrid w:val="0"/>
          <w:kern w:val="0"/>
          <w:highlight w:val="none"/>
        </w:rPr>
      </w:pPr>
      <w:r>
        <w:rPr>
          <w:rFonts w:hint="eastAsia" w:ascii="宋体" w:hAnsi="宋体" w:cs="宋体"/>
          <w:snapToGrid w:val="0"/>
          <w:kern w:val="0"/>
          <w:highlight w:val="none"/>
        </w:rPr>
        <w:t>4.1.3  未按本章要求密封和加写标记的比选申请文件，比选人不予受理。</w:t>
      </w:r>
    </w:p>
    <w:p w14:paraId="579AC820">
      <w:pPr>
        <w:pStyle w:val="4"/>
        <w:snapToGrid w:val="0"/>
        <w:spacing w:before="0" w:line="360" w:lineRule="auto"/>
        <w:rPr>
          <w:rFonts w:hint="eastAsia" w:ascii="宋体" w:hAnsi="宋体" w:eastAsia="宋体" w:cs="宋体"/>
          <w:snapToGrid w:val="0"/>
          <w:highlight w:val="none"/>
        </w:rPr>
      </w:pPr>
      <w:bookmarkStart w:id="241" w:name="_Toc406575098"/>
      <w:bookmarkStart w:id="242" w:name="_Toc22375601"/>
      <w:bookmarkStart w:id="243" w:name="_Toc492994356"/>
      <w:bookmarkStart w:id="244" w:name="_Toc22990043"/>
      <w:bookmarkStart w:id="245" w:name="_Toc487208676"/>
      <w:bookmarkStart w:id="246" w:name="_Toc260741014"/>
      <w:r>
        <w:rPr>
          <w:rFonts w:hint="eastAsia" w:ascii="宋体" w:hAnsi="宋体" w:eastAsia="宋体" w:cs="宋体"/>
          <w:snapToGrid w:val="0"/>
          <w:highlight w:val="none"/>
        </w:rPr>
        <w:t>4.2  比选申请文件的递交</w:t>
      </w:r>
      <w:bookmarkEnd w:id="240"/>
      <w:bookmarkEnd w:id="241"/>
      <w:bookmarkEnd w:id="242"/>
      <w:bookmarkEnd w:id="243"/>
      <w:bookmarkEnd w:id="244"/>
      <w:bookmarkEnd w:id="245"/>
      <w:bookmarkEnd w:id="246"/>
    </w:p>
    <w:p w14:paraId="67FC4ED0">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4.2.1  比选申请人应在本章规定的比选投标截止时间前递交比选申请文件。</w:t>
      </w:r>
    </w:p>
    <w:p w14:paraId="55685D93">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4.2.2  比选申请人递交比选申请文件的地点：见比选申请人须知前附表。</w:t>
      </w:r>
    </w:p>
    <w:p w14:paraId="1FDAAC57">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4.2.3  除比选申请人须知前附表另有规定外，比选申请人所递交的比选申请文件不予退还。</w:t>
      </w:r>
    </w:p>
    <w:p w14:paraId="23125A94">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4.2.4  比选人收到比选申请文件后，向比选申请人出具签收凭证。</w:t>
      </w:r>
    </w:p>
    <w:p w14:paraId="1229927F">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4.2.5  逾期送达的或者未送达指定地点的比选申请文件，比选人不予受理。</w:t>
      </w:r>
    </w:p>
    <w:p w14:paraId="5FE5C47D">
      <w:pPr>
        <w:pStyle w:val="4"/>
        <w:snapToGrid w:val="0"/>
        <w:spacing w:before="0" w:line="360" w:lineRule="auto"/>
        <w:rPr>
          <w:rFonts w:hint="eastAsia" w:ascii="宋体" w:hAnsi="宋体" w:eastAsia="宋体" w:cs="宋体"/>
          <w:snapToGrid w:val="0"/>
          <w:highlight w:val="none"/>
        </w:rPr>
      </w:pPr>
      <w:bookmarkStart w:id="247" w:name="_Toc406575099"/>
      <w:bookmarkStart w:id="248" w:name="_Toc492994357"/>
      <w:bookmarkStart w:id="249" w:name="_Toc22990044"/>
      <w:bookmarkStart w:id="250" w:name="_Toc260741015"/>
      <w:bookmarkStart w:id="251" w:name="_Toc487208677"/>
      <w:bookmarkStart w:id="252" w:name="_Toc200513156"/>
      <w:bookmarkStart w:id="253" w:name="_Toc22375602"/>
      <w:r>
        <w:rPr>
          <w:rFonts w:hint="eastAsia" w:ascii="宋体" w:hAnsi="宋体" w:eastAsia="宋体" w:cs="宋体"/>
          <w:snapToGrid w:val="0"/>
          <w:highlight w:val="none"/>
        </w:rPr>
        <w:t>4.3  比选申请文件的修改与撤回</w:t>
      </w:r>
      <w:bookmarkEnd w:id="247"/>
      <w:bookmarkEnd w:id="248"/>
      <w:bookmarkEnd w:id="249"/>
      <w:bookmarkEnd w:id="250"/>
      <w:bookmarkEnd w:id="251"/>
      <w:bookmarkEnd w:id="252"/>
      <w:bookmarkEnd w:id="253"/>
    </w:p>
    <w:p w14:paraId="0CAFCBA6">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4.3.1  在本章规定的比选投标截止时间前，比选申请人可以修改或撤回已递交的比选申请文件，但应以书面形式通知比选人。</w:t>
      </w:r>
    </w:p>
    <w:p w14:paraId="4F2469C8">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4.3.2  比选申请人修改或撤回已递交比选申请文件的书面通知应按照本章的要求签字或盖章。比选人收到书面通知后，向比选申请人出具签收凭证。</w:t>
      </w:r>
    </w:p>
    <w:p w14:paraId="42FB0CA0">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4.3.3  修改的内容为比选申请文件的组成部分。修改的比选申请文件应按照本章规定进行编制、密封、标记和递交，并标明“修改”字样。</w:t>
      </w:r>
    </w:p>
    <w:p w14:paraId="34203057">
      <w:pPr>
        <w:pStyle w:val="3"/>
        <w:rPr>
          <w:rFonts w:hint="eastAsia" w:ascii="宋体" w:hAnsi="宋体" w:eastAsia="宋体" w:cs="宋体"/>
          <w:snapToGrid w:val="0"/>
          <w:spacing w:val="0"/>
          <w:highlight w:val="none"/>
        </w:rPr>
      </w:pPr>
      <w:bookmarkStart w:id="254" w:name="_Toc492994358"/>
      <w:bookmarkStart w:id="255" w:name="_Toc22375603"/>
      <w:bookmarkStart w:id="256" w:name="_Toc487208678"/>
      <w:bookmarkStart w:id="257" w:name="_Toc22990045"/>
      <w:bookmarkStart w:id="258" w:name="_Toc406575100"/>
      <w:bookmarkStart w:id="259" w:name="_Toc200513157"/>
      <w:r>
        <w:rPr>
          <w:rFonts w:hint="eastAsia" w:ascii="宋体" w:hAnsi="宋体" w:eastAsia="宋体" w:cs="宋体"/>
          <w:snapToGrid w:val="0"/>
          <w:spacing w:val="0"/>
          <w:highlight w:val="none"/>
        </w:rPr>
        <w:t>5.  开标</w:t>
      </w:r>
      <w:bookmarkEnd w:id="254"/>
      <w:bookmarkEnd w:id="255"/>
      <w:bookmarkEnd w:id="256"/>
      <w:bookmarkEnd w:id="257"/>
      <w:bookmarkEnd w:id="258"/>
      <w:bookmarkEnd w:id="259"/>
    </w:p>
    <w:p w14:paraId="51EB47C1">
      <w:pPr>
        <w:pStyle w:val="4"/>
        <w:snapToGrid w:val="0"/>
        <w:spacing w:before="0" w:line="360" w:lineRule="auto"/>
        <w:rPr>
          <w:rFonts w:hint="eastAsia" w:ascii="宋体" w:hAnsi="宋体" w:eastAsia="宋体" w:cs="宋体"/>
          <w:snapToGrid w:val="0"/>
          <w:highlight w:val="none"/>
        </w:rPr>
      </w:pPr>
      <w:bookmarkStart w:id="260" w:name="_Toc487208679"/>
      <w:bookmarkStart w:id="261" w:name="_Toc22375604"/>
      <w:bookmarkStart w:id="262" w:name="_Toc406575101"/>
      <w:bookmarkStart w:id="263" w:name="_Toc492994359"/>
      <w:bookmarkStart w:id="264" w:name="_Toc200513158"/>
      <w:bookmarkStart w:id="265" w:name="_Toc260741017"/>
      <w:bookmarkStart w:id="266" w:name="_Toc22990046"/>
      <w:r>
        <w:rPr>
          <w:rFonts w:hint="eastAsia" w:ascii="宋体" w:hAnsi="宋体" w:eastAsia="宋体" w:cs="宋体"/>
          <w:snapToGrid w:val="0"/>
          <w:highlight w:val="none"/>
        </w:rPr>
        <w:t>5.1  开标时间和地点</w:t>
      </w:r>
      <w:bookmarkEnd w:id="260"/>
      <w:bookmarkEnd w:id="261"/>
      <w:bookmarkEnd w:id="262"/>
      <w:bookmarkEnd w:id="263"/>
      <w:bookmarkEnd w:id="264"/>
      <w:bookmarkEnd w:id="265"/>
      <w:bookmarkEnd w:id="266"/>
    </w:p>
    <w:p w14:paraId="4A2CA243">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比选人在本章规定的比选投标截止时间（开标时间）和比选申请人须知前附表规定的地点公开开标，并邀请所有比选申请人的法定代表人或其委托代理人准时参加。</w:t>
      </w:r>
    </w:p>
    <w:p w14:paraId="2D59B471">
      <w:pPr>
        <w:pStyle w:val="4"/>
        <w:snapToGrid w:val="0"/>
        <w:spacing w:before="0" w:line="360" w:lineRule="auto"/>
        <w:rPr>
          <w:rFonts w:hint="eastAsia" w:ascii="宋体" w:hAnsi="宋体" w:eastAsia="宋体" w:cs="宋体"/>
          <w:snapToGrid w:val="0"/>
          <w:highlight w:val="none"/>
        </w:rPr>
      </w:pPr>
      <w:bookmarkStart w:id="267" w:name="_Toc487208680"/>
      <w:bookmarkStart w:id="268" w:name="_Toc406575102"/>
      <w:bookmarkStart w:id="269" w:name="_Toc22990047"/>
      <w:bookmarkStart w:id="270" w:name="_Toc200513159"/>
      <w:bookmarkStart w:id="271" w:name="_Toc22375605"/>
      <w:bookmarkStart w:id="272" w:name="_Toc492994360"/>
      <w:bookmarkStart w:id="273" w:name="_Toc260741018"/>
      <w:r>
        <w:rPr>
          <w:rFonts w:hint="eastAsia" w:ascii="宋体" w:hAnsi="宋体" w:eastAsia="宋体" w:cs="宋体"/>
          <w:snapToGrid w:val="0"/>
          <w:highlight w:val="none"/>
        </w:rPr>
        <w:t>5.2  开标程序</w:t>
      </w:r>
      <w:bookmarkEnd w:id="267"/>
      <w:bookmarkEnd w:id="268"/>
      <w:bookmarkEnd w:id="269"/>
      <w:bookmarkEnd w:id="270"/>
      <w:bookmarkEnd w:id="271"/>
      <w:bookmarkEnd w:id="272"/>
      <w:bookmarkEnd w:id="273"/>
    </w:p>
    <w:p w14:paraId="656C0D31">
      <w:pPr>
        <w:autoSpaceDE w:val="0"/>
        <w:autoSpaceDN w:val="0"/>
        <w:adjustRightInd w:val="0"/>
        <w:snapToGrid w:val="0"/>
        <w:spacing w:line="360" w:lineRule="auto"/>
        <w:ind w:firstLine="420" w:firstLineChars="200"/>
        <w:jc w:val="left"/>
        <w:rPr>
          <w:rFonts w:hint="eastAsia" w:ascii="宋体" w:hAnsi="宋体" w:cs="宋体"/>
          <w:highlight w:val="none"/>
        </w:rPr>
      </w:pPr>
      <w:bookmarkStart w:id="274" w:name="_Toc200513160"/>
      <w:bookmarkStart w:id="275" w:name="_Toc406575103"/>
      <w:r>
        <w:rPr>
          <w:rFonts w:hint="eastAsia" w:ascii="宋体" w:hAnsi="宋体" w:cs="宋体"/>
          <w:snapToGrid w:val="0"/>
          <w:kern w:val="0"/>
          <w:highlight w:val="none"/>
        </w:rPr>
        <w:t>详见比选申请人须知前附表。</w:t>
      </w:r>
    </w:p>
    <w:p w14:paraId="7D430F34">
      <w:pPr>
        <w:pStyle w:val="3"/>
        <w:rPr>
          <w:rFonts w:hint="eastAsia" w:ascii="宋体" w:hAnsi="宋体" w:eastAsia="宋体" w:cs="宋体"/>
          <w:snapToGrid w:val="0"/>
          <w:spacing w:val="0"/>
          <w:highlight w:val="none"/>
        </w:rPr>
      </w:pPr>
      <w:bookmarkStart w:id="276" w:name="_Toc492994361"/>
      <w:bookmarkStart w:id="277" w:name="_Toc22375606"/>
      <w:bookmarkStart w:id="278" w:name="_Toc22990048"/>
      <w:bookmarkStart w:id="279" w:name="_Toc487208681"/>
      <w:r>
        <w:rPr>
          <w:rFonts w:hint="eastAsia" w:ascii="宋体" w:hAnsi="宋体" w:eastAsia="宋体" w:cs="宋体"/>
          <w:snapToGrid w:val="0"/>
          <w:spacing w:val="0"/>
          <w:highlight w:val="none"/>
        </w:rPr>
        <w:t>6.  评标</w:t>
      </w:r>
      <w:bookmarkEnd w:id="274"/>
      <w:bookmarkEnd w:id="275"/>
      <w:bookmarkEnd w:id="276"/>
      <w:bookmarkEnd w:id="277"/>
      <w:bookmarkEnd w:id="278"/>
      <w:bookmarkEnd w:id="279"/>
    </w:p>
    <w:p w14:paraId="10AB2824">
      <w:pPr>
        <w:pStyle w:val="4"/>
        <w:snapToGrid w:val="0"/>
        <w:spacing w:before="0" w:line="360" w:lineRule="auto"/>
        <w:rPr>
          <w:rFonts w:hint="eastAsia" w:ascii="宋体" w:hAnsi="宋体" w:eastAsia="宋体" w:cs="宋体"/>
          <w:snapToGrid w:val="0"/>
          <w:highlight w:val="none"/>
        </w:rPr>
      </w:pPr>
      <w:bookmarkStart w:id="280" w:name="_Toc492994363"/>
      <w:bookmarkStart w:id="281" w:name="_Toc260741021"/>
      <w:bookmarkStart w:id="282" w:name="_Toc406575105"/>
      <w:bookmarkStart w:id="283" w:name="_Toc22990049"/>
      <w:bookmarkStart w:id="284" w:name="_Toc22375607"/>
      <w:bookmarkStart w:id="285" w:name="_Toc200513162"/>
      <w:bookmarkStart w:id="286" w:name="_Toc487208683"/>
      <w:r>
        <w:rPr>
          <w:rFonts w:hint="eastAsia" w:ascii="宋体" w:hAnsi="宋体" w:eastAsia="宋体" w:cs="宋体"/>
          <w:snapToGrid w:val="0"/>
          <w:highlight w:val="none"/>
        </w:rPr>
        <w:t>6.1  评标原则</w:t>
      </w:r>
      <w:bookmarkEnd w:id="280"/>
      <w:bookmarkEnd w:id="281"/>
      <w:bookmarkEnd w:id="282"/>
      <w:bookmarkEnd w:id="283"/>
      <w:bookmarkEnd w:id="284"/>
      <w:bookmarkEnd w:id="285"/>
      <w:bookmarkEnd w:id="286"/>
    </w:p>
    <w:p w14:paraId="112FB670">
      <w:pPr>
        <w:autoSpaceDE w:val="0"/>
        <w:autoSpaceDN w:val="0"/>
        <w:adjustRightInd w:val="0"/>
        <w:snapToGrid w:val="0"/>
        <w:spacing w:line="360" w:lineRule="auto"/>
        <w:ind w:firstLine="315" w:firstLineChars="150"/>
        <w:jc w:val="left"/>
        <w:rPr>
          <w:rFonts w:hint="eastAsia" w:ascii="宋体" w:hAnsi="宋体" w:cs="宋体"/>
          <w:snapToGrid w:val="0"/>
          <w:kern w:val="0"/>
          <w:highlight w:val="none"/>
        </w:rPr>
      </w:pPr>
      <w:bookmarkStart w:id="287" w:name="_Toc406575106"/>
      <w:bookmarkStart w:id="288" w:name="_Toc260741022"/>
      <w:bookmarkStart w:id="289" w:name="_Toc492994364"/>
      <w:bookmarkStart w:id="290" w:name="_Toc200513163"/>
      <w:bookmarkStart w:id="291" w:name="_Toc487208684"/>
      <w:r>
        <w:rPr>
          <w:rFonts w:hint="eastAsia" w:ascii="宋体" w:hAnsi="宋体" w:cs="宋体"/>
          <w:snapToGrid w:val="0"/>
          <w:kern w:val="0"/>
          <w:highlight w:val="none"/>
        </w:rPr>
        <w:t xml:space="preserve"> 6.1.1  评标由比选人依法组建的</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负责。</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成员人数以及评标专家确定方式见比选申请人须知前附表。</w:t>
      </w:r>
    </w:p>
    <w:p w14:paraId="6E76937E">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 xml:space="preserve">6.1.2  </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成员有下列情形之一的，应当回避：</w:t>
      </w:r>
    </w:p>
    <w:p w14:paraId="56053A70">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（1）比选人或比选申请人的主要负责人的近亲属；</w:t>
      </w:r>
    </w:p>
    <w:p w14:paraId="219FC9A9">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（2）项目主管部门或者行政监督部门的人员；</w:t>
      </w:r>
    </w:p>
    <w:p w14:paraId="0A080C40">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（3）与比选申请人有利害关系，可能影响对比选投标公正评审的；</w:t>
      </w:r>
    </w:p>
    <w:p w14:paraId="71CA9B09">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（4）曾因在招标、评标以及其他与招标投标有关活动中从事违法行为而受过行政处罚或刑事处罚的。</w:t>
      </w:r>
    </w:p>
    <w:p w14:paraId="04AA936C">
      <w:pPr>
        <w:autoSpaceDE w:val="0"/>
        <w:autoSpaceDN w:val="0"/>
        <w:adjustRightInd w:val="0"/>
        <w:snapToGrid w:val="0"/>
        <w:spacing w:line="360" w:lineRule="auto"/>
        <w:jc w:val="left"/>
        <w:rPr>
          <w:rFonts w:hint="eastAsia" w:ascii="宋体" w:hAnsi="宋体" w:cs="宋体"/>
          <w:snapToGrid w:val="0"/>
          <w:highlight w:val="none"/>
        </w:rPr>
      </w:pPr>
      <w:r>
        <w:rPr>
          <w:rFonts w:hint="eastAsia" w:ascii="宋体" w:hAnsi="宋体" w:cs="宋体"/>
          <w:snapToGrid w:val="0"/>
          <w:highlight w:val="none"/>
        </w:rPr>
        <w:t>6.2  评标</w:t>
      </w:r>
      <w:bookmarkEnd w:id="287"/>
      <w:bookmarkEnd w:id="288"/>
      <w:bookmarkEnd w:id="289"/>
      <w:bookmarkEnd w:id="290"/>
      <w:bookmarkEnd w:id="291"/>
    </w:p>
    <w:p w14:paraId="1EE6401F">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按照第三章“评标办法”规定的方法、评审因素、标准和程序对比选申请文件进行评审。第三章“评标办法”没有规定的方法、评审因素和标准，不作为评标依据。</w:t>
      </w:r>
    </w:p>
    <w:p w14:paraId="0236AD59">
      <w:pPr>
        <w:pStyle w:val="3"/>
        <w:rPr>
          <w:rFonts w:hint="eastAsia" w:ascii="宋体" w:hAnsi="宋体" w:eastAsia="宋体" w:cs="宋体"/>
          <w:snapToGrid w:val="0"/>
          <w:spacing w:val="0"/>
          <w:highlight w:val="none"/>
        </w:rPr>
      </w:pPr>
      <w:bookmarkStart w:id="292" w:name="_Toc22990050"/>
      <w:bookmarkStart w:id="293" w:name="_Toc22375608"/>
      <w:bookmarkStart w:id="294" w:name="_Toc487208685"/>
      <w:bookmarkStart w:id="295" w:name="_Toc492994365"/>
      <w:bookmarkStart w:id="296" w:name="_Toc200513164"/>
      <w:bookmarkStart w:id="297" w:name="_Toc406575107"/>
      <w:r>
        <w:rPr>
          <w:rFonts w:hint="eastAsia" w:ascii="宋体" w:hAnsi="宋体" w:eastAsia="宋体" w:cs="宋体"/>
          <w:snapToGrid w:val="0"/>
          <w:spacing w:val="0"/>
          <w:highlight w:val="none"/>
        </w:rPr>
        <w:t>7.  合同授予</w:t>
      </w:r>
      <w:bookmarkEnd w:id="292"/>
      <w:bookmarkEnd w:id="293"/>
      <w:bookmarkEnd w:id="294"/>
      <w:bookmarkEnd w:id="295"/>
      <w:bookmarkEnd w:id="296"/>
      <w:bookmarkEnd w:id="297"/>
    </w:p>
    <w:p w14:paraId="06A4D8C5">
      <w:pPr>
        <w:pStyle w:val="4"/>
        <w:snapToGrid w:val="0"/>
        <w:spacing w:before="0" w:line="360" w:lineRule="auto"/>
        <w:rPr>
          <w:rFonts w:hint="eastAsia" w:ascii="宋体" w:hAnsi="宋体" w:eastAsia="宋体" w:cs="宋体"/>
          <w:snapToGrid w:val="0"/>
          <w:highlight w:val="none"/>
        </w:rPr>
      </w:pPr>
      <w:bookmarkStart w:id="298" w:name="_Toc492994366"/>
      <w:bookmarkStart w:id="299" w:name="_Toc487208686"/>
      <w:bookmarkStart w:id="300" w:name="_Toc22375609"/>
      <w:bookmarkStart w:id="301" w:name="_Toc200513165"/>
      <w:bookmarkStart w:id="302" w:name="_Toc406575108"/>
      <w:bookmarkStart w:id="303" w:name="_Toc22990051"/>
      <w:bookmarkStart w:id="304" w:name="_Toc260741024"/>
      <w:r>
        <w:rPr>
          <w:rFonts w:hint="eastAsia" w:ascii="宋体" w:hAnsi="宋体" w:eastAsia="宋体" w:cs="宋体"/>
          <w:snapToGrid w:val="0"/>
          <w:highlight w:val="none"/>
        </w:rPr>
        <w:t>7.1  定标方式</w:t>
      </w:r>
      <w:bookmarkEnd w:id="298"/>
      <w:bookmarkEnd w:id="299"/>
      <w:bookmarkEnd w:id="300"/>
      <w:bookmarkEnd w:id="301"/>
      <w:bookmarkEnd w:id="302"/>
      <w:bookmarkEnd w:id="303"/>
      <w:bookmarkEnd w:id="304"/>
    </w:p>
    <w:p w14:paraId="7D1CC233">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除比选申请人须知前附表规定</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直接确定中标人外，比选人依据</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推荐的中标候选人确定中标人，</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推荐中标候选人的人数见比选申请人须知前附表。</w:t>
      </w:r>
    </w:p>
    <w:p w14:paraId="53531E0C">
      <w:pPr>
        <w:pStyle w:val="4"/>
        <w:snapToGrid w:val="0"/>
        <w:spacing w:before="0" w:line="360" w:lineRule="auto"/>
        <w:rPr>
          <w:rFonts w:hint="eastAsia" w:ascii="宋体" w:hAnsi="宋体" w:eastAsia="宋体" w:cs="宋体"/>
          <w:snapToGrid w:val="0"/>
          <w:highlight w:val="none"/>
        </w:rPr>
      </w:pPr>
      <w:bookmarkStart w:id="305" w:name="_Toc492994367"/>
      <w:bookmarkStart w:id="306" w:name="_Toc22375610"/>
      <w:bookmarkStart w:id="307" w:name="_Toc22990052"/>
      <w:bookmarkStart w:id="308" w:name="_Toc200513166"/>
      <w:bookmarkStart w:id="309" w:name="_Toc406575109"/>
      <w:bookmarkStart w:id="310" w:name="_Toc487208687"/>
      <w:bookmarkStart w:id="311" w:name="_Toc260741025"/>
      <w:r>
        <w:rPr>
          <w:rFonts w:hint="eastAsia" w:ascii="宋体" w:hAnsi="宋体" w:eastAsia="宋体" w:cs="宋体"/>
          <w:snapToGrid w:val="0"/>
          <w:highlight w:val="none"/>
        </w:rPr>
        <w:t>7.2  比选中标通知</w:t>
      </w:r>
      <w:bookmarkEnd w:id="305"/>
      <w:bookmarkEnd w:id="306"/>
      <w:bookmarkEnd w:id="307"/>
      <w:bookmarkEnd w:id="308"/>
      <w:bookmarkEnd w:id="309"/>
      <w:bookmarkEnd w:id="310"/>
      <w:bookmarkEnd w:id="311"/>
    </w:p>
    <w:p w14:paraId="36B482E8">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在本章规定的比选投标有效期内，比选人</w:t>
      </w:r>
      <w:r>
        <w:rPr>
          <w:rFonts w:hint="eastAsia" w:ascii="宋体" w:hAnsi="宋体" w:cs="宋体"/>
          <w:highlight w:val="none"/>
        </w:rPr>
        <w:t>依法确定</w:t>
      </w:r>
      <w:r>
        <w:rPr>
          <w:rFonts w:hint="eastAsia" w:ascii="宋体" w:hAnsi="宋体" w:cs="宋体"/>
          <w:snapToGrid w:val="0"/>
          <w:kern w:val="0"/>
          <w:highlight w:val="none"/>
        </w:rPr>
        <w:t>比选中标人</w:t>
      </w:r>
      <w:r>
        <w:rPr>
          <w:rFonts w:hint="eastAsia" w:ascii="宋体" w:hAnsi="宋体" w:cs="宋体"/>
          <w:highlight w:val="none"/>
        </w:rPr>
        <w:t>后，比选代理机构</w:t>
      </w:r>
      <w:r>
        <w:rPr>
          <w:rFonts w:hint="eastAsia" w:ascii="宋体" w:hAnsi="宋体" w:cs="宋体"/>
          <w:snapToGrid w:val="0"/>
          <w:kern w:val="0"/>
          <w:highlight w:val="none"/>
        </w:rPr>
        <w:t>以书面形式向比选中标人发出比选中标通知书，同时将比选中标结果通知未比选中标的比选申请人。</w:t>
      </w:r>
    </w:p>
    <w:p w14:paraId="460EE23C">
      <w:pPr>
        <w:pStyle w:val="4"/>
        <w:snapToGrid w:val="0"/>
        <w:spacing w:before="0" w:line="360" w:lineRule="auto"/>
        <w:rPr>
          <w:rFonts w:hint="eastAsia" w:ascii="宋体" w:hAnsi="宋体" w:eastAsia="宋体" w:cs="宋体"/>
          <w:snapToGrid w:val="0"/>
          <w:highlight w:val="none"/>
        </w:rPr>
      </w:pPr>
      <w:bookmarkStart w:id="312" w:name="_Toc406575110"/>
      <w:bookmarkStart w:id="313" w:name="_Toc22375611"/>
      <w:bookmarkStart w:id="314" w:name="_Toc22990053"/>
      <w:bookmarkStart w:id="315" w:name="_Toc487208688"/>
      <w:bookmarkStart w:id="316" w:name="_Toc260741026"/>
      <w:bookmarkStart w:id="317" w:name="_Toc492994368"/>
      <w:bookmarkStart w:id="318" w:name="_Toc200513167"/>
      <w:r>
        <w:rPr>
          <w:rFonts w:hint="eastAsia" w:ascii="宋体" w:hAnsi="宋体" w:eastAsia="宋体" w:cs="宋体"/>
          <w:snapToGrid w:val="0"/>
          <w:highlight w:val="none"/>
        </w:rPr>
        <w:t>7.3  履约担保</w:t>
      </w:r>
      <w:bookmarkEnd w:id="312"/>
      <w:bookmarkEnd w:id="313"/>
      <w:bookmarkEnd w:id="314"/>
      <w:bookmarkEnd w:id="315"/>
      <w:bookmarkEnd w:id="316"/>
      <w:bookmarkEnd w:id="317"/>
      <w:bookmarkEnd w:id="318"/>
    </w:p>
    <w:p w14:paraId="4409FD7A">
      <w:pPr>
        <w:wordWrap w:val="0"/>
        <w:autoSpaceDE w:val="0"/>
        <w:autoSpaceDN w:val="0"/>
        <w:adjustRightInd w:val="0"/>
        <w:snapToGrid w:val="0"/>
        <w:spacing w:line="360" w:lineRule="auto"/>
        <w:ind w:firstLine="420"/>
        <w:rPr>
          <w:rFonts w:hint="eastAsia" w:ascii="宋体" w:hAnsi="宋体" w:cs="宋体"/>
          <w:snapToGrid w:val="0"/>
          <w:kern w:val="0"/>
          <w:highlight w:val="none"/>
        </w:rPr>
      </w:pPr>
      <w:bookmarkStart w:id="319" w:name="_Toc492994369"/>
      <w:bookmarkStart w:id="320" w:name="_Toc487208689"/>
      <w:bookmarkStart w:id="321" w:name="_Toc260741027"/>
      <w:bookmarkStart w:id="322" w:name="_Toc406575111"/>
      <w:bookmarkStart w:id="323" w:name="_Toc200513168"/>
      <w:r>
        <w:rPr>
          <w:rFonts w:hint="eastAsia" w:ascii="宋体" w:hAnsi="宋体" w:cs="宋体"/>
          <w:snapToGrid w:val="0"/>
          <w:kern w:val="0"/>
          <w:highlight w:val="none"/>
        </w:rPr>
        <w:t>7.3.1  中标人应按比选人须知前附表规定的时间、金额、担保形式和竞争性比选文件第四章“合同条款及格式”规定的履约担保格式向比选人提交履约担保。</w:t>
      </w:r>
    </w:p>
    <w:p w14:paraId="4E4DF774">
      <w:pPr>
        <w:wordWrap w:val="0"/>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7.3.2  中标人不能按本章要求提交履约担保的，视为放弃中标。</w:t>
      </w:r>
    </w:p>
    <w:p w14:paraId="201AF795">
      <w:pPr>
        <w:pStyle w:val="4"/>
        <w:snapToGrid w:val="0"/>
        <w:spacing w:before="0" w:line="360" w:lineRule="auto"/>
        <w:rPr>
          <w:rFonts w:hint="eastAsia" w:ascii="宋体" w:hAnsi="宋体" w:eastAsia="宋体" w:cs="宋体"/>
          <w:snapToGrid w:val="0"/>
          <w:highlight w:val="none"/>
        </w:rPr>
      </w:pPr>
      <w:bookmarkStart w:id="324" w:name="_Toc22990054"/>
      <w:bookmarkStart w:id="325" w:name="_Toc22375612"/>
      <w:r>
        <w:rPr>
          <w:rFonts w:hint="eastAsia" w:ascii="宋体" w:hAnsi="宋体" w:eastAsia="宋体" w:cs="宋体"/>
          <w:snapToGrid w:val="0"/>
          <w:highlight w:val="none"/>
        </w:rPr>
        <w:t>7.4  签订合同</w:t>
      </w:r>
      <w:bookmarkEnd w:id="319"/>
      <w:bookmarkEnd w:id="320"/>
      <w:bookmarkEnd w:id="321"/>
      <w:bookmarkEnd w:id="322"/>
      <w:bookmarkEnd w:id="323"/>
      <w:bookmarkEnd w:id="324"/>
      <w:bookmarkEnd w:id="325"/>
    </w:p>
    <w:p w14:paraId="4598CBD2">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7.4.1 比选人和比选中标人应当自比选中标通知书发出之日起</w:t>
      </w:r>
      <w:r>
        <w:rPr>
          <w:rFonts w:hint="eastAsia" w:ascii="宋体" w:hAnsi="宋体" w:cs="宋体"/>
          <w:snapToGrid w:val="0"/>
          <w:kern w:val="0"/>
          <w:highlight w:val="none"/>
          <w:lang w:val="en-US" w:eastAsia="zh-CN"/>
        </w:rPr>
        <w:t>10</w:t>
      </w:r>
      <w:r>
        <w:rPr>
          <w:rFonts w:hint="eastAsia" w:ascii="宋体" w:hAnsi="宋体" w:cs="宋体"/>
          <w:snapToGrid w:val="0"/>
          <w:kern w:val="0"/>
          <w:highlight w:val="none"/>
        </w:rPr>
        <w:t>天内，根据比选文件和比选中标人的比选申请文件订立书面合同。比选中标人无正当理由拒签合同的，比选人取消其比选中标资格。</w:t>
      </w:r>
    </w:p>
    <w:p w14:paraId="11D01614">
      <w:pPr>
        <w:pStyle w:val="3"/>
        <w:rPr>
          <w:rFonts w:hint="eastAsia" w:ascii="宋体" w:hAnsi="宋体" w:eastAsia="宋体" w:cs="宋体"/>
          <w:snapToGrid w:val="0"/>
          <w:spacing w:val="0"/>
          <w:highlight w:val="none"/>
        </w:rPr>
      </w:pPr>
      <w:bookmarkStart w:id="326" w:name="_Toc22990055"/>
      <w:bookmarkStart w:id="327" w:name="_Toc492994370"/>
      <w:bookmarkStart w:id="328" w:name="_Toc22375613"/>
      <w:bookmarkStart w:id="329" w:name="_Toc406575112"/>
      <w:bookmarkStart w:id="330" w:name="_Toc200513169"/>
      <w:bookmarkStart w:id="331" w:name="_Toc487208690"/>
      <w:r>
        <w:rPr>
          <w:rFonts w:hint="eastAsia" w:ascii="宋体" w:hAnsi="宋体" w:eastAsia="宋体" w:cs="宋体"/>
          <w:snapToGrid w:val="0"/>
          <w:spacing w:val="0"/>
          <w:highlight w:val="none"/>
        </w:rPr>
        <w:t>8.  重新比选招标和不再比选招标</w:t>
      </w:r>
      <w:bookmarkEnd w:id="326"/>
      <w:bookmarkEnd w:id="327"/>
      <w:bookmarkEnd w:id="328"/>
      <w:bookmarkEnd w:id="329"/>
      <w:bookmarkEnd w:id="330"/>
      <w:bookmarkEnd w:id="331"/>
    </w:p>
    <w:p w14:paraId="76EBA81F">
      <w:pPr>
        <w:pStyle w:val="4"/>
        <w:snapToGrid w:val="0"/>
        <w:spacing w:before="0" w:line="360" w:lineRule="auto"/>
        <w:rPr>
          <w:rFonts w:hint="eastAsia" w:ascii="宋体" w:hAnsi="宋体" w:eastAsia="宋体" w:cs="宋体"/>
          <w:snapToGrid w:val="0"/>
          <w:highlight w:val="none"/>
        </w:rPr>
      </w:pPr>
      <w:bookmarkStart w:id="332" w:name="_Toc22990056"/>
      <w:bookmarkStart w:id="333" w:name="_Toc406575113"/>
      <w:bookmarkStart w:id="334" w:name="_Toc492994371"/>
      <w:bookmarkStart w:id="335" w:name="_Toc200513170"/>
      <w:bookmarkStart w:id="336" w:name="_Toc22375614"/>
      <w:bookmarkStart w:id="337" w:name="_Toc487208691"/>
      <w:bookmarkStart w:id="338" w:name="_Toc260741029"/>
      <w:r>
        <w:rPr>
          <w:rFonts w:hint="eastAsia" w:ascii="宋体" w:hAnsi="宋体" w:eastAsia="宋体" w:cs="宋体"/>
          <w:snapToGrid w:val="0"/>
          <w:highlight w:val="none"/>
        </w:rPr>
        <w:t>8.1  重新比选招标</w:t>
      </w:r>
      <w:bookmarkEnd w:id="332"/>
      <w:bookmarkEnd w:id="333"/>
      <w:bookmarkEnd w:id="334"/>
      <w:bookmarkEnd w:id="335"/>
      <w:bookmarkEnd w:id="336"/>
      <w:bookmarkEnd w:id="337"/>
      <w:bookmarkEnd w:id="338"/>
    </w:p>
    <w:p w14:paraId="499DA991">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有下列情形之一的，比选人将重新比选招标：</w:t>
      </w:r>
    </w:p>
    <w:p w14:paraId="407F06B4">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（1）比选投标截止时间止，比选申请人少于 3 个的；</w:t>
      </w:r>
    </w:p>
    <w:p w14:paraId="6430F7DD">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（2）经</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评审后否决所有比选投标的。</w:t>
      </w:r>
    </w:p>
    <w:p w14:paraId="45A1B645">
      <w:pPr>
        <w:pStyle w:val="3"/>
        <w:rPr>
          <w:rFonts w:hint="eastAsia" w:ascii="宋体" w:hAnsi="宋体" w:eastAsia="宋体" w:cs="宋体"/>
          <w:snapToGrid w:val="0"/>
          <w:spacing w:val="0"/>
          <w:highlight w:val="none"/>
        </w:rPr>
      </w:pPr>
      <w:bookmarkStart w:id="339" w:name="_Toc487208693"/>
      <w:bookmarkStart w:id="340" w:name="_Toc22375615"/>
      <w:bookmarkStart w:id="341" w:name="_Toc492994373"/>
      <w:bookmarkStart w:id="342" w:name="_Toc22990057"/>
      <w:bookmarkStart w:id="343" w:name="_Toc406575115"/>
      <w:bookmarkStart w:id="344" w:name="_Toc200513172"/>
      <w:r>
        <w:rPr>
          <w:rFonts w:hint="eastAsia" w:ascii="宋体" w:hAnsi="宋体" w:eastAsia="宋体" w:cs="宋体"/>
          <w:snapToGrid w:val="0"/>
          <w:spacing w:val="0"/>
          <w:highlight w:val="none"/>
        </w:rPr>
        <w:t>9.  纪律和监督</w:t>
      </w:r>
      <w:bookmarkEnd w:id="339"/>
      <w:bookmarkEnd w:id="340"/>
      <w:bookmarkEnd w:id="341"/>
      <w:bookmarkEnd w:id="342"/>
      <w:bookmarkEnd w:id="343"/>
      <w:bookmarkEnd w:id="344"/>
    </w:p>
    <w:p w14:paraId="67DA5EDD">
      <w:pPr>
        <w:pStyle w:val="4"/>
        <w:snapToGrid w:val="0"/>
        <w:spacing w:before="0" w:line="360" w:lineRule="auto"/>
        <w:rPr>
          <w:rFonts w:hint="eastAsia" w:ascii="宋体" w:hAnsi="宋体" w:eastAsia="宋体" w:cs="宋体"/>
          <w:snapToGrid w:val="0"/>
          <w:highlight w:val="none"/>
        </w:rPr>
      </w:pPr>
      <w:bookmarkStart w:id="345" w:name="_Toc492994374"/>
      <w:bookmarkStart w:id="346" w:name="_Toc22990058"/>
      <w:bookmarkStart w:id="347" w:name="_Toc200513173"/>
      <w:bookmarkStart w:id="348" w:name="_Toc406575116"/>
      <w:bookmarkStart w:id="349" w:name="_Toc487208694"/>
      <w:bookmarkStart w:id="350" w:name="_Toc22375616"/>
      <w:bookmarkStart w:id="351" w:name="_Toc260741032"/>
      <w:r>
        <w:rPr>
          <w:rFonts w:hint="eastAsia" w:ascii="宋体" w:hAnsi="宋体" w:eastAsia="宋体" w:cs="宋体"/>
          <w:snapToGrid w:val="0"/>
          <w:highlight w:val="none"/>
        </w:rPr>
        <w:t>9.1  对比选人的纪律要求</w:t>
      </w:r>
      <w:bookmarkEnd w:id="345"/>
      <w:bookmarkEnd w:id="346"/>
      <w:bookmarkEnd w:id="347"/>
      <w:bookmarkEnd w:id="348"/>
      <w:bookmarkEnd w:id="349"/>
      <w:bookmarkEnd w:id="350"/>
      <w:bookmarkEnd w:id="351"/>
    </w:p>
    <w:p w14:paraId="3F763068">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比选人不得泄漏比选招标投标活动中应当保密的情况和资料，不得与比选申请人串通损害国家利 益、社会公共利益或者他人合法权益。</w:t>
      </w:r>
    </w:p>
    <w:p w14:paraId="342BE3BE">
      <w:pPr>
        <w:pStyle w:val="4"/>
        <w:snapToGrid w:val="0"/>
        <w:spacing w:line="360" w:lineRule="auto"/>
        <w:rPr>
          <w:rFonts w:hint="eastAsia" w:ascii="宋体" w:hAnsi="宋体" w:eastAsia="宋体" w:cs="宋体"/>
          <w:snapToGrid w:val="0"/>
          <w:highlight w:val="none"/>
        </w:rPr>
      </w:pPr>
      <w:bookmarkStart w:id="352" w:name="_Toc492994375"/>
      <w:bookmarkStart w:id="353" w:name="_Toc487208696"/>
      <w:bookmarkStart w:id="354" w:name="_Toc224103365"/>
      <w:bookmarkStart w:id="355" w:name="_Toc287607794"/>
      <w:bookmarkStart w:id="356" w:name="_Toc277082600"/>
      <w:bookmarkStart w:id="357" w:name="_Toc12093"/>
      <w:bookmarkStart w:id="358" w:name="_Toc22990059"/>
      <w:bookmarkStart w:id="359" w:name="_Toc287620733"/>
      <w:bookmarkStart w:id="360" w:name="_Toc22375617"/>
      <w:bookmarkStart w:id="361" w:name="_Toc260741034"/>
      <w:bookmarkStart w:id="362" w:name="_Toc200513175"/>
      <w:bookmarkStart w:id="363" w:name="_Toc406575118"/>
      <w:r>
        <w:rPr>
          <w:rFonts w:hint="eastAsia" w:ascii="宋体" w:hAnsi="宋体" w:eastAsia="宋体" w:cs="宋体"/>
          <w:snapToGrid w:val="0"/>
          <w:highlight w:val="none"/>
        </w:rPr>
        <w:t>9.2  对比选申请人的纪律要求</w:t>
      </w:r>
      <w:bookmarkEnd w:id="352"/>
      <w:bookmarkEnd w:id="353"/>
      <w:bookmarkEnd w:id="354"/>
      <w:bookmarkEnd w:id="355"/>
      <w:bookmarkEnd w:id="356"/>
      <w:bookmarkEnd w:id="357"/>
      <w:bookmarkEnd w:id="358"/>
      <w:bookmarkEnd w:id="359"/>
      <w:bookmarkEnd w:id="360"/>
    </w:p>
    <w:p w14:paraId="12CCC153">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比选申请人不得相互串通比选投标或者与比选人串通比选投标，不得向比选人或者</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成员行贿谋取比选中标，不得以他人名义比选投标或者以其他方式弄虚作假骗取比选中标；比选申请人不得以任何方式干扰、影响评标工作。</w:t>
      </w:r>
    </w:p>
    <w:p w14:paraId="542143B3">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xml:space="preserve"> 有下列情形之一的，属于比选申请人相互串通比选投标：</w:t>
      </w:r>
    </w:p>
    <w:p w14:paraId="1B2F0CDC">
      <w:pPr>
        <w:autoSpaceDE w:val="0"/>
        <w:autoSpaceDN w:val="0"/>
        <w:adjustRightInd w:val="0"/>
        <w:snapToGrid w:val="0"/>
        <w:spacing w:line="360" w:lineRule="auto"/>
        <w:ind w:firstLine="840" w:firstLineChars="400"/>
        <w:rPr>
          <w:rFonts w:hint="eastAsia" w:ascii="宋体" w:hAnsi="宋体" w:cs="宋体"/>
          <w:highlight w:val="none"/>
        </w:rPr>
      </w:pPr>
      <w:r>
        <w:rPr>
          <w:rFonts w:hint="eastAsia" w:ascii="宋体" w:hAnsi="宋体" w:cs="宋体"/>
          <w:highlight w:val="none"/>
        </w:rPr>
        <w:t>（1）比选申请人之间协商比选报价等比选申请文件的实质性内容；</w:t>
      </w:r>
    </w:p>
    <w:p w14:paraId="770D1DCC">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（2）比选申请人之间约定比选中标人；</w:t>
      </w:r>
    </w:p>
    <w:p w14:paraId="4D3D1F0F">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（3）比选申请人之间约定部分比选申请人放弃比选投标或者比选中标；</w:t>
      </w:r>
    </w:p>
    <w:p w14:paraId="3CDD5758">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（4）属于同一集团、协会、商会等组织成员的比选申请人按照该组织要求协同比选投标；</w:t>
      </w:r>
    </w:p>
    <w:p w14:paraId="126C9D18">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（5）比选申请人之间为谋取比选中标或者排斥特定比选申请人而采取的其他联合行动。</w:t>
      </w:r>
    </w:p>
    <w:p w14:paraId="6BD35830">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有下列情形之一的，视为比选申请人相互串通比选投标：</w:t>
      </w:r>
    </w:p>
    <w:p w14:paraId="25EB2BAA">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（1）不同比选申请人的比选申请文件由同一单位或者个人编制；</w:t>
      </w:r>
    </w:p>
    <w:p w14:paraId="49F6E6E8">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（2）不同比选申请人委托同一单位或者个人办理比选投标事宜；</w:t>
      </w:r>
    </w:p>
    <w:p w14:paraId="20053D6E">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（3）不同比选申请人的比选申请文件载明的项目管理成员为同一人；</w:t>
      </w:r>
    </w:p>
    <w:p w14:paraId="04127510">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（4）不同比选申请人的比选申请文件异常一致或者比选报价呈规律性差异；</w:t>
      </w:r>
    </w:p>
    <w:p w14:paraId="5321A0F5">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（5）不同比选申请人的比选申请文件相互混装；</w:t>
      </w:r>
    </w:p>
    <w:p w14:paraId="549F662F">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比选申请人有下列情形之一的，属于以其他方式弄虚作假的行为：</w:t>
      </w:r>
    </w:p>
    <w:p w14:paraId="02200739">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（一）使用伪造、变造的许可证件；</w:t>
      </w:r>
    </w:p>
    <w:p w14:paraId="21C1C9A2">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（二）提供虚假的财务状况或者业绩；</w:t>
      </w:r>
    </w:p>
    <w:p w14:paraId="226120F9">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（三）提供虚假的项目负责人或者主要技术人员简历、劳动关系证明；</w:t>
      </w:r>
    </w:p>
    <w:p w14:paraId="033AC821">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（四）提供虚假的信用状况；</w:t>
      </w:r>
    </w:p>
    <w:p w14:paraId="011C3B09">
      <w:pPr>
        <w:autoSpaceDE w:val="0"/>
        <w:autoSpaceDN w:val="0"/>
        <w:adjustRightInd w:val="0"/>
        <w:snapToGrid w:val="0"/>
        <w:spacing w:line="360" w:lineRule="auto"/>
        <w:ind w:firstLine="420" w:firstLineChars="200"/>
        <w:rPr>
          <w:rFonts w:hint="eastAsia" w:ascii="宋体" w:hAnsi="宋体" w:cs="宋体"/>
          <w:snapToGrid w:val="0"/>
          <w:kern w:val="0"/>
          <w:highlight w:val="none"/>
        </w:rPr>
      </w:pPr>
      <w:r>
        <w:rPr>
          <w:rFonts w:hint="eastAsia" w:ascii="宋体" w:hAnsi="宋体" w:cs="宋体"/>
          <w:highlight w:val="none"/>
        </w:rPr>
        <w:t>    （五）其他弄虚作假的行为。</w:t>
      </w:r>
    </w:p>
    <w:p w14:paraId="33117FB8">
      <w:pPr>
        <w:pStyle w:val="4"/>
        <w:snapToGrid w:val="0"/>
        <w:spacing w:before="0" w:line="360" w:lineRule="auto"/>
        <w:rPr>
          <w:rFonts w:hint="eastAsia" w:ascii="宋体" w:hAnsi="宋体" w:eastAsia="宋体" w:cs="宋体"/>
          <w:snapToGrid w:val="0"/>
          <w:highlight w:val="none"/>
        </w:rPr>
      </w:pPr>
      <w:bookmarkStart w:id="364" w:name="_Toc487208697"/>
      <w:bookmarkStart w:id="365" w:name="_Toc492994376"/>
      <w:bookmarkStart w:id="366" w:name="_Toc22375618"/>
      <w:bookmarkStart w:id="367" w:name="_Toc22990060"/>
      <w:r>
        <w:rPr>
          <w:rFonts w:hint="eastAsia" w:ascii="宋体" w:hAnsi="宋体" w:eastAsia="宋体" w:cs="宋体"/>
          <w:snapToGrid w:val="0"/>
          <w:highlight w:val="none"/>
        </w:rPr>
        <w:t>9.3  对</w:t>
      </w:r>
      <w:r>
        <w:rPr>
          <w:rFonts w:hint="eastAsia" w:ascii="宋体" w:hAnsi="宋体" w:eastAsia="宋体" w:cs="宋体"/>
          <w:snapToGrid w:val="0"/>
          <w:highlight w:val="none"/>
          <w:lang w:eastAsia="zh-CN"/>
        </w:rPr>
        <w:t>评审委员会</w:t>
      </w:r>
      <w:r>
        <w:rPr>
          <w:rFonts w:hint="eastAsia" w:ascii="宋体" w:hAnsi="宋体" w:eastAsia="宋体" w:cs="宋体"/>
          <w:snapToGrid w:val="0"/>
          <w:highlight w:val="none"/>
        </w:rPr>
        <w:t>成员的纪律要求</w:t>
      </w:r>
      <w:bookmarkEnd w:id="361"/>
      <w:bookmarkEnd w:id="362"/>
      <w:bookmarkEnd w:id="363"/>
      <w:bookmarkEnd w:id="364"/>
      <w:bookmarkEnd w:id="365"/>
      <w:bookmarkEnd w:id="366"/>
      <w:bookmarkEnd w:id="367"/>
    </w:p>
    <w:p w14:paraId="415D9034">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成员不得收受他人的财物或者其他好处，不得向他人透漏对比选申请文件的评审 和比较、比选中标候选人的推荐情况以及评标有关的其他情况。在评标活动中，</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成员不得擅离职守，影响评标程序正常进行，不得使用第三章“评标办法”没有规定的评审因素和标准进行评标。</w:t>
      </w:r>
    </w:p>
    <w:p w14:paraId="3D71E3D5">
      <w:pPr>
        <w:pStyle w:val="4"/>
        <w:snapToGrid w:val="0"/>
        <w:spacing w:before="0" w:line="360" w:lineRule="auto"/>
        <w:rPr>
          <w:rFonts w:hint="eastAsia" w:ascii="宋体" w:hAnsi="宋体" w:eastAsia="宋体" w:cs="宋体"/>
          <w:snapToGrid w:val="0"/>
          <w:highlight w:val="none"/>
        </w:rPr>
      </w:pPr>
      <w:bookmarkStart w:id="368" w:name="_Toc260741035"/>
      <w:bookmarkStart w:id="369" w:name="_Toc22990061"/>
      <w:bookmarkStart w:id="370" w:name="_Toc22375619"/>
      <w:bookmarkStart w:id="371" w:name="_Toc200513176"/>
      <w:bookmarkStart w:id="372" w:name="_Toc406575119"/>
      <w:bookmarkStart w:id="373" w:name="_Toc492994377"/>
      <w:bookmarkStart w:id="374" w:name="_Toc487208698"/>
      <w:r>
        <w:rPr>
          <w:rFonts w:hint="eastAsia" w:ascii="宋体" w:hAnsi="宋体" w:eastAsia="宋体" w:cs="宋体"/>
          <w:snapToGrid w:val="0"/>
          <w:highlight w:val="none"/>
        </w:rPr>
        <w:t>9.4  对与评标活动有关的工作人员的纪律要求</w:t>
      </w:r>
      <w:bookmarkEnd w:id="368"/>
      <w:bookmarkEnd w:id="369"/>
      <w:bookmarkEnd w:id="370"/>
      <w:bookmarkEnd w:id="371"/>
      <w:bookmarkEnd w:id="372"/>
      <w:bookmarkEnd w:id="373"/>
      <w:bookmarkEnd w:id="374"/>
    </w:p>
    <w:p w14:paraId="553E48BB">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与评标活动有关的工作人员不得收受他人的财物或者其他好处，不得向他人透漏对比选投标 文件的评审和比较、比选中标候选人的推荐情况以及评标有关的其他情况。在评标活动中，与评标活动有关的工作人员不得擅离职守，影响评标程序正常进行。</w:t>
      </w:r>
    </w:p>
    <w:p w14:paraId="51790C6B">
      <w:pPr>
        <w:pStyle w:val="4"/>
        <w:snapToGrid w:val="0"/>
        <w:spacing w:before="0" w:line="360" w:lineRule="auto"/>
        <w:rPr>
          <w:rFonts w:hint="eastAsia" w:ascii="宋体" w:hAnsi="宋体" w:eastAsia="宋体" w:cs="宋体"/>
          <w:snapToGrid w:val="0"/>
          <w:highlight w:val="none"/>
        </w:rPr>
      </w:pPr>
      <w:bookmarkStart w:id="375" w:name="_Toc200513177"/>
      <w:bookmarkStart w:id="376" w:name="_Toc406575120"/>
      <w:bookmarkStart w:id="377" w:name="_Toc22375620"/>
      <w:bookmarkStart w:id="378" w:name="_Toc260741036"/>
      <w:bookmarkStart w:id="379" w:name="_Toc22990062"/>
      <w:bookmarkStart w:id="380" w:name="_Toc492994378"/>
      <w:bookmarkStart w:id="381" w:name="_Toc487208699"/>
      <w:r>
        <w:rPr>
          <w:rFonts w:hint="eastAsia" w:ascii="宋体" w:hAnsi="宋体" w:eastAsia="宋体" w:cs="宋体"/>
          <w:snapToGrid w:val="0"/>
          <w:highlight w:val="none"/>
        </w:rPr>
        <w:t>9.5  投诉</w:t>
      </w:r>
      <w:bookmarkEnd w:id="375"/>
      <w:bookmarkEnd w:id="376"/>
      <w:bookmarkEnd w:id="377"/>
      <w:bookmarkEnd w:id="378"/>
      <w:bookmarkEnd w:id="379"/>
      <w:bookmarkEnd w:id="380"/>
      <w:bookmarkEnd w:id="381"/>
    </w:p>
    <w:p w14:paraId="2BDE4096">
      <w:pPr>
        <w:autoSpaceDE w:val="0"/>
        <w:autoSpaceDN w:val="0"/>
        <w:adjustRightInd w:val="0"/>
        <w:snapToGrid w:val="0"/>
        <w:spacing w:line="360" w:lineRule="auto"/>
        <w:ind w:firstLine="420"/>
        <w:jc w:val="left"/>
        <w:rPr>
          <w:rFonts w:hint="eastAsia" w:ascii="宋体" w:hAnsi="宋体" w:cs="宋体"/>
          <w:snapToGrid w:val="0"/>
          <w:kern w:val="0"/>
          <w:highlight w:val="none"/>
        </w:rPr>
      </w:pPr>
      <w:bookmarkStart w:id="382" w:name="_Toc487208700"/>
      <w:bookmarkStart w:id="383" w:name="_Toc200513178"/>
      <w:bookmarkStart w:id="384" w:name="_Toc492994379"/>
      <w:bookmarkStart w:id="385" w:name="_Toc406575121"/>
      <w:r>
        <w:rPr>
          <w:rFonts w:hint="eastAsia" w:ascii="宋体" w:hAnsi="宋体" w:cs="宋体"/>
          <w:snapToGrid w:val="0"/>
          <w:kern w:val="0"/>
          <w:highlight w:val="none"/>
        </w:rPr>
        <w:t>见比选申请人须知前附表。</w:t>
      </w:r>
    </w:p>
    <w:p w14:paraId="08607A8F">
      <w:pPr>
        <w:pStyle w:val="3"/>
        <w:rPr>
          <w:rFonts w:hint="eastAsia" w:ascii="宋体" w:hAnsi="宋体" w:eastAsia="宋体" w:cs="宋体"/>
          <w:snapToGrid w:val="0"/>
          <w:spacing w:val="0"/>
          <w:highlight w:val="none"/>
        </w:rPr>
      </w:pPr>
      <w:bookmarkStart w:id="386" w:name="_Toc22375621"/>
      <w:bookmarkStart w:id="387" w:name="_Toc22990063"/>
      <w:r>
        <w:rPr>
          <w:rFonts w:hint="eastAsia" w:ascii="宋体" w:hAnsi="宋体" w:eastAsia="宋体" w:cs="宋体"/>
          <w:snapToGrid w:val="0"/>
          <w:spacing w:val="0"/>
          <w:highlight w:val="none"/>
        </w:rPr>
        <w:t>10.  需要补充的其他内容</w:t>
      </w:r>
      <w:bookmarkEnd w:id="382"/>
      <w:bookmarkEnd w:id="383"/>
      <w:bookmarkEnd w:id="384"/>
      <w:bookmarkEnd w:id="385"/>
      <w:bookmarkEnd w:id="386"/>
      <w:bookmarkEnd w:id="387"/>
    </w:p>
    <w:p w14:paraId="784A7F09">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需要补充的其他内容：见比选申请人须知前附表。</w:t>
      </w:r>
    </w:p>
    <w:p w14:paraId="5CF87A39">
      <w:pPr>
        <w:autoSpaceDE w:val="0"/>
        <w:autoSpaceDN w:val="0"/>
        <w:adjustRightInd w:val="0"/>
        <w:snapToGrid w:val="0"/>
        <w:spacing w:line="360" w:lineRule="auto"/>
        <w:jc w:val="left"/>
        <w:rPr>
          <w:rFonts w:hint="eastAsia" w:ascii="宋体" w:hAnsi="宋体" w:cs="宋体"/>
          <w:b/>
          <w:snapToGrid w:val="0"/>
          <w:kern w:val="0"/>
          <w:highlight w:val="none"/>
        </w:rPr>
      </w:pPr>
    </w:p>
    <w:p w14:paraId="4375C395">
      <w:pPr>
        <w:pStyle w:val="3"/>
        <w:jc w:val="center"/>
        <w:rPr>
          <w:rFonts w:hint="eastAsia" w:ascii="宋体" w:hAnsi="宋体" w:eastAsia="宋体" w:cs="宋体"/>
          <w:snapToGrid w:val="0"/>
          <w:highlight w:val="none"/>
        </w:rPr>
      </w:pPr>
      <w:r>
        <w:rPr>
          <w:rFonts w:hint="eastAsia" w:ascii="宋体" w:hAnsi="宋体" w:eastAsia="宋体" w:cs="宋体"/>
          <w:snapToGrid w:val="0"/>
          <w:szCs w:val="21"/>
          <w:highlight w:val="none"/>
        </w:rPr>
        <w:br w:type="page"/>
      </w:r>
      <w:bookmarkStart w:id="388" w:name="_Toc15653"/>
      <w:r>
        <w:rPr>
          <w:rFonts w:hint="eastAsia" w:ascii="宋体" w:hAnsi="宋体" w:eastAsia="宋体" w:cs="宋体"/>
          <w:spacing w:val="0"/>
          <w:w w:val="100"/>
          <w:sz w:val="44"/>
          <w:szCs w:val="44"/>
          <w:highlight w:val="none"/>
        </w:rPr>
        <w:t>第三章 评标办法（综合评估法）</w:t>
      </w:r>
      <w:bookmarkEnd w:id="388"/>
    </w:p>
    <w:p w14:paraId="17DD1408">
      <w:pPr>
        <w:keepNext/>
        <w:keepLines/>
        <w:spacing w:before="100" w:after="100" w:line="360" w:lineRule="auto"/>
        <w:outlineLvl w:val="1"/>
        <w:rPr>
          <w:rFonts w:hint="eastAsia" w:ascii="宋体" w:hAnsi="宋体" w:cs="宋体"/>
          <w:b/>
          <w:sz w:val="32"/>
          <w:szCs w:val="32"/>
          <w:highlight w:val="none"/>
        </w:rPr>
      </w:pPr>
      <w:bookmarkStart w:id="389" w:name="_Toc37837928"/>
      <w:bookmarkStart w:id="390" w:name="_Toc27183"/>
      <w:r>
        <w:rPr>
          <w:rFonts w:hint="eastAsia" w:ascii="宋体" w:hAnsi="宋体" w:cs="宋体"/>
          <w:b/>
          <w:sz w:val="32"/>
          <w:szCs w:val="32"/>
          <w:highlight w:val="none"/>
        </w:rPr>
        <w:t>评标办法前附表</w:t>
      </w:r>
      <w:bookmarkEnd w:id="389"/>
      <w:bookmarkEnd w:id="390"/>
    </w:p>
    <w:p w14:paraId="175635C6">
      <w:pPr>
        <w:spacing w:line="400" w:lineRule="exact"/>
        <w:ind w:firstLine="427" w:firstLineChars="196"/>
        <w:rPr>
          <w:rFonts w:hint="eastAsia" w:ascii="宋体" w:hAnsi="宋体" w:cs="宋体"/>
          <w:spacing w:val="4"/>
          <w:highlight w:val="none"/>
        </w:rPr>
      </w:pPr>
      <w:bookmarkStart w:id="391" w:name="_Toc13210726"/>
      <w:r>
        <w:rPr>
          <w:rFonts w:hint="eastAsia" w:ascii="宋体" w:hAnsi="宋体" w:cs="宋体"/>
          <w:spacing w:val="4"/>
          <w:highlight w:val="none"/>
        </w:rPr>
        <w:t>评标办法前附表中的评审内容必须和比选申请人须知前附表中的对应内容一致，若比选申请人须知前附表中未作要求的内容，不得列入评标办法前附表作为评定依据。</w:t>
      </w:r>
      <w:bookmarkEnd w:id="391"/>
    </w:p>
    <w:tbl>
      <w:tblPr>
        <w:tblStyle w:val="44"/>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61"/>
        <w:gridCol w:w="1654"/>
        <w:gridCol w:w="1839"/>
        <w:gridCol w:w="4595"/>
      </w:tblGrid>
      <w:tr w14:paraId="757A36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blHeader/>
        </w:trPr>
        <w:tc>
          <w:tcPr>
            <w:tcW w:w="628" w:type="pct"/>
            <w:tcBorders>
              <w:right w:val="single" w:color="auto" w:sz="4" w:space="0"/>
            </w:tcBorders>
            <w:vAlign w:val="center"/>
          </w:tcPr>
          <w:p w14:paraId="6159AF9D">
            <w:pPr>
              <w:spacing w:line="400" w:lineRule="exact"/>
              <w:jc w:val="center"/>
              <w:rPr>
                <w:rFonts w:hint="eastAsia" w:ascii="宋体" w:hAnsi="宋体" w:cs="宋体"/>
                <w:b/>
                <w:highlight w:val="none"/>
              </w:rPr>
            </w:pPr>
            <w:r>
              <w:rPr>
                <w:rFonts w:hint="eastAsia" w:ascii="宋体" w:hAnsi="宋体" w:cs="宋体"/>
                <w:b/>
                <w:highlight w:val="none"/>
              </w:rPr>
              <w:t>条款号</w:t>
            </w:r>
          </w:p>
        </w:tc>
        <w:tc>
          <w:tcPr>
            <w:tcW w:w="894" w:type="pct"/>
            <w:tcBorders>
              <w:left w:val="single" w:color="auto" w:sz="4" w:space="0"/>
            </w:tcBorders>
            <w:vAlign w:val="center"/>
          </w:tcPr>
          <w:p w14:paraId="48B30D33">
            <w:pPr>
              <w:spacing w:line="400" w:lineRule="exact"/>
              <w:jc w:val="center"/>
              <w:rPr>
                <w:rFonts w:hint="eastAsia" w:ascii="宋体" w:hAnsi="宋体" w:cs="宋体"/>
                <w:b/>
                <w:highlight w:val="none"/>
              </w:rPr>
            </w:pPr>
            <w:r>
              <w:rPr>
                <w:rFonts w:hint="eastAsia" w:ascii="宋体" w:hAnsi="宋体" w:cs="宋体"/>
                <w:b/>
                <w:highlight w:val="none"/>
              </w:rPr>
              <w:t>评审因素</w:t>
            </w:r>
          </w:p>
        </w:tc>
        <w:tc>
          <w:tcPr>
            <w:tcW w:w="3477" w:type="pct"/>
            <w:gridSpan w:val="2"/>
            <w:vAlign w:val="center"/>
          </w:tcPr>
          <w:p w14:paraId="180E3E56">
            <w:pPr>
              <w:spacing w:line="400" w:lineRule="exact"/>
              <w:jc w:val="center"/>
              <w:rPr>
                <w:rFonts w:hint="eastAsia" w:ascii="宋体" w:hAnsi="宋体" w:cs="宋体"/>
                <w:b/>
                <w:highlight w:val="none"/>
              </w:rPr>
            </w:pPr>
            <w:r>
              <w:rPr>
                <w:rFonts w:hint="eastAsia" w:ascii="宋体" w:hAnsi="宋体" w:cs="宋体"/>
                <w:b/>
                <w:highlight w:val="none"/>
              </w:rPr>
              <w:t>评审标准</w:t>
            </w:r>
          </w:p>
        </w:tc>
      </w:tr>
      <w:tr w14:paraId="4FD23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tcBorders>
              <w:right w:val="single" w:color="auto" w:sz="4" w:space="0"/>
            </w:tcBorders>
            <w:vAlign w:val="center"/>
          </w:tcPr>
          <w:p w14:paraId="6C94E382">
            <w:pPr>
              <w:pStyle w:val="200"/>
              <w:spacing w:line="400" w:lineRule="exact"/>
              <w:ind w:firstLine="420"/>
              <w:rPr>
                <w:rFonts w:hint="eastAsia" w:hAnsi="宋体" w:cs="宋体"/>
                <w:sz w:val="21"/>
                <w:highlight w:val="none"/>
              </w:rPr>
            </w:pPr>
            <w:r>
              <w:rPr>
                <w:rFonts w:hint="eastAsia" w:hAnsi="宋体" w:cs="宋体"/>
                <w:sz w:val="21"/>
                <w:highlight w:val="none"/>
              </w:rPr>
              <w:t>1</w:t>
            </w:r>
          </w:p>
        </w:tc>
        <w:tc>
          <w:tcPr>
            <w:tcW w:w="894" w:type="pct"/>
            <w:tcBorders>
              <w:left w:val="single" w:color="auto" w:sz="4" w:space="0"/>
            </w:tcBorders>
            <w:vAlign w:val="center"/>
          </w:tcPr>
          <w:p w14:paraId="26E8E372">
            <w:pPr>
              <w:pStyle w:val="200"/>
              <w:spacing w:line="400" w:lineRule="exact"/>
              <w:ind w:firstLine="0" w:firstLineChars="0"/>
              <w:jc w:val="center"/>
              <w:rPr>
                <w:rFonts w:hint="eastAsia" w:hAnsi="宋体" w:cs="宋体"/>
                <w:sz w:val="21"/>
                <w:highlight w:val="none"/>
              </w:rPr>
            </w:pPr>
            <w:r>
              <w:rPr>
                <w:rFonts w:hint="eastAsia" w:hAnsi="宋体" w:cs="宋体"/>
                <w:sz w:val="21"/>
                <w:highlight w:val="none"/>
              </w:rPr>
              <w:t>评标办法</w:t>
            </w:r>
          </w:p>
        </w:tc>
        <w:tc>
          <w:tcPr>
            <w:tcW w:w="3477" w:type="pct"/>
            <w:gridSpan w:val="2"/>
            <w:vAlign w:val="center"/>
          </w:tcPr>
          <w:p w14:paraId="4F6A5192">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本次招标采用综合评估法，以比选申请人递交的纸质比选申请文件为评审依据，按照下列步骤推荐中标候选人：</w:t>
            </w:r>
          </w:p>
          <w:p w14:paraId="3CC840FB">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（一）对通过评审的比选申请人按照综合得分由高到低的顺序取前三家（若与前三家出现得分相同时，一并纳入）。</w:t>
            </w:r>
          </w:p>
          <w:p w14:paraId="6971A915">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（二）按照评标得分由高到低的顺序推荐中标候选人。评标得分相等时，</w:t>
            </w:r>
            <w:r>
              <w:rPr>
                <w:rFonts w:hint="eastAsia" w:ascii="宋体" w:hAnsi="宋体" w:cs="宋体"/>
                <w:kern w:val="0"/>
                <w:highlight w:val="none"/>
                <w:lang w:eastAsia="zh-CN"/>
              </w:rPr>
              <w:t>评审委员会</w:t>
            </w:r>
            <w:r>
              <w:rPr>
                <w:rFonts w:hint="eastAsia" w:ascii="宋体" w:hAnsi="宋体" w:cs="宋体"/>
                <w:kern w:val="0"/>
                <w:highlight w:val="none"/>
              </w:rPr>
              <w:t>依次按照以下优先顺序推荐中标候选人：</w:t>
            </w:r>
          </w:p>
          <w:p w14:paraId="48708AE8">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 xml:space="preserve">（1）技术得分高的优先； </w:t>
            </w:r>
          </w:p>
          <w:p w14:paraId="208DBEEC">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（2）商务得分高的优先；</w:t>
            </w:r>
          </w:p>
          <w:p w14:paraId="78E23900">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（3）</w:t>
            </w:r>
            <w:r>
              <w:rPr>
                <w:rFonts w:hint="eastAsia" w:ascii="宋体" w:hAnsi="宋体" w:cs="宋体"/>
                <w:kern w:val="0"/>
                <w:highlight w:val="none"/>
                <w:lang w:eastAsia="zh-CN"/>
              </w:rPr>
              <w:t>比选申请总报价</w:t>
            </w:r>
            <w:r>
              <w:rPr>
                <w:rFonts w:hint="eastAsia" w:ascii="宋体" w:hAnsi="宋体" w:cs="宋体"/>
                <w:kern w:val="0"/>
                <w:highlight w:val="none"/>
              </w:rPr>
              <w:t>低的优先；</w:t>
            </w:r>
          </w:p>
          <w:p w14:paraId="19B1A9F7">
            <w:pPr>
              <w:spacing w:line="400" w:lineRule="exact"/>
              <w:ind w:firstLine="420" w:firstLineChars="200"/>
              <w:rPr>
                <w:rFonts w:hint="eastAsia" w:ascii="宋体" w:hAnsi="宋体" w:cs="宋体"/>
                <w:highlight w:val="none"/>
              </w:rPr>
            </w:pPr>
            <w:r>
              <w:rPr>
                <w:rFonts w:hint="eastAsia" w:ascii="宋体" w:hAnsi="宋体" w:cs="宋体"/>
                <w:kern w:val="0"/>
                <w:highlight w:val="none"/>
              </w:rPr>
              <w:t>（4）</w:t>
            </w:r>
            <w:r>
              <w:rPr>
                <w:rFonts w:hint="eastAsia" w:ascii="宋体" w:hAnsi="宋体" w:cs="宋体"/>
                <w:kern w:val="0"/>
                <w:highlight w:val="none"/>
                <w:lang w:eastAsia="zh-CN"/>
              </w:rPr>
              <w:t>评审委员会</w:t>
            </w:r>
            <w:r>
              <w:rPr>
                <w:rFonts w:hint="eastAsia" w:ascii="宋体" w:hAnsi="宋体" w:cs="宋体"/>
                <w:kern w:val="0"/>
                <w:highlight w:val="none"/>
              </w:rPr>
              <w:t>投票决定。</w:t>
            </w:r>
          </w:p>
        </w:tc>
      </w:tr>
      <w:tr w14:paraId="20008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tcBorders>
              <w:right w:val="single" w:color="auto" w:sz="4" w:space="0"/>
            </w:tcBorders>
            <w:vAlign w:val="center"/>
          </w:tcPr>
          <w:p w14:paraId="4DB00AF9">
            <w:pPr>
              <w:spacing w:line="400" w:lineRule="exact"/>
              <w:jc w:val="center"/>
              <w:rPr>
                <w:rFonts w:hint="eastAsia" w:ascii="宋体" w:hAnsi="宋体" w:cs="宋体"/>
                <w:highlight w:val="none"/>
              </w:rPr>
            </w:pPr>
            <w:r>
              <w:rPr>
                <w:rFonts w:hint="eastAsia" w:ascii="宋体" w:hAnsi="宋体" w:cs="宋体"/>
                <w:highlight w:val="none"/>
              </w:rPr>
              <w:t>2.1</w:t>
            </w:r>
          </w:p>
        </w:tc>
        <w:tc>
          <w:tcPr>
            <w:tcW w:w="894" w:type="pct"/>
            <w:tcBorders>
              <w:left w:val="single" w:color="auto" w:sz="4" w:space="0"/>
              <w:right w:val="single" w:color="auto" w:sz="4" w:space="0"/>
            </w:tcBorders>
            <w:vAlign w:val="center"/>
          </w:tcPr>
          <w:p w14:paraId="75A1D117">
            <w:pPr>
              <w:spacing w:line="400" w:lineRule="exact"/>
              <w:jc w:val="center"/>
              <w:rPr>
                <w:rFonts w:hint="eastAsia" w:ascii="宋体" w:hAnsi="宋体" w:cs="宋体"/>
                <w:highlight w:val="none"/>
              </w:rPr>
            </w:pPr>
            <w:r>
              <w:rPr>
                <w:rFonts w:hint="eastAsia" w:ascii="宋体" w:hAnsi="宋体" w:cs="宋体"/>
                <w:highlight w:val="none"/>
              </w:rPr>
              <w:t>排名顺序</w:t>
            </w:r>
          </w:p>
        </w:tc>
        <w:tc>
          <w:tcPr>
            <w:tcW w:w="3477" w:type="pct"/>
            <w:gridSpan w:val="2"/>
            <w:tcBorders>
              <w:left w:val="single" w:color="auto" w:sz="4" w:space="0"/>
            </w:tcBorders>
            <w:vAlign w:val="center"/>
          </w:tcPr>
          <w:p w14:paraId="5BDF4901">
            <w:pPr>
              <w:spacing w:line="400" w:lineRule="exact"/>
              <w:ind w:firstLine="420" w:firstLineChars="200"/>
              <w:rPr>
                <w:rFonts w:hint="eastAsia" w:ascii="宋体" w:hAnsi="宋体" w:cs="宋体"/>
                <w:highlight w:val="none"/>
              </w:rPr>
            </w:pPr>
            <w:r>
              <w:rPr>
                <w:rFonts w:hint="eastAsia" w:ascii="宋体" w:hAnsi="宋体" w:cs="宋体"/>
                <w:highlight w:val="none"/>
              </w:rPr>
              <w:t>对投标总报价不高于最高限价的所有比选申请人的比选申请文件，按照综合得分由高到低的顺序排序。</w:t>
            </w:r>
          </w:p>
        </w:tc>
      </w:tr>
      <w:tr w14:paraId="14F92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tcBorders>
              <w:right w:val="single" w:color="auto" w:sz="4" w:space="0"/>
            </w:tcBorders>
            <w:vAlign w:val="center"/>
          </w:tcPr>
          <w:p w14:paraId="4FAF65CD">
            <w:pPr>
              <w:spacing w:line="400" w:lineRule="exact"/>
              <w:jc w:val="center"/>
              <w:rPr>
                <w:rFonts w:hint="eastAsia" w:ascii="宋体" w:hAnsi="宋体" w:cs="宋体"/>
                <w:highlight w:val="none"/>
              </w:rPr>
            </w:pPr>
            <w:r>
              <w:rPr>
                <w:rFonts w:hint="eastAsia" w:ascii="宋体" w:hAnsi="宋体" w:cs="宋体"/>
                <w:highlight w:val="none"/>
              </w:rPr>
              <w:t>2.2</w:t>
            </w:r>
          </w:p>
        </w:tc>
        <w:tc>
          <w:tcPr>
            <w:tcW w:w="894" w:type="pct"/>
            <w:tcBorders>
              <w:left w:val="single" w:color="auto" w:sz="4" w:space="0"/>
              <w:right w:val="single" w:color="auto" w:sz="4" w:space="0"/>
            </w:tcBorders>
            <w:vAlign w:val="center"/>
          </w:tcPr>
          <w:p w14:paraId="16E15825">
            <w:pPr>
              <w:spacing w:line="400" w:lineRule="exact"/>
              <w:jc w:val="center"/>
              <w:rPr>
                <w:rFonts w:hint="eastAsia" w:ascii="宋体" w:hAnsi="宋体" w:cs="宋体"/>
                <w:highlight w:val="none"/>
              </w:rPr>
            </w:pPr>
            <w:r>
              <w:rPr>
                <w:rFonts w:hint="eastAsia" w:ascii="宋体" w:hAnsi="宋体" w:cs="宋体"/>
                <w:highlight w:val="none"/>
              </w:rPr>
              <w:t>符合性</w:t>
            </w:r>
          </w:p>
          <w:p w14:paraId="5DFF41C8">
            <w:pPr>
              <w:spacing w:line="400" w:lineRule="exact"/>
              <w:jc w:val="center"/>
              <w:rPr>
                <w:rFonts w:hint="eastAsia" w:ascii="宋体" w:hAnsi="宋体" w:cs="宋体"/>
                <w:highlight w:val="none"/>
              </w:rPr>
            </w:pPr>
            <w:r>
              <w:rPr>
                <w:rFonts w:hint="eastAsia" w:ascii="宋体" w:hAnsi="宋体" w:cs="宋体"/>
                <w:highlight w:val="none"/>
              </w:rPr>
              <w:t>审查</w:t>
            </w:r>
          </w:p>
        </w:tc>
        <w:tc>
          <w:tcPr>
            <w:tcW w:w="3477" w:type="pct"/>
            <w:gridSpan w:val="2"/>
            <w:tcBorders>
              <w:left w:val="single" w:color="auto" w:sz="4" w:space="0"/>
            </w:tcBorders>
            <w:vAlign w:val="center"/>
          </w:tcPr>
          <w:p w14:paraId="248B744B">
            <w:pPr>
              <w:spacing w:line="400" w:lineRule="exact"/>
              <w:ind w:firstLine="436" w:firstLineChars="200"/>
              <w:rPr>
                <w:rFonts w:hint="eastAsia" w:ascii="宋体" w:hAnsi="宋体" w:cs="宋体"/>
                <w:highlight w:val="none"/>
              </w:rPr>
            </w:pPr>
            <w:r>
              <w:rPr>
                <w:rFonts w:hint="eastAsia" w:ascii="宋体" w:hAnsi="宋体" w:cs="宋体"/>
                <w:spacing w:val="4"/>
                <w:highlight w:val="none"/>
              </w:rPr>
              <w:t>符合性审查内容：形式评审、资格评审、响应性评审</w:t>
            </w:r>
            <w:r>
              <w:rPr>
                <w:rFonts w:hint="eastAsia" w:ascii="宋体" w:hAnsi="宋体" w:cs="宋体"/>
                <w:highlight w:val="none"/>
              </w:rPr>
              <w:t>合格的比选申请人中，按照综合得分由高到低的顺序排序。</w:t>
            </w:r>
          </w:p>
        </w:tc>
      </w:tr>
      <w:tr w14:paraId="6E332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restart"/>
            <w:tcBorders>
              <w:right w:val="single" w:color="auto" w:sz="4" w:space="0"/>
            </w:tcBorders>
            <w:vAlign w:val="center"/>
          </w:tcPr>
          <w:p w14:paraId="34FB5398">
            <w:pPr>
              <w:spacing w:line="400" w:lineRule="exact"/>
              <w:jc w:val="center"/>
              <w:rPr>
                <w:rFonts w:hint="eastAsia" w:ascii="宋体" w:hAnsi="宋体" w:cs="宋体"/>
                <w:highlight w:val="none"/>
              </w:rPr>
            </w:pPr>
            <w:r>
              <w:rPr>
                <w:rFonts w:hint="eastAsia" w:ascii="宋体" w:hAnsi="宋体" w:cs="宋体"/>
                <w:highlight w:val="none"/>
              </w:rPr>
              <w:t>2.2.1</w:t>
            </w:r>
          </w:p>
        </w:tc>
        <w:tc>
          <w:tcPr>
            <w:tcW w:w="894" w:type="pct"/>
            <w:vMerge w:val="restart"/>
            <w:tcBorders>
              <w:left w:val="single" w:color="auto" w:sz="4" w:space="0"/>
              <w:right w:val="single" w:color="auto" w:sz="4" w:space="0"/>
            </w:tcBorders>
            <w:vAlign w:val="center"/>
          </w:tcPr>
          <w:p w14:paraId="28C2AE0F">
            <w:pPr>
              <w:spacing w:line="400" w:lineRule="exact"/>
              <w:jc w:val="center"/>
              <w:rPr>
                <w:rFonts w:hint="eastAsia" w:ascii="宋体" w:hAnsi="宋体" w:cs="宋体"/>
                <w:highlight w:val="none"/>
              </w:rPr>
            </w:pPr>
            <w:r>
              <w:rPr>
                <w:rFonts w:hint="eastAsia" w:ascii="宋体" w:hAnsi="宋体" w:cs="宋体"/>
                <w:highlight w:val="none"/>
              </w:rPr>
              <w:t>形式评审标准</w:t>
            </w:r>
          </w:p>
        </w:tc>
        <w:tc>
          <w:tcPr>
            <w:tcW w:w="994" w:type="pct"/>
            <w:tcBorders>
              <w:top w:val="single" w:color="auto" w:sz="4" w:space="0"/>
              <w:left w:val="single" w:color="auto" w:sz="4" w:space="0"/>
              <w:bottom w:val="single" w:color="auto" w:sz="4" w:space="0"/>
              <w:right w:val="single" w:color="auto" w:sz="4" w:space="0"/>
            </w:tcBorders>
            <w:vAlign w:val="center"/>
          </w:tcPr>
          <w:p w14:paraId="4F9C45FF">
            <w:pPr>
              <w:spacing w:line="400" w:lineRule="exact"/>
              <w:rPr>
                <w:rFonts w:hint="eastAsia" w:ascii="宋体" w:hAnsi="宋体" w:cs="宋体"/>
                <w:highlight w:val="none"/>
              </w:rPr>
            </w:pPr>
            <w:r>
              <w:rPr>
                <w:rFonts w:hint="eastAsia" w:ascii="宋体" w:hAnsi="宋体" w:cs="宋体"/>
                <w:highlight w:val="none"/>
              </w:rPr>
              <w:t>比选申请人名称</w:t>
            </w:r>
          </w:p>
        </w:tc>
        <w:tc>
          <w:tcPr>
            <w:tcW w:w="2482" w:type="pct"/>
            <w:tcBorders>
              <w:top w:val="single" w:color="auto" w:sz="4" w:space="0"/>
              <w:left w:val="single" w:color="auto" w:sz="4" w:space="0"/>
              <w:bottom w:val="single" w:color="auto" w:sz="4" w:space="0"/>
            </w:tcBorders>
            <w:vAlign w:val="center"/>
          </w:tcPr>
          <w:p w14:paraId="39362B98">
            <w:pPr>
              <w:snapToGrid w:val="0"/>
              <w:spacing w:line="400" w:lineRule="exact"/>
              <w:rPr>
                <w:rFonts w:hint="eastAsia" w:ascii="宋体" w:hAnsi="宋体" w:cs="宋体"/>
                <w:highlight w:val="none"/>
              </w:rPr>
            </w:pPr>
            <w:r>
              <w:rPr>
                <w:rFonts w:hint="eastAsia" w:ascii="宋体" w:hAnsi="宋体" w:cs="宋体"/>
                <w:highlight w:val="none"/>
              </w:rPr>
              <w:t>与营业执照一致。</w:t>
            </w:r>
          </w:p>
        </w:tc>
      </w:tr>
      <w:tr w14:paraId="41A2C2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3B33BEE7">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4B2F7E5B">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780F4C1C">
            <w:pPr>
              <w:spacing w:line="400" w:lineRule="exact"/>
              <w:rPr>
                <w:rFonts w:hint="eastAsia" w:ascii="宋体" w:hAnsi="宋体" w:cs="宋体"/>
                <w:highlight w:val="none"/>
              </w:rPr>
            </w:pPr>
            <w:r>
              <w:rPr>
                <w:rFonts w:hint="eastAsia" w:ascii="宋体" w:hAnsi="宋体" w:cs="宋体"/>
                <w:highlight w:val="none"/>
              </w:rPr>
              <w:t>投标函签字盖章</w:t>
            </w:r>
          </w:p>
        </w:tc>
        <w:tc>
          <w:tcPr>
            <w:tcW w:w="2482" w:type="pct"/>
            <w:tcBorders>
              <w:top w:val="single" w:color="auto" w:sz="4" w:space="0"/>
              <w:left w:val="single" w:color="auto" w:sz="4" w:space="0"/>
              <w:bottom w:val="single" w:color="auto" w:sz="4" w:space="0"/>
            </w:tcBorders>
            <w:vAlign w:val="center"/>
          </w:tcPr>
          <w:p w14:paraId="7DE7D351">
            <w:pPr>
              <w:snapToGrid w:val="0"/>
              <w:spacing w:line="400" w:lineRule="exact"/>
              <w:rPr>
                <w:rFonts w:hint="eastAsia" w:ascii="宋体" w:hAnsi="宋体" w:cs="宋体"/>
                <w:highlight w:val="none"/>
              </w:rPr>
            </w:pPr>
            <w:r>
              <w:rPr>
                <w:rFonts w:hint="eastAsia" w:ascii="宋体" w:hAnsi="宋体" w:cs="宋体"/>
                <w:highlight w:val="none"/>
              </w:rPr>
              <w:t>有法定代表人或其委托代理人签字（或盖章）、加盖单位法人章。</w:t>
            </w:r>
          </w:p>
        </w:tc>
      </w:tr>
      <w:tr w14:paraId="1164D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1BFCA2FB">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46053A9E">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51A6AB85">
            <w:pPr>
              <w:spacing w:line="400" w:lineRule="exact"/>
              <w:rPr>
                <w:rFonts w:hint="eastAsia" w:ascii="宋体" w:hAnsi="宋体" w:cs="宋体"/>
                <w:highlight w:val="none"/>
              </w:rPr>
            </w:pPr>
            <w:r>
              <w:rPr>
                <w:rFonts w:hint="eastAsia" w:ascii="宋体" w:hAnsi="宋体" w:cs="宋体"/>
                <w:highlight w:val="none"/>
              </w:rPr>
              <w:t>比选申请文件格式</w:t>
            </w:r>
          </w:p>
        </w:tc>
        <w:tc>
          <w:tcPr>
            <w:tcW w:w="2482" w:type="pct"/>
            <w:tcBorders>
              <w:top w:val="single" w:color="auto" w:sz="4" w:space="0"/>
              <w:left w:val="single" w:color="auto" w:sz="4" w:space="0"/>
              <w:bottom w:val="single" w:color="auto" w:sz="4" w:space="0"/>
            </w:tcBorders>
            <w:vAlign w:val="center"/>
          </w:tcPr>
          <w:p w14:paraId="020EEB48">
            <w:pPr>
              <w:snapToGrid w:val="0"/>
              <w:spacing w:line="400" w:lineRule="exact"/>
              <w:rPr>
                <w:rFonts w:hint="eastAsia" w:ascii="宋体" w:hAnsi="宋体" w:cs="宋体"/>
                <w:highlight w:val="none"/>
              </w:rPr>
            </w:pPr>
            <w:r>
              <w:rPr>
                <w:rFonts w:hint="eastAsia" w:ascii="宋体" w:hAnsi="宋体" w:cs="宋体"/>
                <w:highlight w:val="none"/>
              </w:rPr>
              <w:t>符合第六章“比选申请文件格式”的要求。</w:t>
            </w:r>
          </w:p>
        </w:tc>
      </w:tr>
      <w:tr w14:paraId="58D99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64295344">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206C518A">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7680DBF1">
            <w:pPr>
              <w:spacing w:line="400" w:lineRule="exact"/>
              <w:rPr>
                <w:rFonts w:hint="eastAsia" w:ascii="宋体" w:hAnsi="宋体" w:cs="宋体"/>
                <w:highlight w:val="none"/>
              </w:rPr>
            </w:pPr>
            <w:r>
              <w:rPr>
                <w:rFonts w:hint="eastAsia" w:ascii="宋体" w:hAnsi="宋体" w:cs="宋体"/>
                <w:highlight w:val="none"/>
              </w:rPr>
              <w:t>比选申请文件一致性</w:t>
            </w:r>
          </w:p>
        </w:tc>
        <w:tc>
          <w:tcPr>
            <w:tcW w:w="2482" w:type="pct"/>
            <w:tcBorders>
              <w:top w:val="single" w:color="auto" w:sz="4" w:space="0"/>
              <w:left w:val="single" w:color="auto" w:sz="4" w:space="0"/>
              <w:bottom w:val="single" w:color="auto" w:sz="4" w:space="0"/>
            </w:tcBorders>
            <w:vAlign w:val="center"/>
          </w:tcPr>
          <w:p w14:paraId="4882B153">
            <w:pPr>
              <w:snapToGrid w:val="0"/>
              <w:spacing w:line="400" w:lineRule="exact"/>
              <w:rPr>
                <w:rFonts w:hint="eastAsia" w:ascii="宋体" w:hAnsi="宋体" w:cs="宋体"/>
                <w:highlight w:val="none"/>
              </w:rPr>
            </w:pPr>
            <w:r>
              <w:rPr>
                <w:rFonts w:hint="eastAsia" w:ascii="宋体" w:hAnsi="宋体" w:cs="宋体"/>
                <w:color w:val="000000"/>
                <w:highlight w:val="none"/>
              </w:rPr>
              <w:t>比选申请人递交的纸质比选申请文件正本与网上上传的比选申请文件电子文档一致。</w:t>
            </w:r>
          </w:p>
        </w:tc>
      </w:tr>
      <w:tr w14:paraId="4D298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2DBEE8BE">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0FF37FBE">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0B7850C7">
            <w:pPr>
              <w:spacing w:line="400" w:lineRule="exact"/>
              <w:rPr>
                <w:rFonts w:hint="eastAsia" w:ascii="宋体" w:hAnsi="宋体" w:cs="宋体"/>
                <w:highlight w:val="none"/>
              </w:rPr>
            </w:pPr>
            <w:r>
              <w:rPr>
                <w:rFonts w:hint="eastAsia" w:ascii="宋体" w:hAnsi="宋体" w:cs="宋体"/>
                <w:highlight w:val="none"/>
              </w:rPr>
              <w:t>报价唯一</w:t>
            </w:r>
          </w:p>
        </w:tc>
        <w:tc>
          <w:tcPr>
            <w:tcW w:w="2482" w:type="pct"/>
            <w:tcBorders>
              <w:top w:val="single" w:color="auto" w:sz="4" w:space="0"/>
              <w:left w:val="single" w:color="auto" w:sz="4" w:space="0"/>
              <w:bottom w:val="single" w:color="auto" w:sz="4" w:space="0"/>
            </w:tcBorders>
            <w:vAlign w:val="center"/>
          </w:tcPr>
          <w:p w14:paraId="21BF90FA">
            <w:pPr>
              <w:snapToGrid w:val="0"/>
              <w:spacing w:after="31" w:afterLines="10" w:line="400" w:lineRule="exact"/>
              <w:rPr>
                <w:rFonts w:hint="eastAsia" w:ascii="宋体" w:hAnsi="宋体" w:cs="宋体"/>
                <w:highlight w:val="none"/>
              </w:rPr>
            </w:pPr>
            <w:r>
              <w:rPr>
                <w:rFonts w:hint="eastAsia" w:ascii="宋体" w:hAnsi="宋体" w:cs="宋体"/>
                <w:highlight w:val="none"/>
              </w:rPr>
              <w:t>只能有一个有效报价。在比选文件没有规定的情况下，不得提交选择性报价。</w:t>
            </w:r>
          </w:p>
        </w:tc>
      </w:tr>
      <w:tr w14:paraId="2761A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4C341C8C">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06380379">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2DE9FFEA">
            <w:pPr>
              <w:spacing w:line="400" w:lineRule="exact"/>
              <w:rPr>
                <w:rFonts w:hint="eastAsia" w:ascii="宋体" w:hAnsi="宋体" w:cs="宋体"/>
                <w:highlight w:val="none"/>
              </w:rPr>
            </w:pPr>
            <w:r>
              <w:rPr>
                <w:rFonts w:hint="eastAsia" w:ascii="宋体" w:hAnsi="宋体" w:cs="宋体"/>
                <w:highlight w:val="none"/>
              </w:rPr>
              <w:t>比选申请文件的签署</w:t>
            </w:r>
          </w:p>
        </w:tc>
        <w:tc>
          <w:tcPr>
            <w:tcW w:w="2482" w:type="pct"/>
            <w:tcBorders>
              <w:top w:val="single" w:color="auto" w:sz="4" w:space="0"/>
              <w:left w:val="single" w:color="auto" w:sz="4" w:space="0"/>
              <w:bottom w:val="single" w:color="auto" w:sz="4" w:space="0"/>
            </w:tcBorders>
            <w:vAlign w:val="center"/>
          </w:tcPr>
          <w:p w14:paraId="050B8E60">
            <w:pPr>
              <w:autoSpaceDE w:val="0"/>
              <w:autoSpaceDN w:val="0"/>
              <w:adjustRightInd w:val="0"/>
              <w:snapToGrid w:val="0"/>
              <w:spacing w:line="400" w:lineRule="exact"/>
              <w:rPr>
                <w:rFonts w:hint="eastAsia" w:ascii="宋体" w:hAnsi="宋体" w:cs="宋体"/>
                <w:highlight w:val="none"/>
              </w:rPr>
            </w:pPr>
            <w:r>
              <w:rPr>
                <w:rFonts w:hint="eastAsia" w:ascii="宋体" w:hAnsi="宋体" w:cs="宋体"/>
                <w:highlight w:val="none"/>
              </w:rPr>
              <w:t>比选申请文件上法定代表人或其委托代理人的签字（或盖章）齐全。</w:t>
            </w:r>
          </w:p>
        </w:tc>
      </w:tr>
      <w:tr w14:paraId="08827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bottom w:val="single" w:color="auto" w:sz="4" w:space="0"/>
              <w:right w:val="single" w:color="auto" w:sz="4" w:space="0"/>
            </w:tcBorders>
            <w:vAlign w:val="center"/>
          </w:tcPr>
          <w:p w14:paraId="6974067C">
            <w:pPr>
              <w:spacing w:line="400" w:lineRule="exact"/>
              <w:jc w:val="center"/>
              <w:rPr>
                <w:rFonts w:hint="eastAsia" w:ascii="宋体" w:hAnsi="宋体" w:cs="宋体"/>
                <w:highlight w:val="none"/>
              </w:rPr>
            </w:pPr>
          </w:p>
        </w:tc>
        <w:tc>
          <w:tcPr>
            <w:tcW w:w="894" w:type="pct"/>
            <w:vMerge w:val="continue"/>
            <w:tcBorders>
              <w:left w:val="single" w:color="auto" w:sz="4" w:space="0"/>
              <w:bottom w:val="single" w:color="auto" w:sz="4" w:space="0"/>
              <w:right w:val="single" w:color="auto" w:sz="4" w:space="0"/>
            </w:tcBorders>
            <w:vAlign w:val="center"/>
          </w:tcPr>
          <w:p w14:paraId="2329BA43">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12DB4F72">
            <w:pPr>
              <w:spacing w:line="400" w:lineRule="exact"/>
              <w:rPr>
                <w:rFonts w:hint="eastAsia" w:ascii="宋体" w:hAnsi="宋体" w:cs="宋体"/>
                <w:highlight w:val="none"/>
              </w:rPr>
            </w:pPr>
            <w:r>
              <w:rPr>
                <w:rFonts w:hint="eastAsia" w:ascii="宋体" w:hAnsi="宋体" w:cs="宋体"/>
                <w:highlight w:val="none"/>
              </w:rPr>
              <w:t>委托代理人</w:t>
            </w:r>
          </w:p>
        </w:tc>
        <w:tc>
          <w:tcPr>
            <w:tcW w:w="2482" w:type="pct"/>
            <w:tcBorders>
              <w:top w:val="single" w:color="auto" w:sz="4" w:space="0"/>
              <w:left w:val="single" w:color="auto" w:sz="4" w:space="0"/>
              <w:bottom w:val="single" w:color="auto" w:sz="4" w:space="0"/>
            </w:tcBorders>
            <w:vAlign w:val="center"/>
          </w:tcPr>
          <w:p w14:paraId="02837740">
            <w:pPr>
              <w:snapToGrid w:val="0"/>
              <w:spacing w:after="78" w:afterLines="25" w:line="400" w:lineRule="exact"/>
              <w:rPr>
                <w:rFonts w:hint="eastAsia" w:ascii="宋体" w:hAnsi="宋体" w:cs="宋体"/>
                <w:highlight w:val="none"/>
              </w:rPr>
            </w:pPr>
            <w:r>
              <w:rPr>
                <w:rFonts w:hint="eastAsia" w:ascii="宋体" w:hAnsi="宋体" w:cs="宋体"/>
                <w:highlight w:val="none"/>
              </w:rPr>
              <w:t>比选申请人法定代表人的委托代理人有法定代表人签署的授权委托书。</w:t>
            </w:r>
          </w:p>
        </w:tc>
      </w:tr>
      <w:tr w14:paraId="2FA44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4" w:hRule="atLeast"/>
        </w:trPr>
        <w:tc>
          <w:tcPr>
            <w:tcW w:w="628" w:type="pct"/>
            <w:vMerge w:val="restart"/>
            <w:tcBorders>
              <w:top w:val="single" w:color="auto" w:sz="4" w:space="0"/>
              <w:right w:val="single" w:color="auto" w:sz="4" w:space="0"/>
            </w:tcBorders>
            <w:vAlign w:val="center"/>
          </w:tcPr>
          <w:p w14:paraId="0F9681AD">
            <w:pPr>
              <w:spacing w:line="400" w:lineRule="exact"/>
              <w:jc w:val="center"/>
              <w:rPr>
                <w:rFonts w:hint="eastAsia" w:ascii="宋体" w:hAnsi="宋体" w:cs="宋体"/>
                <w:highlight w:val="none"/>
              </w:rPr>
            </w:pPr>
            <w:r>
              <w:rPr>
                <w:rFonts w:hint="eastAsia" w:ascii="宋体" w:hAnsi="宋体" w:cs="宋体"/>
                <w:highlight w:val="none"/>
              </w:rPr>
              <w:t>2.2.2</w:t>
            </w:r>
          </w:p>
        </w:tc>
        <w:tc>
          <w:tcPr>
            <w:tcW w:w="894" w:type="pct"/>
            <w:vMerge w:val="restart"/>
            <w:tcBorders>
              <w:top w:val="single" w:color="auto" w:sz="4" w:space="0"/>
              <w:left w:val="single" w:color="auto" w:sz="4" w:space="0"/>
              <w:right w:val="single" w:color="auto" w:sz="4" w:space="0"/>
            </w:tcBorders>
            <w:vAlign w:val="center"/>
          </w:tcPr>
          <w:p w14:paraId="1BF9717A">
            <w:pPr>
              <w:spacing w:line="400" w:lineRule="exact"/>
              <w:jc w:val="center"/>
              <w:rPr>
                <w:rFonts w:hint="eastAsia" w:ascii="宋体" w:hAnsi="宋体" w:cs="宋体"/>
                <w:highlight w:val="none"/>
              </w:rPr>
            </w:pPr>
            <w:r>
              <w:rPr>
                <w:rFonts w:hint="eastAsia" w:ascii="宋体" w:hAnsi="宋体" w:cs="宋体"/>
                <w:highlight w:val="none"/>
              </w:rPr>
              <w:t>资格评审标准</w:t>
            </w:r>
          </w:p>
        </w:tc>
        <w:tc>
          <w:tcPr>
            <w:tcW w:w="994" w:type="pct"/>
            <w:tcBorders>
              <w:top w:val="single" w:color="auto" w:sz="4" w:space="0"/>
              <w:left w:val="single" w:color="auto" w:sz="4" w:space="0"/>
              <w:right w:val="single" w:color="auto" w:sz="4" w:space="0"/>
            </w:tcBorders>
            <w:vAlign w:val="center"/>
          </w:tcPr>
          <w:p w14:paraId="4B832348">
            <w:pPr>
              <w:snapToGrid w:val="0"/>
              <w:spacing w:line="400" w:lineRule="exact"/>
              <w:rPr>
                <w:rFonts w:hint="eastAsia" w:ascii="宋体" w:hAnsi="宋体" w:cs="宋体"/>
                <w:highlight w:val="none"/>
              </w:rPr>
            </w:pPr>
            <w:r>
              <w:rPr>
                <w:rFonts w:hint="eastAsia" w:ascii="宋体" w:hAnsi="宋体" w:cs="宋体"/>
                <w:highlight w:val="none"/>
              </w:rPr>
              <w:t>营业执照</w:t>
            </w:r>
          </w:p>
        </w:tc>
        <w:tc>
          <w:tcPr>
            <w:tcW w:w="2482" w:type="pct"/>
            <w:tcBorders>
              <w:top w:val="single" w:color="auto" w:sz="4" w:space="0"/>
              <w:left w:val="single" w:color="auto" w:sz="4" w:space="0"/>
            </w:tcBorders>
            <w:vAlign w:val="center"/>
          </w:tcPr>
          <w:p w14:paraId="00ED6E12">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符合第二章“比选申请人须知”第1.4.1项规定</w:t>
            </w:r>
          </w:p>
        </w:tc>
      </w:tr>
      <w:tr w14:paraId="1DD56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3" w:hRule="atLeast"/>
        </w:trPr>
        <w:tc>
          <w:tcPr>
            <w:tcW w:w="628" w:type="pct"/>
            <w:vMerge w:val="continue"/>
            <w:tcBorders>
              <w:right w:val="single" w:color="auto" w:sz="4" w:space="0"/>
            </w:tcBorders>
            <w:vAlign w:val="center"/>
          </w:tcPr>
          <w:p w14:paraId="1E7C3127">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1D767857">
            <w:pPr>
              <w:spacing w:line="400" w:lineRule="exact"/>
              <w:jc w:val="center"/>
              <w:rPr>
                <w:rFonts w:hint="eastAsia" w:ascii="宋体" w:hAnsi="宋体" w:cs="宋体"/>
                <w:highlight w:val="none"/>
              </w:rPr>
            </w:pPr>
          </w:p>
        </w:tc>
        <w:tc>
          <w:tcPr>
            <w:tcW w:w="994" w:type="pct"/>
            <w:tcBorders>
              <w:top w:val="single" w:color="auto" w:sz="4" w:space="0"/>
              <w:left w:val="single" w:color="auto" w:sz="4" w:space="0"/>
              <w:right w:val="single" w:color="auto" w:sz="4" w:space="0"/>
            </w:tcBorders>
            <w:vAlign w:val="center"/>
          </w:tcPr>
          <w:p w14:paraId="64F36CE8">
            <w:pPr>
              <w:snapToGrid w:val="0"/>
              <w:spacing w:line="400" w:lineRule="exact"/>
              <w:rPr>
                <w:rFonts w:hint="default" w:ascii="宋体" w:hAnsi="宋体" w:cs="宋体"/>
                <w:highlight w:val="none"/>
                <w:lang w:val="en-US"/>
              </w:rPr>
            </w:pPr>
            <w:r>
              <w:rPr>
                <w:rFonts w:hint="eastAsia" w:ascii="宋体" w:hAnsi="宋体" w:cs="宋体"/>
                <w:highlight w:val="none"/>
                <w:lang w:val="en-US" w:eastAsia="zh-CN"/>
              </w:rPr>
              <w:t>业绩要求</w:t>
            </w:r>
          </w:p>
        </w:tc>
        <w:tc>
          <w:tcPr>
            <w:tcW w:w="2482" w:type="pct"/>
            <w:tcBorders>
              <w:top w:val="single" w:color="auto" w:sz="4" w:space="0"/>
              <w:left w:val="single" w:color="auto" w:sz="4" w:space="0"/>
            </w:tcBorders>
            <w:vAlign w:val="center"/>
          </w:tcPr>
          <w:p w14:paraId="69A5EF2C">
            <w:pPr>
              <w:snapToGrid w:val="0"/>
              <w:spacing w:line="400" w:lineRule="exact"/>
              <w:rPr>
                <w:rFonts w:hint="eastAsia" w:ascii="宋体" w:hAnsi="宋体" w:cs="宋体"/>
                <w:highlight w:val="none"/>
                <w:u w:val="single"/>
              </w:rPr>
            </w:pPr>
            <w:r>
              <w:rPr>
                <w:rFonts w:hint="eastAsia" w:ascii="宋体" w:hAnsi="宋体" w:cs="宋体"/>
                <w:highlight w:val="none"/>
              </w:rPr>
              <w:t>符合第二章“比选申请人须知”第1.4.1项规定</w:t>
            </w:r>
          </w:p>
        </w:tc>
      </w:tr>
      <w:tr w14:paraId="28C439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restart"/>
            <w:tcBorders>
              <w:right w:val="single" w:color="auto" w:sz="4" w:space="0"/>
            </w:tcBorders>
            <w:vAlign w:val="center"/>
          </w:tcPr>
          <w:p w14:paraId="1D8F7258">
            <w:pPr>
              <w:spacing w:line="400" w:lineRule="exact"/>
              <w:jc w:val="center"/>
              <w:rPr>
                <w:rFonts w:hint="eastAsia" w:ascii="宋体" w:hAnsi="宋体" w:cs="宋体"/>
                <w:highlight w:val="none"/>
              </w:rPr>
            </w:pPr>
            <w:r>
              <w:rPr>
                <w:rFonts w:hint="eastAsia" w:ascii="宋体" w:hAnsi="宋体" w:cs="宋体"/>
                <w:highlight w:val="none"/>
              </w:rPr>
              <w:t>2.2.3</w:t>
            </w:r>
          </w:p>
        </w:tc>
        <w:tc>
          <w:tcPr>
            <w:tcW w:w="894" w:type="pct"/>
            <w:vMerge w:val="restart"/>
            <w:tcBorders>
              <w:left w:val="single" w:color="auto" w:sz="4" w:space="0"/>
            </w:tcBorders>
            <w:vAlign w:val="center"/>
          </w:tcPr>
          <w:p w14:paraId="2322571D">
            <w:pPr>
              <w:spacing w:line="400" w:lineRule="exact"/>
              <w:jc w:val="center"/>
              <w:rPr>
                <w:rFonts w:hint="eastAsia" w:ascii="宋体" w:hAnsi="宋体" w:cs="宋体"/>
                <w:highlight w:val="none"/>
              </w:rPr>
            </w:pPr>
            <w:r>
              <w:rPr>
                <w:rFonts w:hint="eastAsia" w:ascii="宋体" w:hAnsi="宋体" w:cs="宋体"/>
                <w:highlight w:val="none"/>
              </w:rPr>
              <w:t>响应性评审标准</w:t>
            </w:r>
          </w:p>
        </w:tc>
        <w:tc>
          <w:tcPr>
            <w:tcW w:w="994" w:type="pct"/>
            <w:tcBorders>
              <w:right w:val="single" w:color="auto" w:sz="4" w:space="0"/>
            </w:tcBorders>
            <w:vAlign w:val="center"/>
          </w:tcPr>
          <w:p w14:paraId="7774AF66">
            <w:pPr>
              <w:snapToGrid w:val="0"/>
              <w:spacing w:line="400" w:lineRule="exact"/>
              <w:rPr>
                <w:rFonts w:hint="eastAsia" w:ascii="宋体" w:hAnsi="宋体" w:cs="宋体"/>
                <w:highlight w:val="none"/>
              </w:rPr>
            </w:pPr>
            <w:r>
              <w:rPr>
                <w:rFonts w:hint="eastAsia" w:ascii="宋体" w:hAnsi="宋体" w:cs="宋体"/>
                <w:highlight w:val="none"/>
                <w:lang w:val="en-US" w:eastAsia="zh-CN"/>
              </w:rPr>
              <w:t>比选</w:t>
            </w:r>
            <w:r>
              <w:rPr>
                <w:rFonts w:hint="eastAsia" w:ascii="宋体" w:hAnsi="宋体" w:cs="宋体"/>
                <w:highlight w:val="none"/>
              </w:rPr>
              <w:t>总报价</w:t>
            </w:r>
          </w:p>
        </w:tc>
        <w:tc>
          <w:tcPr>
            <w:tcW w:w="2482" w:type="pct"/>
            <w:tcBorders>
              <w:left w:val="single" w:color="auto" w:sz="4" w:space="0"/>
            </w:tcBorders>
            <w:vAlign w:val="center"/>
          </w:tcPr>
          <w:p w14:paraId="5279E147">
            <w:pPr>
              <w:snapToGrid w:val="0"/>
              <w:spacing w:line="400" w:lineRule="exact"/>
              <w:rPr>
                <w:rFonts w:hint="eastAsia" w:ascii="宋体" w:hAnsi="宋体" w:cs="宋体"/>
                <w:highlight w:val="none"/>
              </w:rPr>
            </w:pPr>
            <w:r>
              <w:rPr>
                <w:rFonts w:hint="eastAsia" w:ascii="宋体" w:hAnsi="宋体" w:cs="宋体"/>
                <w:highlight w:val="none"/>
                <w:lang w:val="en-US" w:eastAsia="zh-CN"/>
              </w:rPr>
              <w:t>比选申请</w:t>
            </w:r>
            <w:r>
              <w:rPr>
                <w:rFonts w:hint="eastAsia" w:ascii="宋体" w:hAnsi="宋体" w:cs="宋体"/>
                <w:highlight w:val="none"/>
              </w:rPr>
              <w:t>总报价不得高于比选人公布的总报价最高限价。</w:t>
            </w:r>
          </w:p>
        </w:tc>
      </w:tr>
      <w:tr w14:paraId="39966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0A9DD747">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645874AA">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30808E9A">
            <w:pPr>
              <w:snapToGrid w:val="0"/>
              <w:spacing w:line="400" w:lineRule="exact"/>
              <w:rPr>
                <w:rFonts w:hint="eastAsia" w:ascii="宋体" w:hAnsi="宋体" w:cs="宋体"/>
                <w:highlight w:val="none"/>
              </w:rPr>
            </w:pPr>
            <w:r>
              <w:rPr>
                <w:rFonts w:hint="eastAsia" w:ascii="宋体" w:hAnsi="宋体" w:cs="宋体"/>
                <w:highlight w:val="none"/>
                <w:lang w:val="en-US" w:eastAsia="zh-CN"/>
              </w:rPr>
              <w:t>响应</w:t>
            </w:r>
            <w:r>
              <w:rPr>
                <w:rFonts w:hint="eastAsia" w:ascii="宋体" w:hAnsi="宋体" w:cs="宋体"/>
                <w:highlight w:val="none"/>
              </w:rPr>
              <w:t>内容</w:t>
            </w:r>
          </w:p>
        </w:tc>
        <w:tc>
          <w:tcPr>
            <w:tcW w:w="2482" w:type="pct"/>
            <w:tcBorders>
              <w:left w:val="single" w:color="auto" w:sz="4" w:space="0"/>
            </w:tcBorders>
            <w:vAlign w:val="center"/>
          </w:tcPr>
          <w:p w14:paraId="4EEB728D">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符合第二章“比选申请人须知”第1.3.1项规定</w:t>
            </w:r>
          </w:p>
        </w:tc>
      </w:tr>
      <w:tr w14:paraId="4AB17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59BE47D6">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73D6C7E3">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11BF45EE">
            <w:pPr>
              <w:snapToGrid w:val="0"/>
              <w:spacing w:line="400" w:lineRule="exact"/>
              <w:rPr>
                <w:rFonts w:hint="eastAsia" w:ascii="宋体" w:hAnsi="宋体" w:cs="宋体"/>
                <w:highlight w:val="none"/>
              </w:rPr>
            </w:pPr>
            <w:r>
              <w:rPr>
                <w:rFonts w:hint="eastAsia" w:ascii="宋体" w:hAnsi="宋体" w:cs="宋体"/>
                <w:highlight w:val="none"/>
              </w:rPr>
              <w:t>工期</w:t>
            </w:r>
          </w:p>
        </w:tc>
        <w:tc>
          <w:tcPr>
            <w:tcW w:w="2482" w:type="pct"/>
            <w:tcBorders>
              <w:left w:val="single" w:color="auto" w:sz="4" w:space="0"/>
            </w:tcBorders>
            <w:vAlign w:val="center"/>
          </w:tcPr>
          <w:p w14:paraId="71EA75AD">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符合第二章“比选申请人须知”第1.3.2项规定</w:t>
            </w:r>
          </w:p>
        </w:tc>
      </w:tr>
      <w:tr w14:paraId="6DD66B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149E1179">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0F11188A">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1DE727D9">
            <w:pPr>
              <w:snapToGrid w:val="0"/>
              <w:spacing w:line="400" w:lineRule="exact"/>
              <w:rPr>
                <w:rFonts w:hint="eastAsia" w:ascii="宋体" w:hAnsi="宋体" w:cs="宋体"/>
                <w:highlight w:val="none"/>
              </w:rPr>
            </w:pPr>
            <w:r>
              <w:rPr>
                <w:rFonts w:hint="eastAsia" w:ascii="宋体" w:hAnsi="宋体" w:cs="宋体"/>
                <w:highlight w:val="none"/>
              </w:rPr>
              <w:t>质量要求</w:t>
            </w:r>
          </w:p>
        </w:tc>
        <w:tc>
          <w:tcPr>
            <w:tcW w:w="2482" w:type="pct"/>
            <w:tcBorders>
              <w:left w:val="single" w:color="auto" w:sz="4" w:space="0"/>
            </w:tcBorders>
            <w:vAlign w:val="center"/>
          </w:tcPr>
          <w:p w14:paraId="47F06EC6">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符合第二章“比选申请人须知”第1.3.3项规定</w:t>
            </w:r>
          </w:p>
        </w:tc>
      </w:tr>
      <w:tr w14:paraId="25076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55EA222C">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122DD352">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0310A265">
            <w:pPr>
              <w:snapToGrid w:val="0"/>
              <w:spacing w:line="400" w:lineRule="exact"/>
              <w:rPr>
                <w:rFonts w:hint="eastAsia" w:ascii="宋体" w:hAnsi="宋体" w:cs="宋体"/>
                <w:highlight w:val="none"/>
              </w:rPr>
            </w:pPr>
            <w:r>
              <w:rPr>
                <w:rFonts w:hint="eastAsia" w:ascii="宋体" w:hAnsi="宋体" w:cs="宋体"/>
                <w:highlight w:val="none"/>
                <w:lang w:val="en-US" w:eastAsia="zh-CN"/>
              </w:rPr>
              <w:t>比选</w:t>
            </w:r>
            <w:r>
              <w:rPr>
                <w:rFonts w:hint="eastAsia" w:ascii="宋体" w:hAnsi="宋体" w:cs="宋体"/>
                <w:highlight w:val="none"/>
              </w:rPr>
              <w:t>有效期</w:t>
            </w:r>
          </w:p>
        </w:tc>
        <w:tc>
          <w:tcPr>
            <w:tcW w:w="2482" w:type="pct"/>
            <w:tcBorders>
              <w:left w:val="single" w:color="auto" w:sz="4" w:space="0"/>
            </w:tcBorders>
            <w:vAlign w:val="center"/>
          </w:tcPr>
          <w:p w14:paraId="3032B99C">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符合第二章“比选申请人须知”第3.3.1项规定</w:t>
            </w:r>
          </w:p>
        </w:tc>
      </w:tr>
      <w:tr w14:paraId="615906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276DD2DD">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3B3F3649">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03126BBC">
            <w:pPr>
              <w:spacing w:line="400" w:lineRule="exact"/>
              <w:rPr>
                <w:rFonts w:hint="eastAsia" w:ascii="宋体" w:hAnsi="宋体" w:cs="宋体"/>
                <w:highlight w:val="none"/>
              </w:rPr>
            </w:pPr>
            <w:r>
              <w:rPr>
                <w:rFonts w:hint="eastAsia" w:ascii="宋体" w:hAnsi="宋体" w:cs="宋体"/>
                <w:highlight w:val="none"/>
              </w:rPr>
              <w:t>比选保证金</w:t>
            </w:r>
          </w:p>
        </w:tc>
        <w:tc>
          <w:tcPr>
            <w:tcW w:w="2482" w:type="pct"/>
            <w:tcBorders>
              <w:left w:val="single" w:color="auto" w:sz="4" w:space="0"/>
            </w:tcBorders>
            <w:vAlign w:val="center"/>
          </w:tcPr>
          <w:p w14:paraId="74BBBD45">
            <w:pPr>
              <w:tabs>
                <w:tab w:val="left" w:pos="611"/>
                <w:tab w:val="left" w:pos="669"/>
              </w:tabs>
              <w:snapToGrid w:val="0"/>
              <w:spacing w:line="400" w:lineRule="exact"/>
              <w:rPr>
                <w:rFonts w:hint="eastAsia" w:ascii="宋体" w:hAnsi="宋体" w:cs="宋体"/>
                <w:highlight w:val="none"/>
              </w:rPr>
            </w:pPr>
            <w:r>
              <w:rPr>
                <w:rFonts w:hint="eastAsia" w:ascii="宋体" w:hAnsi="宋体" w:cs="宋体"/>
                <w:highlight w:val="none"/>
              </w:rPr>
              <w:t>符合第二章“比选申请人须知前附表”第3.4项规定。</w:t>
            </w:r>
          </w:p>
        </w:tc>
      </w:tr>
      <w:tr w14:paraId="5DEBA4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2F4F559A">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1193B995">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6B434B4A">
            <w:pPr>
              <w:snapToGrid w:val="0"/>
              <w:spacing w:line="400" w:lineRule="exact"/>
              <w:rPr>
                <w:rFonts w:hint="eastAsia" w:ascii="宋体" w:hAnsi="宋体" w:cs="宋体"/>
                <w:highlight w:val="none"/>
              </w:rPr>
            </w:pPr>
            <w:r>
              <w:rPr>
                <w:rFonts w:hint="eastAsia" w:ascii="宋体" w:hAnsi="宋体" w:cs="宋体"/>
                <w:highlight w:val="none"/>
              </w:rPr>
              <w:t>权利义务</w:t>
            </w:r>
          </w:p>
        </w:tc>
        <w:tc>
          <w:tcPr>
            <w:tcW w:w="2482" w:type="pct"/>
            <w:tcBorders>
              <w:left w:val="single" w:color="auto" w:sz="4" w:space="0"/>
            </w:tcBorders>
            <w:vAlign w:val="center"/>
          </w:tcPr>
          <w:p w14:paraId="0FAC3EA3">
            <w:pPr>
              <w:snapToGrid w:val="0"/>
              <w:spacing w:after="31" w:afterLines="10" w:line="400" w:lineRule="exact"/>
              <w:rPr>
                <w:rFonts w:hint="eastAsia" w:ascii="宋体" w:hAnsi="宋体" w:cs="宋体"/>
                <w:highlight w:val="none"/>
              </w:rPr>
            </w:pPr>
            <w:r>
              <w:rPr>
                <w:rFonts w:hint="eastAsia" w:ascii="宋体" w:hAnsi="宋体" w:cs="宋体"/>
                <w:highlight w:val="none"/>
              </w:rPr>
              <w:t>符合第四章“合同条款及格式”规定，比选申请文件不应附有比选人不能接受的条件。</w:t>
            </w:r>
          </w:p>
        </w:tc>
      </w:tr>
      <w:tr w14:paraId="11094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340AAA1D">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182CDE59">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0C5ABE92">
            <w:pPr>
              <w:snapToGrid w:val="0"/>
              <w:spacing w:line="400" w:lineRule="exact"/>
              <w:rPr>
                <w:rFonts w:hint="eastAsia" w:ascii="宋体" w:hAnsi="宋体" w:cs="宋体"/>
                <w:highlight w:val="none"/>
              </w:rPr>
            </w:pPr>
            <w:r>
              <w:rPr>
                <w:rFonts w:hint="eastAsia" w:ascii="宋体" w:hAnsi="宋体" w:cs="宋体"/>
                <w:highlight w:val="none"/>
              </w:rPr>
              <w:t>已标价</w:t>
            </w:r>
          </w:p>
          <w:p w14:paraId="104DB066">
            <w:pPr>
              <w:snapToGrid w:val="0"/>
              <w:spacing w:line="400" w:lineRule="exact"/>
              <w:rPr>
                <w:rFonts w:hint="eastAsia" w:ascii="宋体" w:hAnsi="宋体" w:cs="宋体"/>
                <w:highlight w:val="none"/>
              </w:rPr>
            </w:pPr>
            <w:r>
              <w:rPr>
                <w:rFonts w:hint="eastAsia" w:ascii="宋体" w:hAnsi="宋体" w:cs="宋体"/>
                <w:highlight w:val="none"/>
              </w:rPr>
              <w:t>工程量清单</w:t>
            </w:r>
          </w:p>
        </w:tc>
        <w:tc>
          <w:tcPr>
            <w:tcW w:w="2482" w:type="pct"/>
            <w:tcBorders>
              <w:left w:val="single" w:color="auto" w:sz="4" w:space="0"/>
            </w:tcBorders>
            <w:vAlign w:val="center"/>
          </w:tcPr>
          <w:p w14:paraId="0F74E5DD">
            <w:pPr>
              <w:spacing w:after="62" w:afterLines="20" w:line="400" w:lineRule="exact"/>
              <w:rPr>
                <w:rFonts w:hint="eastAsia" w:ascii="宋体" w:hAnsi="宋体" w:cs="宋体"/>
                <w:highlight w:val="none"/>
              </w:rPr>
            </w:pPr>
            <w:r>
              <w:rPr>
                <w:rFonts w:hint="eastAsia" w:ascii="宋体" w:hAnsi="宋体" w:cs="宋体"/>
                <w:highlight w:val="none"/>
              </w:rPr>
              <w:t>比选申请人承诺（格式自拟）满足以下内容：</w:t>
            </w:r>
          </w:p>
          <w:p w14:paraId="12A31A97">
            <w:pPr>
              <w:spacing w:after="62" w:afterLines="20" w:line="400" w:lineRule="exact"/>
              <w:rPr>
                <w:rFonts w:hint="eastAsia" w:ascii="宋体" w:hAnsi="宋体" w:cs="宋体"/>
                <w:highlight w:val="none"/>
              </w:rPr>
            </w:pPr>
            <w:r>
              <w:rPr>
                <w:rFonts w:hint="eastAsia" w:ascii="宋体" w:hAnsi="宋体" w:cs="宋体"/>
                <w:highlight w:val="none"/>
              </w:rPr>
              <w:t>1.符合第五章“工程量清单”给出的范围及数量。</w:t>
            </w:r>
          </w:p>
          <w:p w14:paraId="2AD03836">
            <w:pPr>
              <w:snapToGrid w:val="0"/>
              <w:spacing w:after="31" w:afterLines="10" w:line="400" w:lineRule="exact"/>
              <w:rPr>
                <w:rFonts w:hint="eastAsia" w:ascii="宋体" w:hAnsi="宋体" w:cs="宋体"/>
                <w:highlight w:val="none"/>
              </w:rPr>
            </w:pPr>
            <w:r>
              <w:rPr>
                <w:rFonts w:hint="eastAsia" w:ascii="宋体" w:hAnsi="宋体" w:cs="宋体"/>
                <w:highlight w:val="none"/>
              </w:rPr>
              <w:t>2.比选文件中规定工程量清单不允许修改的内容不得修改。</w:t>
            </w:r>
          </w:p>
        </w:tc>
      </w:tr>
      <w:tr w14:paraId="07147C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2B318C3D">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26DDD3C8">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27126E68">
            <w:pPr>
              <w:snapToGrid w:val="0"/>
              <w:spacing w:line="400" w:lineRule="exact"/>
              <w:rPr>
                <w:rFonts w:hint="eastAsia" w:ascii="宋体" w:hAnsi="宋体" w:cs="宋体"/>
                <w:highlight w:val="none"/>
              </w:rPr>
            </w:pPr>
            <w:r>
              <w:rPr>
                <w:rFonts w:hint="eastAsia" w:ascii="宋体" w:hAnsi="宋体" w:cs="宋体"/>
                <w:highlight w:val="none"/>
              </w:rPr>
              <w:t>报价算术错误修正</w:t>
            </w:r>
          </w:p>
        </w:tc>
        <w:tc>
          <w:tcPr>
            <w:tcW w:w="2482" w:type="pct"/>
            <w:tcBorders>
              <w:left w:val="single" w:color="auto" w:sz="4" w:space="0"/>
            </w:tcBorders>
            <w:vAlign w:val="center"/>
          </w:tcPr>
          <w:p w14:paraId="092261F4">
            <w:pPr>
              <w:snapToGrid w:val="0"/>
              <w:spacing w:line="400" w:lineRule="exact"/>
              <w:rPr>
                <w:rFonts w:hint="eastAsia" w:ascii="宋体" w:hAnsi="宋体" w:cs="宋体"/>
                <w:highlight w:val="none"/>
              </w:rPr>
            </w:pPr>
            <w:r>
              <w:rPr>
                <w:rFonts w:hint="eastAsia" w:ascii="宋体" w:hAnsi="宋体" w:cs="宋体"/>
                <w:highlight w:val="none"/>
              </w:rPr>
              <w:t>符合第三章3.评标程序规定。</w:t>
            </w:r>
          </w:p>
        </w:tc>
      </w:tr>
      <w:tr w14:paraId="73681C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38037512">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77AF15C4">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12E3056E">
            <w:pPr>
              <w:snapToGrid w:val="0"/>
              <w:spacing w:line="400" w:lineRule="exact"/>
              <w:rPr>
                <w:rFonts w:hint="eastAsia" w:ascii="宋体" w:hAnsi="宋体" w:cs="宋体"/>
                <w:highlight w:val="none"/>
              </w:rPr>
            </w:pPr>
            <w:r>
              <w:rPr>
                <w:rFonts w:hint="eastAsia" w:ascii="宋体" w:hAnsi="宋体" w:cs="宋体"/>
                <w:highlight w:val="none"/>
              </w:rPr>
              <w:t>实质性要求</w:t>
            </w:r>
          </w:p>
        </w:tc>
        <w:tc>
          <w:tcPr>
            <w:tcW w:w="2482" w:type="pct"/>
            <w:tcBorders>
              <w:left w:val="single" w:color="auto" w:sz="4" w:space="0"/>
            </w:tcBorders>
            <w:vAlign w:val="center"/>
          </w:tcPr>
          <w:p w14:paraId="2A53FEF1">
            <w:pPr>
              <w:snapToGrid w:val="0"/>
              <w:spacing w:after="31" w:afterLines="10" w:line="400" w:lineRule="exact"/>
              <w:rPr>
                <w:rFonts w:hint="eastAsia" w:ascii="宋体" w:hAnsi="宋体" w:cs="宋体"/>
                <w:highlight w:val="none"/>
              </w:rPr>
            </w:pPr>
            <w:r>
              <w:rPr>
                <w:rFonts w:hint="eastAsia" w:ascii="宋体" w:hAnsi="宋体" w:cs="宋体"/>
                <w:highlight w:val="none"/>
              </w:rPr>
              <w:t>涉嫌串通投标、弄虚作假等其他违反招投标相关法律、法规行为的。</w:t>
            </w:r>
          </w:p>
        </w:tc>
      </w:tr>
      <w:tr w14:paraId="5C85C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tcBorders>
              <w:right w:val="single" w:color="auto" w:sz="4" w:space="0"/>
            </w:tcBorders>
            <w:vAlign w:val="center"/>
          </w:tcPr>
          <w:p w14:paraId="7C2B4EFF">
            <w:pPr>
              <w:spacing w:line="388" w:lineRule="exact"/>
              <w:jc w:val="center"/>
              <w:rPr>
                <w:rFonts w:hint="eastAsia" w:ascii="宋体" w:hAnsi="宋体" w:cs="宋体"/>
                <w:highlight w:val="none"/>
              </w:rPr>
            </w:pPr>
            <w:r>
              <w:rPr>
                <w:rFonts w:hint="eastAsia" w:ascii="宋体" w:hAnsi="宋体" w:cs="宋体"/>
                <w:kern w:val="0"/>
                <w:highlight w:val="none"/>
              </w:rPr>
              <w:t>2.3.1</w:t>
            </w:r>
          </w:p>
        </w:tc>
        <w:tc>
          <w:tcPr>
            <w:tcW w:w="894" w:type="pct"/>
            <w:tcBorders>
              <w:left w:val="single" w:color="auto" w:sz="4" w:space="0"/>
              <w:right w:val="single" w:color="auto" w:sz="4" w:space="0"/>
            </w:tcBorders>
            <w:vAlign w:val="center"/>
          </w:tcPr>
          <w:p w14:paraId="248279CF">
            <w:pPr>
              <w:tabs>
                <w:tab w:val="left" w:pos="1875"/>
              </w:tabs>
              <w:spacing w:line="388" w:lineRule="exact"/>
              <w:jc w:val="center"/>
              <w:rPr>
                <w:rFonts w:hint="eastAsia" w:ascii="宋体" w:hAnsi="宋体" w:cs="宋体"/>
                <w:highlight w:val="none"/>
              </w:rPr>
            </w:pPr>
            <w:r>
              <w:rPr>
                <w:rFonts w:hint="eastAsia" w:ascii="宋体" w:hAnsi="宋体" w:cs="宋体"/>
                <w:kern w:val="0"/>
                <w:highlight w:val="none"/>
              </w:rPr>
              <w:t>分值构成 (总分1OO分)</w:t>
            </w:r>
          </w:p>
        </w:tc>
        <w:tc>
          <w:tcPr>
            <w:tcW w:w="3477" w:type="pct"/>
            <w:gridSpan w:val="2"/>
            <w:tcBorders>
              <w:left w:val="single" w:color="auto" w:sz="4" w:space="0"/>
            </w:tcBorders>
          </w:tcPr>
          <w:p w14:paraId="3C87C6B4">
            <w:pPr>
              <w:adjustRightInd w:val="0"/>
              <w:snapToGrid w:val="0"/>
              <w:spacing w:line="520" w:lineRule="atLeast"/>
              <w:ind w:right="113" w:firstLine="420" w:firstLineChars="200"/>
              <w:rPr>
                <w:rFonts w:hint="eastAsia" w:ascii="宋体" w:hAnsi="宋体" w:cs="宋体"/>
                <w:highlight w:val="none"/>
              </w:rPr>
            </w:pPr>
            <w:r>
              <w:rPr>
                <w:rFonts w:hint="eastAsia" w:ascii="宋体" w:hAnsi="宋体" w:cs="宋体"/>
                <w:highlight w:val="none"/>
              </w:rPr>
              <w:t>（1）技术部分30分；</w:t>
            </w:r>
          </w:p>
          <w:p w14:paraId="3FDEAC53">
            <w:pPr>
              <w:adjustRightInd w:val="0"/>
              <w:snapToGrid w:val="0"/>
              <w:spacing w:line="520" w:lineRule="atLeast"/>
              <w:ind w:right="113" w:firstLine="420" w:firstLineChars="200"/>
              <w:rPr>
                <w:rFonts w:hint="eastAsia" w:ascii="宋体" w:hAnsi="宋体" w:cs="宋体"/>
                <w:highlight w:val="none"/>
              </w:rPr>
            </w:pPr>
            <w:r>
              <w:rPr>
                <w:rFonts w:hint="eastAsia" w:ascii="宋体" w:hAnsi="宋体" w:cs="宋体"/>
                <w:highlight w:val="none"/>
              </w:rPr>
              <w:t>（2）</w:t>
            </w:r>
            <w:r>
              <w:rPr>
                <w:rFonts w:hint="eastAsia" w:ascii="宋体" w:hAnsi="宋体" w:cs="宋体"/>
                <w:highlight w:val="none"/>
                <w:lang w:eastAsia="zh-CN"/>
              </w:rPr>
              <w:t>比选申请总报价</w:t>
            </w:r>
            <w:r>
              <w:rPr>
                <w:rFonts w:hint="eastAsia" w:ascii="宋体" w:hAnsi="宋体" w:cs="宋体"/>
                <w:highlight w:val="none"/>
              </w:rPr>
              <w:t>70分。</w:t>
            </w:r>
          </w:p>
        </w:tc>
      </w:tr>
      <w:tr w14:paraId="1744A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tcBorders>
              <w:right w:val="single" w:color="auto" w:sz="4" w:space="0"/>
            </w:tcBorders>
            <w:vAlign w:val="center"/>
          </w:tcPr>
          <w:p w14:paraId="13AA6BB5">
            <w:pPr>
              <w:spacing w:line="388" w:lineRule="exact"/>
              <w:jc w:val="center"/>
              <w:rPr>
                <w:rFonts w:hint="eastAsia" w:ascii="宋体" w:hAnsi="宋体" w:cs="宋体"/>
                <w:kern w:val="0"/>
                <w:highlight w:val="none"/>
              </w:rPr>
            </w:pPr>
            <w:r>
              <w:rPr>
                <w:rFonts w:hint="eastAsia" w:ascii="宋体" w:hAnsi="宋体" w:cs="宋体"/>
                <w:kern w:val="0"/>
                <w:highlight w:val="none"/>
              </w:rPr>
              <w:t>2.3.2</w:t>
            </w:r>
          </w:p>
        </w:tc>
        <w:tc>
          <w:tcPr>
            <w:tcW w:w="894" w:type="pct"/>
            <w:tcBorders>
              <w:left w:val="single" w:color="auto" w:sz="4" w:space="0"/>
              <w:right w:val="single" w:color="auto" w:sz="4" w:space="0"/>
            </w:tcBorders>
            <w:vAlign w:val="center"/>
          </w:tcPr>
          <w:p w14:paraId="0BF2B12F">
            <w:pPr>
              <w:spacing w:line="441" w:lineRule="exact"/>
              <w:jc w:val="center"/>
              <w:rPr>
                <w:rFonts w:hint="eastAsia" w:ascii="宋体" w:hAnsi="宋体" w:cs="宋体"/>
                <w:kern w:val="0"/>
                <w:highlight w:val="none"/>
              </w:rPr>
            </w:pPr>
            <w:r>
              <w:rPr>
                <w:rFonts w:hint="eastAsia" w:ascii="宋体" w:hAnsi="宋体" w:cs="宋体"/>
                <w:kern w:val="0"/>
                <w:highlight w:val="none"/>
              </w:rPr>
              <w:t>评标基准价计算</w:t>
            </w:r>
          </w:p>
          <w:p w14:paraId="788414EA">
            <w:pPr>
              <w:spacing w:line="441" w:lineRule="exact"/>
              <w:jc w:val="center"/>
              <w:rPr>
                <w:rFonts w:hint="eastAsia" w:ascii="宋体" w:hAnsi="宋体" w:cs="宋体"/>
                <w:kern w:val="0"/>
                <w:highlight w:val="none"/>
              </w:rPr>
            </w:pPr>
            <w:r>
              <w:rPr>
                <w:rFonts w:hint="eastAsia" w:ascii="宋体" w:hAnsi="宋体" w:cs="宋体"/>
                <w:kern w:val="0"/>
                <w:highlight w:val="none"/>
              </w:rPr>
              <w:t>方法</w:t>
            </w:r>
          </w:p>
        </w:tc>
        <w:tc>
          <w:tcPr>
            <w:tcW w:w="3477" w:type="pct"/>
            <w:gridSpan w:val="2"/>
            <w:tcBorders>
              <w:left w:val="single" w:color="auto" w:sz="4" w:space="0"/>
            </w:tcBorders>
          </w:tcPr>
          <w:p w14:paraId="7E2341BA">
            <w:pPr>
              <w:spacing w:line="400" w:lineRule="exact"/>
              <w:ind w:firstLine="420" w:firstLineChars="200"/>
              <w:rPr>
                <w:rFonts w:hint="eastAsia" w:ascii="宋体" w:hAnsi="宋体" w:cs="宋体"/>
                <w:kern w:val="0"/>
                <w:highlight w:val="none"/>
              </w:rPr>
            </w:pPr>
            <w:r>
              <w:rPr>
                <w:rFonts w:hint="eastAsia" w:ascii="宋体" w:hAnsi="宋体" w:cs="宋体"/>
                <w:kern w:val="0"/>
                <w:highlight w:val="none"/>
              </w:rPr>
              <w:t>所有通过初步评审合格的</w:t>
            </w:r>
            <w:r>
              <w:rPr>
                <w:rFonts w:hint="eastAsia" w:ascii="宋体" w:hAnsi="宋体" w:cs="宋体"/>
                <w:kern w:val="0"/>
                <w:highlight w:val="none"/>
                <w:lang w:val="en-US" w:eastAsia="zh-CN"/>
              </w:rPr>
              <w:t>比选申请</w:t>
            </w:r>
            <w:r>
              <w:rPr>
                <w:rFonts w:hint="eastAsia" w:ascii="宋体" w:hAnsi="宋体" w:cs="宋体"/>
                <w:kern w:val="0"/>
                <w:highlight w:val="none"/>
              </w:rPr>
              <w:t>人（比选人设有最高限价的，则</w:t>
            </w:r>
            <w:r>
              <w:rPr>
                <w:rFonts w:hint="eastAsia" w:ascii="宋体" w:hAnsi="宋体" w:cs="宋体"/>
                <w:kern w:val="0"/>
                <w:highlight w:val="none"/>
                <w:lang w:val="en-US" w:eastAsia="zh-CN"/>
              </w:rPr>
              <w:t>比选申请</w:t>
            </w:r>
            <w:r>
              <w:rPr>
                <w:rFonts w:hint="eastAsia" w:ascii="宋体" w:hAnsi="宋体" w:cs="宋体"/>
                <w:kern w:val="0"/>
                <w:highlight w:val="none"/>
              </w:rPr>
              <w:t>总报价高于最高限价的除外）的</w:t>
            </w:r>
            <w:r>
              <w:rPr>
                <w:rFonts w:hint="eastAsia" w:ascii="宋体" w:hAnsi="宋体" w:cs="宋体"/>
                <w:kern w:val="0"/>
                <w:highlight w:val="none"/>
                <w:lang w:val="en-US" w:eastAsia="zh-CN"/>
              </w:rPr>
              <w:t>比选申请</w:t>
            </w:r>
            <w:r>
              <w:rPr>
                <w:rFonts w:hint="eastAsia" w:ascii="宋体" w:hAnsi="宋体" w:cs="宋体"/>
                <w:kern w:val="0"/>
                <w:highlight w:val="none"/>
              </w:rPr>
              <w:t>总报价中去掉六分之一（不能整除的按小数点前整数取整，不足六家报价则不去掉）的最低价和相同家数的最高价后的算术平均值P1即为</w:t>
            </w:r>
            <w:r>
              <w:rPr>
                <w:rFonts w:hint="eastAsia" w:ascii="宋体" w:hAnsi="宋体" w:cs="宋体"/>
                <w:kern w:val="0"/>
                <w:highlight w:val="none"/>
                <w:lang w:val="en-US" w:eastAsia="zh-CN"/>
              </w:rPr>
              <w:t>比选申请</w:t>
            </w:r>
            <w:r>
              <w:rPr>
                <w:rFonts w:hint="eastAsia" w:ascii="宋体" w:hAnsi="宋体" w:cs="宋体"/>
                <w:kern w:val="0"/>
                <w:highlight w:val="none"/>
              </w:rPr>
              <w:t>总报价的评标基准价。在评标基准价计算完成后（除计算错误外），在后续的评审过程中不得再对其做出调整。</w:t>
            </w:r>
          </w:p>
          <w:p w14:paraId="299D6BFE">
            <w:pPr>
              <w:adjustRightInd w:val="0"/>
              <w:snapToGrid w:val="0"/>
              <w:spacing w:line="520" w:lineRule="atLeast"/>
              <w:ind w:right="113" w:firstLine="420" w:firstLineChars="200"/>
              <w:rPr>
                <w:rFonts w:hint="eastAsia" w:ascii="宋体" w:hAnsi="宋体" w:cs="宋体"/>
                <w:kern w:val="0"/>
                <w:highlight w:val="none"/>
              </w:rPr>
            </w:pPr>
            <w:r>
              <w:rPr>
                <w:rFonts w:hint="eastAsia" w:ascii="宋体" w:hAnsi="宋体" w:cs="宋体"/>
                <w:kern w:val="0"/>
                <w:highlight w:val="none"/>
              </w:rPr>
              <w:t>以上计算取小数点后两位，第三位四舍五入。</w:t>
            </w:r>
          </w:p>
        </w:tc>
      </w:tr>
      <w:tr w14:paraId="4D842C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trPr>
        <w:tc>
          <w:tcPr>
            <w:tcW w:w="628" w:type="pct"/>
            <w:tcBorders>
              <w:right w:val="single" w:color="auto" w:sz="4" w:space="0"/>
            </w:tcBorders>
            <w:vAlign w:val="center"/>
          </w:tcPr>
          <w:p w14:paraId="3FB9EAB2">
            <w:pPr>
              <w:snapToGrid w:val="0"/>
              <w:spacing w:line="440" w:lineRule="atLeast"/>
              <w:jc w:val="center"/>
              <w:rPr>
                <w:rFonts w:hint="eastAsia" w:ascii="宋体" w:hAnsi="宋体" w:cs="宋体"/>
                <w:b/>
                <w:kern w:val="0"/>
                <w:highlight w:val="none"/>
              </w:rPr>
            </w:pPr>
            <w:r>
              <w:rPr>
                <w:rFonts w:hint="eastAsia" w:ascii="宋体" w:hAnsi="宋体" w:cs="宋体"/>
                <w:kern w:val="0"/>
                <w:highlight w:val="none"/>
              </w:rPr>
              <w:t>2.3.3（1）</w:t>
            </w:r>
          </w:p>
        </w:tc>
        <w:tc>
          <w:tcPr>
            <w:tcW w:w="894" w:type="pct"/>
            <w:tcBorders>
              <w:left w:val="single" w:color="auto" w:sz="4" w:space="0"/>
              <w:right w:val="single" w:color="auto" w:sz="4" w:space="0"/>
            </w:tcBorders>
            <w:vAlign w:val="center"/>
          </w:tcPr>
          <w:p w14:paraId="5A6D97F0">
            <w:pPr>
              <w:snapToGrid w:val="0"/>
              <w:spacing w:line="440" w:lineRule="atLeast"/>
              <w:jc w:val="center"/>
              <w:rPr>
                <w:rFonts w:hint="eastAsia" w:ascii="宋体" w:hAnsi="宋体" w:cs="宋体"/>
                <w:b/>
                <w:kern w:val="0"/>
                <w:highlight w:val="none"/>
              </w:rPr>
            </w:pPr>
            <w:r>
              <w:rPr>
                <w:rFonts w:hint="eastAsia" w:ascii="宋体" w:hAnsi="宋体" w:cs="宋体"/>
                <w:kern w:val="0"/>
                <w:highlight w:val="none"/>
              </w:rPr>
              <w:t>技术部分（A）</w:t>
            </w:r>
          </w:p>
        </w:tc>
        <w:tc>
          <w:tcPr>
            <w:tcW w:w="3477" w:type="pct"/>
            <w:gridSpan w:val="2"/>
            <w:tcBorders>
              <w:left w:val="single" w:color="auto" w:sz="4" w:space="0"/>
            </w:tcBorders>
            <w:vAlign w:val="center"/>
          </w:tcPr>
          <w:p w14:paraId="396AB3E5">
            <w:pPr>
              <w:snapToGrid w:val="0"/>
              <w:spacing w:line="440" w:lineRule="atLeast"/>
              <w:jc w:val="center"/>
              <w:rPr>
                <w:rFonts w:hint="eastAsia" w:ascii="宋体" w:hAnsi="宋体" w:cs="宋体"/>
                <w:b/>
                <w:kern w:val="0"/>
                <w:highlight w:val="none"/>
              </w:rPr>
            </w:pPr>
            <w:r>
              <w:rPr>
                <w:rFonts w:hint="eastAsia" w:ascii="宋体" w:hAnsi="宋体" w:cs="宋体"/>
                <w:bCs/>
                <w:kern w:val="0"/>
                <w:highlight w:val="none"/>
              </w:rPr>
              <w:t>30分</w:t>
            </w:r>
          </w:p>
        </w:tc>
      </w:tr>
      <w:tr w14:paraId="4125CC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628" w:type="pct"/>
            <w:tcBorders>
              <w:right w:val="single" w:color="auto" w:sz="4" w:space="0"/>
            </w:tcBorders>
            <w:vAlign w:val="center"/>
          </w:tcPr>
          <w:p w14:paraId="62B137E3">
            <w:pPr>
              <w:snapToGrid w:val="0"/>
              <w:spacing w:line="360" w:lineRule="atLeast"/>
              <w:jc w:val="center"/>
              <w:rPr>
                <w:rFonts w:hint="eastAsia" w:ascii="宋体" w:hAnsi="宋体" w:cs="宋体"/>
                <w:b/>
                <w:kern w:val="0"/>
                <w:highlight w:val="none"/>
              </w:rPr>
            </w:pPr>
            <w:r>
              <w:rPr>
                <w:rFonts w:hint="eastAsia" w:ascii="宋体" w:hAnsi="宋体" w:cs="宋体"/>
                <w:kern w:val="0"/>
                <w:highlight w:val="none"/>
              </w:rPr>
              <w:t>2.3.3（2）</w:t>
            </w:r>
          </w:p>
        </w:tc>
        <w:tc>
          <w:tcPr>
            <w:tcW w:w="894" w:type="pct"/>
            <w:tcBorders>
              <w:left w:val="single" w:color="auto" w:sz="4" w:space="0"/>
              <w:right w:val="single" w:color="auto" w:sz="4" w:space="0"/>
            </w:tcBorders>
            <w:vAlign w:val="center"/>
          </w:tcPr>
          <w:p w14:paraId="43B9F507">
            <w:pPr>
              <w:snapToGrid w:val="0"/>
              <w:spacing w:line="440" w:lineRule="atLeast"/>
              <w:jc w:val="center"/>
              <w:rPr>
                <w:rFonts w:hint="eastAsia" w:ascii="宋体" w:hAnsi="宋体" w:cs="宋体"/>
                <w:b/>
                <w:kern w:val="0"/>
                <w:highlight w:val="none"/>
              </w:rPr>
            </w:pPr>
            <w:r>
              <w:rPr>
                <w:rFonts w:hint="eastAsia" w:ascii="宋体" w:hAnsi="宋体" w:cs="宋体"/>
                <w:highlight w:val="none"/>
                <w:lang w:val="en-US" w:eastAsia="zh-CN"/>
              </w:rPr>
              <w:t>比选申请</w:t>
            </w:r>
            <w:r>
              <w:rPr>
                <w:rFonts w:hint="eastAsia" w:ascii="宋体" w:hAnsi="宋体" w:cs="宋体"/>
                <w:highlight w:val="none"/>
              </w:rPr>
              <w:t>总报价(B)</w:t>
            </w:r>
          </w:p>
        </w:tc>
        <w:tc>
          <w:tcPr>
            <w:tcW w:w="3477" w:type="pct"/>
            <w:gridSpan w:val="2"/>
            <w:tcBorders>
              <w:left w:val="single" w:color="auto" w:sz="4" w:space="0"/>
            </w:tcBorders>
            <w:vAlign w:val="center"/>
          </w:tcPr>
          <w:p w14:paraId="4FF9E728">
            <w:pPr>
              <w:snapToGrid w:val="0"/>
              <w:spacing w:line="400" w:lineRule="atLeast"/>
              <w:jc w:val="center"/>
              <w:rPr>
                <w:rFonts w:hint="eastAsia" w:ascii="宋体" w:hAnsi="宋体" w:cs="宋体"/>
                <w:b/>
                <w:kern w:val="0"/>
                <w:highlight w:val="none"/>
              </w:rPr>
            </w:pPr>
            <w:r>
              <w:rPr>
                <w:rFonts w:hint="eastAsia" w:ascii="宋体" w:hAnsi="宋体" w:cs="宋体"/>
                <w:highlight w:val="none"/>
              </w:rPr>
              <w:t>70分</w:t>
            </w:r>
          </w:p>
        </w:tc>
      </w:tr>
      <w:tr w14:paraId="09A85F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tcBorders>
              <w:right w:val="single" w:color="auto" w:sz="4" w:space="0"/>
            </w:tcBorders>
            <w:vAlign w:val="center"/>
          </w:tcPr>
          <w:p w14:paraId="62295525">
            <w:pPr>
              <w:spacing w:line="400" w:lineRule="exact"/>
              <w:jc w:val="center"/>
              <w:rPr>
                <w:rFonts w:hint="eastAsia" w:ascii="宋体" w:hAnsi="宋体" w:cs="宋体"/>
                <w:highlight w:val="none"/>
              </w:rPr>
            </w:pPr>
            <w:r>
              <w:rPr>
                <w:rFonts w:hint="eastAsia" w:ascii="宋体" w:hAnsi="宋体" w:cs="宋体"/>
                <w:highlight w:val="none"/>
              </w:rPr>
              <w:t>3</w:t>
            </w:r>
          </w:p>
        </w:tc>
        <w:tc>
          <w:tcPr>
            <w:tcW w:w="894" w:type="pct"/>
            <w:tcBorders>
              <w:left w:val="single" w:color="auto" w:sz="4" w:space="0"/>
              <w:right w:val="single" w:color="auto" w:sz="4" w:space="0"/>
            </w:tcBorders>
            <w:vAlign w:val="center"/>
          </w:tcPr>
          <w:p w14:paraId="66B45FE7">
            <w:pPr>
              <w:spacing w:line="400" w:lineRule="exact"/>
              <w:jc w:val="center"/>
              <w:rPr>
                <w:rFonts w:hint="eastAsia" w:ascii="宋体" w:hAnsi="宋体" w:cs="宋体"/>
                <w:highlight w:val="none"/>
              </w:rPr>
            </w:pPr>
            <w:r>
              <w:rPr>
                <w:rFonts w:hint="eastAsia" w:ascii="宋体" w:hAnsi="宋体" w:cs="宋体"/>
                <w:highlight w:val="none"/>
              </w:rPr>
              <w:t>评标程序</w:t>
            </w:r>
          </w:p>
        </w:tc>
        <w:tc>
          <w:tcPr>
            <w:tcW w:w="3477" w:type="pct"/>
            <w:gridSpan w:val="2"/>
            <w:tcBorders>
              <w:left w:val="single" w:color="auto" w:sz="4" w:space="0"/>
            </w:tcBorders>
            <w:vAlign w:val="center"/>
          </w:tcPr>
          <w:p w14:paraId="30D01D9A">
            <w:pPr>
              <w:snapToGrid w:val="0"/>
              <w:spacing w:line="480" w:lineRule="atLeast"/>
              <w:ind w:firstLine="420" w:firstLineChars="200"/>
              <w:rPr>
                <w:rFonts w:hint="eastAsia" w:ascii="宋体" w:hAnsi="宋体" w:cs="宋体"/>
                <w:highlight w:val="none"/>
              </w:rPr>
            </w:pPr>
            <w:r>
              <w:rPr>
                <w:rFonts w:hint="eastAsia" w:ascii="宋体" w:hAnsi="宋体" w:cs="宋体"/>
                <w:highlight w:val="none"/>
              </w:rPr>
              <w:t>1.</w:t>
            </w:r>
            <w:r>
              <w:rPr>
                <w:rFonts w:hint="eastAsia" w:ascii="宋体" w:hAnsi="宋体" w:cs="宋体"/>
                <w:kern w:val="0"/>
                <w:highlight w:val="none"/>
              </w:rPr>
              <w:t>对所有比选申请人按</w:t>
            </w:r>
            <w:r>
              <w:rPr>
                <w:rFonts w:hint="eastAsia" w:ascii="宋体" w:hAnsi="宋体" w:cs="宋体"/>
                <w:highlight w:val="none"/>
              </w:rPr>
              <w:t>本附表2.2</w:t>
            </w:r>
            <w:r>
              <w:rPr>
                <w:rFonts w:hint="eastAsia" w:ascii="宋体" w:hAnsi="宋体" w:cs="宋体"/>
                <w:kern w:val="0"/>
                <w:highlight w:val="none"/>
              </w:rPr>
              <w:t>进行初步评审</w:t>
            </w:r>
            <w:r>
              <w:rPr>
                <w:rFonts w:hint="eastAsia" w:ascii="宋体" w:hAnsi="宋体" w:cs="宋体"/>
                <w:highlight w:val="none"/>
              </w:rPr>
              <w:t>（即形式评审、资格评审、响应性评审）。</w:t>
            </w:r>
          </w:p>
          <w:p w14:paraId="3B0C5A03">
            <w:pPr>
              <w:snapToGrid w:val="0"/>
              <w:spacing w:line="480" w:lineRule="atLeast"/>
              <w:ind w:firstLine="420" w:firstLineChars="200"/>
              <w:rPr>
                <w:rFonts w:hint="eastAsia" w:ascii="宋体" w:hAnsi="宋体" w:cs="宋体"/>
                <w:highlight w:val="none"/>
              </w:rPr>
            </w:pPr>
            <w:r>
              <w:rPr>
                <w:rFonts w:hint="eastAsia" w:ascii="宋体" w:hAnsi="宋体" w:cs="宋体"/>
                <w:highlight w:val="none"/>
              </w:rPr>
              <w:t>2.对初步评审合格的比选申请文件，按本章评标办法第3.2.1款规定的程序进行详细评审，确定得分最高的前三名比选申请人（按得分高低排序）为中标候选人。</w:t>
            </w:r>
          </w:p>
          <w:p w14:paraId="63E6005A">
            <w:pPr>
              <w:spacing w:after="31" w:afterLines="10" w:line="400" w:lineRule="exact"/>
              <w:ind w:firstLine="420" w:firstLineChars="200"/>
              <w:rPr>
                <w:rFonts w:hint="eastAsia" w:ascii="宋体" w:hAnsi="宋体" w:cs="宋体"/>
                <w:highlight w:val="none"/>
              </w:rPr>
            </w:pPr>
            <w:r>
              <w:rPr>
                <w:rFonts w:hint="eastAsia" w:ascii="宋体" w:hAnsi="宋体" w:cs="宋体"/>
                <w:highlight w:val="none"/>
              </w:rPr>
              <w:t>3.如经过对所有比选申请人的比选申请文件进行评审，有效</w:t>
            </w:r>
            <w:r>
              <w:rPr>
                <w:rFonts w:hint="eastAsia" w:ascii="宋体" w:hAnsi="宋体" w:cs="宋体"/>
                <w:highlight w:val="none"/>
                <w:lang w:val="en-US" w:eastAsia="zh-CN"/>
              </w:rPr>
              <w:t>响应</w:t>
            </w:r>
            <w:r>
              <w:rPr>
                <w:rFonts w:hint="eastAsia" w:ascii="宋体" w:hAnsi="宋体" w:cs="宋体"/>
                <w:highlight w:val="none"/>
              </w:rPr>
              <w:t>不足三个，使得</w:t>
            </w:r>
            <w:r>
              <w:rPr>
                <w:rFonts w:hint="eastAsia" w:ascii="宋体" w:hAnsi="宋体" w:cs="宋体"/>
                <w:highlight w:val="none"/>
                <w:lang w:val="en-US" w:eastAsia="zh-CN"/>
              </w:rPr>
              <w:t>比选申请</w:t>
            </w:r>
            <w:r>
              <w:rPr>
                <w:rFonts w:hint="eastAsia" w:ascii="宋体" w:hAnsi="宋体" w:cs="宋体"/>
                <w:highlight w:val="none"/>
              </w:rPr>
              <w:t>明显缺乏竞争的，评</w:t>
            </w:r>
            <w:r>
              <w:rPr>
                <w:rFonts w:hint="eastAsia" w:ascii="宋体" w:hAnsi="宋体" w:cs="宋体"/>
                <w:highlight w:val="none"/>
                <w:lang w:val="en-US" w:eastAsia="zh-CN"/>
              </w:rPr>
              <w:t>审</w:t>
            </w:r>
            <w:r>
              <w:rPr>
                <w:rFonts w:hint="eastAsia" w:ascii="宋体" w:hAnsi="宋体" w:cs="宋体"/>
                <w:highlight w:val="none"/>
              </w:rPr>
              <w:t>委员会可以否决全部</w:t>
            </w:r>
            <w:r>
              <w:rPr>
                <w:rFonts w:hint="eastAsia" w:ascii="宋体" w:hAnsi="宋体" w:cs="宋体"/>
                <w:highlight w:val="none"/>
                <w:lang w:val="en-US" w:eastAsia="zh-CN"/>
              </w:rPr>
              <w:t>比选申请</w:t>
            </w:r>
            <w:r>
              <w:rPr>
                <w:rFonts w:hint="eastAsia" w:ascii="宋体" w:hAnsi="宋体" w:cs="宋体"/>
                <w:highlight w:val="none"/>
              </w:rPr>
              <w:t>。</w:t>
            </w:r>
          </w:p>
        </w:tc>
      </w:tr>
      <w:tr w14:paraId="19049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vMerge w:val="restart"/>
            <w:tcBorders>
              <w:right w:val="single" w:color="auto" w:sz="4" w:space="0"/>
            </w:tcBorders>
            <w:vAlign w:val="center"/>
          </w:tcPr>
          <w:p w14:paraId="1B6B47AB">
            <w:pPr>
              <w:snapToGrid w:val="0"/>
              <w:spacing w:line="440" w:lineRule="atLeast"/>
              <w:jc w:val="center"/>
              <w:rPr>
                <w:rFonts w:hint="eastAsia" w:ascii="宋体" w:hAnsi="宋体" w:cs="宋体"/>
                <w:kern w:val="0"/>
                <w:highlight w:val="none"/>
              </w:rPr>
            </w:pPr>
            <w:r>
              <w:rPr>
                <w:rFonts w:hint="eastAsia" w:ascii="宋体" w:hAnsi="宋体" w:cs="宋体"/>
                <w:kern w:val="0"/>
                <w:highlight w:val="none"/>
              </w:rPr>
              <w:t>技术部分</w:t>
            </w:r>
          </w:p>
          <w:p w14:paraId="7DA91A19">
            <w:pPr>
              <w:snapToGrid w:val="0"/>
              <w:spacing w:line="440" w:lineRule="atLeast"/>
              <w:jc w:val="center"/>
              <w:rPr>
                <w:rFonts w:hint="eastAsia" w:ascii="宋体" w:hAnsi="宋体" w:cs="宋体"/>
                <w:kern w:val="0"/>
                <w:highlight w:val="none"/>
              </w:rPr>
            </w:pPr>
            <w:r>
              <w:rPr>
                <w:rFonts w:hint="eastAsia" w:ascii="宋体" w:hAnsi="宋体" w:cs="宋体"/>
                <w:kern w:val="0"/>
                <w:highlight w:val="none"/>
              </w:rPr>
              <w:t>（</w:t>
            </w:r>
            <w:r>
              <w:rPr>
                <w:rFonts w:hint="eastAsia" w:ascii="宋体" w:hAnsi="宋体" w:cs="宋体"/>
                <w:kern w:val="0"/>
                <w:highlight w:val="none"/>
                <w:lang w:eastAsia="zh-CN"/>
              </w:rPr>
              <w:t>实施方案</w:t>
            </w:r>
            <w:r>
              <w:rPr>
                <w:rFonts w:hint="eastAsia" w:ascii="宋体" w:hAnsi="宋体" w:cs="宋体"/>
                <w:kern w:val="0"/>
                <w:highlight w:val="none"/>
              </w:rPr>
              <w:t>）</w:t>
            </w:r>
          </w:p>
          <w:p w14:paraId="5B5B2D03">
            <w:pPr>
              <w:snapToGrid w:val="0"/>
              <w:spacing w:line="440" w:lineRule="atLeast"/>
              <w:jc w:val="center"/>
              <w:rPr>
                <w:rFonts w:hint="eastAsia" w:ascii="宋体" w:hAnsi="宋体" w:cs="宋体"/>
                <w:highlight w:val="none"/>
              </w:rPr>
            </w:pPr>
            <w:r>
              <w:rPr>
                <w:rFonts w:hint="eastAsia" w:ascii="宋体" w:hAnsi="宋体" w:cs="宋体"/>
                <w:highlight w:val="none"/>
              </w:rPr>
              <w:t>3.2.1</w:t>
            </w:r>
          </w:p>
          <w:p w14:paraId="53DAB6B6">
            <w:pPr>
              <w:snapToGrid w:val="0"/>
              <w:spacing w:line="440" w:lineRule="atLeast"/>
              <w:jc w:val="center"/>
              <w:rPr>
                <w:rFonts w:hint="eastAsia" w:ascii="宋体" w:hAnsi="宋体" w:cs="宋体"/>
                <w:highlight w:val="none"/>
              </w:rPr>
            </w:pPr>
            <w:r>
              <w:rPr>
                <w:rFonts w:hint="eastAsia" w:ascii="宋体" w:hAnsi="宋体" w:cs="宋体"/>
                <w:highlight w:val="none"/>
              </w:rPr>
              <w:t>(1)</w:t>
            </w:r>
          </w:p>
        </w:tc>
        <w:tc>
          <w:tcPr>
            <w:tcW w:w="894" w:type="pct"/>
            <w:tcBorders>
              <w:left w:val="single" w:color="auto" w:sz="4" w:space="0"/>
              <w:right w:val="single" w:color="auto" w:sz="4" w:space="0"/>
            </w:tcBorders>
            <w:vAlign w:val="center"/>
          </w:tcPr>
          <w:p w14:paraId="08A0502B">
            <w:pPr>
              <w:spacing w:line="400" w:lineRule="exact"/>
              <w:jc w:val="center"/>
              <w:rPr>
                <w:rFonts w:hint="eastAsia" w:ascii="宋体" w:hAnsi="宋体" w:cs="宋体"/>
                <w:highlight w:val="none"/>
              </w:rPr>
            </w:pPr>
            <w:r>
              <w:rPr>
                <w:rFonts w:hint="eastAsia" w:ascii="宋体" w:hAnsi="宋体" w:cs="宋体"/>
                <w:kern w:val="0"/>
                <w:highlight w:val="none"/>
              </w:rPr>
              <w:t>内容完整性和编制水平</w:t>
            </w:r>
          </w:p>
        </w:tc>
        <w:tc>
          <w:tcPr>
            <w:tcW w:w="3477" w:type="pct"/>
            <w:gridSpan w:val="2"/>
            <w:tcBorders>
              <w:left w:val="single" w:color="auto" w:sz="4" w:space="0"/>
            </w:tcBorders>
            <w:vAlign w:val="center"/>
          </w:tcPr>
          <w:p w14:paraId="5D33E137">
            <w:pPr>
              <w:spacing w:after="31" w:afterLines="10" w:line="400" w:lineRule="exact"/>
              <w:ind w:firstLine="420" w:firstLineChars="200"/>
              <w:rPr>
                <w:rFonts w:hint="eastAsia" w:ascii="宋体" w:hAnsi="宋体" w:eastAsia="宋体" w:cs="宋体"/>
                <w:highlight w:val="none"/>
                <w:lang w:val="en-US" w:eastAsia="zh-CN"/>
              </w:rPr>
            </w:pPr>
            <w:r>
              <w:rPr>
                <w:rFonts w:hint="eastAsia" w:ascii="宋体" w:hAnsi="宋体" w:cs="宋体"/>
                <w:highlight w:val="none"/>
              </w:rPr>
              <w:t>6分   编制要点：内容齐全，符合相关规定，语言简明、准确、规范。</w:t>
            </w:r>
          </w:p>
          <w:p w14:paraId="09303241">
            <w:pPr>
              <w:spacing w:after="31" w:afterLines="10" w:line="400" w:lineRule="exact"/>
              <w:ind w:firstLine="420" w:firstLineChars="200"/>
              <w:rPr>
                <w:rFonts w:hint="default" w:ascii="宋体" w:hAnsi="宋体" w:eastAsia="宋体" w:cs="宋体"/>
                <w:highlight w:val="none"/>
                <w:lang w:val="en-US" w:eastAsia="zh-CN"/>
              </w:rPr>
            </w:pPr>
            <w:r>
              <w:rPr>
                <w:rFonts w:hint="eastAsia" w:ascii="宋体" w:hAnsi="宋体" w:cs="宋体"/>
                <w:highlight w:val="none"/>
                <w:lang w:val="en-US" w:eastAsia="zh-CN"/>
              </w:rPr>
              <w:t>优：5-6   良：3-5（不含）分  中：1-3（不含）分  差：0分</w:t>
            </w:r>
            <w:r>
              <w:rPr>
                <w:rFonts w:hint="eastAsia" w:ascii="宋体" w:hAnsi="宋体" w:cs="宋体"/>
                <w:highlight w:val="none"/>
              </w:rPr>
              <w:t>。</w:t>
            </w:r>
          </w:p>
        </w:tc>
      </w:tr>
      <w:tr w14:paraId="79950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28" w:type="pct"/>
            <w:vMerge w:val="continue"/>
            <w:tcBorders>
              <w:right w:val="single" w:color="auto" w:sz="4" w:space="0"/>
            </w:tcBorders>
            <w:vAlign w:val="center"/>
          </w:tcPr>
          <w:p w14:paraId="6014FAA8">
            <w:pPr>
              <w:snapToGrid w:val="0"/>
              <w:spacing w:line="440" w:lineRule="atLeas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11CCBF17">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lang w:val="en-US" w:eastAsia="zh-CN"/>
              </w:rPr>
              <w:t>实施</w:t>
            </w:r>
            <w:r>
              <w:rPr>
                <w:rFonts w:hint="eastAsia" w:ascii="宋体" w:hAnsi="宋体" w:cs="宋体"/>
                <w:kern w:val="0"/>
                <w:highlight w:val="none"/>
              </w:rPr>
              <w:t>方案与技术措施</w:t>
            </w:r>
          </w:p>
        </w:tc>
        <w:tc>
          <w:tcPr>
            <w:tcW w:w="3477" w:type="pct"/>
            <w:gridSpan w:val="2"/>
            <w:tcBorders>
              <w:left w:val="single" w:color="auto" w:sz="4" w:space="0"/>
            </w:tcBorders>
            <w:vAlign w:val="center"/>
          </w:tcPr>
          <w:p w14:paraId="76CB8AB4">
            <w:pPr>
              <w:spacing w:after="31" w:afterLines="10" w:line="400" w:lineRule="exact"/>
              <w:ind w:firstLine="420" w:firstLineChars="200"/>
              <w:rPr>
                <w:rFonts w:hint="eastAsia" w:ascii="宋体" w:hAnsi="宋体" w:eastAsia="宋体" w:cs="宋体"/>
                <w:highlight w:val="none"/>
                <w:lang w:val="en-US" w:eastAsia="zh-CN"/>
              </w:rPr>
            </w:pPr>
            <w:r>
              <w:rPr>
                <w:rFonts w:hint="eastAsia" w:ascii="宋体" w:hAnsi="宋体" w:cs="宋体"/>
                <w:highlight w:val="none"/>
              </w:rPr>
              <w:t>6分   编制要点：</w:t>
            </w:r>
            <w:r>
              <w:rPr>
                <w:rFonts w:hint="eastAsia" w:ascii="宋体" w:hAnsi="宋体" w:cs="宋体"/>
                <w:highlight w:val="none"/>
                <w:lang w:eastAsia="zh-CN"/>
              </w:rPr>
              <w:t>实施方案</w:t>
            </w:r>
            <w:r>
              <w:rPr>
                <w:rFonts w:hint="eastAsia" w:ascii="宋体" w:hAnsi="宋体" w:cs="宋体"/>
                <w:highlight w:val="none"/>
              </w:rPr>
              <w:t>、规程措施针对性强，便于施</w:t>
            </w:r>
            <w:r>
              <w:rPr>
                <w:rFonts w:hint="eastAsia" w:ascii="宋体" w:hAnsi="宋体" w:eastAsia="宋体" w:cs="宋体"/>
                <w:highlight w:val="none"/>
                <w:lang w:val="en-US" w:eastAsia="zh-CN"/>
              </w:rPr>
              <w:t>工，施工技术适用性强。</w:t>
            </w:r>
          </w:p>
          <w:p w14:paraId="0F7163CE">
            <w:pPr>
              <w:spacing w:after="31" w:afterLines="10" w:line="400" w:lineRule="exact"/>
              <w:ind w:firstLine="420" w:firstLineChars="200"/>
              <w:rPr>
                <w:rFonts w:hint="eastAsia"/>
                <w:highlight w:val="none"/>
              </w:rPr>
            </w:pPr>
            <w:r>
              <w:rPr>
                <w:rFonts w:hint="eastAsia" w:ascii="宋体" w:hAnsi="宋体" w:cs="宋体"/>
                <w:highlight w:val="none"/>
                <w:lang w:val="en-US" w:eastAsia="zh-CN"/>
              </w:rPr>
              <w:t>优：5-6   良：3-5（不含）分  中：1-3（不含）分  差：0分</w:t>
            </w:r>
            <w:r>
              <w:rPr>
                <w:rFonts w:hint="eastAsia" w:ascii="宋体" w:hAnsi="宋体" w:cs="宋体"/>
                <w:highlight w:val="none"/>
              </w:rPr>
              <w:t>。</w:t>
            </w:r>
          </w:p>
        </w:tc>
      </w:tr>
      <w:tr w14:paraId="067D60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vMerge w:val="continue"/>
            <w:tcBorders>
              <w:right w:val="single" w:color="auto" w:sz="4" w:space="0"/>
            </w:tcBorders>
            <w:vAlign w:val="center"/>
          </w:tcPr>
          <w:p w14:paraId="64739474">
            <w:pPr>
              <w:spacing w:line="400" w:lineRule="exac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11AB0995">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rPr>
              <w:t>质量管理体系与措施</w:t>
            </w:r>
          </w:p>
        </w:tc>
        <w:tc>
          <w:tcPr>
            <w:tcW w:w="3477" w:type="pct"/>
            <w:gridSpan w:val="2"/>
            <w:tcBorders>
              <w:left w:val="single" w:color="auto" w:sz="4" w:space="0"/>
            </w:tcBorders>
            <w:vAlign w:val="center"/>
          </w:tcPr>
          <w:p w14:paraId="699B50F3">
            <w:pPr>
              <w:spacing w:after="31" w:afterLines="10" w:line="400" w:lineRule="exact"/>
              <w:ind w:firstLine="420" w:firstLineChars="200"/>
              <w:rPr>
                <w:rFonts w:hint="eastAsia" w:ascii="宋体" w:hAnsi="宋体" w:eastAsia="宋体" w:cs="宋体"/>
                <w:highlight w:val="none"/>
              </w:rPr>
            </w:pPr>
            <w:r>
              <w:rPr>
                <w:rFonts w:hint="eastAsia" w:ascii="宋体" w:hAnsi="宋体" w:eastAsia="宋体" w:cs="宋体"/>
                <w:highlight w:val="none"/>
              </w:rPr>
              <w:t>6分   编制要点：施工质量保证体系和质量检查监督机构健全，并有有效的质量控制措施、质保期养护措施。</w:t>
            </w:r>
          </w:p>
          <w:p w14:paraId="36C140C9">
            <w:pPr>
              <w:spacing w:after="31" w:afterLines="10" w:line="400" w:lineRule="exact"/>
              <w:ind w:firstLine="420" w:firstLineChars="200"/>
              <w:rPr>
                <w:rFonts w:hint="eastAsia"/>
                <w:highlight w:val="none"/>
              </w:rPr>
            </w:pPr>
            <w:r>
              <w:rPr>
                <w:rFonts w:hint="eastAsia" w:ascii="宋体" w:hAnsi="宋体" w:cs="宋体"/>
                <w:highlight w:val="none"/>
                <w:lang w:val="en-US" w:eastAsia="zh-CN"/>
              </w:rPr>
              <w:t>优：5-6   良：3-5（不含）分  中：1-3（不含）分  差：0分</w:t>
            </w:r>
            <w:r>
              <w:rPr>
                <w:rFonts w:hint="eastAsia" w:ascii="宋体" w:hAnsi="宋体" w:cs="宋体"/>
                <w:highlight w:val="none"/>
              </w:rPr>
              <w:t>。</w:t>
            </w:r>
          </w:p>
        </w:tc>
      </w:tr>
      <w:tr w14:paraId="5D75F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vMerge w:val="continue"/>
            <w:tcBorders>
              <w:right w:val="single" w:color="auto" w:sz="4" w:space="0"/>
            </w:tcBorders>
            <w:vAlign w:val="center"/>
          </w:tcPr>
          <w:p w14:paraId="12EB1F3C">
            <w:pPr>
              <w:spacing w:line="400" w:lineRule="exac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3D4101A5">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rPr>
              <w:t>安全管理体系与措施</w:t>
            </w:r>
          </w:p>
        </w:tc>
        <w:tc>
          <w:tcPr>
            <w:tcW w:w="3477" w:type="pct"/>
            <w:gridSpan w:val="2"/>
            <w:tcBorders>
              <w:left w:val="single" w:color="auto" w:sz="4" w:space="0"/>
            </w:tcBorders>
            <w:vAlign w:val="center"/>
          </w:tcPr>
          <w:p w14:paraId="01E8DD14">
            <w:pPr>
              <w:spacing w:after="31" w:afterLines="10" w:line="400" w:lineRule="exact"/>
              <w:ind w:firstLine="420" w:firstLineChars="200"/>
              <w:rPr>
                <w:rFonts w:hint="eastAsia" w:ascii="宋体" w:hAnsi="宋体" w:eastAsia="宋体" w:cs="宋体"/>
                <w:highlight w:val="none"/>
              </w:rPr>
            </w:pPr>
            <w:r>
              <w:rPr>
                <w:rFonts w:hint="eastAsia" w:ascii="宋体" w:hAnsi="宋体" w:cs="宋体"/>
                <w:highlight w:val="none"/>
              </w:rPr>
              <w:t>4分   编制要点：建立了安全保障体系，现场管理人员安全生产职责明确、安全保证目标明确，针对</w:t>
            </w:r>
            <w:r>
              <w:rPr>
                <w:rFonts w:hint="eastAsia" w:ascii="宋体" w:hAnsi="宋体" w:cs="宋体"/>
                <w:highlight w:val="none"/>
                <w:lang w:eastAsia="zh-CN"/>
              </w:rPr>
              <w:t>项目</w:t>
            </w:r>
            <w:r>
              <w:rPr>
                <w:rFonts w:hint="eastAsia" w:ascii="宋体" w:hAnsi="宋体" w:cs="宋体"/>
                <w:highlight w:val="none"/>
              </w:rPr>
              <w:t>特点、周边</w:t>
            </w:r>
            <w:r>
              <w:rPr>
                <w:rFonts w:hint="eastAsia" w:ascii="宋体" w:hAnsi="宋体" w:eastAsia="宋体" w:cs="宋体"/>
                <w:highlight w:val="none"/>
              </w:rPr>
              <w:t>环境和工艺，确定危险源并制定具体的防护措施。</w:t>
            </w:r>
          </w:p>
          <w:p w14:paraId="53B96C51">
            <w:pPr>
              <w:spacing w:after="31" w:afterLines="10" w:line="400" w:lineRule="exact"/>
              <w:ind w:firstLine="420" w:firstLineChars="200"/>
              <w:rPr>
                <w:rFonts w:hint="eastAsia"/>
                <w:highlight w:val="none"/>
              </w:rPr>
            </w:pPr>
            <w:r>
              <w:rPr>
                <w:rFonts w:hint="eastAsia" w:ascii="宋体" w:hAnsi="宋体" w:cs="宋体"/>
                <w:highlight w:val="none"/>
                <w:lang w:val="en-US" w:eastAsia="zh-CN"/>
              </w:rPr>
              <w:t>优：3-4   良：2-3（不含）分  中：1-2（不含）分  差：0分</w:t>
            </w:r>
            <w:r>
              <w:rPr>
                <w:rFonts w:hint="eastAsia" w:ascii="宋体" w:hAnsi="宋体" w:cs="宋体"/>
                <w:highlight w:val="none"/>
              </w:rPr>
              <w:t>。</w:t>
            </w:r>
          </w:p>
        </w:tc>
      </w:tr>
      <w:tr w14:paraId="0027F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vMerge w:val="continue"/>
            <w:tcBorders>
              <w:right w:val="single" w:color="auto" w:sz="4" w:space="0"/>
            </w:tcBorders>
            <w:vAlign w:val="center"/>
          </w:tcPr>
          <w:p w14:paraId="125E78AB">
            <w:pPr>
              <w:spacing w:line="400" w:lineRule="exac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4D47E12E">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rPr>
              <w:t>环境保护管理体系措施</w:t>
            </w:r>
          </w:p>
        </w:tc>
        <w:tc>
          <w:tcPr>
            <w:tcW w:w="3477" w:type="pct"/>
            <w:gridSpan w:val="2"/>
            <w:tcBorders>
              <w:left w:val="single" w:color="auto" w:sz="4" w:space="0"/>
            </w:tcBorders>
            <w:vAlign w:val="center"/>
          </w:tcPr>
          <w:p w14:paraId="6DCE2C04">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4分   编制要点：对废弃物的管理和处理措施妥当，对车辆、器具有效控制。</w:t>
            </w:r>
          </w:p>
          <w:p w14:paraId="5996903B">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优：3-4   良：2-3（不含）分  中：1-2（不含）分  差：0分</w:t>
            </w:r>
            <w:r>
              <w:rPr>
                <w:rFonts w:hint="eastAsia" w:ascii="宋体" w:hAnsi="宋体" w:cs="宋体"/>
                <w:highlight w:val="none"/>
              </w:rPr>
              <w:t>。</w:t>
            </w:r>
          </w:p>
        </w:tc>
      </w:tr>
      <w:tr w14:paraId="07C65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6" w:hRule="atLeast"/>
        </w:trPr>
        <w:tc>
          <w:tcPr>
            <w:tcW w:w="628" w:type="pct"/>
            <w:vMerge w:val="continue"/>
            <w:tcBorders>
              <w:right w:val="single" w:color="auto" w:sz="4" w:space="0"/>
            </w:tcBorders>
            <w:vAlign w:val="center"/>
          </w:tcPr>
          <w:p w14:paraId="194FD168">
            <w:pPr>
              <w:spacing w:line="400" w:lineRule="exac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656D2805">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lang w:eastAsia="zh-CN"/>
              </w:rPr>
              <w:t>项目</w:t>
            </w:r>
            <w:r>
              <w:rPr>
                <w:rFonts w:hint="eastAsia" w:ascii="宋体" w:hAnsi="宋体" w:cs="宋体"/>
                <w:kern w:val="0"/>
                <w:highlight w:val="none"/>
              </w:rPr>
              <w:t>进度计划与措施</w:t>
            </w:r>
          </w:p>
        </w:tc>
        <w:tc>
          <w:tcPr>
            <w:tcW w:w="3477" w:type="pct"/>
            <w:gridSpan w:val="2"/>
            <w:tcBorders>
              <w:left w:val="single" w:color="auto" w:sz="4" w:space="0"/>
            </w:tcBorders>
            <w:vAlign w:val="center"/>
          </w:tcPr>
          <w:p w14:paraId="1924157D">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4分   编制要点：具备有效的进度控制计划、赶工方案。</w:t>
            </w:r>
          </w:p>
          <w:p w14:paraId="27A533F1">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优：3-4   良：2-3（不含）分  中：1-2（不含）分  差：0分</w:t>
            </w:r>
            <w:r>
              <w:rPr>
                <w:rFonts w:hint="eastAsia" w:ascii="宋体" w:hAnsi="宋体" w:cs="宋体"/>
                <w:highlight w:val="none"/>
              </w:rPr>
              <w:t>。</w:t>
            </w:r>
          </w:p>
        </w:tc>
      </w:tr>
      <w:tr w14:paraId="60E695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5000" w:type="pct"/>
            <w:gridSpan w:val="4"/>
            <w:vAlign w:val="center"/>
          </w:tcPr>
          <w:p w14:paraId="5FC9EF1A">
            <w:pPr>
              <w:snapToGrid w:val="0"/>
              <w:spacing w:line="360" w:lineRule="auto"/>
              <w:ind w:firstLine="422" w:firstLineChars="200"/>
              <w:rPr>
                <w:rFonts w:hint="eastAsia" w:ascii="宋体" w:hAnsi="宋体" w:cs="宋体"/>
                <w:highlight w:val="none"/>
              </w:rPr>
            </w:pPr>
            <w:r>
              <w:rPr>
                <w:rFonts w:hint="eastAsia" w:ascii="宋体" w:hAnsi="宋体" w:cs="宋体"/>
                <w:b/>
                <w:highlight w:val="none"/>
              </w:rPr>
              <w:t>评</w:t>
            </w:r>
            <w:r>
              <w:rPr>
                <w:rFonts w:hint="eastAsia" w:ascii="宋体" w:hAnsi="宋体" w:cs="宋体"/>
                <w:b/>
                <w:highlight w:val="none"/>
                <w:lang w:val="en-US" w:eastAsia="zh-CN"/>
              </w:rPr>
              <w:t>审</w:t>
            </w:r>
            <w:r>
              <w:rPr>
                <w:rFonts w:hint="eastAsia" w:ascii="宋体" w:hAnsi="宋体" w:cs="宋体"/>
                <w:b/>
                <w:highlight w:val="none"/>
              </w:rPr>
              <w:t>委员会全体成员对技术部分进行评审，当评</w:t>
            </w:r>
            <w:r>
              <w:rPr>
                <w:rFonts w:hint="eastAsia" w:ascii="宋体" w:hAnsi="宋体" w:cs="宋体"/>
                <w:b/>
                <w:highlight w:val="none"/>
                <w:lang w:val="en-US" w:eastAsia="zh-CN"/>
              </w:rPr>
              <w:t>审</w:t>
            </w:r>
            <w:r>
              <w:rPr>
                <w:rFonts w:hint="eastAsia" w:ascii="宋体" w:hAnsi="宋体" w:cs="宋体"/>
                <w:b/>
                <w:highlight w:val="none"/>
              </w:rPr>
              <w:t>委员会成员为5人及以上时（含5人），比选申请人技术部分得分应在所有评委打分中去掉一个最高和一个最低分，余下评委打分取算平均值为该比选申请人技术部分得分。以上计算取小数点后两位，第三位四舍五入。</w:t>
            </w:r>
          </w:p>
        </w:tc>
      </w:tr>
      <w:tr w14:paraId="503A7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trPr>
        <w:tc>
          <w:tcPr>
            <w:tcW w:w="628" w:type="pct"/>
            <w:tcBorders>
              <w:right w:val="single" w:color="auto" w:sz="4" w:space="0"/>
            </w:tcBorders>
            <w:vAlign w:val="center"/>
          </w:tcPr>
          <w:p w14:paraId="5F9B42B5">
            <w:pPr>
              <w:spacing w:line="441" w:lineRule="exact"/>
              <w:jc w:val="center"/>
              <w:rPr>
                <w:rFonts w:hint="eastAsia" w:ascii="宋体" w:hAnsi="宋体" w:cs="宋体"/>
                <w:highlight w:val="none"/>
              </w:rPr>
            </w:pPr>
            <w:r>
              <w:rPr>
                <w:rFonts w:hint="eastAsia" w:ascii="宋体" w:hAnsi="宋体" w:cs="宋体"/>
                <w:highlight w:val="none"/>
                <w:lang w:val="en-US" w:eastAsia="zh-CN"/>
              </w:rPr>
              <w:t>比选</w:t>
            </w:r>
            <w:r>
              <w:rPr>
                <w:rFonts w:hint="eastAsia" w:ascii="宋体" w:hAnsi="宋体" w:cs="宋体"/>
                <w:highlight w:val="none"/>
              </w:rPr>
              <w:t>报价评分标准</w:t>
            </w:r>
          </w:p>
          <w:p w14:paraId="625AF756">
            <w:pPr>
              <w:snapToGrid w:val="0"/>
              <w:spacing w:line="440" w:lineRule="atLeast"/>
              <w:jc w:val="center"/>
              <w:rPr>
                <w:rFonts w:hint="eastAsia" w:ascii="宋体" w:hAnsi="宋体" w:cs="宋体"/>
                <w:highlight w:val="none"/>
              </w:rPr>
            </w:pPr>
            <w:r>
              <w:rPr>
                <w:rFonts w:hint="eastAsia" w:ascii="宋体" w:hAnsi="宋体" w:cs="宋体"/>
                <w:highlight w:val="none"/>
              </w:rPr>
              <w:t>3.2.1</w:t>
            </w:r>
          </w:p>
          <w:p w14:paraId="56CF996C">
            <w:pPr>
              <w:spacing w:line="441" w:lineRule="exact"/>
              <w:jc w:val="center"/>
              <w:rPr>
                <w:rFonts w:hint="eastAsia" w:ascii="宋体" w:hAnsi="宋体" w:cs="宋体"/>
                <w:highlight w:val="none"/>
              </w:rPr>
            </w:pPr>
            <w:r>
              <w:rPr>
                <w:rFonts w:hint="eastAsia" w:ascii="宋体" w:hAnsi="宋体" w:cs="宋体"/>
                <w:highlight w:val="none"/>
              </w:rPr>
              <w:t>(2)</w:t>
            </w:r>
          </w:p>
        </w:tc>
        <w:tc>
          <w:tcPr>
            <w:tcW w:w="894" w:type="pct"/>
            <w:tcBorders>
              <w:left w:val="single" w:color="auto" w:sz="4" w:space="0"/>
              <w:right w:val="single" w:color="auto" w:sz="4" w:space="0"/>
            </w:tcBorders>
            <w:vAlign w:val="center"/>
          </w:tcPr>
          <w:p w14:paraId="753DB5BF">
            <w:pPr>
              <w:ind w:firstLine="18" w:firstLineChars="9"/>
              <w:jc w:val="center"/>
              <w:rPr>
                <w:rFonts w:hint="eastAsia" w:ascii="宋体" w:hAnsi="宋体" w:cs="宋体"/>
                <w:highlight w:val="none"/>
              </w:rPr>
            </w:pPr>
            <w:r>
              <w:rPr>
                <w:rFonts w:hint="eastAsia" w:ascii="宋体" w:hAnsi="宋体" w:cs="宋体"/>
                <w:highlight w:val="none"/>
                <w:lang w:val="en-US" w:eastAsia="zh-CN"/>
              </w:rPr>
              <w:t>比选申请</w:t>
            </w:r>
            <w:r>
              <w:rPr>
                <w:rFonts w:hint="eastAsia" w:ascii="宋体" w:hAnsi="宋体" w:cs="宋体"/>
                <w:highlight w:val="none"/>
              </w:rPr>
              <w:t>总报价（70分）</w:t>
            </w:r>
          </w:p>
        </w:tc>
        <w:tc>
          <w:tcPr>
            <w:tcW w:w="3477" w:type="pct"/>
            <w:gridSpan w:val="2"/>
            <w:tcBorders>
              <w:left w:val="single" w:color="auto" w:sz="4" w:space="0"/>
            </w:tcBorders>
            <w:vAlign w:val="center"/>
          </w:tcPr>
          <w:p w14:paraId="5B7267B5">
            <w:pPr>
              <w:spacing w:line="300" w:lineRule="auto"/>
              <w:ind w:firstLine="420" w:firstLineChars="200"/>
              <w:rPr>
                <w:rStyle w:val="215"/>
                <w:rFonts w:hint="eastAsia" w:ascii="宋体" w:hAnsi="宋体" w:cs="宋体"/>
                <w:color w:val="000000"/>
                <w:highlight w:val="none"/>
              </w:rPr>
            </w:pPr>
            <w:r>
              <w:rPr>
                <w:rFonts w:hint="eastAsia" w:ascii="宋体" w:hAnsi="宋体" w:cs="宋体"/>
                <w:highlight w:val="none"/>
              </w:rPr>
              <w:t>所有通过初步评审合格的有效</w:t>
            </w:r>
            <w:r>
              <w:rPr>
                <w:rFonts w:hint="eastAsia" w:ascii="宋体" w:hAnsi="宋体" w:cs="宋体"/>
                <w:highlight w:val="none"/>
                <w:lang w:val="en-US" w:eastAsia="zh-CN"/>
              </w:rPr>
              <w:t>比选申请</w:t>
            </w:r>
            <w:r>
              <w:rPr>
                <w:rFonts w:hint="eastAsia" w:ascii="宋体" w:hAnsi="宋体" w:cs="宋体"/>
                <w:highlight w:val="none"/>
              </w:rPr>
              <w:t>文件的</w:t>
            </w:r>
            <w:r>
              <w:rPr>
                <w:rFonts w:hint="eastAsia" w:ascii="宋体" w:hAnsi="宋体" w:cs="宋体"/>
                <w:highlight w:val="none"/>
                <w:lang w:val="en-US" w:eastAsia="zh-CN"/>
              </w:rPr>
              <w:t>比选申请</w:t>
            </w:r>
            <w:r>
              <w:rPr>
                <w:rFonts w:hint="eastAsia" w:ascii="宋体" w:hAnsi="宋体" w:cs="宋体"/>
                <w:highlight w:val="none"/>
              </w:rPr>
              <w:t>总报价</w:t>
            </w:r>
            <w:r>
              <w:rPr>
                <w:rStyle w:val="215"/>
                <w:rFonts w:hint="eastAsia" w:ascii="宋体" w:hAnsi="宋体" w:cs="宋体"/>
                <w:color w:val="000000"/>
                <w:highlight w:val="none"/>
              </w:rPr>
              <w:t>先得基础分值满分</w:t>
            </w:r>
            <w:r>
              <w:rPr>
                <w:rStyle w:val="215"/>
                <w:rFonts w:hint="eastAsia" w:ascii="宋体" w:hAnsi="宋体" w:cs="宋体"/>
                <w:color w:val="000000"/>
                <w:highlight w:val="none"/>
                <w:u w:val="single" w:color="000000"/>
              </w:rPr>
              <w:t>70</w:t>
            </w:r>
            <w:r>
              <w:rPr>
                <w:rStyle w:val="215"/>
                <w:rFonts w:hint="eastAsia" w:ascii="宋体" w:hAnsi="宋体" w:cs="宋体"/>
                <w:color w:val="000000"/>
                <w:highlight w:val="none"/>
              </w:rPr>
              <w:t>分，在此基础上，</w:t>
            </w:r>
            <w:r>
              <w:rPr>
                <w:rFonts w:hint="eastAsia" w:ascii="宋体" w:hAnsi="宋体" w:cs="宋体"/>
                <w:highlight w:val="none"/>
                <w:lang w:val="en-US" w:eastAsia="zh-CN"/>
              </w:rPr>
              <w:t>比选申请</w:t>
            </w:r>
            <w:r>
              <w:rPr>
                <w:rFonts w:hint="eastAsia" w:ascii="宋体" w:hAnsi="宋体" w:cs="宋体"/>
                <w:highlight w:val="none"/>
              </w:rPr>
              <w:t>总报价</w:t>
            </w:r>
            <w:r>
              <w:rPr>
                <w:rStyle w:val="215"/>
                <w:rFonts w:hint="eastAsia" w:ascii="宋体" w:hAnsi="宋体" w:cs="宋体"/>
                <w:color w:val="000000"/>
                <w:highlight w:val="none"/>
              </w:rPr>
              <w:t>与评标基准价相比，每增加1%扣</w:t>
            </w:r>
            <w:r>
              <w:rPr>
                <w:rStyle w:val="215"/>
                <w:rFonts w:hint="eastAsia" w:ascii="宋体" w:hAnsi="宋体" w:cs="宋体"/>
                <w:color w:val="000000"/>
                <w:highlight w:val="none"/>
                <w:u w:val="single" w:color="000000"/>
              </w:rPr>
              <w:t>0.5</w:t>
            </w:r>
            <w:r>
              <w:rPr>
                <w:rStyle w:val="215"/>
                <w:rFonts w:hint="eastAsia" w:ascii="宋体" w:hAnsi="宋体" w:cs="宋体"/>
                <w:color w:val="000000"/>
                <w:highlight w:val="none"/>
              </w:rPr>
              <w:t xml:space="preserve">分，每减少1%扣 </w:t>
            </w:r>
            <w:r>
              <w:rPr>
                <w:rStyle w:val="215"/>
                <w:rFonts w:hint="eastAsia" w:ascii="宋体" w:hAnsi="宋体" w:cs="宋体"/>
                <w:color w:val="000000"/>
                <w:highlight w:val="none"/>
                <w:u w:val="single" w:color="000000"/>
              </w:rPr>
              <w:t>0.25</w:t>
            </w:r>
            <w:r>
              <w:rPr>
                <w:rStyle w:val="215"/>
                <w:rFonts w:hint="eastAsia" w:ascii="宋体" w:hAnsi="宋体" w:cs="宋体"/>
                <w:color w:val="000000"/>
                <w:highlight w:val="none"/>
              </w:rPr>
              <w:t>分，扣完为止。</w:t>
            </w:r>
          </w:p>
          <w:p w14:paraId="4F016664">
            <w:pPr>
              <w:snapToGrid w:val="0"/>
              <w:spacing w:line="360" w:lineRule="auto"/>
              <w:ind w:firstLine="420" w:firstLineChars="200"/>
              <w:jc w:val="left"/>
              <w:rPr>
                <w:rStyle w:val="215"/>
                <w:rFonts w:hint="eastAsia" w:ascii="宋体" w:hAnsi="宋体" w:cs="宋体"/>
                <w:color w:val="000000"/>
                <w:highlight w:val="none"/>
              </w:rPr>
            </w:pPr>
            <w:r>
              <w:rPr>
                <w:rStyle w:val="215"/>
                <w:rFonts w:hint="eastAsia" w:ascii="宋体" w:hAnsi="宋体" w:cs="宋体"/>
                <w:color w:val="000000"/>
                <w:highlight w:val="none"/>
              </w:rPr>
              <w:t>按插入法计算得分。</w:t>
            </w:r>
          </w:p>
          <w:p w14:paraId="03C1E9CA">
            <w:pPr>
              <w:snapToGrid w:val="0"/>
              <w:spacing w:line="360" w:lineRule="auto"/>
              <w:ind w:firstLine="420" w:firstLineChars="200"/>
              <w:jc w:val="left"/>
              <w:rPr>
                <w:rStyle w:val="215"/>
                <w:rFonts w:hint="eastAsia" w:ascii="宋体" w:hAnsi="宋体" w:cs="宋体"/>
                <w:color w:val="000000"/>
                <w:highlight w:val="none"/>
              </w:rPr>
            </w:pPr>
            <w:r>
              <w:rPr>
                <w:rStyle w:val="215"/>
                <w:rFonts w:hint="eastAsia" w:ascii="宋体" w:hAnsi="宋体" w:cs="宋体"/>
                <w:color w:val="000000"/>
                <w:highlight w:val="none"/>
              </w:rPr>
              <w:t>未参与评标基准价计算的</w:t>
            </w:r>
            <w:r>
              <w:rPr>
                <w:rStyle w:val="215"/>
                <w:rFonts w:hint="eastAsia" w:ascii="宋体" w:hAnsi="宋体" w:cs="宋体"/>
                <w:color w:val="000000"/>
                <w:highlight w:val="none"/>
                <w:lang w:val="en-US" w:eastAsia="zh-CN"/>
              </w:rPr>
              <w:t>比选申请</w:t>
            </w:r>
            <w:r>
              <w:rPr>
                <w:rStyle w:val="215"/>
                <w:rFonts w:hint="eastAsia" w:ascii="宋体" w:hAnsi="宋体" w:cs="宋体"/>
                <w:color w:val="000000"/>
                <w:highlight w:val="none"/>
              </w:rPr>
              <w:t>总报价，仍应参加计算相应分值。</w:t>
            </w:r>
          </w:p>
          <w:p w14:paraId="4132AD98">
            <w:pPr>
              <w:snapToGrid w:val="0"/>
              <w:spacing w:line="440" w:lineRule="atLeast"/>
              <w:ind w:firstLine="434" w:firstLineChars="207"/>
              <w:rPr>
                <w:rFonts w:hint="eastAsia" w:ascii="宋体" w:hAnsi="宋体" w:cs="宋体"/>
                <w:spacing w:val="1"/>
                <w:highlight w:val="none"/>
              </w:rPr>
            </w:pPr>
            <w:r>
              <w:rPr>
                <w:rStyle w:val="215"/>
                <w:rFonts w:hint="eastAsia" w:ascii="宋体" w:hAnsi="宋体" w:cs="宋体"/>
                <w:color w:val="000000"/>
                <w:highlight w:val="none"/>
              </w:rPr>
              <w:t>以上计算取小数点后两位，第三位四舍五入。</w:t>
            </w:r>
          </w:p>
        </w:tc>
      </w:tr>
      <w:tr w14:paraId="70964B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trPr>
        <w:tc>
          <w:tcPr>
            <w:tcW w:w="628" w:type="pct"/>
            <w:tcBorders>
              <w:right w:val="single" w:color="auto" w:sz="4" w:space="0"/>
            </w:tcBorders>
            <w:vAlign w:val="center"/>
          </w:tcPr>
          <w:p w14:paraId="6E04C7A5">
            <w:pPr>
              <w:spacing w:line="441" w:lineRule="exact"/>
              <w:jc w:val="center"/>
              <w:rPr>
                <w:rFonts w:hint="eastAsia" w:ascii="宋体" w:hAnsi="宋体" w:cs="宋体"/>
                <w:highlight w:val="none"/>
              </w:rPr>
            </w:pPr>
            <w:r>
              <w:rPr>
                <w:rFonts w:hint="eastAsia" w:ascii="宋体" w:hAnsi="宋体" w:cs="宋体"/>
                <w:highlight w:val="none"/>
              </w:rPr>
              <w:t>3.2.2</w:t>
            </w:r>
          </w:p>
        </w:tc>
        <w:tc>
          <w:tcPr>
            <w:tcW w:w="894" w:type="pct"/>
            <w:tcBorders>
              <w:left w:val="single" w:color="auto" w:sz="4" w:space="0"/>
              <w:right w:val="single" w:color="auto" w:sz="4" w:space="0"/>
            </w:tcBorders>
            <w:vAlign w:val="center"/>
          </w:tcPr>
          <w:p w14:paraId="486BFB7A">
            <w:pPr>
              <w:ind w:firstLine="18" w:firstLineChars="9"/>
              <w:jc w:val="center"/>
              <w:rPr>
                <w:rFonts w:hint="eastAsia" w:ascii="宋体" w:hAnsi="宋体" w:cs="宋体"/>
                <w:highlight w:val="none"/>
              </w:rPr>
            </w:pPr>
            <w:r>
              <w:rPr>
                <w:rFonts w:hint="eastAsia" w:ascii="宋体" w:hAnsi="宋体" w:cs="宋体"/>
                <w:highlight w:val="none"/>
              </w:rPr>
              <w:t>比选申请人得分</w:t>
            </w:r>
          </w:p>
        </w:tc>
        <w:tc>
          <w:tcPr>
            <w:tcW w:w="3477" w:type="pct"/>
            <w:gridSpan w:val="2"/>
            <w:tcBorders>
              <w:left w:val="single" w:color="auto" w:sz="4" w:space="0"/>
            </w:tcBorders>
          </w:tcPr>
          <w:p w14:paraId="719B5EF2">
            <w:pPr>
              <w:snapToGrid w:val="0"/>
              <w:spacing w:before="156" w:beforeLines="50" w:line="400" w:lineRule="atLeast"/>
              <w:jc w:val="center"/>
              <w:rPr>
                <w:rFonts w:hint="eastAsia" w:ascii="宋体" w:hAnsi="宋体" w:cs="宋体"/>
                <w:highlight w:val="none"/>
              </w:rPr>
            </w:pPr>
            <w:r>
              <w:rPr>
                <w:rFonts w:hint="eastAsia" w:ascii="宋体" w:hAnsi="宋体" w:cs="宋体"/>
                <w:b/>
                <w:kern w:val="0"/>
                <w:highlight w:val="none"/>
              </w:rPr>
              <w:t>比选申请人得分=A+B</w:t>
            </w:r>
          </w:p>
        </w:tc>
      </w:tr>
    </w:tbl>
    <w:p w14:paraId="50E5A719">
      <w:pPr>
        <w:pStyle w:val="3"/>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br w:type="page"/>
      </w:r>
      <w:bookmarkStart w:id="392" w:name="_Toc37837929"/>
      <w:bookmarkStart w:id="393" w:name="_Toc20113"/>
      <w:r>
        <w:rPr>
          <w:rFonts w:hint="eastAsia" w:ascii="宋体" w:hAnsi="宋体" w:eastAsia="宋体" w:cs="宋体"/>
          <w:sz w:val="21"/>
          <w:szCs w:val="21"/>
          <w:highlight w:val="none"/>
        </w:rPr>
        <w:t>1.  评标方法</w:t>
      </w:r>
      <w:bookmarkEnd w:id="392"/>
      <w:bookmarkEnd w:id="393"/>
    </w:p>
    <w:p w14:paraId="15483E87">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本次评标采用综合评估法，以比选申请人递交的纸质比选申请文件为评审依据</w:t>
      </w:r>
      <w:r>
        <w:rPr>
          <w:rFonts w:hint="eastAsia" w:ascii="宋体" w:hAnsi="宋体" w:cs="宋体"/>
          <w:spacing w:val="-47"/>
          <w:kern w:val="0"/>
          <w:highlight w:val="none"/>
        </w:rPr>
        <w:t>。</w:t>
      </w:r>
      <w:r>
        <w:rPr>
          <w:rFonts w:hint="eastAsia" w:ascii="宋体" w:hAnsi="宋体" w:cs="宋体"/>
          <w:kern w:val="0"/>
          <w:highlight w:val="none"/>
          <w:lang w:eastAsia="zh-CN"/>
        </w:rPr>
        <w:t>评审委员会</w:t>
      </w:r>
      <w:r>
        <w:rPr>
          <w:rFonts w:hint="eastAsia" w:ascii="宋体" w:hAnsi="宋体" w:cs="宋体"/>
          <w:kern w:val="0"/>
          <w:highlight w:val="none"/>
        </w:rPr>
        <w:t>对满足比选文件实质性要求的比选申请文件</w:t>
      </w:r>
      <w:r>
        <w:rPr>
          <w:rFonts w:hint="eastAsia" w:ascii="宋体" w:hAnsi="宋体" w:cs="宋体"/>
          <w:spacing w:val="-47"/>
          <w:kern w:val="0"/>
          <w:highlight w:val="none"/>
        </w:rPr>
        <w:t>，</w:t>
      </w:r>
      <w:r>
        <w:rPr>
          <w:rFonts w:hint="eastAsia" w:ascii="宋体" w:hAnsi="宋体" w:cs="宋体"/>
          <w:kern w:val="0"/>
          <w:highlight w:val="none"/>
        </w:rPr>
        <w:t>按照本章</w:t>
      </w:r>
      <w:r>
        <w:rPr>
          <w:rFonts w:hint="eastAsia" w:ascii="宋体" w:hAnsi="宋体" w:cs="宋体"/>
          <w:spacing w:val="-1"/>
          <w:kern w:val="0"/>
          <w:highlight w:val="none"/>
        </w:rPr>
        <w:t>规</w:t>
      </w:r>
      <w:r>
        <w:rPr>
          <w:rFonts w:hint="eastAsia" w:ascii="宋体" w:hAnsi="宋体" w:cs="宋体"/>
          <w:kern w:val="0"/>
          <w:highlight w:val="none"/>
        </w:rPr>
        <w:t>定的评分标准进行打分</w:t>
      </w:r>
      <w:r>
        <w:rPr>
          <w:rFonts w:hint="eastAsia" w:ascii="宋体" w:hAnsi="宋体" w:cs="宋体"/>
          <w:spacing w:val="-20"/>
          <w:kern w:val="0"/>
          <w:highlight w:val="none"/>
        </w:rPr>
        <w:t>，</w:t>
      </w:r>
      <w:r>
        <w:rPr>
          <w:rFonts w:hint="eastAsia" w:ascii="宋体" w:hAnsi="宋体" w:cs="宋体"/>
          <w:kern w:val="0"/>
          <w:highlight w:val="none"/>
        </w:rPr>
        <w:t>并按得分由高到低顺序推荐中标候选人</w:t>
      </w:r>
      <w:r>
        <w:rPr>
          <w:rFonts w:hint="eastAsia" w:ascii="宋体" w:hAnsi="宋体" w:cs="宋体"/>
          <w:spacing w:val="-20"/>
          <w:kern w:val="0"/>
          <w:highlight w:val="none"/>
        </w:rPr>
        <w:t>，</w:t>
      </w:r>
      <w:r>
        <w:rPr>
          <w:rFonts w:hint="eastAsia" w:ascii="宋体" w:hAnsi="宋体" w:cs="宋体"/>
          <w:kern w:val="0"/>
          <w:highlight w:val="none"/>
        </w:rPr>
        <w:t>但</w:t>
      </w:r>
      <w:r>
        <w:rPr>
          <w:rFonts w:hint="eastAsia" w:ascii="宋体" w:hAnsi="宋体" w:cs="宋体"/>
          <w:kern w:val="0"/>
          <w:highlight w:val="none"/>
          <w:lang w:val="en-US" w:eastAsia="zh-CN"/>
        </w:rPr>
        <w:t>比选申请</w:t>
      </w:r>
      <w:r>
        <w:rPr>
          <w:rFonts w:hint="eastAsia" w:ascii="宋体" w:hAnsi="宋体" w:cs="宋体"/>
          <w:kern w:val="0"/>
          <w:highlight w:val="none"/>
        </w:rPr>
        <w:t>报价低于其成本的除外</w:t>
      </w:r>
      <w:r>
        <w:rPr>
          <w:rFonts w:hint="eastAsia" w:ascii="宋体" w:hAnsi="宋体" w:cs="宋体"/>
          <w:spacing w:val="-31"/>
          <w:kern w:val="0"/>
          <w:highlight w:val="none"/>
        </w:rPr>
        <w:t>。</w:t>
      </w:r>
      <w:r>
        <w:rPr>
          <w:rFonts w:hint="eastAsia" w:ascii="宋体" w:hAnsi="宋体" w:cs="宋体"/>
          <w:kern w:val="0"/>
          <w:highlight w:val="none"/>
        </w:rPr>
        <w:t>评</w:t>
      </w:r>
      <w:r>
        <w:rPr>
          <w:rFonts w:hint="eastAsia" w:ascii="宋体" w:hAnsi="宋体" w:cs="宋体"/>
          <w:kern w:val="0"/>
          <w:highlight w:val="none"/>
          <w:lang w:val="en-US" w:eastAsia="zh-CN"/>
        </w:rPr>
        <w:t>审</w:t>
      </w:r>
      <w:r>
        <w:rPr>
          <w:rFonts w:hint="eastAsia" w:ascii="宋体" w:hAnsi="宋体" w:cs="宋体"/>
          <w:kern w:val="0"/>
          <w:highlight w:val="none"/>
        </w:rPr>
        <w:t>得分相等时，</w:t>
      </w:r>
      <w:r>
        <w:rPr>
          <w:rFonts w:hint="eastAsia" w:ascii="宋体" w:hAnsi="宋体" w:cs="宋体"/>
          <w:kern w:val="0"/>
          <w:highlight w:val="none"/>
          <w:lang w:eastAsia="zh-CN"/>
        </w:rPr>
        <w:t>评审委员会</w:t>
      </w:r>
      <w:r>
        <w:rPr>
          <w:rFonts w:hint="eastAsia" w:ascii="宋体" w:hAnsi="宋体" w:cs="宋体"/>
          <w:kern w:val="0"/>
          <w:highlight w:val="none"/>
        </w:rPr>
        <w:t>依次按照以下优先顺序推荐中标候选人：</w:t>
      </w:r>
    </w:p>
    <w:p w14:paraId="0F938FB9">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 xml:space="preserve">（1）技术得分高的优先； </w:t>
      </w:r>
    </w:p>
    <w:p w14:paraId="2AFD550B">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（2）商务得分高的优先；</w:t>
      </w:r>
    </w:p>
    <w:p w14:paraId="61758734">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（3）</w:t>
      </w:r>
      <w:r>
        <w:rPr>
          <w:rFonts w:hint="eastAsia" w:ascii="宋体" w:hAnsi="宋体" w:cs="宋体"/>
          <w:kern w:val="0"/>
          <w:highlight w:val="none"/>
          <w:lang w:val="en-US" w:eastAsia="zh-CN"/>
        </w:rPr>
        <w:t>比选申请总</w:t>
      </w:r>
      <w:r>
        <w:rPr>
          <w:rFonts w:hint="eastAsia" w:ascii="宋体" w:hAnsi="宋体" w:cs="宋体"/>
          <w:kern w:val="0"/>
          <w:highlight w:val="none"/>
        </w:rPr>
        <w:t>报价低的优先；</w:t>
      </w:r>
    </w:p>
    <w:p w14:paraId="49EB23CD">
      <w:pPr>
        <w:spacing w:line="360" w:lineRule="auto"/>
        <w:ind w:firstLine="420" w:firstLineChars="200"/>
        <w:rPr>
          <w:rFonts w:hint="eastAsia" w:ascii="宋体" w:hAnsi="宋体" w:cs="宋体"/>
          <w:highlight w:val="none"/>
        </w:rPr>
      </w:pPr>
      <w:r>
        <w:rPr>
          <w:rFonts w:hint="eastAsia" w:ascii="宋体" w:hAnsi="宋体" w:cs="宋体"/>
          <w:kern w:val="0"/>
          <w:highlight w:val="none"/>
        </w:rPr>
        <w:t>（4）</w:t>
      </w:r>
      <w:r>
        <w:rPr>
          <w:rFonts w:hint="eastAsia" w:ascii="宋体" w:hAnsi="宋体" w:cs="宋体"/>
          <w:kern w:val="0"/>
          <w:highlight w:val="none"/>
          <w:lang w:eastAsia="zh-CN"/>
        </w:rPr>
        <w:t>评审委员会</w:t>
      </w:r>
      <w:r>
        <w:rPr>
          <w:rFonts w:hint="eastAsia" w:ascii="宋体" w:hAnsi="宋体" w:cs="宋体"/>
          <w:kern w:val="0"/>
          <w:highlight w:val="none"/>
        </w:rPr>
        <w:t>投票决定。</w:t>
      </w:r>
    </w:p>
    <w:p w14:paraId="5CC95539">
      <w:pPr>
        <w:pStyle w:val="3"/>
        <w:rPr>
          <w:rFonts w:hint="eastAsia" w:ascii="宋体" w:hAnsi="宋体" w:eastAsia="宋体" w:cs="宋体"/>
          <w:sz w:val="21"/>
          <w:szCs w:val="21"/>
          <w:highlight w:val="none"/>
        </w:rPr>
      </w:pPr>
      <w:bookmarkStart w:id="394" w:name="_Toc10968"/>
      <w:bookmarkStart w:id="395" w:name="_Toc37837930"/>
      <w:r>
        <w:rPr>
          <w:rFonts w:hint="eastAsia" w:ascii="宋体" w:hAnsi="宋体" w:eastAsia="宋体" w:cs="宋体"/>
          <w:sz w:val="21"/>
          <w:szCs w:val="21"/>
          <w:highlight w:val="none"/>
        </w:rPr>
        <w:t>2.  评审标准</w:t>
      </w:r>
      <w:bookmarkEnd w:id="394"/>
      <w:bookmarkEnd w:id="395"/>
    </w:p>
    <w:p w14:paraId="32D75F2C">
      <w:pPr>
        <w:spacing w:line="360" w:lineRule="auto"/>
        <w:rPr>
          <w:rFonts w:hint="eastAsia" w:ascii="宋体" w:hAnsi="宋体" w:cs="宋体"/>
          <w:highlight w:val="none"/>
        </w:rPr>
      </w:pPr>
      <w:bookmarkStart w:id="396" w:name="_Toc485580551"/>
      <w:bookmarkStart w:id="397" w:name="_Toc419122822"/>
      <w:bookmarkStart w:id="398" w:name="_Toc300754714"/>
      <w:bookmarkStart w:id="399" w:name="_Toc200513200"/>
      <w:bookmarkStart w:id="400" w:name="_Toc237171530"/>
      <w:bookmarkStart w:id="401" w:name="_Toc500104025"/>
      <w:bookmarkStart w:id="402" w:name="_Toc485580642"/>
      <w:bookmarkStart w:id="403" w:name="_Toc241483912"/>
      <w:bookmarkStart w:id="404" w:name="_Toc224103386"/>
      <w:bookmarkStart w:id="405" w:name="_Toc37837932"/>
      <w:bookmarkStart w:id="406" w:name="_Toc11348"/>
      <w:bookmarkStart w:id="407" w:name="_Toc33035649"/>
      <w:r>
        <w:rPr>
          <w:rFonts w:hint="eastAsia" w:ascii="宋体" w:hAnsi="宋体" w:cs="宋体"/>
          <w:highlight w:val="none"/>
        </w:rPr>
        <w:t>2.1  初步评审标准</w:t>
      </w:r>
      <w:bookmarkEnd w:id="396"/>
      <w:bookmarkEnd w:id="397"/>
      <w:bookmarkEnd w:id="398"/>
      <w:bookmarkEnd w:id="399"/>
      <w:bookmarkEnd w:id="400"/>
      <w:bookmarkEnd w:id="401"/>
      <w:bookmarkEnd w:id="402"/>
      <w:bookmarkEnd w:id="403"/>
      <w:bookmarkEnd w:id="404"/>
    </w:p>
    <w:p w14:paraId="0B6AF14E">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2.1.1  形式评审标准：见评标办法前附表。</w:t>
      </w:r>
    </w:p>
    <w:p w14:paraId="20B7FA68">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2.1.2  资格评审标准：见评标办法前附表</w:t>
      </w:r>
    </w:p>
    <w:p w14:paraId="4D0E1CAE">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2.1.3  响应性评审标准：见评标办法前附表。</w:t>
      </w:r>
    </w:p>
    <w:p w14:paraId="316F2231">
      <w:pPr>
        <w:spacing w:line="360" w:lineRule="auto"/>
        <w:rPr>
          <w:rFonts w:hint="eastAsia" w:ascii="宋体" w:hAnsi="宋体" w:cs="宋体"/>
          <w:highlight w:val="none"/>
        </w:rPr>
      </w:pPr>
      <w:bookmarkStart w:id="408" w:name="_Toc237171531"/>
      <w:bookmarkStart w:id="409" w:name="_Toc241483913"/>
      <w:bookmarkStart w:id="410" w:name="_Toc500104026"/>
      <w:bookmarkStart w:id="411" w:name="_Toc224103387"/>
      <w:bookmarkStart w:id="412" w:name="_Toc300754715"/>
      <w:bookmarkStart w:id="413" w:name="_Toc200513201"/>
      <w:bookmarkStart w:id="414" w:name="_Toc419122823"/>
      <w:bookmarkStart w:id="415" w:name="_Toc485580552"/>
      <w:bookmarkStart w:id="416" w:name="_Toc485580643"/>
      <w:r>
        <w:rPr>
          <w:rFonts w:hint="eastAsia" w:ascii="宋体" w:hAnsi="宋体" w:cs="宋体"/>
          <w:highlight w:val="none"/>
        </w:rPr>
        <w:t>2.2  分值构成与评分标准</w:t>
      </w:r>
      <w:bookmarkEnd w:id="408"/>
      <w:bookmarkEnd w:id="409"/>
      <w:bookmarkEnd w:id="410"/>
      <w:bookmarkEnd w:id="411"/>
      <w:bookmarkEnd w:id="412"/>
      <w:bookmarkEnd w:id="413"/>
      <w:bookmarkEnd w:id="414"/>
      <w:bookmarkEnd w:id="415"/>
      <w:bookmarkEnd w:id="416"/>
    </w:p>
    <w:p w14:paraId="0F7F899F">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2.2.1  分值构成</w:t>
      </w:r>
    </w:p>
    <w:p w14:paraId="2ACF47BE">
      <w:pPr>
        <w:autoSpaceDE w:val="0"/>
        <w:autoSpaceDN w:val="0"/>
        <w:adjustRightInd w:val="0"/>
        <w:snapToGrid w:val="0"/>
        <w:spacing w:line="360" w:lineRule="auto"/>
        <w:ind w:left="896" w:leftChars="258" w:hanging="354" w:hangingChars="169"/>
        <w:jc w:val="left"/>
        <w:rPr>
          <w:rFonts w:hint="eastAsia" w:ascii="宋体" w:hAnsi="宋体" w:cs="宋体"/>
          <w:kern w:val="0"/>
          <w:highlight w:val="none"/>
        </w:rPr>
      </w:pPr>
      <w:r>
        <w:rPr>
          <w:rFonts w:hint="eastAsia" w:ascii="宋体" w:hAnsi="宋体" w:cs="宋体"/>
          <w:kern w:val="0"/>
          <w:highlight w:val="none"/>
          <w:lang w:val="en-US" w:eastAsia="zh-CN"/>
        </w:rPr>
        <w:t>比选申请</w:t>
      </w:r>
      <w:r>
        <w:rPr>
          <w:rFonts w:hint="eastAsia" w:ascii="宋体" w:hAnsi="宋体" w:cs="宋体"/>
          <w:spacing w:val="-1"/>
          <w:kern w:val="0"/>
          <w:highlight w:val="none"/>
        </w:rPr>
        <w:t>报</w:t>
      </w:r>
      <w:r>
        <w:rPr>
          <w:rFonts w:hint="eastAsia" w:ascii="宋体" w:hAnsi="宋体" w:cs="宋体"/>
          <w:kern w:val="0"/>
          <w:highlight w:val="none"/>
        </w:rPr>
        <w:t>价：见评标办法前附表；</w:t>
      </w:r>
    </w:p>
    <w:p w14:paraId="6D001997">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2.2.2  评标基准价计算</w:t>
      </w:r>
    </w:p>
    <w:p w14:paraId="37E2A054">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评标基准价计算方法：见评标办法前附表。</w:t>
      </w:r>
    </w:p>
    <w:p w14:paraId="0C2D94B4">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2.2.3  评分标准</w:t>
      </w:r>
    </w:p>
    <w:p w14:paraId="4BAE7D3B">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lang w:eastAsia="zh-CN"/>
        </w:rPr>
        <w:t>比选申请总报价</w:t>
      </w:r>
      <w:r>
        <w:rPr>
          <w:rFonts w:hint="eastAsia" w:ascii="宋体" w:hAnsi="宋体" w:cs="宋体"/>
          <w:kern w:val="0"/>
          <w:highlight w:val="none"/>
        </w:rPr>
        <w:t>评分标准：见评标办法前附表；</w:t>
      </w:r>
    </w:p>
    <w:bookmarkEnd w:id="405"/>
    <w:bookmarkEnd w:id="406"/>
    <w:bookmarkEnd w:id="407"/>
    <w:p w14:paraId="000710FC">
      <w:pPr>
        <w:pStyle w:val="4"/>
        <w:spacing w:before="0" w:line="360" w:lineRule="auto"/>
        <w:rPr>
          <w:rFonts w:hint="eastAsia" w:ascii="宋体" w:hAnsi="宋体" w:eastAsia="宋体" w:cs="宋体"/>
          <w:sz w:val="21"/>
          <w:szCs w:val="21"/>
          <w:highlight w:val="none"/>
        </w:rPr>
      </w:pPr>
      <w:bookmarkStart w:id="417" w:name="_Toc20181"/>
      <w:bookmarkStart w:id="418" w:name="_Toc37837933"/>
      <w:r>
        <w:rPr>
          <w:rFonts w:hint="eastAsia" w:ascii="宋体" w:hAnsi="宋体" w:eastAsia="宋体" w:cs="宋体"/>
          <w:sz w:val="21"/>
          <w:szCs w:val="21"/>
          <w:highlight w:val="none"/>
        </w:rPr>
        <w:t>3.  评标程序</w:t>
      </w:r>
      <w:bookmarkEnd w:id="417"/>
      <w:bookmarkEnd w:id="418"/>
    </w:p>
    <w:p w14:paraId="2A235124">
      <w:pPr>
        <w:spacing w:line="360" w:lineRule="auto"/>
        <w:rPr>
          <w:rFonts w:hint="eastAsia" w:ascii="宋体" w:hAnsi="宋体" w:cs="宋体"/>
          <w:highlight w:val="none"/>
        </w:rPr>
      </w:pPr>
      <w:bookmarkStart w:id="419" w:name="_Toc485580554"/>
      <w:bookmarkStart w:id="420" w:name="_Toc300754717"/>
      <w:bookmarkStart w:id="421" w:name="_Toc500104028"/>
      <w:bookmarkStart w:id="422" w:name="_Toc200513203"/>
      <w:bookmarkStart w:id="423" w:name="_Toc485580645"/>
      <w:bookmarkStart w:id="424" w:name="_Toc419122825"/>
      <w:bookmarkStart w:id="425" w:name="_Toc224103389"/>
      <w:bookmarkStart w:id="426" w:name="_Toc237171533"/>
      <w:bookmarkStart w:id="427" w:name="_Toc241483915"/>
      <w:bookmarkStart w:id="428" w:name="_Toc33035654"/>
      <w:bookmarkStart w:id="429" w:name="_Toc37837937"/>
      <w:bookmarkStart w:id="430" w:name="_Toc484465184"/>
      <w:bookmarkStart w:id="431" w:name="_Toc479262406"/>
      <w:bookmarkStart w:id="432" w:name="_Toc11704"/>
      <w:r>
        <w:rPr>
          <w:rFonts w:hint="eastAsia" w:ascii="宋体" w:hAnsi="宋体" w:cs="宋体"/>
          <w:highlight w:val="none"/>
        </w:rPr>
        <w:t>3.1  初步评审</w:t>
      </w:r>
      <w:bookmarkEnd w:id="419"/>
      <w:bookmarkEnd w:id="420"/>
      <w:bookmarkEnd w:id="421"/>
      <w:bookmarkEnd w:id="422"/>
      <w:bookmarkEnd w:id="423"/>
      <w:bookmarkEnd w:id="424"/>
      <w:bookmarkEnd w:id="425"/>
      <w:bookmarkEnd w:id="426"/>
      <w:bookmarkEnd w:id="427"/>
    </w:p>
    <w:p w14:paraId="27EC9165">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3.1.1  </w:t>
      </w:r>
      <w:r>
        <w:rPr>
          <w:rFonts w:hint="eastAsia" w:ascii="宋体" w:hAnsi="宋体" w:cs="宋体"/>
          <w:kern w:val="0"/>
          <w:highlight w:val="none"/>
          <w:lang w:eastAsia="zh-CN"/>
        </w:rPr>
        <w:t>评审委员会</w:t>
      </w:r>
      <w:r>
        <w:rPr>
          <w:rFonts w:hint="eastAsia" w:ascii="宋体" w:hAnsi="宋体" w:cs="宋体"/>
          <w:kern w:val="0"/>
          <w:highlight w:val="none"/>
        </w:rPr>
        <w:t>可以要求比选申请人提交第二章“比选申请人须知” 各项规定的有关证明和证件的原件，以便核验。</w:t>
      </w:r>
      <w:r>
        <w:rPr>
          <w:rFonts w:hint="eastAsia" w:ascii="宋体" w:hAnsi="宋体" w:cs="宋体"/>
          <w:kern w:val="0"/>
          <w:highlight w:val="none"/>
          <w:lang w:eastAsia="zh-CN"/>
        </w:rPr>
        <w:t>评审委员会</w:t>
      </w:r>
      <w:r>
        <w:rPr>
          <w:rFonts w:hint="eastAsia" w:ascii="宋体" w:hAnsi="宋体" w:cs="宋体"/>
          <w:kern w:val="0"/>
          <w:highlight w:val="none"/>
        </w:rPr>
        <w:t>依据本章规定的标准对比选申请文件进行初步评审。有一项不符合评审标准的，作否决投标处理，资格后审不合格。</w:t>
      </w:r>
    </w:p>
    <w:p w14:paraId="3992A376">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3.1.2  比选申请人有以下情形之一的，其投标作否决投标处理：</w:t>
      </w:r>
    </w:p>
    <w:p w14:paraId="4995C28E">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（1）第二章“比选申请人须知”第 1.4.3 项规定的任何一种情形的；</w:t>
      </w:r>
    </w:p>
    <w:p w14:paraId="11558F84">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（2）串通投标或弄虚作假或有其他违法行为的；</w:t>
      </w:r>
    </w:p>
    <w:p w14:paraId="1A6F6AD6">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（3）不按</w:t>
      </w:r>
      <w:r>
        <w:rPr>
          <w:rFonts w:hint="eastAsia" w:ascii="宋体" w:hAnsi="宋体" w:cs="宋体"/>
          <w:kern w:val="0"/>
          <w:highlight w:val="none"/>
          <w:lang w:eastAsia="zh-CN"/>
        </w:rPr>
        <w:t>评审委员会</w:t>
      </w:r>
      <w:r>
        <w:rPr>
          <w:rFonts w:hint="eastAsia" w:ascii="宋体" w:hAnsi="宋体" w:cs="宋体"/>
          <w:kern w:val="0"/>
          <w:highlight w:val="none"/>
        </w:rPr>
        <w:t>要求澄清、说明或补正的；</w:t>
      </w:r>
    </w:p>
    <w:p w14:paraId="3F6249D7">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（4）比选文件约定的其他情形。</w:t>
      </w:r>
    </w:p>
    <w:p w14:paraId="38B79C7D">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3.1.3  </w:t>
      </w:r>
      <w:r>
        <w:rPr>
          <w:rFonts w:hint="eastAsia" w:ascii="宋体" w:hAnsi="宋体" w:cs="宋体"/>
          <w:kern w:val="0"/>
          <w:highlight w:val="none"/>
          <w:lang w:eastAsia="zh-CN"/>
        </w:rPr>
        <w:t>比选申请总报价</w:t>
      </w:r>
      <w:r>
        <w:rPr>
          <w:rFonts w:hint="eastAsia" w:ascii="宋体" w:hAnsi="宋体" w:cs="宋体"/>
          <w:kern w:val="0"/>
          <w:highlight w:val="none"/>
        </w:rPr>
        <w:t>有算术错误的，</w:t>
      </w:r>
      <w:r>
        <w:rPr>
          <w:rFonts w:hint="eastAsia" w:ascii="宋体" w:hAnsi="宋体" w:cs="宋体"/>
          <w:kern w:val="0"/>
          <w:highlight w:val="none"/>
          <w:lang w:eastAsia="zh-CN"/>
        </w:rPr>
        <w:t>评审委员会</w:t>
      </w:r>
      <w:r>
        <w:rPr>
          <w:rFonts w:hint="eastAsia" w:ascii="宋体" w:hAnsi="宋体" w:cs="宋体"/>
          <w:kern w:val="0"/>
          <w:highlight w:val="none"/>
        </w:rPr>
        <w:t>按以下原则对</w:t>
      </w:r>
      <w:r>
        <w:rPr>
          <w:rFonts w:hint="eastAsia" w:ascii="宋体" w:hAnsi="宋体" w:cs="宋体"/>
          <w:kern w:val="0"/>
          <w:highlight w:val="none"/>
          <w:lang w:eastAsia="zh-CN"/>
        </w:rPr>
        <w:t>比选申请总报价</w:t>
      </w:r>
      <w:r>
        <w:rPr>
          <w:rFonts w:hint="eastAsia" w:ascii="宋体" w:hAnsi="宋体" w:cs="宋体"/>
          <w:kern w:val="0"/>
          <w:highlight w:val="none"/>
        </w:rPr>
        <w:t>进行修正，修正的价格经比选申请人书面确认后具有约束力。比选申请人不接受修正价格的，其投标作否决投标处理。</w:t>
      </w:r>
    </w:p>
    <w:p w14:paraId="76FB4A03">
      <w:pPr>
        <w:autoSpaceDE w:val="0"/>
        <w:autoSpaceDN w:val="0"/>
        <w:adjustRightInd w:val="0"/>
        <w:snapToGrid w:val="0"/>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w:t>
      </w:r>
      <w:r>
        <w:rPr>
          <w:rFonts w:hint="eastAsia" w:ascii="宋体" w:hAnsi="宋体" w:cs="宋体"/>
          <w:spacing w:val="1"/>
          <w:kern w:val="0"/>
          <w:highlight w:val="none"/>
        </w:rPr>
        <w:t>1</w:t>
      </w:r>
      <w:r>
        <w:rPr>
          <w:rFonts w:hint="eastAsia" w:ascii="宋体" w:hAnsi="宋体" w:cs="宋体"/>
          <w:kern w:val="0"/>
          <w:highlight w:val="none"/>
        </w:rPr>
        <w:t>）比选申请文件中的大写金额与小写金额不一致的，以大写金额为准；</w:t>
      </w:r>
    </w:p>
    <w:p w14:paraId="215356CB">
      <w:pPr>
        <w:autoSpaceDE w:val="0"/>
        <w:autoSpaceDN w:val="0"/>
        <w:adjustRightInd w:val="0"/>
        <w:snapToGrid w:val="0"/>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（2）数字表示的数额与用文字表示的数额不一致时，以文字数额为准；</w:t>
      </w:r>
    </w:p>
    <w:p w14:paraId="15356D69">
      <w:pPr>
        <w:autoSpaceDE w:val="0"/>
        <w:autoSpaceDN w:val="0"/>
        <w:adjustRightInd w:val="0"/>
        <w:snapToGrid w:val="0"/>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（3）单价与总价之间不一致时，应以总价为准，并修改单价；</w:t>
      </w:r>
    </w:p>
    <w:p w14:paraId="3DB30972">
      <w:pPr>
        <w:spacing w:line="360" w:lineRule="auto"/>
        <w:rPr>
          <w:rFonts w:hint="eastAsia" w:ascii="宋体" w:hAnsi="宋体" w:cs="宋体"/>
          <w:highlight w:val="none"/>
        </w:rPr>
      </w:pPr>
      <w:bookmarkStart w:id="433" w:name="_Toc241483916"/>
      <w:bookmarkStart w:id="434" w:name="_Toc485580646"/>
      <w:bookmarkStart w:id="435" w:name="_Toc237171534"/>
      <w:bookmarkStart w:id="436" w:name="_Toc485580555"/>
      <w:bookmarkStart w:id="437" w:name="_Toc419122826"/>
      <w:bookmarkStart w:id="438" w:name="_Toc300754718"/>
      <w:bookmarkStart w:id="439" w:name="_Toc224103390"/>
      <w:bookmarkStart w:id="440" w:name="_Toc200513204"/>
      <w:bookmarkStart w:id="441" w:name="_Toc500104029"/>
      <w:r>
        <w:rPr>
          <w:rFonts w:hint="eastAsia" w:ascii="宋体" w:hAnsi="宋体" w:cs="宋体"/>
          <w:highlight w:val="none"/>
        </w:rPr>
        <w:t>3.2  详细评审</w:t>
      </w:r>
      <w:bookmarkEnd w:id="433"/>
      <w:bookmarkEnd w:id="434"/>
      <w:bookmarkEnd w:id="435"/>
      <w:bookmarkEnd w:id="436"/>
      <w:bookmarkEnd w:id="437"/>
      <w:bookmarkEnd w:id="438"/>
      <w:bookmarkEnd w:id="439"/>
      <w:bookmarkEnd w:id="440"/>
      <w:bookmarkEnd w:id="441"/>
    </w:p>
    <w:p w14:paraId="187E2C04">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3.2.1  </w:t>
      </w:r>
      <w:r>
        <w:rPr>
          <w:rFonts w:hint="eastAsia" w:ascii="宋体" w:hAnsi="宋体" w:cs="宋体"/>
          <w:kern w:val="0"/>
          <w:highlight w:val="none"/>
          <w:lang w:eastAsia="zh-CN"/>
        </w:rPr>
        <w:t>评审委员会</w:t>
      </w:r>
      <w:r>
        <w:rPr>
          <w:rFonts w:hint="eastAsia" w:ascii="宋体" w:hAnsi="宋体" w:cs="宋体"/>
          <w:kern w:val="0"/>
          <w:highlight w:val="none"/>
        </w:rPr>
        <w:t>按本章规定的量化因素和分值进行打分，并计算出综合评估得分。</w:t>
      </w:r>
    </w:p>
    <w:p w14:paraId="3B6B4183">
      <w:pPr>
        <w:autoSpaceDE w:val="0"/>
        <w:autoSpaceDN w:val="0"/>
        <w:adjustRightInd w:val="0"/>
        <w:snapToGrid w:val="0"/>
        <w:spacing w:line="360" w:lineRule="auto"/>
        <w:ind w:firstLine="532"/>
        <w:jc w:val="left"/>
        <w:rPr>
          <w:rFonts w:hint="eastAsia" w:ascii="宋体" w:hAnsi="宋体" w:cs="宋体"/>
          <w:kern w:val="0"/>
          <w:highlight w:val="none"/>
        </w:rPr>
      </w:pPr>
      <w:r>
        <w:rPr>
          <w:rFonts w:hint="eastAsia" w:ascii="宋体" w:hAnsi="宋体" w:cs="宋体"/>
          <w:kern w:val="0"/>
          <w:highlight w:val="none"/>
        </w:rPr>
        <w:t>（1）按本章评标办法前附表规定的评审因素和分值对技术部分计算出得分A；</w:t>
      </w:r>
    </w:p>
    <w:p w14:paraId="1CBD10F0">
      <w:pPr>
        <w:autoSpaceDE w:val="0"/>
        <w:autoSpaceDN w:val="0"/>
        <w:adjustRightInd w:val="0"/>
        <w:snapToGrid w:val="0"/>
        <w:spacing w:line="360" w:lineRule="auto"/>
        <w:ind w:firstLine="532"/>
        <w:jc w:val="left"/>
        <w:rPr>
          <w:rFonts w:hint="eastAsia" w:ascii="宋体" w:hAnsi="宋体" w:cs="宋体"/>
          <w:kern w:val="0"/>
          <w:highlight w:val="none"/>
        </w:rPr>
      </w:pPr>
      <w:r>
        <w:rPr>
          <w:rFonts w:hint="eastAsia" w:ascii="宋体" w:hAnsi="宋体" w:cs="宋体"/>
          <w:kern w:val="0"/>
          <w:highlight w:val="none"/>
        </w:rPr>
        <w:t>（2）按本章评标办法前附表规定的评审因素和分值对</w:t>
      </w:r>
      <w:r>
        <w:rPr>
          <w:rFonts w:hint="eastAsia" w:ascii="宋体" w:hAnsi="宋体" w:cs="宋体"/>
          <w:kern w:val="0"/>
          <w:highlight w:val="none"/>
          <w:lang w:eastAsia="zh-CN"/>
        </w:rPr>
        <w:t>比选申请总报价</w:t>
      </w:r>
      <w:r>
        <w:rPr>
          <w:rFonts w:hint="eastAsia" w:ascii="宋体" w:hAnsi="宋体" w:cs="宋体"/>
          <w:kern w:val="0"/>
          <w:highlight w:val="none"/>
        </w:rPr>
        <w:t>计算出得分B；</w:t>
      </w:r>
    </w:p>
    <w:p w14:paraId="1C3F9291">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3.2.2  评分分值计算保留小数点后两位，小数点后第三位“四舍五入”。</w:t>
      </w:r>
    </w:p>
    <w:p w14:paraId="4DE6942D">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3.2.3  比选申请人得分=A+B</w:t>
      </w:r>
    </w:p>
    <w:p w14:paraId="21CF5179">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3.2.4 </w:t>
      </w:r>
      <w:r>
        <w:rPr>
          <w:rFonts w:hint="eastAsia" w:ascii="宋体" w:hAnsi="宋体" w:cs="宋体"/>
          <w:kern w:val="0"/>
          <w:highlight w:val="none"/>
          <w:lang w:eastAsia="zh-CN"/>
        </w:rPr>
        <w:t>评审委员会</w:t>
      </w:r>
      <w:r>
        <w:rPr>
          <w:rFonts w:hint="eastAsia" w:ascii="宋体" w:hAnsi="宋体" w:cs="宋体"/>
          <w:kern w:val="0"/>
          <w:highlight w:val="none"/>
        </w:rPr>
        <w:t>发现比选申请人的报价明显低于其他</w:t>
      </w:r>
      <w:r>
        <w:rPr>
          <w:rFonts w:hint="eastAsia" w:ascii="宋体" w:hAnsi="宋体" w:cs="宋体"/>
          <w:kern w:val="0"/>
          <w:highlight w:val="none"/>
          <w:lang w:eastAsia="zh-CN"/>
        </w:rPr>
        <w:t>比选申请总报价</w:t>
      </w:r>
      <w:r>
        <w:rPr>
          <w:rFonts w:hint="eastAsia" w:ascii="宋体" w:hAnsi="宋体" w:cs="宋体"/>
          <w:kern w:val="0"/>
          <w:highlight w:val="none"/>
        </w:rPr>
        <w:t>，或者在设有标底时明显低于标底，使得其</w:t>
      </w:r>
      <w:r>
        <w:rPr>
          <w:rFonts w:hint="eastAsia" w:ascii="宋体" w:hAnsi="宋体" w:cs="宋体"/>
          <w:kern w:val="0"/>
          <w:highlight w:val="none"/>
          <w:lang w:eastAsia="zh-CN"/>
        </w:rPr>
        <w:t>比选申请总报价</w:t>
      </w:r>
      <w:r>
        <w:rPr>
          <w:rFonts w:hint="eastAsia" w:ascii="宋体" w:hAnsi="宋体" w:cs="宋体"/>
          <w:kern w:val="0"/>
          <w:highlight w:val="none"/>
        </w:rPr>
        <w:t>可能低于其个别成本的，应当要求该比选申请人做出书面说明并提供相应的证明材料。比选申请人不能合理说明或者不能提供相应证明材料的，由</w:t>
      </w:r>
      <w:r>
        <w:rPr>
          <w:rFonts w:hint="eastAsia" w:ascii="宋体" w:hAnsi="宋体" w:cs="宋体"/>
          <w:kern w:val="0"/>
          <w:highlight w:val="none"/>
          <w:lang w:eastAsia="zh-CN"/>
        </w:rPr>
        <w:t>评审委员会</w:t>
      </w:r>
      <w:r>
        <w:rPr>
          <w:rFonts w:hint="eastAsia" w:ascii="宋体" w:hAnsi="宋体" w:cs="宋体"/>
          <w:kern w:val="0"/>
          <w:highlight w:val="none"/>
        </w:rPr>
        <w:t>认定该比选申请人以低于成本报价竞标，其</w:t>
      </w:r>
      <w:r>
        <w:rPr>
          <w:rFonts w:hint="eastAsia" w:ascii="宋体" w:hAnsi="宋体" w:cs="宋体"/>
          <w:kern w:val="0"/>
          <w:highlight w:val="none"/>
          <w:lang w:val="en-US" w:eastAsia="zh-CN"/>
        </w:rPr>
        <w:t>比选申请</w:t>
      </w:r>
      <w:r>
        <w:rPr>
          <w:rFonts w:hint="eastAsia" w:ascii="宋体" w:hAnsi="宋体" w:cs="宋体"/>
          <w:kern w:val="0"/>
          <w:highlight w:val="none"/>
        </w:rPr>
        <w:t>作否决投标处理。</w:t>
      </w:r>
    </w:p>
    <w:p w14:paraId="2975619B">
      <w:pPr>
        <w:spacing w:line="360" w:lineRule="auto"/>
        <w:rPr>
          <w:rFonts w:hint="eastAsia" w:ascii="宋体" w:hAnsi="宋体" w:cs="宋体"/>
          <w:highlight w:val="none"/>
        </w:rPr>
      </w:pPr>
      <w:r>
        <w:rPr>
          <w:rFonts w:hint="eastAsia" w:ascii="宋体" w:hAnsi="宋体" w:cs="宋体"/>
          <w:highlight w:val="none"/>
        </w:rPr>
        <w:t xml:space="preserve"> </w:t>
      </w:r>
      <w:bookmarkStart w:id="442" w:name="_Toc237171535"/>
      <w:bookmarkStart w:id="443" w:name="_Toc485580556"/>
      <w:bookmarkStart w:id="444" w:name="_Toc500104030"/>
      <w:bookmarkStart w:id="445" w:name="_Toc300754719"/>
      <w:bookmarkStart w:id="446" w:name="_Toc419122827"/>
      <w:bookmarkStart w:id="447" w:name="_Toc200513205"/>
      <w:bookmarkStart w:id="448" w:name="_Toc241483917"/>
      <w:bookmarkStart w:id="449" w:name="_Toc224103391"/>
      <w:bookmarkStart w:id="450" w:name="_Toc485580647"/>
      <w:r>
        <w:rPr>
          <w:rFonts w:hint="eastAsia" w:ascii="宋体" w:hAnsi="宋体" w:cs="宋体"/>
          <w:highlight w:val="none"/>
        </w:rPr>
        <w:t>3.3  比选申请文件的澄清和补正</w:t>
      </w:r>
      <w:bookmarkEnd w:id="442"/>
      <w:bookmarkEnd w:id="443"/>
      <w:bookmarkEnd w:id="444"/>
      <w:bookmarkEnd w:id="445"/>
      <w:bookmarkEnd w:id="446"/>
      <w:bookmarkEnd w:id="447"/>
      <w:bookmarkEnd w:id="448"/>
      <w:bookmarkEnd w:id="449"/>
      <w:bookmarkEnd w:id="450"/>
    </w:p>
    <w:p w14:paraId="172E3833">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3.3.1  在评标过程中，</w:t>
      </w:r>
      <w:r>
        <w:rPr>
          <w:rFonts w:hint="eastAsia" w:ascii="宋体" w:hAnsi="宋体" w:cs="宋体"/>
          <w:kern w:val="0"/>
          <w:highlight w:val="none"/>
          <w:lang w:eastAsia="zh-CN"/>
        </w:rPr>
        <w:t>评审委员会</w:t>
      </w:r>
      <w:r>
        <w:rPr>
          <w:rFonts w:hint="eastAsia" w:ascii="宋体" w:hAnsi="宋体" w:cs="宋体"/>
          <w:kern w:val="0"/>
          <w:highlight w:val="none"/>
        </w:rPr>
        <w:t>可以书面形式要求比选申请人对所提交比选申请文件中不明确的内容进行书面澄清或说明，或者对细微偏差进行补正。</w:t>
      </w:r>
      <w:r>
        <w:rPr>
          <w:rFonts w:hint="eastAsia" w:ascii="宋体" w:hAnsi="宋体" w:cs="宋体"/>
          <w:kern w:val="0"/>
          <w:highlight w:val="none"/>
          <w:lang w:eastAsia="zh-CN"/>
        </w:rPr>
        <w:t>评审委员会</w:t>
      </w:r>
      <w:r>
        <w:rPr>
          <w:rFonts w:hint="eastAsia" w:ascii="宋体" w:hAnsi="宋体" w:cs="宋体"/>
          <w:kern w:val="0"/>
          <w:highlight w:val="none"/>
        </w:rPr>
        <w:t>不接受比选申请人主动提出的澄清、说明或补正。</w:t>
      </w:r>
    </w:p>
    <w:p w14:paraId="632EBB8A">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3.3.2  澄清、说明和补正不得改变比选申请文件的实质性内容（算术性错误修正的除外）。比选申请人的书面澄清、说明和补正属于比选申请文件的组成部分。</w:t>
      </w:r>
    </w:p>
    <w:p w14:paraId="12DD941F">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3.3.3  </w:t>
      </w:r>
      <w:r>
        <w:rPr>
          <w:rFonts w:hint="eastAsia" w:ascii="宋体" w:hAnsi="宋体" w:cs="宋体"/>
          <w:kern w:val="0"/>
          <w:highlight w:val="none"/>
          <w:lang w:eastAsia="zh-CN"/>
        </w:rPr>
        <w:t>评审委员会</w:t>
      </w:r>
      <w:r>
        <w:rPr>
          <w:rFonts w:hint="eastAsia" w:ascii="宋体" w:hAnsi="宋体" w:cs="宋体"/>
          <w:kern w:val="0"/>
          <w:highlight w:val="none"/>
        </w:rPr>
        <w:t>对比选申请人提交的澄清、说明或补正有疑问的，可以要求比选申请人进一步澄清、说明或补正，直至满足</w:t>
      </w:r>
      <w:r>
        <w:rPr>
          <w:rFonts w:hint="eastAsia" w:ascii="宋体" w:hAnsi="宋体" w:cs="宋体"/>
          <w:kern w:val="0"/>
          <w:highlight w:val="none"/>
          <w:lang w:eastAsia="zh-CN"/>
        </w:rPr>
        <w:t>评审委员会</w:t>
      </w:r>
      <w:r>
        <w:rPr>
          <w:rFonts w:hint="eastAsia" w:ascii="宋体" w:hAnsi="宋体" w:cs="宋体"/>
          <w:kern w:val="0"/>
          <w:highlight w:val="none"/>
        </w:rPr>
        <w:t>的要求。</w:t>
      </w:r>
    </w:p>
    <w:p w14:paraId="59882DD2">
      <w:pPr>
        <w:pStyle w:val="4"/>
        <w:spacing w:before="0"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3.4 评标结果</w:t>
      </w:r>
      <w:bookmarkEnd w:id="428"/>
      <w:bookmarkEnd w:id="429"/>
      <w:bookmarkEnd w:id="430"/>
      <w:bookmarkEnd w:id="431"/>
      <w:bookmarkEnd w:id="432"/>
    </w:p>
    <w:p w14:paraId="5852B2D8">
      <w:pPr>
        <w:autoSpaceDE w:val="0"/>
        <w:autoSpaceDN w:val="0"/>
        <w:adjustRightInd w:val="0"/>
        <w:spacing w:line="360" w:lineRule="auto"/>
        <w:ind w:firstLine="420" w:firstLineChars="200"/>
        <w:rPr>
          <w:rFonts w:hint="eastAsia" w:ascii="宋体" w:hAnsi="宋体" w:cs="宋体"/>
          <w:highlight w:val="none"/>
        </w:rPr>
      </w:pPr>
      <w:r>
        <w:rPr>
          <w:rFonts w:hint="eastAsia" w:ascii="宋体" w:hAnsi="宋体" w:cs="宋体"/>
          <w:highlight w:val="none"/>
        </w:rPr>
        <w:t>3.4.1除第二章“比选申请人须知”前附表授权直接确定中标人外，</w:t>
      </w:r>
      <w:r>
        <w:rPr>
          <w:rFonts w:hint="eastAsia" w:ascii="宋体" w:hAnsi="宋体" w:cs="宋体"/>
          <w:highlight w:val="none"/>
          <w:lang w:eastAsia="zh-CN"/>
        </w:rPr>
        <w:t>评审委员会</w:t>
      </w:r>
      <w:r>
        <w:rPr>
          <w:rFonts w:hint="eastAsia" w:ascii="宋体" w:hAnsi="宋体" w:cs="宋体"/>
          <w:highlight w:val="none"/>
        </w:rPr>
        <w:t>按综合评估法推荐中标候选人。</w:t>
      </w:r>
    </w:p>
    <w:p w14:paraId="77A3F556">
      <w:pPr>
        <w:spacing w:line="360" w:lineRule="auto"/>
        <w:ind w:firstLine="420" w:firstLineChars="200"/>
        <w:rPr>
          <w:rFonts w:hint="eastAsia" w:ascii="宋体" w:hAnsi="宋体" w:cs="宋体"/>
          <w:highlight w:val="none"/>
        </w:rPr>
      </w:pPr>
      <w:r>
        <w:rPr>
          <w:rFonts w:hint="eastAsia" w:ascii="宋体" w:hAnsi="宋体" w:cs="宋体"/>
          <w:highlight w:val="none"/>
        </w:rPr>
        <w:t xml:space="preserve">3.4.2 </w:t>
      </w:r>
      <w:r>
        <w:rPr>
          <w:rFonts w:hint="eastAsia" w:ascii="宋体" w:hAnsi="宋体" w:cs="宋体"/>
          <w:highlight w:val="none"/>
          <w:lang w:eastAsia="zh-CN"/>
        </w:rPr>
        <w:t>评审委员会</w:t>
      </w:r>
      <w:r>
        <w:rPr>
          <w:rFonts w:hint="eastAsia" w:ascii="宋体" w:hAnsi="宋体" w:cs="宋体"/>
          <w:highlight w:val="none"/>
        </w:rPr>
        <w:t>完成评标后，应当向比选人提交书面评</w:t>
      </w:r>
      <w:r>
        <w:rPr>
          <w:rFonts w:hint="eastAsia" w:ascii="宋体" w:hAnsi="宋体" w:cs="宋体"/>
          <w:highlight w:val="none"/>
          <w:lang w:val="en-US" w:eastAsia="zh-CN"/>
        </w:rPr>
        <w:t>审</w:t>
      </w:r>
      <w:r>
        <w:rPr>
          <w:rFonts w:hint="eastAsia" w:ascii="宋体" w:hAnsi="宋体" w:cs="宋体"/>
          <w:highlight w:val="none"/>
        </w:rPr>
        <w:t>报告和中标候选人名单。</w:t>
      </w:r>
    </w:p>
    <w:p w14:paraId="6807E185">
      <w:pPr>
        <w:ind w:firstLine="18" w:firstLineChars="9"/>
        <w:jc w:val="center"/>
        <w:rPr>
          <w:rFonts w:hint="eastAsia" w:ascii="宋体" w:hAnsi="宋体" w:cs="宋体"/>
          <w:szCs w:val="20"/>
          <w:highlight w:val="none"/>
        </w:rPr>
      </w:pPr>
    </w:p>
    <w:p w14:paraId="1163A022">
      <w:pPr>
        <w:pStyle w:val="32"/>
        <w:spacing w:line="360" w:lineRule="auto"/>
        <w:rPr>
          <w:rFonts w:hint="eastAsia" w:hAnsi="宋体" w:cs="宋体"/>
          <w:highlight w:val="none"/>
        </w:rPr>
      </w:pPr>
      <w:r>
        <w:rPr>
          <w:rFonts w:hint="eastAsia" w:hAnsi="宋体" w:cs="宋体"/>
          <w:spacing w:val="1"/>
          <w:w w:val="99"/>
          <w:highlight w:val="none"/>
        </w:rPr>
        <w:br w:type="page"/>
      </w:r>
      <w:r>
        <w:rPr>
          <w:rFonts w:hint="eastAsia" w:hAnsi="宋体" w:cs="宋体"/>
          <w:b/>
          <w:szCs w:val="24"/>
          <w:highlight w:val="none"/>
        </w:rPr>
        <w:t>附件A：综合评估法否决投标情况一览表</w:t>
      </w:r>
    </w:p>
    <w:p w14:paraId="3602F2A6">
      <w:pPr>
        <w:spacing w:line="360" w:lineRule="auto"/>
        <w:rPr>
          <w:rFonts w:hint="eastAsia" w:ascii="宋体" w:hAnsi="宋体" w:cs="宋体"/>
          <w:b/>
          <w:highlight w:val="none"/>
        </w:rPr>
      </w:pPr>
      <w:r>
        <w:rPr>
          <w:rFonts w:hint="eastAsia" w:ascii="宋体" w:hAnsi="宋体" w:cs="宋体"/>
          <w:b/>
          <w:highlight w:val="none"/>
        </w:rPr>
        <w:t>一览表否决投标条件之外的</w:t>
      </w:r>
      <w:r>
        <w:rPr>
          <w:rFonts w:hint="eastAsia" w:ascii="宋体" w:hAnsi="宋体" w:cs="宋体"/>
          <w:b/>
          <w:highlight w:val="none"/>
          <w:lang w:eastAsia="zh-CN"/>
        </w:rPr>
        <w:t>评审委员会</w:t>
      </w:r>
      <w:r>
        <w:rPr>
          <w:rFonts w:hint="eastAsia" w:ascii="宋体" w:hAnsi="宋体" w:cs="宋体"/>
          <w:b/>
          <w:highlight w:val="none"/>
        </w:rPr>
        <w:t>不得判为重大偏差。</w:t>
      </w:r>
    </w:p>
    <w:tbl>
      <w:tblPr>
        <w:tblStyle w:val="4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854"/>
        <w:gridCol w:w="6191"/>
      </w:tblGrid>
      <w:tr w14:paraId="0545B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shd w:val="clear" w:color="auto" w:fill="auto"/>
            <w:vAlign w:val="center"/>
          </w:tcPr>
          <w:p w14:paraId="2A2389EC">
            <w:pPr>
              <w:spacing w:line="400" w:lineRule="exact"/>
              <w:jc w:val="center"/>
              <w:rPr>
                <w:rFonts w:hint="eastAsia" w:ascii="宋体" w:hAnsi="宋体" w:cs="宋体"/>
                <w:b/>
                <w:color w:val="000000"/>
                <w:highlight w:val="none"/>
              </w:rPr>
            </w:pPr>
            <w:r>
              <w:rPr>
                <w:rFonts w:hint="eastAsia" w:ascii="宋体" w:hAnsi="宋体" w:cs="宋体"/>
                <w:b/>
                <w:color w:val="000000"/>
                <w:highlight w:val="none"/>
              </w:rPr>
              <w:t>章节号</w:t>
            </w:r>
          </w:p>
        </w:tc>
        <w:tc>
          <w:tcPr>
            <w:tcW w:w="1002" w:type="pct"/>
            <w:shd w:val="clear" w:color="auto" w:fill="auto"/>
            <w:vAlign w:val="center"/>
          </w:tcPr>
          <w:p w14:paraId="306EDE61">
            <w:pPr>
              <w:spacing w:line="400" w:lineRule="exact"/>
              <w:jc w:val="center"/>
              <w:rPr>
                <w:rFonts w:hint="eastAsia" w:ascii="宋体" w:hAnsi="宋体" w:cs="宋体"/>
                <w:b/>
                <w:color w:val="000000"/>
                <w:highlight w:val="none"/>
              </w:rPr>
            </w:pPr>
            <w:r>
              <w:rPr>
                <w:rFonts w:hint="eastAsia" w:ascii="宋体" w:hAnsi="宋体" w:cs="宋体"/>
                <w:b/>
                <w:color w:val="000000"/>
                <w:highlight w:val="none"/>
              </w:rPr>
              <w:t>条款名称</w:t>
            </w:r>
          </w:p>
        </w:tc>
        <w:tc>
          <w:tcPr>
            <w:tcW w:w="3346" w:type="pct"/>
            <w:shd w:val="clear" w:color="auto" w:fill="auto"/>
            <w:vAlign w:val="center"/>
          </w:tcPr>
          <w:p w14:paraId="2855F932">
            <w:pPr>
              <w:spacing w:line="400" w:lineRule="exact"/>
              <w:jc w:val="center"/>
              <w:rPr>
                <w:rFonts w:hint="eastAsia" w:ascii="宋体" w:hAnsi="宋体" w:cs="宋体"/>
                <w:b/>
                <w:color w:val="000000"/>
                <w:highlight w:val="none"/>
              </w:rPr>
            </w:pPr>
            <w:r>
              <w:rPr>
                <w:rFonts w:hint="eastAsia" w:ascii="宋体" w:hAnsi="宋体" w:cs="宋体"/>
                <w:b/>
                <w:color w:val="000000"/>
                <w:highlight w:val="none"/>
              </w:rPr>
              <w:t>否决投标条件</w:t>
            </w:r>
          </w:p>
        </w:tc>
      </w:tr>
      <w:tr w14:paraId="2E95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shd w:val="clear" w:color="auto" w:fill="auto"/>
            <w:vAlign w:val="center"/>
          </w:tcPr>
          <w:p w14:paraId="5DB1C0C1">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第二章1.3.2</w:t>
            </w:r>
          </w:p>
        </w:tc>
        <w:tc>
          <w:tcPr>
            <w:tcW w:w="1002" w:type="pct"/>
            <w:shd w:val="clear" w:color="auto" w:fill="auto"/>
            <w:vAlign w:val="center"/>
          </w:tcPr>
          <w:p w14:paraId="073C9E0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计划工期</w:t>
            </w:r>
          </w:p>
        </w:tc>
        <w:tc>
          <w:tcPr>
            <w:tcW w:w="3346" w:type="pct"/>
            <w:shd w:val="clear" w:color="auto" w:fill="auto"/>
            <w:vAlign w:val="center"/>
          </w:tcPr>
          <w:p w14:paraId="3B8669CD">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投标函中必须填报投标工期、且投标工期必须满足此要求，否则视为对比选文件未作出实质性响应，其比选申请文件按否决投标处理。</w:t>
            </w:r>
          </w:p>
        </w:tc>
      </w:tr>
      <w:tr w14:paraId="4BE54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vMerge w:val="restart"/>
            <w:shd w:val="clear" w:color="auto" w:fill="auto"/>
            <w:vAlign w:val="center"/>
          </w:tcPr>
          <w:p w14:paraId="3DCF0A74">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第二章</w:t>
            </w:r>
          </w:p>
          <w:p w14:paraId="4AD0E459">
            <w:pPr>
              <w:spacing w:line="400" w:lineRule="exact"/>
              <w:jc w:val="center"/>
              <w:rPr>
                <w:rFonts w:hint="eastAsia" w:ascii="宋体" w:hAnsi="宋体" w:cs="宋体"/>
                <w:color w:val="000000"/>
                <w:highlight w:val="none"/>
              </w:rPr>
            </w:pPr>
            <w:r>
              <w:rPr>
                <w:rFonts w:hint="eastAsia" w:ascii="宋体" w:hAnsi="宋体" w:cs="宋体"/>
                <w:color w:val="000000"/>
                <w:highlight w:val="none"/>
              </w:rPr>
              <w:t>3.2</w:t>
            </w:r>
          </w:p>
        </w:tc>
        <w:tc>
          <w:tcPr>
            <w:tcW w:w="1002" w:type="pct"/>
            <w:vMerge w:val="restart"/>
            <w:shd w:val="clear" w:color="auto" w:fill="auto"/>
            <w:vAlign w:val="center"/>
          </w:tcPr>
          <w:p w14:paraId="4AD50CDD">
            <w:pPr>
              <w:spacing w:line="400" w:lineRule="exact"/>
              <w:jc w:val="center"/>
              <w:rPr>
                <w:rFonts w:hint="eastAsia" w:ascii="宋体" w:hAnsi="宋体" w:eastAsia="宋体" w:cs="宋体"/>
                <w:color w:val="000000"/>
                <w:highlight w:val="none"/>
                <w:lang w:eastAsia="zh-CN"/>
              </w:rPr>
            </w:pPr>
            <w:r>
              <w:rPr>
                <w:rFonts w:hint="eastAsia" w:ascii="宋体" w:hAnsi="宋体" w:cs="宋体"/>
                <w:color w:val="000000"/>
                <w:highlight w:val="none"/>
                <w:lang w:eastAsia="zh-CN"/>
              </w:rPr>
              <w:t>比选申请总报价</w:t>
            </w:r>
          </w:p>
        </w:tc>
        <w:tc>
          <w:tcPr>
            <w:tcW w:w="3346" w:type="pct"/>
            <w:shd w:val="clear" w:color="auto" w:fill="auto"/>
            <w:vAlign w:val="center"/>
          </w:tcPr>
          <w:p w14:paraId="6A5B4EA7">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投标函中的总报价与已标价工程量清单总报价一致，否则由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E474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vMerge w:val="continue"/>
            <w:shd w:val="clear" w:color="auto" w:fill="auto"/>
            <w:vAlign w:val="center"/>
          </w:tcPr>
          <w:p w14:paraId="367107FB">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294C016D">
            <w:pPr>
              <w:spacing w:line="400" w:lineRule="exact"/>
              <w:jc w:val="center"/>
              <w:rPr>
                <w:rFonts w:hint="eastAsia" w:ascii="宋体" w:hAnsi="宋体" w:cs="宋体"/>
                <w:color w:val="000000"/>
                <w:highlight w:val="none"/>
              </w:rPr>
            </w:pPr>
          </w:p>
        </w:tc>
        <w:tc>
          <w:tcPr>
            <w:tcW w:w="3346" w:type="pct"/>
            <w:shd w:val="clear" w:color="auto" w:fill="auto"/>
            <w:vAlign w:val="center"/>
          </w:tcPr>
          <w:p w14:paraId="63DF72E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比选申请人在工程量清单中多报的子目和单价或总价比选人将不予接受，并将被视为重大偏差，作否决投标处理。</w:t>
            </w:r>
          </w:p>
        </w:tc>
      </w:tr>
      <w:tr w14:paraId="725C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vMerge w:val="continue"/>
            <w:shd w:val="clear" w:color="auto" w:fill="auto"/>
            <w:vAlign w:val="center"/>
          </w:tcPr>
          <w:p w14:paraId="5ECD7418">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0AEBA4A6">
            <w:pPr>
              <w:spacing w:line="400" w:lineRule="exact"/>
              <w:jc w:val="center"/>
              <w:rPr>
                <w:rFonts w:hint="eastAsia" w:ascii="宋体" w:hAnsi="宋体" w:cs="宋体"/>
                <w:color w:val="000000"/>
                <w:highlight w:val="none"/>
              </w:rPr>
            </w:pPr>
          </w:p>
        </w:tc>
        <w:tc>
          <w:tcPr>
            <w:tcW w:w="3346" w:type="pct"/>
            <w:shd w:val="clear" w:color="auto" w:fill="auto"/>
            <w:vAlign w:val="center"/>
          </w:tcPr>
          <w:p w14:paraId="0D182550">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本工程招标将设置总价最高限价，比选申请人的</w:t>
            </w:r>
            <w:r>
              <w:rPr>
                <w:rFonts w:hint="eastAsia" w:ascii="宋体" w:hAnsi="宋体" w:cs="宋体"/>
                <w:color w:val="000000"/>
                <w:highlight w:val="none"/>
                <w:lang w:eastAsia="zh-CN"/>
              </w:rPr>
              <w:t>比选申请总报价</w:t>
            </w:r>
            <w:r>
              <w:rPr>
                <w:rFonts w:hint="eastAsia" w:ascii="宋体" w:hAnsi="宋体" w:cs="宋体"/>
                <w:color w:val="000000"/>
                <w:highlight w:val="none"/>
              </w:rPr>
              <w:t>不得超过最高限价，否则，将作否决投标处理。</w:t>
            </w:r>
          </w:p>
        </w:tc>
      </w:tr>
      <w:tr w14:paraId="6CFF9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vMerge w:val="continue"/>
            <w:shd w:val="clear" w:color="auto" w:fill="auto"/>
            <w:vAlign w:val="center"/>
          </w:tcPr>
          <w:p w14:paraId="326FFABE">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0CF30FA9">
            <w:pPr>
              <w:spacing w:line="400" w:lineRule="exact"/>
              <w:jc w:val="center"/>
              <w:rPr>
                <w:rFonts w:hint="eastAsia" w:ascii="宋体" w:hAnsi="宋体" w:cs="宋体"/>
                <w:color w:val="000000"/>
                <w:highlight w:val="none"/>
              </w:rPr>
            </w:pPr>
          </w:p>
        </w:tc>
        <w:tc>
          <w:tcPr>
            <w:tcW w:w="3346" w:type="pct"/>
            <w:shd w:val="clear" w:color="auto" w:fill="auto"/>
            <w:vAlign w:val="center"/>
          </w:tcPr>
          <w:p w14:paraId="63AC888E">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比选申请人必须按招标工程量清单填报价格，项目编码、项目名称、项目特征、计量单位、工程量必须与招标工程量清单一致，在评</w:t>
            </w:r>
            <w:r>
              <w:rPr>
                <w:rFonts w:hint="eastAsia" w:ascii="宋体" w:hAnsi="宋体" w:cs="宋体"/>
                <w:color w:val="000000"/>
                <w:highlight w:val="none"/>
                <w:lang w:val="en-US" w:eastAsia="zh-CN"/>
              </w:rPr>
              <w:t>审</w:t>
            </w:r>
            <w:r>
              <w:rPr>
                <w:rFonts w:hint="eastAsia" w:ascii="宋体" w:hAnsi="宋体" w:cs="宋体"/>
                <w:color w:val="000000"/>
                <w:highlight w:val="none"/>
              </w:rPr>
              <w:t>过程中若发现比选申请人的已标价工程量清单与招标工程量清单不一致的，由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4EBA8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shd w:val="clear" w:color="auto" w:fill="auto"/>
            <w:vAlign w:val="center"/>
          </w:tcPr>
          <w:p w14:paraId="2483F289">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第二章</w:t>
            </w:r>
          </w:p>
          <w:p w14:paraId="74FC3CC5">
            <w:pPr>
              <w:spacing w:line="400" w:lineRule="exact"/>
              <w:jc w:val="center"/>
              <w:rPr>
                <w:rFonts w:hint="eastAsia" w:ascii="宋体" w:hAnsi="宋体" w:cs="宋体"/>
                <w:color w:val="000000"/>
                <w:highlight w:val="none"/>
              </w:rPr>
            </w:pPr>
            <w:r>
              <w:rPr>
                <w:rFonts w:hint="eastAsia" w:ascii="宋体" w:hAnsi="宋体" w:cs="宋体"/>
                <w:color w:val="000000"/>
                <w:highlight w:val="none"/>
              </w:rPr>
              <w:t>3.4</w:t>
            </w:r>
          </w:p>
        </w:tc>
        <w:tc>
          <w:tcPr>
            <w:tcW w:w="1002" w:type="pct"/>
            <w:shd w:val="clear" w:color="auto" w:fill="auto"/>
            <w:vAlign w:val="center"/>
          </w:tcPr>
          <w:p w14:paraId="0BB44AF4">
            <w:pPr>
              <w:spacing w:line="400" w:lineRule="exact"/>
              <w:jc w:val="center"/>
              <w:rPr>
                <w:rFonts w:hint="eastAsia" w:ascii="宋体" w:hAnsi="宋体" w:cs="宋体"/>
                <w:color w:val="000000"/>
                <w:highlight w:val="none"/>
              </w:rPr>
            </w:pPr>
            <w:r>
              <w:rPr>
                <w:rFonts w:hint="eastAsia" w:ascii="宋体" w:hAnsi="宋体" w:cs="宋体"/>
                <w:color w:val="000000"/>
                <w:highlight w:val="none"/>
                <w:lang w:val="en-US" w:eastAsia="zh-CN"/>
              </w:rPr>
              <w:t>比选</w:t>
            </w:r>
            <w:r>
              <w:rPr>
                <w:rFonts w:hint="eastAsia" w:ascii="宋体" w:hAnsi="宋体" w:cs="宋体"/>
                <w:color w:val="000000"/>
                <w:highlight w:val="none"/>
              </w:rPr>
              <w:t>保证金</w:t>
            </w:r>
          </w:p>
        </w:tc>
        <w:tc>
          <w:tcPr>
            <w:tcW w:w="3346" w:type="pct"/>
            <w:shd w:val="clear" w:color="auto" w:fill="auto"/>
            <w:vAlign w:val="center"/>
          </w:tcPr>
          <w:p w14:paraId="1EAC300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比选申请人应按比选申请人须知前附表3.4款规定的金额、担保形式等递交</w:t>
            </w:r>
            <w:r>
              <w:rPr>
                <w:rFonts w:hint="eastAsia" w:ascii="宋体" w:hAnsi="宋体" w:cs="宋体"/>
                <w:color w:val="000000"/>
                <w:highlight w:val="none"/>
                <w:lang w:val="en-US" w:eastAsia="zh-CN"/>
              </w:rPr>
              <w:t>比选</w:t>
            </w:r>
            <w:r>
              <w:rPr>
                <w:rFonts w:hint="eastAsia" w:ascii="宋体" w:hAnsi="宋体" w:cs="宋体"/>
                <w:color w:val="000000"/>
                <w:highlight w:val="none"/>
              </w:rPr>
              <w:t>保证金，并作为其比选申请文件的组成部分。</w:t>
            </w:r>
          </w:p>
        </w:tc>
      </w:tr>
      <w:tr w14:paraId="35E71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shd w:val="clear" w:color="auto" w:fill="auto"/>
            <w:vAlign w:val="center"/>
          </w:tcPr>
          <w:p w14:paraId="65D339FE">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第二章</w:t>
            </w:r>
          </w:p>
          <w:p w14:paraId="7364C4F3">
            <w:pPr>
              <w:spacing w:line="400" w:lineRule="exact"/>
              <w:jc w:val="center"/>
              <w:rPr>
                <w:rFonts w:hint="eastAsia" w:ascii="宋体" w:hAnsi="宋体" w:cs="宋体"/>
                <w:color w:val="000000"/>
                <w:highlight w:val="none"/>
              </w:rPr>
            </w:pPr>
            <w:r>
              <w:rPr>
                <w:rFonts w:hint="eastAsia" w:ascii="宋体" w:hAnsi="宋体" w:cs="宋体"/>
                <w:color w:val="000000"/>
                <w:highlight w:val="none"/>
              </w:rPr>
              <w:t>3.7.3</w:t>
            </w:r>
          </w:p>
        </w:tc>
        <w:tc>
          <w:tcPr>
            <w:tcW w:w="1002" w:type="pct"/>
            <w:shd w:val="clear" w:color="auto" w:fill="auto"/>
            <w:vAlign w:val="center"/>
          </w:tcPr>
          <w:p w14:paraId="7BE48BE5">
            <w:pPr>
              <w:spacing w:line="400" w:lineRule="exact"/>
              <w:jc w:val="center"/>
              <w:rPr>
                <w:rFonts w:hint="eastAsia" w:ascii="宋体" w:hAnsi="宋体" w:cs="宋体"/>
                <w:color w:val="000000"/>
                <w:highlight w:val="none"/>
              </w:rPr>
            </w:pPr>
            <w:r>
              <w:rPr>
                <w:rFonts w:hint="eastAsia" w:ascii="宋体" w:hAnsi="宋体" w:cs="宋体"/>
                <w:color w:val="000000"/>
                <w:highlight w:val="none"/>
              </w:rPr>
              <w:t>签字盖章要求</w:t>
            </w:r>
          </w:p>
        </w:tc>
        <w:tc>
          <w:tcPr>
            <w:tcW w:w="3346" w:type="pct"/>
            <w:shd w:val="clear" w:color="auto" w:fill="auto"/>
            <w:vAlign w:val="center"/>
          </w:tcPr>
          <w:p w14:paraId="09D7C68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按本章比选申请人须知3.7.3款执行，否则由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72C14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restart"/>
            <w:shd w:val="clear" w:color="auto" w:fill="auto"/>
            <w:vAlign w:val="center"/>
          </w:tcPr>
          <w:p w14:paraId="7D310379">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第三章</w:t>
            </w:r>
          </w:p>
        </w:tc>
        <w:tc>
          <w:tcPr>
            <w:tcW w:w="1002" w:type="pct"/>
            <w:vMerge w:val="restart"/>
            <w:shd w:val="clear" w:color="auto" w:fill="auto"/>
            <w:vAlign w:val="center"/>
          </w:tcPr>
          <w:p w14:paraId="5C5F44B2">
            <w:pPr>
              <w:spacing w:line="400" w:lineRule="exact"/>
              <w:jc w:val="center"/>
              <w:rPr>
                <w:rFonts w:hint="eastAsia" w:ascii="宋体" w:hAnsi="宋体" w:cs="宋体"/>
                <w:color w:val="000000"/>
                <w:highlight w:val="none"/>
              </w:rPr>
            </w:pPr>
            <w:r>
              <w:rPr>
                <w:rFonts w:hint="eastAsia" w:ascii="宋体" w:hAnsi="宋体" w:cs="宋体"/>
                <w:color w:val="000000"/>
                <w:highlight w:val="none"/>
              </w:rPr>
              <w:t>形式评审</w:t>
            </w:r>
          </w:p>
        </w:tc>
        <w:tc>
          <w:tcPr>
            <w:tcW w:w="3346" w:type="pct"/>
            <w:shd w:val="clear" w:color="auto" w:fill="auto"/>
          </w:tcPr>
          <w:p w14:paraId="4DDB57B9">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比选申请人名称必须与营业执照一致，否则由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2F091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7BAB0A84">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6BBF5745">
            <w:pPr>
              <w:spacing w:line="400" w:lineRule="exact"/>
              <w:jc w:val="center"/>
              <w:rPr>
                <w:rFonts w:hint="eastAsia" w:ascii="宋体" w:hAnsi="宋体" w:cs="宋体"/>
                <w:color w:val="000000"/>
                <w:highlight w:val="none"/>
              </w:rPr>
            </w:pPr>
          </w:p>
        </w:tc>
        <w:tc>
          <w:tcPr>
            <w:tcW w:w="3346" w:type="pct"/>
            <w:shd w:val="clear" w:color="auto" w:fill="auto"/>
          </w:tcPr>
          <w:p w14:paraId="2683F2DF">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投标函规定签字、盖章的位置有法定代表人或其委托代理人签字（或盖章）、加盖单位法人章，否则由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6526D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09FBE50D">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1F8ECA77">
            <w:pPr>
              <w:spacing w:line="400" w:lineRule="exact"/>
              <w:jc w:val="center"/>
              <w:rPr>
                <w:rFonts w:hint="eastAsia" w:ascii="宋体" w:hAnsi="宋体" w:cs="宋体"/>
                <w:color w:val="000000"/>
                <w:highlight w:val="none"/>
              </w:rPr>
            </w:pPr>
          </w:p>
        </w:tc>
        <w:tc>
          <w:tcPr>
            <w:tcW w:w="3346" w:type="pct"/>
            <w:shd w:val="clear" w:color="auto" w:fill="auto"/>
          </w:tcPr>
          <w:p w14:paraId="43F9E72F">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比选申请文件格式符合第六章“比选申请文件格式”的要求，否则由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556E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1E730521">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3D987F9B">
            <w:pPr>
              <w:spacing w:line="400" w:lineRule="exact"/>
              <w:jc w:val="center"/>
              <w:rPr>
                <w:rFonts w:hint="eastAsia" w:ascii="宋体" w:hAnsi="宋体" w:cs="宋体"/>
                <w:color w:val="000000"/>
                <w:highlight w:val="none"/>
              </w:rPr>
            </w:pPr>
          </w:p>
        </w:tc>
        <w:tc>
          <w:tcPr>
            <w:tcW w:w="3346" w:type="pct"/>
            <w:shd w:val="clear" w:color="auto" w:fill="auto"/>
          </w:tcPr>
          <w:p w14:paraId="1E643520">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比选申请人递交的纸质比选申请文件正本应与网上上传的比选申请文件电子文档一致，否则由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17B0B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651" w:type="pct"/>
            <w:vMerge w:val="continue"/>
            <w:shd w:val="clear" w:color="auto" w:fill="auto"/>
            <w:vAlign w:val="center"/>
          </w:tcPr>
          <w:p w14:paraId="7127BCA9">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1C7D89DF">
            <w:pPr>
              <w:spacing w:line="400" w:lineRule="exact"/>
              <w:jc w:val="center"/>
              <w:rPr>
                <w:rFonts w:hint="eastAsia" w:ascii="宋体" w:hAnsi="宋体" w:cs="宋体"/>
                <w:color w:val="000000"/>
                <w:highlight w:val="none"/>
              </w:rPr>
            </w:pPr>
          </w:p>
        </w:tc>
        <w:tc>
          <w:tcPr>
            <w:tcW w:w="3346" w:type="pct"/>
            <w:shd w:val="clear" w:color="auto" w:fill="auto"/>
          </w:tcPr>
          <w:p w14:paraId="171EE7D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只能有一个有效报价。在比选文件没有规定的情况下，不得提交选择性报价，否则由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372B4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723F70AD">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06D280CE">
            <w:pPr>
              <w:spacing w:line="400" w:lineRule="exact"/>
              <w:jc w:val="center"/>
              <w:rPr>
                <w:rFonts w:hint="eastAsia" w:ascii="宋体" w:hAnsi="宋体" w:cs="宋体"/>
                <w:color w:val="000000"/>
                <w:highlight w:val="none"/>
              </w:rPr>
            </w:pPr>
          </w:p>
        </w:tc>
        <w:tc>
          <w:tcPr>
            <w:tcW w:w="3346" w:type="pct"/>
            <w:shd w:val="clear" w:color="auto" w:fill="auto"/>
          </w:tcPr>
          <w:p w14:paraId="54A41E4D">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比选申请文件中比选申请文件格式要求须法定代表人或其委托代理人的签字（或盖章）须齐全，否则由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38FD7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11DE2C32">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1352379C">
            <w:pPr>
              <w:spacing w:line="400" w:lineRule="exact"/>
              <w:jc w:val="center"/>
              <w:rPr>
                <w:rFonts w:hint="eastAsia" w:ascii="宋体" w:hAnsi="宋体" w:cs="宋体"/>
                <w:color w:val="000000"/>
                <w:highlight w:val="none"/>
              </w:rPr>
            </w:pPr>
          </w:p>
        </w:tc>
        <w:tc>
          <w:tcPr>
            <w:tcW w:w="3346" w:type="pct"/>
            <w:shd w:val="clear" w:color="auto" w:fill="auto"/>
          </w:tcPr>
          <w:p w14:paraId="542C0D0C">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比选申请人法定代表人的委托代理人有法定代表人签署的授权委托书，否则由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2BEA9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6F41EAC5">
            <w:pPr>
              <w:spacing w:line="400" w:lineRule="exact"/>
              <w:jc w:val="center"/>
              <w:rPr>
                <w:rFonts w:hint="eastAsia" w:ascii="宋体" w:hAnsi="宋体" w:cs="宋体"/>
                <w:color w:val="000000"/>
                <w:highlight w:val="none"/>
              </w:rPr>
            </w:pPr>
          </w:p>
        </w:tc>
        <w:tc>
          <w:tcPr>
            <w:tcW w:w="1002" w:type="pct"/>
            <w:vMerge w:val="restart"/>
            <w:shd w:val="clear" w:color="auto" w:fill="auto"/>
            <w:vAlign w:val="center"/>
          </w:tcPr>
          <w:p w14:paraId="4ED871AA">
            <w:pPr>
              <w:spacing w:line="400" w:lineRule="exact"/>
              <w:jc w:val="center"/>
              <w:rPr>
                <w:rFonts w:hint="eastAsia" w:ascii="宋体" w:hAnsi="宋体" w:cs="宋体"/>
                <w:color w:val="000000"/>
                <w:highlight w:val="none"/>
              </w:rPr>
            </w:pPr>
            <w:r>
              <w:rPr>
                <w:rFonts w:hint="eastAsia" w:ascii="宋体" w:hAnsi="宋体" w:cs="宋体"/>
                <w:color w:val="000000"/>
                <w:highlight w:val="none"/>
              </w:rPr>
              <w:t>资格评审</w:t>
            </w:r>
          </w:p>
        </w:tc>
        <w:tc>
          <w:tcPr>
            <w:tcW w:w="3346" w:type="pct"/>
            <w:shd w:val="clear" w:color="auto" w:fill="auto"/>
            <w:vAlign w:val="center"/>
          </w:tcPr>
          <w:p w14:paraId="608D6863">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比选申请人的营业执照须满足比选申请人须知前附表1.4.1项第1条的要求，否则由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7DB7E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60E85EA1">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4D833BAD">
            <w:pPr>
              <w:spacing w:line="400" w:lineRule="exact"/>
              <w:jc w:val="center"/>
              <w:rPr>
                <w:rFonts w:hint="eastAsia" w:ascii="宋体" w:hAnsi="宋体" w:cs="宋体"/>
                <w:color w:val="000000"/>
                <w:highlight w:val="none"/>
              </w:rPr>
            </w:pPr>
          </w:p>
        </w:tc>
        <w:tc>
          <w:tcPr>
            <w:tcW w:w="3346" w:type="pct"/>
            <w:shd w:val="clear" w:color="auto" w:fill="auto"/>
            <w:vAlign w:val="center"/>
          </w:tcPr>
          <w:p w14:paraId="3E9538FC">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比选申请人的业绩须满足比选申请人须知前附表1.4.1项第2条的要求，否则由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341C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4AA130E9">
            <w:pPr>
              <w:spacing w:line="400" w:lineRule="exact"/>
              <w:jc w:val="center"/>
              <w:rPr>
                <w:rFonts w:hint="eastAsia" w:ascii="宋体" w:hAnsi="宋体" w:cs="宋体"/>
                <w:color w:val="000000"/>
                <w:highlight w:val="none"/>
              </w:rPr>
            </w:pPr>
          </w:p>
        </w:tc>
        <w:tc>
          <w:tcPr>
            <w:tcW w:w="1002" w:type="pct"/>
            <w:vMerge w:val="restart"/>
            <w:shd w:val="clear" w:color="auto" w:fill="auto"/>
            <w:vAlign w:val="center"/>
          </w:tcPr>
          <w:p w14:paraId="24DE3097">
            <w:pPr>
              <w:spacing w:line="400" w:lineRule="exact"/>
              <w:jc w:val="center"/>
              <w:rPr>
                <w:rFonts w:hint="eastAsia" w:ascii="宋体" w:hAnsi="宋体" w:cs="宋体"/>
                <w:color w:val="000000"/>
                <w:highlight w:val="none"/>
              </w:rPr>
            </w:pPr>
            <w:r>
              <w:rPr>
                <w:rFonts w:hint="eastAsia" w:ascii="宋体" w:hAnsi="宋体" w:cs="宋体"/>
                <w:color w:val="000000"/>
                <w:highlight w:val="none"/>
              </w:rPr>
              <w:t>响应性评审</w:t>
            </w:r>
          </w:p>
        </w:tc>
        <w:tc>
          <w:tcPr>
            <w:tcW w:w="3346" w:type="pct"/>
            <w:shd w:val="clear" w:color="auto" w:fill="auto"/>
            <w:vAlign w:val="center"/>
          </w:tcPr>
          <w:p w14:paraId="7AFAD171">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投标内容符合第二章“比选申请人须知”第1.3.1项规定，否则由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6B1EA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0E38D78E">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35B22C9E">
            <w:pPr>
              <w:spacing w:line="400" w:lineRule="exact"/>
              <w:jc w:val="center"/>
              <w:rPr>
                <w:rFonts w:hint="eastAsia" w:ascii="宋体" w:hAnsi="宋体" w:cs="宋体"/>
                <w:color w:val="000000"/>
                <w:highlight w:val="none"/>
              </w:rPr>
            </w:pPr>
          </w:p>
        </w:tc>
        <w:tc>
          <w:tcPr>
            <w:tcW w:w="3346" w:type="pct"/>
            <w:shd w:val="clear" w:color="auto" w:fill="auto"/>
            <w:vAlign w:val="center"/>
          </w:tcPr>
          <w:p w14:paraId="0F668590">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工期符合第二章“比选申请人须知”第1.3.2项规定，否则由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5C7C5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123F7362">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273A2A14">
            <w:pPr>
              <w:spacing w:line="400" w:lineRule="exact"/>
              <w:jc w:val="center"/>
              <w:rPr>
                <w:rFonts w:hint="eastAsia" w:ascii="宋体" w:hAnsi="宋体" w:cs="宋体"/>
                <w:color w:val="000000"/>
                <w:highlight w:val="none"/>
              </w:rPr>
            </w:pPr>
          </w:p>
        </w:tc>
        <w:tc>
          <w:tcPr>
            <w:tcW w:w="3346" w:type="pct"/>
            <w:shd w:val="clear" w:color="auto" w:fill="auto"/>
            <w:vAlign w:val="center"/>
          </w:tcPr>
          <w:p w14:paraId="7D6D12EF">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工程质量符合第二章“比选申请人须知”第1.3.3项规定，否则由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1261B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29ABAE11">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3A4194E6">
            <w:pPr>
              <w:spacing w:line="400" w:lineRule="exact"/>
              <w:jc w:val="center"/>
              <w:rPr>
                <w:rFonts w:hint="eastAsia" w:ascii="宋体" w:hAnsi="宋体" w:cs="宋体"/>
                <w:color w:val="000000"/>
                <w:highlight w:val="none"/>
              </w:rPr>
            </w:pPr>
          </w:p>
        </w:tc>
        <w:tc>
          <w:tcPr>
            <w:tcW w:w="3346" w:type="pct"/>
            <w:shd w:val="clear" w:color="auto" w:fill="auto"/>
            <w:vAlign w:val="center"/>
          </w:tcPr>
          <w:p w14:paraId="00FA036A">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投标有效期符合第二章“比选申请人须知”第3.3.1项规定，否则由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5B964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4952A46B">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027A696A">
            <w:pPr>
              <w:spacing w:line="400" w:lineRule="exact"/>
              <w:jc w:val="center"/>
              <w:rPr>
                <w:rFonts w:hint="eastAsia" w:ascii="宋体" w:hAnsi="宋体" w:cs="宋体"/>
                <w:color w:val="000000"/>
                <w:highlight w:val="none"/>
              </w:rPr>
            </w:pPr>
          </w:p>
        </w:tc>
        <w:tc>
          <w:tcPr>
            <w:tcW w:w="3346" w:type="pct"/>
            <w:shd w:val="clear" w:color="auto" w:fill="auto"/>
            <w:vAlign w:val="center"/>
          </w:tcPr>
          <w:p w14:paraId="2D2ABCB5">
            <w:pPr>
              <w:tabs>
                <w:tab w:val="left" w:pos="546"/>
                <w:tab w:val="left" w:pos="711"/>
              </w:tabs>
              <w:snapToGrid w:val="0"/>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已标价工程量清单符合第二章“比选申请人须知”前附表第3.2条</w:t>
            </w:r>
            <w:r>
              <w:rPr>
                <w:rFonts w:hint="eastAsia" w:ascii="宋体" w:hAnsi="宋体" w:cs="宋体"/>
                <w:color w:val="000000"/>
                <w:highlight w:val="none"/>
                <w:lang w:eastAsia="zh-CN"/>
              </w:rPr>
              <w:t>比选申请总报价</w:t>
            </w:r>
            <w:r>
              <w:rPr>
                <w:rFonts w:hint="eastAsia" w:ascii="宋体" w:hAnsi="宋体" w:cs="宋体"/>
                <w:color w:val="000000"/>
                <w:highlight w:val="none"/>
              </w:rPr>
              <w:t>中的规定，否则由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39610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439794B0">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29300D97">
            <w:pPr>
              <w:spacing w:line="400" w:lineRule="exact"/>
              <w:jc w:val="center"/>
              <w:rPr>
                <w:rFonts w:hint="eastAsia" w:ascii="宋体" w:hAnsi="宋体" w:cs="宋体"/>
                <w:color w:val="000000"/>
                <w:highlight w:val="none"/>
              </w:rPr>
            </w:pPr>
          </w:p>
        </w:tc>
        <w:tc>
          <w:tcPr>
            <w:tcW w:w="3346" w:type="pct"/>
            <w:shd w:val="clear" w:color="auto" w:fill="auto"/>
            <w:vAlign w:val="center"/>
          </w:tcPr>
          <w:p w14:paraId="338611AE">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lang w:eastAsia="zh-CN"/>
              </w:rPr>
              <w:t>比选申请总报价</w:t>
            </w:r>
            <w:r>
              <w:rPr>
                <w:rFonts w:hint="eastAsia" w:ascii="宋体" w:hAnsi="宋体" w:cs="宋体"/>
                <w:color w:val="000000"/>
                <w:highlight w:val="none"/>
              </w:rPr>
              <w:t>有算术错误的，</w:t>
            </w:r>
            <w:r>
              <w:rPr>
                <w:rFonts w:hint="eastAsia" w:ascii="宋体" w:hAnsi="宋体" w:cs="宋体"/>
                <w:color w:val="000000"/>
                <w:highlight w:val="none"/>
                <w:lang w:eastAsia="zh-CN"/>
              </w:rPr>
              <w:t>评审委员会</w:t>
            </w:r>
            <w:r>
              <w:rPr>
                <w:rFonts w:hint="eastAsia" w:ascii="宋体" w:hAnsi="宋体" w:cs="宋体"/>
                <w:color w:val="000000"/>
                <w:highlight w:val="none"/>
              </w:rPr>
              <w:t>按比选文件规定的原则对</w:t>
            </w:r>
            <w:r>
              <w:rPr>
                <w:rFonts w:hint="eastAsia" w:ascii="宋体" w:hAnsi="宋体" w:cs="宋体"/>
                <w:color w:val="000000"/>
                <w:highlight w:val="none"/>
                <w:lang w:eastAsia="zh-CN"/>
              </w:rPr>
              <w:t>比选申请总报价</w:t>
            </w:r>
            <w:r>
              <w:rPr>
                <w:rFonts w:hint="eastAsia" w:ascii="宋体" w:hAnsi="宋体" w:cs="宋体"/>
                <w:color w:val="000000"/>
                <w:highlight w:val="none"/>
              </w:rPr>
              <w:t>进行修正，修正的价格经比选申请人书面确认后具有约束力。比选申请人不接受修正价格的，其投标由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E31E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594BC345">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4A8F1205">
            <w:pPr>
              <w:spacing w:line="400" w:lineRule="exact"/>
              <w:jc w:val="center"/>
              <w:rPr>
                <w:rFonts w:hint="eastAsia" w:ascii="宋体" w:hAnsi="宋体" w:cs="宋体"/>
                <w:color w:val="000000"/>
                <w:highlight w:val="none"/>
              </w:rPr>
            </w:pPr>
          </w:p>
        </w:tc>
        <w:tc>
          <w:tcPr>
            <w:tcW w:w="3346" w:type="pct"/>
            <w:shd w:val="clear" w:color="auto" w:fill="auto"/>
            <w:vAlign w:val="center"/>
          </w:tcPr>
          <w:p w14:paraId="6DB32F7E">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不得有涉嫌串通投标、弄虚作假等违反招投标相关法律、法规的行为，否则由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097B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2A9BEE82">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3B19ADEB">
            <w:pPr>
              <w:spacing w:line="400" w:lineRule="exact"/>
              <w:jc w:val="center"/>
              <w:rPr>
                <w:rFonts w:hint="eastAsia" w:ascii="宋体" w:hAnsi="宋体" w:cs="宋体"/>
                <w:color w:val="000000"/>
                <w:highlight w:val="none"/>
              </w:rPr>
            </w:pPr>
          </w:p>
        </w:tc>
        <w:tc>
          <w:tcPr>
            <w:tcW w:w="3346" w:type="pct"/>
            <w:shd w:val="clear" w:color="auto" w:fill="auto"/>
            <w:vAlign w:val="center"/>
          </w:tcPr>
          <w:p w14:paraId="6331EF27">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比选申请人有以下情形之一的，其比选申请文件由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p w14:paraId="0DB0A2C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1.第二章“比选申请人须知”第1.4.3项规定的任何一种情形：</w:t>
            </w:r>
          </w:p>
          <w:p w14:paraId="4C609C0E">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（1）与比选人存在利害关系可能影响招标公正性的法人、其他组织或者个人；</w:t>
            </w:r>
          </w:p>
          <w:p w14:paraId="314FAC0A">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（2）为本标段前期准备提供设计或咨询服务的；</w:t>
            </w:r>
          </w:p>
          <w:p w14:paraId="5887C523">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（3）为本标段的监理人；</w:t>
            </w:r>
          </w:p>
          <w:p w14:paraId="6BA2B0D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（4）为本标段的代建人；</w:t>
            </w:r>
          </w:p>
          <w:p w14:paraId="5B6651B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（5）为本标段提供招标代理服务的；</w:t>
            </w:r>
          </w:p>
          <w:p w14:paraId="7F59A2D5">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（6）与本标段的监理人或代建人或招标代理机构同为一个法定代表人的；</w:t>
            </w:r>
          </w:p>
          <w:p w14:paraId="2CC8BEEA">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（7）与本标段的监理人或代建人或招标代理机构相互控股或参股的；</w:t>
            </w:r>
          </w:p>
          <w:p w14:paraId="2C50E27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（8）与本标段的监理人或代建人或招标代理机构相互任职或工作的；</w:t>
            </w:r>
          </w:p>
          <w:p w14:paraId="360C9F5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（9）被责令停业的；</w:t>
            </w:r>
          </w:p>
          <w:p w14:paraId="1D49713F">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（10）被暂停或取消投标资格的；</w:t>
            </w:r>
          </w:p>
          <w:p w14:paraId="258A50E9">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（11）财产被接管或冻结的；</w:t>
            </w:r>
          </w:p>
          <w:p w14:paraId="464EB803">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（12）单位负责人为同一人或者存在控股、管理关系的不同单位，不得在同一标段中同时投标。</w:t>
            </w:r>
          </w:p>
          <w:p w14:paraId="54F61BDD">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2.不按</w:t>
            </w:r>
            <w:r>
              <w:rPr>
                <w:rFonts w:hint="eastAsia" w:ascii="宋体" w:hAnsi="宋体" w:cs="宋体"/>
                <w:color w:val="000000"/>
                <w:highlight w:val="none"/>
                <w:lang w:eastAsia="zh-CN"/>
              </w:rPr>
              <w:t>评审委员会</w:t>
            </w:r>
            <w:r>
              <w:rPr>
                <w:rFonts w:hint="eastAsia" w:ascii="宋体" w:hAnsi="宋体" w:cs="宋体"/>
                <w:color w:val="000000"/>
                <w:highlight w:val="none"/>
              </w:rPr>
              <w:t>要求澄清、说明或补正的。</w:t>
            </w:r>
          </w:p>
        </w:tc>
      </w:tr>
      <w:tr w14:paraId="229D9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shd w:val="clear" w:color="auto" w:fill="auto"/>
            <w:vAlign w:val="center"/>
          </w:tcPr>
          <w:p w14:paraId="58A534F8">
            <w:pPr>
              <w:spacing w:line="400" w:lineRule="exact"/>
              <w:jc w:val="center"/>
              <w:rPr>
                <w:rFonts w:hint="eastAsia" w:ascii="宋体" w:hAnsi="宋体" w:cs="宋体"/>
                <w:color w:val="000000"/>
                <w:highlight w:val="none"/>
              </w:rPr>
            </w:pPr>
            <w:r>
              <w:rPr>
                <w:rFonts w:hint="eastAsia" w:ascii="宋体" w:hAnsi="宋体" w:cs="宋体"/>
                <w:color w:val="000000"/>
                <w:highlight w:val="none"/>
              </w:rPr>
              <w:t>其他</w:t>
            </w:r>
          </w:p>
        </w:tc>
        <w:tc>
          <w:tcPr>
            <w:tcW w:w="1002" w:type="pct"/>
            <w:shd w:val="clear" w:color="auto" w:fill="auto"/>
            <w:vAlign w:val="center"/>
          </w:tcPr>
          <w:p w14:paraId="54EDFBB7">
            <w:pPr>
              <w:spacing w:line="400" w:lineRule="exact"/>
              <w:jc w:val="center"/>
              <w:rPr>
                <w:rFonts w:hint="eastAsia" w:ascii="宋体" w:hAnsi="宋体" w:cs="宋体"/>
                <w:color w:val="000000"/>
                <w:highlight w:val="none"/>
              </w:rPr>
            </w:pPr>
          </w:p>
        </w:tc>
        <w:tc>
          <w:tcPr>
            <w:tcW w:w="3346" w:type="pct"/>
            <w:shd w:val="clear" w:color="auto" w:fill="auto"/>
          </w:tcPr>
          <w:p w14:paraId="5AB9DA41">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w:t>
            </w:r>
            <w:r>
              <w:rPr>
                <w:rFonts w:hint="eastAsia" w:ascii="宋体" w:hAnsi="宋体" w:cs="宋体"/>
                <w:color w:val="000000"/>
                <w:highlight w:val="none"/>
                <w:lang w:eastAsia="zh-CN"/>
              </w:rPr>
              <w:t>比选申请总报价</w:t>
            </w:r>
            <w:r>
              <w:rPr>
                <w:rFonts w:hint="eastAsia" w:ascii="宋体" w:hAnsi="宋体" w:cs="宋体"/>
                <w:color w:val="000000"/>
                <w:highlight w:val="none"/>
              </w:rPr>
              <w:t>需要修正的，以电话通知比选申请人算起，比选申请人应在30分钟内书面确认，否则，由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p w14:paraId="26F6E80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lang w:val="en-US" w:eastAsia="zh-CN"/>
              </w:rPr>
              <w:t>2</w:t>
            </w:r>
            <w:r>
              <w:rPr>
                <w:rFonts w:hint="eastAsia" w:ascii="宋体" w:hAnsi="宋体" w:cs="宋体"/>
                <w:color w:val="000000"/>
                <w:highlight w:val="none"/>
              </w:rPr>
              <w:t>.比选申请文件关键内容字迹模糊、无法辨认的。</w:t>
            </w:r>
          </w:p>
          <w:p w14:paraId="6930040C">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lang w:val="en-US" w:eastAsia="zh-CN"/>
              </w:rPr>
              <w:t>3</w:t>
            </w:r>
            <w:r>
              <w:rPr>
                <w:rFonts w:hint="eastAsia" w:ascii="宋体" w:hAnsi="宋体" w:cs="宋体"/>
                <w:color w:val="000000"/>
                <w:highlight w:val="none"/>
              </w:rPr>
              <w:t>.补遗、答疑为比选文件的组成部分，未作响应的则其比选申请文件将被否决。</w:t>
            </w:r>
          </w:p>
          <w:p w14:paraId="72182057">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lang w:val="en-US" w:eastAsia="zh-CN"/>
              </w:rPr>
              <w:t>4</w:t>
            </w:r>
            <w:r>
              <w:rPr>
                <w:rFonts w:hint="eastAsia" w:ascii="宋体" w:hAnsi="宋体" w:cs="宋体"/>
                <w:color w:val="000000"/>
                <w:highlight w:val="none"/>
              </w:rPr>
              <w:t>.比选文件中约定的其他废标情形。</w:t>
            </w:r>
          </w:p>
        </w:tc>
      </w:tr>
    </w:tbl>
    <w:p w14:paraId="13B3B0F4">
      <w:pPr>
        <w:rPr>
          <w:rFonts w:hint="eastAsia" w:ascii="宋体" w:hAnsi="宋体" w:cs="宋体"/>
          <w:highlight w:val="none"/>
        </w:rPr>
      </w:pPr>
    </w:p>
    <w:p w14:paraId="6F984738">
      <w:pPr>
        <w:rPr>
          <w:rFonts w:hint="eastAsia" w:ascii="宋体" w:hAnsi="宋体" w:cs="宋体"/>
          <w:highlight w:val="none"/>
        </w:rPr>
      </w:pPr>
    </w:p>
    <w:p w14:paraId="3FF13398">
      <w:pPr>
        <w:jc w:val="center"/>
        <w:rPr>
          <w:rFonts w:hint="eastAsia" w:ascii="宋体" w:hAnsi="宋体" w:cs="宋体"/>
          <w:sz w:val="44"/>
          <w:szCs w:val="44"/>
          <w:highlight w:val="none"/>
        </w:rPr>
      </w:pPr>
      <w:r>
        <w:rPr>
          <w:rFonts w:hint="eastAsia" w:ascii="宋体" w:hAnsi="宋体" w:cs="宋体"/>
          <w:highlight w:val="none"/>
        </w:rPr>
        <w:br w:type="page"/>
      </w:r>
      <w:bookmarkStart w:id="451" w:name="_Toc22990071"/>
      <w:bookmarkStart w:id="452" w:name="_Toc813"/>
      <w:bookmarkStart w:id="453" w:name="_Toc22375629"/>
      <w:r>
        <w:rPr>
          <w:rFonts w:hint="eastAsia" w:ascii="宋体" w:hAnsi="宋体" w:cs="宋体"/>
          <w:b/>
          <w:kern w:val="0"/>
          <w:sz w:val="44"/>
          <w:szCs w:val="44"/>
          <w:highlight w:val="none"/>
        </w:rPr>
        <w:t>第四章  合同条款及格式</w:t>
      </w:r>
      <w:bookmarkEnd w:id="451"/>
      <w:bookmarkEnd w:id="452"/>
      <w:bookmarkEnd w:id="453"/>
    </w:p>
    <w:p w14:paraId="235518A0">
      <w:pPr>
        <w:jc w:val="left"/>
        <w:rPr>
          <w:rFonts w:hint="eastAsia" w:ascii="宋体" w:hAnsi="宋体" w:cs="宋体"/>
          <w:bCs/>
          <w:sz w:val="32"/>
          <w:szCs w:val="32"/>
          <w:highlight w:val="none"/>
        </w:rPr>
      </w:pPr>
      <w:r>
        <w:rPr>
          <w:rFonts w:hint="eastAsia" w:ascii="宋体" w:hAnsi="宋体" w:cs="宋体"/>
          <w:highlight w:val="none"/>
        </w:rPr>
        <w:br w:type="page"/>
      </w:r>
      <w:bookmarkStart w:id="454" w:name="招标文件05章工程量清单"/>
      <w:bookmarkEnd w:id="454"/>
      <w:bookmarkStart w:id="455" w:name="_Toc351203480"/>
      <w:bookmarkStart w:id="456" w:name="_Toc296890982"/>
      <w:bookmarkStart w:id="457" w:name="_Toc296503025"/>
      <w:bookmarkStart w:id="458" w:name="_Toc22375651"/>
      <w:bookmarkStart w:id="459" w:name="_Toc22990072"/>
    </w:p>
    <w:bookmarkEnd w:id="455"/>
    <w:bookmarkEnd w:id="456"/>
    <w:bookmarkEnd w:id="457"/>
    <w:p w14:paraId="129E73C4">
      <w:pPr>
        <w:pStyle w:val="2"/>
        <w:numPr>
          <w:ilvl w:val="0"/>
          <w:numId w:val="0"/>
        </w:numPr>
        <w:spacing w:line="600" w:lineRule="exact"/>
        <w:rPr>
          <w:rFonts w:hint="eastAsia" w:ascii="宋体" w:hAnsi="宋体" w:eastAsia="宋体" w:cs="宋体"/>
          <w:highlight w:val="none"/>
        </w:rPr>
      </w:pPr>
      <w:r>
        <w:rPr>
          <w:rFonts w:hint="eastAsia" w:ascii="宋体" w:hAnsi="宋体" w:eastAsia="宋体" w:cs="宋体"/>
          <w:b/>
          <w:bCs/>
          <w:kern w:val="44"/>
          <w:highlight w:val="none"/>
          <w:lang w:val="en-US" w:eastAsia="zh-CN"/>
        </w:rPr>
        <w:t>白市驿川剧主题美陈广告制作</w:t>
      </w:r>
    </w:p>
    <w:p w14:paraId="63CBDE2C">
      <w:pPr>
        <w:jc w:val="center"/>
        <w:rPr>
          <w:rFonts w:hint="eastAsia" w:ascii="宋体" w:hAnsi="宋体" w:cs="宋体"/>
          <w:b/>
          <w:bCs/>
          <w:kern w:val="44"/>
          <w:sz w:val="44"/>
          <w:szCs w:val="44"/>
          <w:highlight w:val="none"/>
        </w:rPr>
      </w:pPr>
    </w:p>
    <w:p w14:paraId="1F173220">
      <w:pPr>
        <w:pStyle w:val="61"/>
        <w:rPr>
          <w:rFonts w:hint="eastAsia" w:ascii="宋体" w:hAnsi="宋体" w:cs="宋体"/>
          <w:highlight w:val="none"/>
        </w:rPr>
      </w:pPr>
    </w:p>
    <w:p w14:paraId="57EABDEE">
      <w:pPr>
        <w:jc w:val="center"/>
        <w:rPr>
          <w:rFonts w:hint="eastAsia" w:ascii="宋体" w:hAnsi="宋体" w:cs="宋体"/>
          <w:b/>
          <w:bCs/>
          <w:kern w:val="44"/>
          <w:sz w:val="44"/>
          <w:szCs w:val="44"/>
          <w:highlight w:val="none"/>
        </w:rPr>
      </w:pPr>
      <w:r>
        <w:rPr>
          <w:rFonts w:hint="eastAsia" w:ascii="宋体" w:hAnsi="宋体" w:cs="宋体"/>
          <w:b/>
          <w:bCs/>
          <w:kern w:val="44"/>
          <w:sz w:val="44"/>
          <w:szCs w:val="44"/>
          <w:highlight w:val="none"/>
        </w:rPr>
        <w:t>施</w:t>
      </w:r>
    </w:p>
    <w:p w14:paraId="6385382A">
      <w:pPr>
        <w:jc w:val="center"/>
        <w:rPr>
          <w:rFonts w:hint="eastAsia" w:ascii="宋体" w:hAnsi="宋体" w:cs="宋体"/>
          <w:b/>
          <w:bCs/>
          <w:kern w:val="44"/>
          <w:sz w:val="44"/>
          <w:szCs w:val="44"/>
          <w:highlight w:val="none"/>
        </w:rPr>
      </w:pPr>
    </w:p>
    <w:p w14:paraId="08C881E5">
      <w:pPr>
        <w:jc w:val="center"/>
        <w:rPr>
          <w:rFonts w:hint="eastAsia" w:ascii="宋体" w:hAnsi="宋体" w:cs="宋体"/>
          <w:b/>
          <w:bCs/>
          <w:kern w:val="44"/>
          <w:sz w:val="44"/>
          <w:szCs w:val="44"/>
          <w:highlight w:val="none"/>
        </w:rPr>
      </w:pPr>
      <w:r>
        <w:rPr>
          <w:rFonts w:hint="eastAsia" w:ascii="宋体" w:hAnsi="宋体" w:cs="宋体"/>
          <w:b/>
          <w:bCs/>
          <w:kern w:val="44"/>
          <w:sz w:val="44"/>
          <w:szCs w:val="44"/>
          <w:highlight w:val="none"/>
        </w:rPr>
        <w:t>工</w:t>
      </w:r>
    </w:p>
    <w:p w14:paraId="0F2BF17B">
      <w:pPr>
        <w:jc w:val="center"/>
        <w:rPr>
          <w:rFonts w:hint="eastAsia" w:ascii="宋体" w:hAnsi="宋体" w:cs="宋体"/>
          <w:b/>
          <w:bCs/>
          <w:kern w:val="44"/>
          <w:sz w:val="44"/>
          <w:szCs w:val="44"/>
          <w:highlight w:val="none"/>
        </w:rPr>
      </w:pPr>
    </w:p>
    <w:p w14:paraId="23DBB382">
      <w:pPr>
        <w:jc w:val="center"/>
        <w:rPr>
          <w:rFonts w:hint="eastAsia" w:ascii="宋体" w:hAnsi="宋体" w:cs="宋体"/>
          <w:b/>
          <w:bCs/>
          <w:kern w:val="44"/>
          <w:sz w:val="44"/>
          <w:szCs w:val="44"/>
          <w:highlight w:val="none"/>
        </w:rPr>
      </w:pPr>
      <w:r>
        <w:rPr>
          <w:rFonts w:hint="eastAsia" w:ascii="宋体" w:hAnsi="宋体" w:cs="宋体"/>
          <w:b/>
          <w:bCs/>
          <w:kern w:val="44"/>
          <w:sz w:val="44"/>
          <w:szCs w:val="44"/>
          <w:highlight w:val="none"/>
        </w:rPr>
        <w:t>合</w:t>
      </w:r>
    </w:p>
    <w:p w14:paraId="3E824211">
      <w:pPr>
        <w:jc w:val="center"/>
        <w:rPr>
          <w:rFonts w:hint="eastAsia" w:ascii="宋体" w:hAnsi="宋体" w:cs="宋体"/>
          <w:b/>
          <w:bCs/>
          <w:kern w:val="44"/>
          <w:sz w:val="44"/>
          <w:szCs w:val="44"/>
          <w:highlight w:val="none"/>
        </w:rPr>
      </w:pPr>
    </w:p>
    <w:p w14:paraId="262D56BA">
      <w:pPr>
        <w:jc w:val="center"/>
        <w:rPr>
          <w:rFonts w:hint="eastAsia" w:ascii="宋体" w:hAnsi="宋体" w:cs="宋体"/>
          <w:b/>
          <w:bCs/>
          <w:kern w:val="44"/>
          <w:sz w:val="44"/>
          <w:szCs w:val="44"/>
          <w:highlight w:val="none"/>
        </w:rPr>
      </w:pPr>
      <w:r>
        <w:rPr>
          <w:rFonts w:hint="eastAsia" w:ascii="宋体" w:hAnsi="宋体" w:cs="宋体"/>
          <w:b/>
          <w:bCs/>
          <w:kern w:val="44"/>
          <w:sz w:val="44"/>
          <w:szCs w:val="44"/>
          <w:highlight w:val="none"/>
        </w:rPr>
        <w:t>同</w:t>
      </w:r>
    </w:p>
    <w:p w14:paraId="3464DB2A">
      <w:pPr>
        <w:jc w:val="center"/>
        <w:rPr>
          <w:rFonts w:hint="eastAsia" w:ascii="宋体" w:hAnsi="宋体" w:cs="宋体"/>
          <w:b/>
          <w:sz w:val="32"/>
          <w:szCs w:val="32"/>
          <w:highlight w:val="none"/>
        </w:rPr>
      </w:pPr>
      <w:r>
        <w:rPr>
          <w:rFonts w:hint="eastAsia" w:ascii="宋体" w:hAnsi="宋体" w:cs="宋体"/>
          <w:b/>
          <w:kern w:val="44"/>
          <w:sz w:val="44"/>
          <w:szCs w:val="22"/>
          <w:highlight w:val="none"/>
        </w:rPr>
        <w:t xml:space="preserve">  </w:t>
      </w:r>
      <w:r>
        <w:rPr>
          <w:rFonts w:hint="eastAsia" w:ascii="宋体" w:hAnsi="宋体" w:cs="宋体"/>
          <w:b/>
          <w:sz w:val="44"/>
          <w:szCs w:val="44"/>
          <w:highlight w:val="none"/>
        </w:rPr>
        <w:t xml:space="preserve">                                                                                                                                                                                                                                </w:t>
      </w:r>
    </w:p>
    <w:p w14:paraId="1C389993">
      <w:pPr>
        <w:jc w:val="center"/>
        <w:rPr>
          <w:rFonts w:hint="eastAsia" w:ascii="宋体" w:hAnsi="宋体" w:cs="宋体"/>
          <w:b/>
          <w:sz w:val="32"/>
          <w:szCs w:val="32"/>
          <w:highlight w:val="none"/>
        </w:rPr>
      </w:pPr>
    </w:p>
    <w:p w14:paraId="42686289">
      <w:pPr>
        <w:pStyle w:val="61"/>
        <w:rPr>
          <w:rFonts w:hint="eastAsia" w:ascii="宋体" w:hAnsi="宋体" w:cs="宋体"/>
          <w:highlight w:val="none"/>
        </w:rPr>
      </w:pPr>
    </w:p>
    <w:p w14:paraId="3998FC35">
      <w:pPr>
        <w:pStyle w:val="61"/>
        <w:rPr>
          <w:rFonts w:hint="eastAsia" w:ascii="宋体" w:hAnsi="宋体" w:cs="宋体"/>
          <w:highlight w:val="none"/>
        </w:rPr>
      </w:pPr>
    </w:p>
    <w:p w14:paraId="3D10604F">
      <w:pPr>
        <w:ind w:firstLine="1760" w:firstLineChars="550"/>
        <w:rPr>
          <w:rFonts w:hint="eastAsia" w:ascii="宋体" w:hAnsi="宋体" w:cs="宋体"/>
          <w:bCs/>
          <w:sz w:val="32"/>
          <w:szCs w:val="32"/>
          <w:highlight w:val="none"/>
        </w:rPr>
      </w:pPr>
      <w:r>
        <w:rPr>
          <w:rFonts w:hint="eastAsia" w:ascii="宋体" w:hAnsi="宋体" w:cs="宋体"/>
          <w:bCs/>
          <w:sz w:val="32"/>
          <w:szCs w:val="32"/>
          <w:highlight w:val="none"/>
        </w:rPr>
        <w:t>发包人：重庆市九龙坡区白市驿镇人民政府</w:t>
      </w:r>
    </w:p>
    <w:p w14:paraId="384B957C">
      <w:pPr>
        <w:ind w:firstLine="1760" w:firstLineChars="550"/>
        <w:rPr>
          <w:rFonts w:hint="eastAsia" w:ascii="宋体" w:hAnsi="宋体" w:cs="宋体"/>
          <w:kern w:val="0"/>
          <w:highlight w:val="none"/>
        </w:rPr>
      </w:pPr>
      <w:r>
        <w:rPr>
          <w:rFonts w:hint="eastAsia" w:ascii="宋体" w:hAnsi="宋体" w:cs="宋体"/>
          <w:bCs/>
          <w:sz w:val="32"/>
          <w:szCs w:val="32"/>
          <w:highlight w:val="none"/>
        </w:rPr>
        <w:t>承包人：</w:t>
      </w:r>
    </w:p>
    <w:p w14:paraId="46B28745">
      <w:pPr>
        <w:rPr>
          <w:rFonts w:hint="eastAsia" w:ascii="宋体" w:hAnsi="宋体" w:cs="宋体"/>
          <w:highlight w:val="none"/>
        </w:rPr>
      </w:pPr>
      <w:r>
        <w:rPr>
          <w:rFonts w:hint="eastAsia" w:ascii="宋体" w:hAnsi="宋体" w:cs="宋体"/>
          <w:sz w:val="44"/>
          <w:szCs w:val="44"/>
          <w:highlight w:val="none"/>
        </w:rPr>
        <w:br w:type="page"/>
      </w:r>
    </w:p>
    <w:p w14:paraId="49FC3802">
      <w:pPr>
        <w:pStyle w:val="4"/>
        <w:jc w:val="center"/>
        <w:rPr>
          <w:rFonts w:hint="eastAsia" w:ascii="宋体" w:hAnsi="宋体" w:eastAsia="宋体" w:cs="宋体"/>
          <w:b w:val="0"/>
          <w:highlight w:val="none"/>
        </w:rPr>
      </w:pPr>
      <w:r>
        <w:rPr>
          <w:rFonts w:hint="eastAsia" w:ascii="宋体" w:hAnsi="宋体" w:eastAsia="宋体" w:cs="宋体"/>
          <w:sz w:val="44"/>
          <w:szCs w:val="44"/>
          <w:highlight w:val="none"/>
        </w:rPr>
        <w:t xml:space="preserve"> </w:t>
      </w:r>
      <w:r>
        <w:rPr>
          <w:rFonts w:hint="eastAsia" w:ascii="宋体" w:hAnsi="宋体" w:eastAsia="宋体" w:cs="宋体"/>
          <w:highlight w:val="none"/>
        </w:rPr>
        <w:t>合同协议书</w:t>
      </w:r>
    </w:p>
    <w:p w14:paraId="6BFD8BAD">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发包人（全称）：</w:t>
      </w:r>
      <w:r>
        <w:rPr>
          <w:rFonts w:hint="eastAsia" w:ascii="宋体" w:hAnsi="宋体" w:cs="宋体"/>
          <w:kern w:val="0"/>
          <w:highlight w:val="none"/>
          <w:u w:val="single"/>
        </w:rPr>
        <w:t xml:space="preserve">重庆市九龙坡区白市驿镇人民政府 </w:t>
      </w:r>
    </w:p>
    <w:p w14:paraId="78E45BB6">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承包人（全称）：</w:t>
      </w:r>
      <w:r>
        <w:rPr>
          <w:rFonts w:hint="eastAsia" w:ascii="宋体" w:hAnsi="宋体" w:cs="宋体"/>
          <w:kern w:val="0"/>
          <w:highlight w:val="none"/>
          <w:u w:val="single"/>
        </w:rPr>
        <w:t xml:space="preserve">                                  </w:t>
      </w:r>
    </w:p>
    <w:p w14:paraId="6B9F5CA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根据《中华人民共和国民法典》、《中华人民共和国建筑法》及有关法律规定，遵循平等、自愿、公平和诚实信用的原则，双方就</w:t>
      </w:r>
      <w:r>
        <w:rPr>
          <w:rFonts w:hint="eastAsia" w:ascii="宋体" w:hAnsi="宋体" w:cs="宋体"/>
          <w:kern w:val="0"/>
          <w:highlight w:val="none"/>
          <w:u w:val="single"/>
          <w:lang w:eastAsia="zh-CN"/>
        </w:rPr>
        <w:t>白市驿川剧主题美陈广告制作</w:t>
      </w:r>
      <w:r>
        <w:rPr>
          <w:rFonts w:hint="eastAsia" w:ascii="宋体" w:hAnsi="宋体" w:cs="宋体"/>
          <w:kern w:val="0"/>
          <w:highlight w:val="none"/>
        </w:rPr>
        <w:t>有关事项协商一致，共同达成如下协议：</w:t>
      </w:r>
    </w:p>
    <w:p w14:paraId="5BB2AFDC">
      <w:pPr>
        <w:spacing w:line="560" w:lineRule="exact"/>
        <w:ind w:firstLine="420" w:firstLineChars="200"/>
        <w:jc w:val="left"/>
        <w:rPr>
          <w:rFonts w:hint="eastAsia" w:ascii="宋体" w:hAnsi="宋体" w:cs="宋体"/>
          <w:kern w:val="0"/>
          <w:highlight w:val="none"/>
        </w:rPr>
      </w:pPr>
      <w:bookmarkStart w:id="460" w:name="_Toc351203481"/>
      <w:r>
        <w:rPr>
          <w:rFonts w:hint="eastAsia" w:ascii="宋体" w:hAnsi="宋体" w:cs="宋体"/>
          <w:kern w:val="0"/>
          <w:highlight w:val="none"/>
        </w:rPr>
        <w:t>一、工程概况</w:t>
      </w:r>
      <w:bookmarkEnd w:id="460"/>
    </w:p>
    <w:p w14:paraId="71117D7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1.工程名称：</w:t>
      </w:r>
      <w:r>
        <w:rPr>
          <w:rFonts w:hint="eastAsia" w:ascii="宋体" w:hAnsi="宋体" w:cs="宋体"/>
          <w:kern w:val="0"/>
          <w:highlight w:val="none"/>
          <w:u w:val="single"/>
          <w:lang w:eastAsia="zh-CN"/>
        </w:rPr>
        <w:t>白市驿川剧主题美陈广告制作</w:t>
      </w:r>
      <w:r>
        <w:rPr>
          <w:rFonts w:hint="eastAsia" w:ascii="宋体" w:hAnsi="宋体" w:cs="宋体"/>
          <w:kern w:val="0"/>
          <w:highlight w:val="none"/>
        </w:rPr>
        <w:t>。</w:t>
      </w:r>
    </w:p>
    <w:p w14:paraId="4707F3D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2.工程地点：</w:t>
      </w:r>
      <w:r>
        <w:rPr>
          <w:rFonts w:hint="eastAsia" w:ascii="宋体" w:hAnsi="宋体" w:cs="宋体"/>
          <w:kern w:val="0"/>
          <w:highlight w:val="none"/>
          <w:u w:val="single"/>
        </w:rPr>
        <w:t>重庆市白市驿镇</w:t>
      </w:r>
      <w:r>
        <w:rPr>
          <w:rFonts w:hint="eastAsia" w:ascii="宋体" w:hAnsi="宋体" w:cs="宋体"/>
          <w:kern w:val="0"/>
          <w:highlight w:val="none"/>
        </w:rPr>
        <w:t>。</w:t>
      </w:r>
    </w:p>
    <w:p w14:paraId="172220E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3.工程立项批准文号：</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1354EE5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4.资金来源：</w:t>
      </w:r>
      <w:r>
        <w:rPr>
          <w:rFonts w:hint="eastAsia" w:ascii="宋体" w:hAnsi="宋体" w:cs="宋体"/>
          <w:kern w:val="0"/>
          <w:highlight w:val="none"/>
          <w:u w:val="single"/>
        </w:rPr>
        <w:t>财政资金</w:t>
      </w:r>
      <w:r>
        <w:rPr>
          <w:rFonts w:hint="eastAsia" w:ascii="宋体" w:hAnsi="宋体" w:cs="宋体"/>
          <w:kern w:val="0"/>
          <w:highlight w:val="none"/>
        </w:rPr>
        <w:t xml:space="preserve"> 。</w:t>
      </w:r>
    </w:p>
    <w:p w14:paraId="3C47A6AB">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5.工程内容：</w:t>
      </w:r>
      <w:r>
        <w:rPr>
          <w:rFonts w:hint="eastAsia" w:ascii="宋体" w:hAnsi="宋体" w:cs="宋体"/>
          <w:kern w:val="0"/>
          <w:highlight w:val="none"/>
          <w:u w:val="single"/>
        </w:rPr>
        <w:t xml:space="preserve"> </w:t>
      </w:r>
      <w:r>
        <w:rPr>
          <w:rFonts w:hint="eastAsia" w:ascii="宋体" w:hAnsi="宋体" w:cs="宋体"/>
          <w:kern w:val="0"/>
          <w:highlight w:val="none"/>
          <w:u w:val="single"/>
          <w:lang w:eastAsia="zh-CN"/>
        </w:rPr>
        <w:t>白市驿川剧主题美陈</w:t>
      </w:r>
      <w:r>
        <w:rPr>
          <w:rFonts w:hint="eastAsia" w:ascii="宋体" w:hAnsi="宋体" w:cs="宋体"/>
          <w:kern w:val="0"/>
          <w:highlight w:val="none"/>
          <w:u w:val="single"/>
          <w:lang w:val="en-US" w:eastAsia="zh-CN"/>
        </w:rPr>
        <w:t>设计方案的所有内容</w:t>
      </w:r>
      <w:r>
        <w:rPr>
          <w:rFonts w:hint="eastAsia" w:ascii="宋体" w:hAnsi="宋体" w:cs="宋体"/>
          <w:kern w:val="0"/>
          <w:highlight w:val="none"/>
          <w:u w:val="single"/>
        </w:rPr>
        <w:t xml:space="preserve"> </w:t>
      </w:r>
      <w:r>
        <w:rPr>
          <w:rFonts w:hint="eastAsia" w:ascii="宋体" w:hAnsi="宋体" w:cs="宋体"/>
          <w:kern w:val="0"/>
          <w:highlight w:val="none"/>
        </w:rPr>
        <w:t>。</w:t>
      </w:r>
    </w:p>
    <w:p w14:paraId="2648ADE2">
      <w:pPr>
        <w:spacing w:line="560" w:lineRule="exact"/>
        <w:ind w:firstLine="420" w:firstLineChars="200"/>
        <w:jc w:val="left"/>
        <w:rPr>
          <w:rFonts w:hint="eastAsia" w:ascii="宋体" w:hAnsi="宋体" w:cs="宋体"/>
          <w:kern w:val="0"/>
          <w:highlight w:val="none"/>
          <w:u w:val="single"/>
          <w:lang w:eastAsia="zh-CN"/>
        </w:rPr>
      </w:pPr>
      <w:r>
        <w:rPr>
          <w:rFonts w:hint="eastAsia" w:ascii="宋体" w:hAnsi="宋体" w:cs="宋体"/>
          <w:kern w:val="0"/>
          <w:highlight w:val="none"/>
        </w:rPr>
        <w:t>6.工程承包范围：</w:t>
      </w:r>
      <w:r>
        <w:rPr>
          <w:rFonts w:hint="eastAsia" w:ascii="宋体" w:hAnsi="宋体" w:cs="宋体"/>
          <w:kern w:val="0"/>
          <w:highlight w:val="none"/>
          <w:u w:val="single"/>
          <w:lang w:eastAsia="zh-CN"/>
        </w:rPr>
        <w:t>具体工作内容详见工程量清单</w:t>
      </w:r>
      <w:r>
        <w:rPr>
          <w:rFonts w:hint="eastAsia" w:ascii="宋体" w:hAnsi="宋体" w:cs="宋体"/>
          <w:kern w:val="0"/>
          <w:highlight w:val="none"/>
          <w:u w:val="single"/>
          <w:lang w:val="en-US" w:eastAsia="zh-CN"/>
        </w:rPr>
        <w:t>及设计方案，如有不一致，以设计方案为准。</w:t>
      </w:r>
    </w:p>
    <w:p w14:paraId="3E730243">
      <w:pPr>
        <w:spacing w:line="560" w:lineRule="exact"/>
        <w:ind w:firstLine="420" w:firstLineChars="200"/>
        <w:jc w:val="left"/>
        <w:rPr>
          <w:rFonts w:hint="eastAsia" w:ascii="宋体" w:hAnsi="宋体" w:cs="宋体"/>
          <w:kern w:val="0"/>
          <w:highlight w:val="none"/>
        </w:rPr>
      </w:pPr>
      <w:bookmarkStart w:id="461" w:name="_Toc351203482"/>
      <w:r>
        <w:rPr>
          <w:rFonts w:hint="eastAsia" w:ascii="宋体" w:hAnsi="宋体" w:cs="宋体"/>
          <w:kern w:val="0"/>
          <w:highlight w:val="none"/>
        </w:rPr>
        <w:t>二、合同工期</w:t>
      </w:r>
      <w:bookmarkEnd w:id="461"/>
    </w:p>
    <w:p w14:paraId="4266E4C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lang w:val="en-US" w:eastAsia="zh-CN"/>
        </w:rPr>
        <w:t>2025年</w:t>
      </w:r>
      <w:r>
        <w:rPr>
          <w:rFonts w:hint="eastAsia" w:ascii="宋体" w:hAnsi="宋体" w:cs="宋体"/>
          <w:kern w:val="0"/>
          <w:highlight w:val="none"/>
        </w:rPr>
        <w:t>8月18日前</w:t>
      </w:r>
      <w:r>
        <w:rPr>
          <w:rFonts w:hint="eastAsia" w:ascii="宋体" w:hAnsi="宋体" w:cs="宋体"/>
          <w:kern w:val="0"/>
          <w:highlight w:val="none"/>
          <w:lang w:val="en-US" w:eastAsia="zh-CN"/>
        </w:rPr>
        <w:t>完工。</w:t>
      </w:r>
      <w:bookmarkStart w:id="462" w:name="_Toc351203483"/>
      <w:r>
        <w:rPr>
          <w:rFonts w:hint="eastAsia" w:ascii="宋体" w:hAnsi="宋体" w:cs="宋体"/>
          <w:kern w:val="0"/>
          <w:highlight w:val="none"/>
        </w:rPr>
        <w:t xml:space="preserve"> </w:t>
      </w:r>
    </w:p>
    <w:p w14:paraId="006373D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三、质量标准</w:t>
      </w:r>
      <w:bookmarkEnd w:id="462"/>
    </w:p>
    <w:p w14:paraId="025FFF3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工程质量符合</w:t>
      </w:r>
      <w:r>
        <w:rPr>
          <w:rFonts w:hint="eastAsia" w:ascii="宋体" w:hAnsi="宋体" w:cs="宋体"/>
          <w:kern w:val="0"/>
          <w:highlight w:val="none"/>
          <w:u w:val="single"/>
        </w:rPr>
        <w:t>国家和</w:t>
      </w:r>
      <w:r>
        <w:rPr>
          <w:rFonts w:hint="eastAsia" w:ascii="宋体" w:hAnsi="宋体" w:cs="宋体"/>
          <w:kern w:val="0"/>
          <w:highlight w:val="none"/>
          <w:u w:val="single"/>
          <w:lang w:val="en-US" w:eastAsia="zh-CN"/>
        </w:rPr>
        <w:t>项目</w:t>
      </w:r>
      <w:r>
        <w:rPr>
          <w:rFonts w:hint="eastAsia" w:ascii="宋体" w:hAnsi="宋体" w:cs="宋体"/>
          <w:kern w:val="0"/>
          <w:highlight w:val="none"/>
          <w:u w:val="single"/>
        </w:rPr>
        <w:t>所属行业等相关质量合格验收</w:t>
      </w:r>
      <w:r>
        <w:rPr>
          <w:rFonts w:hint="eastAsia" w:ascii="宋体" w:hAnsi="宋体" w:cs="宋体"/>
          <w:kern w:val="0"/>
          <w:highlight w:val="none"/>
        </w:rPr>
        <w:t>标准。</w:t>
      </w:r>
    </w:p>
    <w:p w14:paraId="37CF6B81">
      <w:pPr>
        <w:spacing w:line="560" w:lineRule="exact"/>
        <w:ind w:firstLine="420" w:firstLineChars="200"/>
        <w:jc w:val="left"/>
        <w:rPr>
          <w:rFonts w:hint="eastAsia" w:ascii="宋体" w:hAnsi="宋体" w:cs="宋体"/>
          <w:kern w:val="0"/>
          <w:highlight w:val="none"/>
        </w:rPr>
      </w:pPr>
      <w:bookmarkStart w:id="463" w:name="_Toc351203484"/>
      <w:r>
        <w:rPr>
          <w:rFonts w:hint="eastAsia" w:ascii="宋体" w:hAnsi="宋体" w:cs="宋体"/>
          <w:kern w:val="0"/>
          <w:highlight w:val="none"/>
        </w:rPr>
        <w:t>四、签约合同价与合同价格形式</w:t>
      </w:r>
      <w:bookmarkEnd w:id="463"/>
      <w:r>
        <w:rPr>
          <w:rFonts w:hint="eastAsia" w:ascii="宋体" w:hAnsi="宋体" w:cs="宋体"/>
          <w:kern w:val="0"/>
          <w:highlight w:val="none"/>
        </w:rPr>
        <w:tab/>
      </w:r>
    </w:p>
    <w:p w14:paraId="2B5BF96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1.签约合同价为：</w:t>
      </w:r>
    </w:p>
    <w:p w14:paraId="027B141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合同价格：</w:t>
      </w:r>
      <w:r>
        <w:rPr>
          <w:rFonts w:hint="eastAsia" w:ascii="宋体" w:hAnsi="宋体" w:cs="宋体"/>
          <w:kern w:val="0"/>
          <w:highlight w:val="none"/>
          <w:u w:val="single"/>
        </w:rPr>
        <w:t xml:space="preserve">        元  </w:t>
      </w:r>
      <w:r>
        <w:rPr>
          <w:rFonts w:hint="eastAsia" w:ascii="宋体" w:hAnsi="宋体" w:cs="宋体"/>
          <w:kern w:val="0"/>
          <w:highlight w:val="none"/>
        </w:rPr>
        <w:t>。（ 大写：）</w:t>
      </w:r>
    </w:p>
    <w:p w14:paraId="46BEC15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2.合同价格形式：</w:t>
      </w:r>
      <w:r>
        <w:rPr>
          <w:rFonts w:hint="eastAsia" w:ascii="宋体" w:hAnsi="宋体" w:cs="宋体"/>
          <w:kern w:val="0"/>
          <w:highlight w:val="none"/>
          <w:u w:val="single"/>
        </w:rPr>
        <w:t>固定</w:t>
      </w:r>
      <w:r>
        <w:rPr>
          <w:rFonts w:hint="eastAsia" w:ascii="宋体" w:hAnsi="宋体" w:cs="宋体"/>
          <w:kern w:val="0"/>
          <w:highlight w:val="none"/>
          <w:u w:val="single"/>
          <w:lang w:val="en-US" w:eastAsia="zh-CN"/>
        </w:rPr>
        <w:t>总价</w:t>
      </w:r>
      <w:r>
        <w:rPr>
          <w:rFonts w:hint="eastAsia" w:ascii="宋体" w:hAnsi="宋体" w:cs="宋体"/>
          <w:kern w:val="0"/>
          <w:highlight w:val="none"/>
          <w:u w:val="single"/>
        </w:rPr>
        <w:t xml:space="preserve">合同  </w:t>
      </w:r>
      <w:r>
        <w:rPr>
          <w:rFonts w:hint="eastAsia" w:ascii="宋体" w:hAnsi="宋体" w:cs="宋体"/>
          <w:kern w:val="0"/>
          <w:highlight w:val="none"/>
        </w:rPr>
        <w:t>。</w:t>
      </w:r>
    </w:p>
    <w:p w14:paraId="1F0C4B01">
      <w:pPr>
        <w:spacing w:line="560" w:lineRule="exact"/>
        <w:ind w:firstLine="420" w:firstLineChars="200"/>
        <w:jc w:val="left"/>
        <w:rPr>
          <w:rFonts w:hint="eastAsia" w:ascii="宋体" w:hAnsi="宋体" w:cs="宋体"/>
          <w:kern w:val="0"/>
          <w:highlight w:val="none"/>
        </w:rPr>
      </w:pPr>
      <w:bookmarkStart w:id="464" w:name="_Toc351203485"/>
      <w:r>
        <w:rPr>
          <w:rFonts w:hint="eastAsia" w:ascii="宋体" w:hAnsi="宋体" w:cs="宋体"/>
          <w:kern w:val="0"/>
          <w:highlight w:val="none"/>
        </w:rPr>
        <w:t>五、</w:t>
      </w:r>
      <w:bookmarkEnd w:id="464"/>
      <w:r>
        <w:rPr>
          <w:rFonts w:hint="eastAsia" w:ascii="宋体" w:hAnsi="宋体" w:cs="宋体"/>
          <w:kern w:val="0"/>
          <w:highlight w:val="none"/>
        </w:rPr>
        <w:t>项目经理</w:t>
      </w:r>
    </w:p>
    <w:p w14:paraId="35A61D6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承包人项目经理：</w:t>
      </w:r>
      <w:r>
        <w:rPr>
          <w:rFonts w:hint="eastAsia" w:ascii="宋体" w:hAnsi="宋体" w:cs="宋体"/>
          <w:kern w:val="0"/>
          <w:highlight w:val="none"/>
          <w:u w:val="single"/>
        </w:rPr>
        <w:t xml:space="preserve">          </w:t>
      </w:r>
      <w:r>
        <w:rPr>
          <w:rFonts w:hint="eastAsia" w:ascii="宋体" w:hAnsi="宋体" w:cs="宋体"/>
          <w:kern w:val="0"/>
          <w:highlight w:val="none"/>
        </w:rPr>
        <w:t>。</w:t>
      </w:r>
    </w:p>
    <w:p w14:paraId="40C319E4">
      <w:pPr>
        <w:spacing w:line="560" w:lineRule="exact"/>
        <w:ind w:firstLine="420" w:firstLineChars="200"/>
        <w:jc w:val="left"/>
        <w:rPr>
          <w:rFonts w:hint="eastAsia" w:ascii="宋体" w:hAnsi="宋体" w:cs="宋体"/>
          <w:kern w:val="0"/>
          <w:highlight w:val="none"/>
        </w:rPr>
      </w:pPr>
      <w:bookmarkStart w:id="465" w:name="_Toc351203486"/>
      <w:r>
        <w:rPr>
          <w:rFonts w:hint="eastAsia" w:ascii="宋体" w:hAnsi="宋体" w:cs="宋体"/>
          <w:kern w:val="0"/>
          <w:highlight w:val="none"/>
        </w:rPr>
        <w:t>六、合同文件构成</w:t>
      </w:r>
      <w:bookmarkEnd w:id="465"/>
    </w:p>
    <w:p w14:paraId="17C5040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本协议书与下列文件一起构成合同文件：</w:t>
      </w:r>
    </w:p>
    <w:p w14:paraId="7C37CC2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(l）合同协议书； </w:t>
      </w:r>
    </w:p>
    <w:p w14:paraId="03A068B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(2）中标通知书；</w:t>
      </w:r>
    </w:p>
    <w:p w14:paraId="3BDEC95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(3）投标函及投标函附录； </w:t>
      </w:r>
    </w:p>
    <w:p w14:paraId="6CDEEEA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(4）本合同专用合同条款； </w:t>
      </w:r>
    </w:p>
    <w:p w14:paraId="3F76C45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(5）本合同通用合同条款；</w:t>
      </w:r>
    </w:p>
    <w:p w14:paraId="4A578D6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(6）技术标准和要求； </w:t>
      </w:r>
    </w:p>
    <w:p w14:paraId="1BD7B68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(7）图纸；</w:t>
      </w:r>
    </w:p>
    <w:p w14:paraId="3D822F4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(8）已标价工程量清单； </w:t>
      </w:r>
    </w:p>
    <w:p w14:paraId="465CDFF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(9）比选文件</w:t>
      </w:r>
    </w:p>
    <w:p w14:paraId="74097F91">
      <w:pPr>
        <w:spacing w:line="560" w:lineRule="exact"/>
        <w:ind w:firstLine="420" w:firstLineChars="200"/>
        <w:jc w:val="left"/>
        <w:rPr>
          <w:rFonts w:hint="eastAsia" w:ascii="宋体" w:hAnsi="宋体" w:cs="宋体"/>
          <w:highlight w:val="none"/>
        </w:rPr>
      </w:pPr>
      <w:r>
        <w:rPr>
          <w:rFonts w:hint="eastAsia" w:ascii="宋体" w:hAnsi="宋体" w:cs="宋体"/>
          <w:kern w:val="0"/>
          <w:highlight w:val="none"/>
        </w:rPr>
        <w:t>(10)其他合同文件。</w:t>
      </w:r>
    </w:p>
    <w:p w14:paraId="2B6FC04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在合同订立及履行过程中形成的与合同有关的文件均构成合同文件组成部分。</w:t>
      </w:r>
    </w:p>
    <w:p w14:paraId="7930657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上述各项合同文件包括合同当事人就该项合同文件所作出的补充和修改，属于同一类内容的文件，应以最新签署的为准。专用合同条款及其附件须经合同当事人签字或盖章。</w:t>
      </w:r>
    </w:p>
    <w:p w14:paraId="50B27CB9">
      <w:pPr>
        <w:spacing w:line="560" w:lineRule="exact"/>
        <w:ind w:firstLine="420" w:firstLineChars="200"/>
        <w:jc w:val="left"/>
        <w:rPr>
          <w:rFonts w:hint="eastAsia" w:ascii="宋体" w:hAnsi="宋体" w:cs="宋体"/>
          <w:kern w:val="0"/>
          <w:highlight w:val="none"/>
        </w:rPr>
      </w:pPr>
      <w:bookmarkStart w:id="466" w:name="_Toc351203487"/>
      <w:r>
        <w:rPr>
          <w:rFonts w:hint="eastAsia" w:ascii="宋体" w:hAnsi="宋体" w:cs="宋体"/>
          <w:kern w:val="0"/>
          <w:highlight w:val="none"/>
        </w:rPr>
        <w:t>七、承诺</w:t>
      </w:r>
      <w:bookmarkEnd w:id="466"/>
    </w:p>
    <w:p w14:paraId="6A67990D">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1.发包人承诺按照法律规定履行项目审批手续、筹集工程建设资金并按照合同约定的期限和方式支付合同价款。</w:t>
      </w:r>
    </w:p>
    <w:p w14:paraId="23676B61">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2.承包人承诺按照法律规定及合同约定组织完成工程</w:t>
      </w:r>
      <w:r>
        <w:rPr>
          <w:rFonts w:hint="eastAsia" w:ascii="宋体" w:hAnsi="宋体" w:cs="宋体"/>
          <w:kern w:val="0"/>
          <w:highlight w:val="none"/>
          <w:lang w:val="en-US" w:eastAsia="zh-CN"/>
        </w:rPr>
        <w:t>实施</w:t>
      </w:r>
      <w:r>
        <w:rPr>
          <w:rFonts w:hint="eastAsia" w:ascii="宋体" w:hAnsi="宋体" w:cs="宋体"/>
          <w:kern w:val="0"/>
          <w:highlight w:val="none"/>
        </w:rPr>
        <w:t>，确保工程质量和安全，不进行转包及违法分包，并在缺陷责任期及保修期内承担相应的工程维修责任。</w:t>
      </w:r>
    </w:p>
    <w:p w14:paraId="518F320B">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3.发包人和承包人通过招投标形式签订合同的，双方理解并承诺不再就同一工程另行签订与合同实质性内容相背离的协议。</w:t>
      </w:r>
    </w:p>
    <w:p w14:paraId="7D7FA69C">
      <w:pPr>
        <w:spacing w:line="360" w:lineRule="auto"/>
        <w:ind w:firstLine="420" w:firstLineChars="200"/>
        <w:jc w:val="left"/>
        <w:rPr>
          <w:rFonts w:hint="eastAsia" w:ascii="宋体" w:hAnsi="宋体" w:cs="宋体"/>
          <w:kern w:val="0"/>
          <w:highlight w:val="none"/>
        </w:rPr>
      </w:pPr>
      <w:bookmarkStart w:id="467" w:name="_Toc351203488"/>
      <w:r>
        <w:rPr>
          <w:rFonts w:hint="eastAsia" w:ascii="宋体" w:hAnsi="宋体" w:cs="宋体"/>
          <w:kern w:val="0"/>
          <w:highlight w:val="none"/>
        </w:rPr>
        <w:t>八、词语含义</w:t>
      </w:r>
      <w:bookmarkEnd w:id="467"/>
    </w:p>
    <w:p w14:paraId="2527ADFA">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本协议书中词语含义与第二部分通用合同条款中赋予的含义相同。</w:t>
      </w:r>
    </w:p>
    <w:p w14:paraId="7E4A1AAC">
      <w:pPr>
        <w:spacing w:line="360" w:lineRule="auto"/>
        <w:ind w:firstLine="420" w:firstLineChars="200"/>
        <w:jc w:val="left"/>
        <w:rPr>
          <w:rFonts w:hint="eastAsia" w:ascii="宋体" w:hAnsi="宋体" w:cs="宋体"/>
          <w:kern w:val="0"/>
          <w:highlight w:val="none"/>
        </w:rPr>
      </w:pPr>
      <w:bookmarkStart w:id="468" w:name="_Toc351203489"/>
      <w:r>
        <w:rPr>
          <w:rFonts w:hint="eastAsia" w:ascii="宋体" w:hAnsi="宋体" w:cs="宋体"/>
          <w:kern w:val="0"/>
          <w:highlight w:val="none"/>
        </w:rPr>
        <w:t>九、签订时间</w:t>
      </w:r>
      <w:bookmarkEnd w:id="468"/>
    </w:p>
    <w:p w14:paraId="7BEE23EE">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本合同于</w:t>
      </w:r>
      <w:r>
        <w:rPr>
          <w:rFonts w:hint="eastAsia" w:ascii="宋体" w:hAnsi="宋体" w:cs="宋体"/>
          <w:kern w:val="0"/>
          <w:highlight w:val="none"/>
          <w:u w:val="single"/>
        </w:rPr>
        <w:t xml:space="preserve">  202</w:t>
      </w:r>
      <w:r>
        <w:rPr>
          <w:rFonts w:hint="eastAsia" w:ascii="宋体" w:hAnsi="宋体" w:cs="宋体"/>
          <w:kern w:val="0"/>
          <w:highlight w:val="none"/>
          <w:u w:val="single"/>
          <w:lang w:val="en-US" w:eastAsia="zh-CN"/>
        </w:rPr>
        <w:t>5</w:t>
      </w:r>
      <w:r>
        <w:rPr>
          <w:rFonts w:hint="eastAsia" w:ascii="宋体" w:hAnsi="宋体" w:cs="宋体"/>
          <w:kern w:val="0"/>
          <w:highlight w:val="none"/>
          <w:u w:val="single"/>
        </w:rPr>
        <w:t xml:space="preserve">  </w:t>
      </w:r>
      <w:r>
        <w:rPr>
          <w:rFonts w:hint="eastAsia" w:ascii="宋体" w:hAnsi="宋体" w:cs="宋体"/>
          <w:kern w:val="0"/>
          <w:highlight w:val="none"/>
        </w:rPr>
        <w:t>年</w:t>
      </w:r>
      <w:r>
        <w:rPr>
          <w:rFonts w:hint="eastAsia" w:ascii="宋体" w:hAnsi="宋体" w:cs="宋体"/>
          <w:kern w:val="0"/>
          <w:highlight w:val="none"/>
          <w:u w:val="single"/>
        </w:rPr>
        <w:t xml:space="preserve">   </w:t>
      </w:r>
      <w:r>
        <w:rPr>
          <w:rFonts w:hint="eastAsia" w:ascii="宋体" w:hAnsi="宋体" w:cs="宋体"/>
          <w:kern w:val="0"/>
          <w:highlight w:val="none"/>
        </w:rPr>
        <w:t>月</w:t>
      </w:r>
      <w:r>
        <w:rPr>
          <w:rFonts w:hint="eastAsia" w:ascii="宋体" w:hAnsi="宋体" w:cs="宋体"/>
          <w:kern w:val="0"/>
          <w:highlight w:val="none"/>
          <w:u w:val="single"/>
        </w:rPr>
        <w:t xml:space="preserve">    </w:t>
      </w:r>
      <w:r>
        <w:rPr>
          <w:rFonts w:hint="eastAsia" w:ascii="宋体" w:hAnsi="宋体" w:cs="宋体"/>
          <w:kern w:val="0"/>
          <w:highlight w:val="none"/>
        </w:rPr>
        <w:t>日签订。</w:t>
      </w:r>
    </w:p>
    <w:p w14:paraId="79E54D94">
      <w:pPr>
        <w:spacing w:line="360" w:lineRule="auto"/>
        <w:ind w:firstLine="420" w:firstLineChars="200"/>
        <w:jc w:val="left"/>
        <w:rPr>
          <w:rFonts w:hint="eastAsia" w:ascii="宋体" w:hAnsi="宋体" w:cs="宋体"/>
          <w:kern w:val="0"/>
          <w:highlight w:val="none"/>
        </w:rPr>
      </w:pPr>
      <w:bookmarkStart w:id="469" w:name="_Toc351203490"/>
      <w:r>
        <w:rPr>
          <w:rFonts w:hint="eastAsia" w:ascii="宋体" w:hAnsi="宋体" w:cs="宋体"/>
          <w:kern w:val="0"/>
          <w:highlight w:val="none"/>
        </w:rPr>
        <w:t>十、签订地点</w:t>
      </w:r>
      <w:bookmarkEnd w:id="469"/>
    </w:p>
    <w:p w14:paraId="6CDE2B29">
      <w:pPr>
        <w:spacing w:line="360" w:lineRule="auto"/>
        <w:ind w:firstLine="420" w:firstLineChars="200"/>
        <w:jc w:val="left"/>
        <w:rPr>
          <w:rFonts w:hint="eastAsia" w:ascii="宋体" w:hAnsi="宋体" w:cs="宋体"/>
          <w:kern w:val="0"/>
          <w:highlight w:val="none"/>
          <w:u w:val="single"/>
        </w:rPr>
      </w:pPr>
      <w:r>
        <w:rPr>
          <w:rFonts w:hint="eastAsia" w:ascii="宋体" w:hAnsi="宋体" w:cs="宋体"/>
          <w:kern w:val="0"/>
          <w:highlight w:val="none"/>
        </w:rPr>
        <w:t>本合同在</w:t>
      </w:r>
      <w:r>
        <w:rPr>
          <w:rFonts w:hint="eastAsia" w:ascii="宋体" w:hAnsi="宋体" w:cs="宋体"/>
          <w:kern w:val="0"/>
          <w:highlight w:val="none"/>
          <w:u w:val="single"/>
        </w:rPr>
        <w:t>重庆市九龙坡区白市驿镇人民政府</w:t>
      </w:r>
      <w:r>
        <w:rPr>
          <w:rFonts w:hint="eastAsia" w:ascii="宋体" w:hAnsi="宋体" w:cs="宋体"/>
          <w:kern w:val="0"/>
          <w:highlight w:val="none"/>
        </w:rPr>
        <w:t>签订。</w:t>
      </w:r>
    </w:p>
    <w:p w14:paraId="222AC29A">
      <w:pPr>
        <w:spacing w:line="360" w:lineRule="auto"/>
        <w:ind w:firstLine="420" w:firstLineChars="200"/>
        <w:jc w:val="left"/>
        <w:rPr>
          <w:rFonts w:hint="eastAsia" w:ascii="宋体" w:hAnsi="宋体" w:cs="宋体"/>
          <w:kern w:val="0"/>
          <w:highlight w:val="none"/>
        </w:rPr>
      </w:pPr>
      <w:bookmarkStart w:id="470" w:name="_Toc351203491"/>
      <w:r>
        <w:rPr>
          <w:rFonts w:hint="eastAsia" w:ascii="宋体" w:hAnsi="宋体" w:cs="宋体"/>
          <w:kern w:val="0"/>
          <w:highlight w:val="none"/>
        </w:rPr>
        <w:t>十一、补充协议</w:t>
      </w:r>
      <w:bookmarkEnd w:id="470"/>
    </w:p>
    <w:p w14:paraId="5D78476A">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合同未尽事宜，合同当事人另行签订补充协议，补充协议是合同的组成部分。</w:t>
      </w:r>
    </w:p>
    <w:p w14:paraId="6A58938F">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bookmarkStart w:id="471" w:name="_Toc351203492"/>
      <w:r>
        <w:rPr>
          <w:rFonts w:hint="eastAsia" w:ascii="宋体" w:hAnsi="宋体" w:cs="宋体"/>
          <w:kern w:val="0"/>
          <w:highlight w:val="none"/>
        </w:rPr>
        <w:t>十二、合同生效</w:t>
      </w:r>
      <w:bookmarkEnd w:id="471"/>
    </w:p>
    <w:p w14:paraId="6321BDEC">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本合同自</w:t>
      </w:r>
      <w:r>
        <w:rPr>
          <w:rFonts w:hint="eastAsia" w:ascii="宋体" w:hAnsi="宋体" w:cs="宋体"/>
          <w:kern w:val="0"/>
          <w:highlight w:val="none"/>
          <w:u w:val="single"/>
        </w:rPr>
        <w:t>发包方和承包方法定代表人在协议书上签字并盖单位公章后</w:t>
      </w:r>
      <w:r>
        <w:rPr>
          <w:rFonts w:hint="eastAsia" w:ascii="宋体" w:hAnsi="宋体" w:cs="宋体"/>
          <w:kern w:val="0"/>
          <w:highlight w:val="none"/>
        </w:rPr>
        <w:t>生效。</w:t>
      </w:r>
    </w:p>
    <w:p w14:paraId="207FF2EF">
      <w:pPr>
        <w:spacing w:line="360" w:lineRule="auto"/>
        <w:ind w:firstLine="420" w:firstLineChars="200"/>
        <w:jc w:val="left"/>
        <w:rPr>
          <w:rFonts w:hint="eastAsia" w:ascii="宋体" w:hAnsi="宋体" w:cs="宋体"/>
          <w:kern w:val="0"/>
          <w:highlight w:val="none"/>
        </w:rPr>
      </w:pPr>
      <w:bookmarkStart w:id="472" w:name="_Toc351203493"/>
      <w:r>
        <w:rPr>
          <w:rFonts w:hint="eastAsia" w:ascii="宋体" w:hAnsi="宋体" w:cs="宋体"/>
          <w:kern w:val="0"/>
          <w:highlight w:val="none"/>
        </w:rPr>
        <w:t>十三、合同份数</w:t>
      </w:r>
      <w:bookmarkEnd w:id="472"/>
    </w:p>
    <w:p w14:paraId="67977963">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本合同一式</w:t>
      </w:r>
      <w:r>
        <w:rPr>
          <w:rFonts w:hint="eastAsia" w:ascii="宋体" w:hAnsi="宋体" w:cs="宋体"/>
          <w:kern w:val="0"/>
          <w:highlight w:val="none"/>
          <w:u w:val="single"/>
        </w:rPr>
        <w:t xml:space="preserve"> 六 </w:t>
      </w:r>
      <w:r>
        <w:rPr>
          <w:rFonts w:hint="eastAsia" w:ascii="宋体" w:hAnsi="宋体" w:cs="宋体"/>
          <w:kern w:val="0"/>
          <w:highlight w:val="none"/>
        </w:rPr>
        <w:t>份，均具有同等法律效力，发包人执</w:t>
      </w:r>
      <w:r>
        <w:rPr>
          <w:rFonts w:hint="eastAsia" w:ascii="宋体" w:hAnsi="宋体" w:cs="宋体"/>
          <w:kern w:val="0"/>
          <w:highlight w:val="none"/>
          <w:u w:val="single"/>
        </w:rPr>
        <w:t xml:space="preserve"> 三 </w:t>
      </w:r>
      <w:r>
        <w:rPr>
          <w:rFonts w:hint="eastAsia" w:ascii="宋体" w:hAnsi="宋体" w:cs="宋体"/>
          <w:kern w:val="0"/>
          <w:highlight w:val="none"/>
        </w:rPr>
        <w:t>份，承包人执</w:t>
      </w:r>
      <w:r>
        <w:rPr>
          <w:rFonts w:hint="eastAsia" w:ascii="宋体" w:hAnsi="宋体" w:cs="宋体"/>
          <w:kern w:val="0"/>
          <w:highlight w:val="none"/>
          <w:u w:val="single"/>
        </w:rPr>
        <w:t xml:space="preserve"> 三 </w:t>
      </w:r>
      <w:r>
        <w:rPr>
          <w:rFonts w:hint="eastAsia" w:ascii="宋体" w:hAnsi="宋体" w:cs="宋体"/>
          <w:kern w:val="0"/>
          <w:highlight w:val="none"/>
        </w:rPr>
        <w:t>份。</w:t>
      </w:r>
    </w:p>
    <w:p w14:paraId="3918BE81">
      <w:pPr>
        <w:spacing w:line="600" w:lineRule="exact"/>
        <w:jc w:val="left"/>
        <w:rPr>
          <w:rFonts w:hint="eastAsia" w:ascii="宋体" w:hAnsi="宋体" w:cs="宋体"/>
          <w:kern w:val="0"/>
          <w:highlight w:val="none"/>
        </w:rPr>
      </w:pPr>
      <w:r>
        <w:rPr>
          <w:rFonts w:hint="eastAsia" w:ascii="宋体" w:hAnsi="宋体" w:cs="宋体"/>
          <w:kern w:val="0"/>
          <w:highlight w:val="none"/>
        </w:rPr>
        <w:t>发  包  人(公章) ：              承  包  人(公章)：</w:t>
      </w:r>
    </w:p>
    <w:p w14:paraId="05513827">
      <w:pPr>
        <w:spacing w:line="600" w:lineRule="exact"/>
        <w:jc w:val="left"/>
        <w:rPr>
          <w:rFonts w:hint="eastAsia" w:ascii="宋体" w:hAnsi="宋体" w:cs="宋体"/>
          <w:kern w:val="0"/>
          <w:highlight w:val="none"/>
        </w:rPr>
      </w:pPr>
      <w:r>
        <w:rPr>
          <w:rFonts w:hint="eastAsia" w:ascii="宋体" w:hAnsi="宋体" w:cs="宋体"/>
          <w:kern w:val="0"/>
          <w:highlight w:val="none"/>
        </w:rPr>
        <w:t>法定代表人（签字）：             法定代表人（签字）：</w:t>
      </w:r>
    </w:p>
    <w:p w14:paraId="17E3E91E">
      <w:pPr>
        <w:spacing w:line="600" w:lineRule="exact"/>
        <w:jc w:val="left"/>
        <w:rPr>
          <w:rFonts w:hint="eastAsia" w:ascii="宋体" w:hAnsi="宋体" w:cs="宋体"/>
          <w:kern w:val="0"/>
          <w:highlight w:val="none"/>
        </w:rPr>
      </w:pPr>
      <w:r>
        <w:rPr>
          <w:rFonts w:hint="eastAsia" w:ascii="宋体" w:hAnsi="宋体" w:cs="宋体"/>
          <w:kern w:val="0"/>
          <w:highlight w:val="none"/>
        </w:rPr>
        <w:t>委托代理人（签字）：             委托代理人（签字）：</w:t>
      </w:r>
    </w:p>
    <w:p w14:paraId="1D72D92D">
      <w:pPr>
        <w:spacing w:line="600" w:lineRule="exact"/>
        <w:jc w:val="left"/>
        <w:rPr>
          <w:rFonts w:hint="eastAsia" w:ascii="宋体" w:hAnsi="宋体" w:cs="宋体"/>
          <w:kern w:val="0"/>
          <w:highlight w:val="none"/>
        </w:rPr>
      </w:pPr>
      <w:r>
        <w:rPr>
          <w:rFonts w:hint="eastAsia" w:ascii="宋体" w:hAnsi="宋体" w:cs="宋体"/>
          <w:kern w:val="0"/>
          <w:highlight w:val="none"/>
        </w:rPr>
        <w:t>经 办 人：                       经 办 人：</w:t>
      </w:r>
    </w:p>
    <w:p w14:paraId="5A024C71">
      <w:pPr>
        <w:spacing w:line="600" w:lineRule="exact"/>
        <w:jc w:val="left"/>
        <w:rPr>
          <w:rFonts w:hint="eastAsia" w:ascii="宋体" w:hAnsi="宋体" w:cs="宋体"/>
          <w:kern w:val="0"/>
          <w:highlight w:val="none"/>
        </w:rPr>
      </w:pPr>
      <w:r>
        <w:rPr>
          <w:rFonts w:hint="eastAsia" w:ascii="宋体" w:hAnsi="宋体" w:cs="宋体"/>
          <w:kern w:val="0"/>
          <w:highlight w:val="none"/>
        </w:rPr>
        <w:t xml:space="preserve">地  址：                         地  址：     </w:t>
      </w:r>
    </w:p>
    <w:p w14:paraId="253B74A0">
      <w:pPr>
        <w:spacing w:line="600" w:lineRule="exact"/>
        <w:jc w:val="left"/>
        <w:rPr>
          <w:rFonts w:hint="eastAsia" w:ascii="宋体" w:hAnsi="宋体" w:cs="宋体"/>
          <w:kern w:val="0"/>
          <w:highlight w:val="none"/>
        </w:rPr>
      </w:pPr>
      <w:r>
        <w:rPr>
          <w:rFonts w:hint="eastAsia" w:ascii="宋体" w:hAnsi="宋体" w:cs="宋体"/>
          <w:kern w:val="0"/>
          <w:highlight w:val="none"/>
        </w:rPr>
        <w:t xml:space="preserve">邮政编码：                       邮政编码：  </w:t>
      </w:r>
    </w:p>
    <w:p w14:paraId="74F5F557">
      <w:pPr>
        <w:rPr>
          <w:rFonts w:hint="eastAsia" w:ascii="宋体" w:hAnsi="宋体" w:cs="宋体"/>
          <w:kern w:val="0"/>
          <w:highlight w:val="none"/>
        </w:rPr>
      </w:pPr>
      <w:r>
        <w:rPr>
          <w:rFonts w:hint="eastAsia" w:ascii="宋体" w:hAnsi="宋体" w:cs="宋体"/>
          <w:kern w:val="0"/>
          <w:highlight w:val="none"/>
        </w:rPr>
        <w:br w:type="page"/>
      </w:r>
    </w:p>
    <w:p w14:paraId="1AD1F4EE">
      <w:pPr>
        <w:pStyle w:val="61"/>
        <w:rPr>
          <w:rFonts w:hint="eastAsia" w:ascii="宋体" w:hAnsi="宋体" w:cs="宋体"/>
          <w:highlight w:val="none"/>
        </w:rPr>
      </w:pPr>
    </w:p>
    <w:p w14:paraId="03AE1EB7">
      <w:pPr>
        <w:jc w:val="center"/>
        <w:rPr>
          <w:rStyle w:val="217"/>
          <w:rFonts w:hint="eastAsia" w:ascii="宋体" w:hAnsi="宋体" w:cs="宋体"/>
          <w:bCs w:val="0"/>
          <w:sz w:val="21"/>
          <w:szCs w:val="21"/>
          <w:highlight w:val="none"/>
        </w:rPr>
      </w:pPr>
      <w:bookmarkStart w:id="473" w:name="_Toc351203494"/>
    </w:p>
    <w:p w14:paraId="49DCF433">
      <w:pPr>
        <w:jc w:val="center"/>
        <w:rPr>
          <w:rStyle w:val="217"/>
          <w:rFonts w:hint="eastAsia" w:ascii="宋体" w:hAnsi="宋体" w:cs="宋体"/>
          <w:bCs w:val="0"/>
          <w:sz w:val="21"/>
          <w:szCs w:val="21"/>
          <w:highlight w:val="none"/>
        </w:rPr>
      </w:pPr>
      <w:r>
        <w:rPr>
          <w:rStyle w:val="217"/>
          <w:rFonts w:hint="eastAsia" w:ascii="宋体" w:hAnsi="宋体" w:cs="宋体"/>
          <w:bCs w:val="0"/>
          <w:sz w:val="21"/>
          <w:szCs w:val="21"/>
          <w:highlight w:val="none"/>
        </w:rPr>
        <w:t>通用合同条款</w:t>
      </w:r>
      <w:bookmarkEnd w:id="473"/>
      <w:bookmarkStart w:id="474" w:name="_Toc337558727"/>
    </w:p>
    <w:p w14:paraId="3C911854">
      <w:pPr>
        <w:ind w:firstLine="422" w:firstLineChars="200"/>
        <w:jc w:val="left"/>
        <w:rPr>
          <w:rFonts w:hint="eastAsia" w:ascii="宋体" w:hAnsi="宋体" w:cs="宋体"/>
          <w:b/>
          <w:kern w:val="0"/>
          <w:highlight w:val="none"/>
        </w:rPr>
      </w:pPr>
      <w:bookmarkStart w:id="475" w:name="_Toc381870132"/>
    </w:p>
    <w:p w14:paraId="255F1327">
      <w:pPr>
        <w:ind w:firstLine="420" w:firstLineChars="200"/>
        <w:jc w:val="left"/>
        <w:rPr>
          <w:rFonts w:hint="eastAsia" w:ascii="宋体" w:hAnsi="宋体" w:cs="宋体"/>
          <w:bCs/>
          <w:kern w:val="0"/>
          <w:highlight w:val="none"/>
        </w:rPr>
      </w:pPr>
      <w:r>
        <w:rPr>
          <w:rFonts w:hint="eastAsia" w:ascii="宋体" w:hAnsi="宋体" w:cs="宋体"/>
          <w:bCs/>
          <w:kern w:val="0"/>
          <w:highlight w:val="none"/>
        </w:rPr>
        <w:t>通用合同条款直接采用中华人民共和国住房和城乡建设部与国家工商行政管理总局联合制定的《建设工程施工合同》（GF-2017-0201）示范文本第二章《通用合同条款》。</w:t>
      </w:r>
      <w:bookmarkEnd w:id="475"/>
    </w:p>
    <w:p w14:paraId="4B6E8154">
      <w:pPr>
        <w:ind w:firstLine="420" w:firstLineChars="200"/>
        <w:jc w:val="left"/>
        <w:rPr>
          <w:rFonts w:hint="eastAsia" w:ascii="宋体" w:hAnsi="宋体" w:cs="宋体"/>
          <w:kern w:val="0"/>
          <w:highlight w:val="none"/>
        </w:rPr>
      </w:pPr>
    </w:p>
    <w:bookmarkEnd w:id="474"/>
    <w:p w14:paraId="69645C43">
      <w:pPr>
        <w:jc w:val="center"/>
        <w:rPr>
          <w:rStyle w:val="217"/>
          <w:rFonts w:hint="eastAsia" w:ascii="宋体" w:hAnsi="宋体" w:cs="宋体"/>
          <w:sz w:val="21"/>
          <w:szCs w:val="21"/>
          <w:highlight w:val="none"/>
        </w:rPr>
      </w:pPr>
      <w:bookmarkStart w:id="476" w:name="_Toc351203632"/>
      <w:r>
        <w:rPr>
          <w:rFonts w:hint="eastAsia" w:ascii="宋体" w:hAnsi="宋体" w:cs="宋体"/>
          <w:kern w:val="0"/>
          <w:highlight w:val="none"/>
        </w:rPr>
        <w:br w:type="page"/>
      </w:r>
      <w:r>
        <w:rPr>
          <w:rStyle w:val="217"/>
          <w:rFonts w:hint="eastAsia" w:ascii="宋体" w:hAnsi="宋体" w:cs="宋体"/>
          <w:bCs w:val="0"/>
          <w:sz w:val="21"/>
          <w:szCs w:val="21"/>
          <w:highlight w:val="none"/>
        </w:rPr>
        <w:t>专用合同条款</w:t>
      </w:r>
      <w:bookmarkEnd w:id="476"/>
    </w:p>
    <w:p w14:paraId="4A3473FF">
      <w:pPr>
        <w:spacing w:line="560" w:lineRule="exact"/>
        <w:ind w:firstLine="420" w:firstLineChars="200"/>
        <w:jc w:val="left"/>
        <w:rPr>
          <w:rFonts w:hint="eastAsia" w:ascii="宋体" w:hAnsi="宋体" w:cs="宋体"/>
          <w:kern w:val="0"/>
          <w:highlight w:val="none"/>
        </w:rPr>
      </w:pPr>
      <w:bookmarkStart w:id="477" w:name="_Toc351203633"/>
      <w:r>
        <w:rPr>
          <w:rFonts w:hint="eastAsia" w:ascii="宋体" w:hAnsi="宋体" w:cs="宋体"/>
          <w:kern w:val="0"/>
          <w:highlight w:val="none"/>
        </w:rPr>
        <w:t>1</w:t>
      </w:r>
      <w:bookmarkStart w:id="478" w:name="_Toc297120456"/>
      <w:bookmarkStart w:id="479" w:name="_Toc297048342"/>
      <w:bookmarkStart w:id="480" w:name="_Toc296890984"/>
      <w:bookmarkStart w:id="481" w:name="_Toc296944495"/>
      <w:bookmarkStart w:id="482" w:name="_Toc296503156"/>
      <w:bookmarkStart w:id="483" w:name="_Toc292559866"/>
      <w:bookmarkStart w:id="484" w:name="_Toc296891196"/>
      <w:bookmarkStart w:id="485" w:name="_Toc296346657"/>
      <w:bookmarkStart w:id="486" w:name="_Toc296347155"/>
      <w:bookmarkStart w:id="487" w:name="_Toc292559361"/>
      <w:r>
        <w:rPr>
          <w:rFonts w:hint="eastAsia" w:ascii="宋体" w:hAnsi="宋体" w:cs="宋体"/>
          <w:kern w:val="0"/>
          <w:highlight w:val="none"/>
        </w:rPr>
        <w:t>. 一般约定</w:t>
      </w:r>
      <w:bookmarkEnd w:id="477"/>
    </w:p>
    <w:bookmarkEnd w:id="478"/>
    <w:bookmarkEnd w:id="479"/>
    <w:bookmarkEnd w:id="480"/>
    <w:bookmarkEnd w:id="481"/>
    <w:bookmarkEnd w:id="482"/>
    <w:bookmarkEnd w:id="483"/>
    <w:bookmarkEnd w:id="484"/>
    <w:bookmarkEnd w:id="485"/>
    <w:bookmarkEnd w:id="486"/>
    <w:bookmarkEnd w:id="487"/>
    <w:p w14:paraId="5952C89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 词语定义</w:t>
      </w:r>
    </w:p>
    <w:p w14:paraId="57E52EB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1.1.1合同</w:t>
      </w:r>
    </w:p>
    <w:p w14:paraId="0E3E7D6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1.1.1.10其他合同文件包括：</w:t>
      </w:r>
      <w:r>
        <w:rPr>
          <w:rFonts w:hint="eastAsia" w:ascii="宋体" w:hAnsi="宋体" w:cs="宋体"/>
          <w:kern w:val="0"/>
          <w:highlight w:val="none"/>
          <w:u w:val="single"/>
        </w:rPr>
        <w:t>（1）合同协议书；（2）合同专用条款；（3）合同通用条款；（4）技术标准和要求；（5）图纸；（6）已标价的工程量清单；（7）其他合同文件—经合同当事人双方确认构成合同的其他文件</w:t>
      </w:r>
      <w:r>
        <w:rPr>
          <w:rFonts w:hint="eastAsia" w:ascii="宋体" w:hAnsi="宋体" w:cs="宋体"/>
          <w:kern w:val="0"/>
          <w:highlight w:val="none"/>
        </w:rPr>
        <w:t>。</w:t>
      </w:r>
    </w:p>
    <w:p w14:paraId="0E5E68A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1.1.2 合同当事人及其他相关方</w:t>
      </w:r>
    </w:p>
    <w:p w14:paraId="56E0E4D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1.1.2.4监理人：</w:t>
      </w:r>
    </w:p>
    <w:p w14:paraId="0CB9069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名    称：</w:t>
      </w:r>
      <w:r>
        <w:rPr>
          <w:rFonts w:hint="eastAsia" w:ascii="宋体" w:hAnsi="宋体" w:cs="宋体"/>
          <w:kern w:val="0"/>
          <w:highlight w:val="none"/>
          <w:u w:val="single"/>
        </w:rPr>
        <w:t xml:space="preserve">                 </w:t>
      </w:r>
      <w:r>
        <w:rPr>
          <w:rFonts w:hint="eastAsia" w:ascii="宋体" w:hAnsi="宋体" w:cs="宋体"/>
          <w:kern w:val="0"/>
          <w:highlight w:val="none"/>
        </w:rPr>
        <w:t xml:space="preserve"> ；</w:t>
      </w:r>
    </w:p>
    <w:p w14:paraId="313DD46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资质类别和等级：</w:t>
      </w:r>
      <w:r>
        <w:rPr>
          <w:rFonts w:hint="eastAsia" w:ascii="宋体" w:hAnsi="宋体" w:cs="宋体"/>
          <w:kern w:val="0"/>
          <w:highlight w:val="none"/>
          <w:u w:val="single"/>
        </w:rPr>
        <w:t xml:space="preserve">              </w:t>
      </w:r>
      <w:r>
        <w:rPr>
          <w:rFonts w:hint="eastAsia" w:ascii="宋体" w:hAnsi="宋体" w:cs="宋体"/>
          <w:kern w:val="0"/>
          <w:highlight w:val="none"/>
        </w:rPr>
        <w:t>；</w:t>
      </w:r>
    </w:p>
    <w:p w14:paraId="2C0B14B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联系电话：</w:t>
      </w:r>
      <w:r>
        <w:rPr>
          <w:rFonts w:hint="eastAsia" w:ascii="宋体" w:hAnsi="宋体" w:cs="宋体"/>
          <w:kern w:val="0"/>
          <w:highlight w:val="none"/>
          <w:u w:val="single"/>
        </w:rPr>
        <w:t xml:space="preserve">                 </w:t>
      </w:r>
      <w:r>
        <w:rPr>
          <w:rFonts w:hint="eastAsia" w:ascii="宋体" w:hAnsi="宋体" w:cs="宋体"/>
          <w:kern w:val="0"/>
          <w:highlight w:val="none"/>
        </w:rPr>
        <w:t>；</w:t>
      </w:r>
    </w:p>
    <w:p w14:paraId="4026966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通信地址：</w:t>
      </w:r>
      <w:r>
        <w:rPr>
          <w:rFonts w:hint="eastAsia" w:ascii="宋体" w:hAnsi="宋体" w:cs="宋体"/>
          <w:kern w:val="0"/>
          <w:highlight w:val="none"/>
          <w:u w:val="single"/>
        </w:rPr>
        <w:t xml:space="preserve">                      </w:t>
      </w:r>
      <w:r>
        <w:rPr>
          <w:rFonts w:hint="eastAsia" w:ascii="宋体" w:hAnsi="宋体" w:cs="宋体"/>
          <w:kern w:val="0"/>
          <w:highlight w:val="none"/>
        </w:rPr>
        <w:t>。</w:t>
      </w:r>
    </w:p>
    <w:p w14:paraId="236408A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1.1.2.5 设计人：</w:t>
      </w:r>
    </w:p>
    <w:p w14:paraId="4FAC49A7">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名    称：</w:t>
      </w:r>
      <w:r>
        <w:rPr>
          <w:rFonts w:hint="eastAsia" w:ascii="宋体" w:hAnsi="宋体" w:cs="宋体"/>
          <w:kern w:val="0"/>
          <w:highlight w:val="none"/>
          <w:u w:val="single"/>
        </w:rPr>
        <w:t xml:space="preserve">                     </w:t>
      </w:r>
      <w:r>
        <w:rPr>
          <w:rFonts w:hint="eastAsia" w:ascii="宋体" w:hAnsi="宋体" w:cs="宋体"/>
          <w:kern w:val="0"/>
          <w:highlight w:val="none"/>
        </w:rPr>
        <w:t>；</w:t>
      </w:r>
    </w:p>
    <w:p w14:paraId="1F926FD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资质类别和等级： </w:t>
      </w:r>
      <w:r>
        <w:rPr>
          <w:rFonts w:hint="eastAsia" w:ascii="宋体" w:hAnsi="宋体" w:cs="宋体"/>
          <w:kern w:val="0"/>
          <w:highlight w:val="none"/>
          <w:u w:val="single"/>
        </w:rPr>
        <w:t xml:space="preserve">                         </w:t>
      </w:r>
      <w:r>
        <w:rPr>
          <w:rFonts w:hint="eastAsia" w:ascii="宋体" w:hAnsi="宋体" w:cs="宋体"/>
          <w:kern w:val="0"/>
          <w:highlight w:val="none"/>
        </w:rPr>
        <w:t xml:space="preserve"> ；</w:t>
      </w:r>
    </w:p>
    <w:p w14:paraId="4FD9AC0D">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联系电话：</w:t>
      </w:r>
      <w:r>
        <w:rPr>
          <w:rFonts w:hint="eastAsia" w:ascii="宋体" w:hAnsi="宋体" w:cs="宋体"/>
          <w:kern w:val="0"/>
          <w:highlight w:val="none"/>
          <w:u w:val="single"/>
        </w:rPr>
        <w:t>                           </w:t>
      </w:r>
      <w:r>
        <w:rPr>
          <w:rFonts w:hint="eastAsia" w:ascii="宋体" w:hAnsi="宋体" w:cs="宋体"/>
          <w:kern w:val="0"/>
          <w:highlight w:val="none"/>
        </w:rPr>
        <w:t>；</w:t>
      </w:r>
    </w:p>
    <w:p w14:paraId="6CAA4EDA">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通信地址：</w:t>
      </w:r>
      <w:r>
        <w:rPr>
          <w:rFonts w:hint="eastAsia" w:ascii="宋体" w:hAnsi="宋体" w:cs="宋体"/>
          <w:kern w:val="0"/>
          <w:highlight w:val="none"/>
          <w:u w:val="single"/>
        </w:rPr>
        <w:t xml:space="preserve">                                </w:t>
      </w:r>
      <w:r>
        <w:rPr>
          <w:rFonts w:hint="eastAsia" w:ascii="宋体" w:hAnsi="宋体" w:cs="宋体"/>
          <w:kern w:val="0"/>
          <w:highlight w:val="none"/>
        </w:rPr>
        <w:t>。</w:t>
      </w:r>
    </w:p>
    <w:p w14:paraId="5CA0031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 工程和设备</w:t>
      </w:r>
    </w:p>
    <w:p w14:paraId="01A494E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1.1.3.7 作为</w:t>
      </w:r>
      <w:r>
        <w:rPr>
          <w:rFonts w:hint="eastAsia" w:ascii="宋体" w:hAnsi="宋体" w:cs="宋体"/>
          <w:kern w:val="0"/>
          <w:highlight w:val="none"/>
          <w:lang w:val="en-US" w:eastAsia="zh-CN"/>
        </w:rPr>
        <w:t>实施</w:t>
      </w:r>
      <w:r>
        <w:rPr>
          <w:rFonts w:hint="eastAsia" w:ascii="宋体" w:hAnsi="宋体" w:cs="宋体"/>
          <w:kern w:val="0"/>
          <w:highlight w:val="none"/>
        </w:rPr>
        <w:t>现场组成部分的其他场所包括：</w:t>
      </w:r>
      <w:r>
        <w:rPr>
          <w:rFonts w:hint="eastAsia" w:ascii="宋体" w:hAnsi="宋体" w:cs="宋体"/>
          <w:kern w:val="0"/>
          <w:highlight w:val="none"/>
          <w:u w:val="single"/>
        </w:rPr>
        <w:t xml:space="preserve">符合规定的按通用条款确定 </w:t>
      </w:r>
      <w:r>
        <w:rPr>
          <w:rFonts w:hint="eastAsia" w:ascii="宋体" w:hAnsi="宋体" w:cs="宋体"/>
          <w:kern w:val="0"/>
          <w:highlight w:val="none"/>
        </w:rPr>
        <w:t>。</w:t>
      </w:r>
    </w:p>
    <w:p w14:paraId="21F1373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1.1.3.9 永久占地包括：</w:t>
      </w:r>
      <w:r>
        <w:rPr>
          <w:rFonts w:hint="eastAsia" w:ascii="宋体" w:hAnsi="宋体" w:cs="宋体"/>
          <w:kern w:val="0"/>
          <w:highlight w:val="none"/>
          <w:u w:val="single"/>
        </w:rPr>
        <w:t xml:space="preserve">  无    </w:t>
      </w:r>
      <w:r>
        <w:rPr>
          <w:rFonts w:hint="eastAsia" w:ascii="宋体" w:hAnsi="宋体" w:cs="宋体"/>
          <w:kern w:val="0"/>
          <w:highlight w:val="none"/>
        </w:rPr>
        <w:t>。</w:t>
      </w:r>
    </w:p>
    <w:p w14:paraId="3DDEFB0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1.1.3.10 临时占地包括：</w:t>
      </w:r>
      <w:r>
        <w:rPr>
          <w:rFonts w:hint="eastAsia" w:ascii="宋体" w:hAnsi="宋体" w:cs="宋体"/>
          <w:kern w:val="0"/>
          <w:highlight w:val="none"/>
          <w:u w:val="single"/>
        </w:rPr>
        <w:t>双方在合同履行中确定</w:t>
      </w:r>
      <w:r>
        <w:rPr>
          <w:rFonts w:hint="eastAsia" w:ascii="宋体" w:hAnsi="宋体" w:cs="宋体"/>
          <w:kern w:val="0"/>
          <w:highlight w:val="none"/>
        </w:rPr>
        <w:t xml:space="preserve"> 。</w:t>
      </w:r>
    </w:p>
    <w:p w14:paraId="2E51825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1.3法律 </w:t>
      </w:r>
    </w:p>
    <w:p w14:paraId="0803162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适用于合同的其他规范性文件：</w:t>
      </w:r>
      <w:r>
        <w:rPr>
          <w:rFonts w:hint="eastAsia" w:ascii="宋体" w:hAnsi="宋体" w:cs="宋体"/>
          <w:kern w:val="0"/>
          <w:highlight w:val="none"/>
          <w:u w:val="single"/>
        </w:rPr>
        <w:t>执行通用条款</w:t>
      </w:r>
      <w:r>
        <w:rPr>
          <w:rFonts w:hint="eastAsia" w:ascii="宋体" w:hAnsi="宋体" w:cs="宋体"/>
          <w:kern w:val="0"/>
          <w:highlight w:val="none"/>
        </w:rPr>
        <w:t xml:space="preserve"> 。</w:t>
      </w:r>
    </w:p>
    <w:p w14:paraId="7974E2D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 标准和规范</w:t>
      </w:r>
    </w:p>
    <w:p w14:paraId="142FB07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1.4.1适用于工程的标准规范包括：</w:t>
      </w:r>
      <w:r>
        <w:rPr>
          <w:rFonts w:hint="eastAsia" w:ascii="宋体" w:hAnsi="宋体" w:cs="宋体"/>
          <w:kern w:val="0"/>
          <w:highlight w:val="none"/>
          <w:u w:val="single"/>
        </w:rPr>
        <w:t>执行通用条款，国家及本工程所在地、所属行业的有关标准执行</w:t>
      </w:r>
      <w:r>
        <w:rPr>
          <w:rFonts w:hint="eastAsia" w:ascii="宋体" w:hAnsi="宋体" w:cs="宋体"/>
          <w:kern w:val="0"/>
          <w:highlight w:val="none"/>
        </w:rPr>
        <w:t>。</w:t>
      </w:r>
    </w:p>
    <w:p w14:paraId="0492AFD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1.4.2 发包人提供国外标准、规范的名称：</w:t>
      </w:r>
      <w:r>
        <w:rPr>
          <w:rFonts w:hint="eastAsia" w:ascii="宋体" w:hAnsi="宋体" w:cs="宋体"/>
          <w:kern w:val="0"/>
          <w:highlight w:val="none"/>
          <w:u w:val="single"/>
        </w:rPr>
        <w:t xml:space="preserve"> /    </w:t>
      </w:r>
      <w:r>
        <w:rPr>
          <w:rFonts w:hint="eastAsia" w:ascii="宋体" w:hAnsi="宋体" w:cs="宋体"/>
          <w:kern w:val="0"/>
          <w:highlight w:val="none"/>
        </w:rPr>
        <w:t>；</w:t>
      </w:r>
    </w:p>
    <w:p w14:paraId="0A6F707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发包人提供国外标准、规范的份数：</w:t>
      </w:r>
      <w:r>
        <w:rPr>
          <w:rFonts w:hint="eastAsia" w:ascii="宋体" w:hAnsi="宋体" w:cs="宋体"/>
          <w:kern w:val="0"/>
          <w:highlight w:val="none"/>
          <w:u w:val="single"/>
        </w:rPr>
        <w:t xml:space="preserve">     /     </w:t>
      </w:r>
      <w:r>
        <w:rPr>
          <w:rFonts w:hint="eastAsia" w:ascii="宋体" w:hAnsi="宋体" w:cs="宋体"/>
          <w:kern w:val="0"/>
          <w:highlight w:val="none"/>
        </w:rPr>
        <w:t>；</w:t>
      </w:r>
    </w:p>
    <w:p w14:paraId="703A5E0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发包人提供国外标准、规范的名称： </w:t>
      </w:r>
      <w:r>
        <w:rPr>
          <w:rFonts w:hint="eastAsia" w:ascii="宋体" w:hAnsi="宋体" w:cs="宋体"/>
          <w:kern w:val="0"/>
          <w:highlight w:val="none"/>
          <w:u w:val="single"/>
        </w:rPr>
        <w:t xml:space="preserve">    /     </w:t>
      </w:r>
      <w:r>
        <w:rPr>
          <w:rFonts w:hint="eastAsia" w:ascii="宋体" w:hAnsi="宋体" w:cs="宋体"/>
          <w:kern w:val="0"/>
          <w:highlight w:val="none"/>
        </w:rPr>
        <w:t>。</w:t>
      </w:r>
    </w:p>
    <w:p w14:paraId="0A35C90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1.4.3发包人对工程的技术标准和功能要求的特殊要求：</w:t>
      </w:r>
      <w:r>
        <w:rPr>
          <w:rFonts w:hint="eastAsia" w:ascii="宋体" w:hAnsi="宋体" w:cs="宋体"/>
          <w:kern w:val="0"/>
          <w:highlight w:val="none"/>
          <w:u w:val="single"/>
        </w:rPr>
        <w:t xml:space="preserve"> / </w:t>
      </w:r>
      <w:r>
        <w:rPr>
          <w:rFonts w:hint="eastAsia" w:ascii="宋体" w:hAnsi="宋体" w:cs="宋体"/>
          <w:kern w:val="0"/>
          <w:highlight w:val="none"/>
        </w:rPr>
        <w:t>。</w:t>
      </w:r>
    </w:p>
    <w:p w14:paraId="4C6DB18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1.5 合同文件的优先顺序                             </w:t>
      </w:r>
    </w:p>
    <w:p w14:paraId="2740C41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合同文件组成及优先顺序为：</w:t>
      </w:r>
      <w:r>
        <w:rPr>
          <w:rFonts w:hint="eastAsia" w:ascii="宋体" w:hAnsi="宋体" w:cs="宋体"/>
          <w:kern w:val="0"/>
          <w:highlight w:val="none"/>
          <w:u w:val="single"/>
        </w:rPr>
        <w:t>（1）本合同协议书（2）本合同通用条款（3）标准、规范及有关技术文件（4）图纸（5）工程量清单（6）工程报价单或预算书（7）双方有关工程的洽商、变更等书面协议或文件</w:t>
      </w:r>
      <w:r>
        <w:rPr>
          <w:rFonts w:hint="eastAsia" w:ascii="宋体" w:hAnsi="宋体" w:cs="宋体"/>
          <w:kern w:val="0"/>
          <w:highlight w:val="none"/>
        </w:rPr>
        <w:t>。</w:t>
      </w:r>
    </w:p>
    <w:p w14:paraId="7AB0633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 图纸和承包人文件</w:t>
      </w:r>
      <w:r>
        <w:rPr>
          <w:rFonts w:hint="eastAsia" w:ascii="宋体" w:hAnsi="宋体" w:cs="宋体"/>
          <w:kern w:val="0"/>
          <w:highlight w:val="none"/>
        </w:rPr>
        <w:tab/>
      </w:r>
    </w:p>
    <w:p w14:paraId="5BDB87F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 图纸的提供</w:t>
      </w:r>
    </w:p>
    <w:p w14:paraId="0FFC6ED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发包人向承包人提供图纸的期限：</w:t>
      </w:r>
      <w:r>
        <w:rPr>
          <w:rFonts w:hint="eastAsia" w:ascii="宋体" w:hAnsi="宋体" w:cs="宋体"/>
          <w:kern w:val="0"/>
          <w:highlight w:val="none"/>
          <w:u w:val="single"/>
        </w:rPr>
        <w:t xml:space="preserve"> 无</w:t>
      </w:r>
      <w:r>
        <w:rPr>
          <w:rFonts w:hint="eastAsia" w:ascii="宋体" w:hAnsi="宋体" w:cs="宋体"/>
          <w:kern w:val="0"/>
          <w:highlight w:val="none"/>
        </w:rPr>
        <w:t>；</w:t>
      </w:r>
    </w:p>
    <w:p w14:paraId="623512F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发包人向承包人提供图纸的数量：</w:t>
      </w:r>
      <w:r>
        <w:rPr>
          <w:rFonts w:hint="eastAsia" w:ascii="宋体" w:hAnsi="宋体" w:cs="宋体"/>
          <w:kern w:val="0"/>
          <w:highlight w:val="none"/>
          <w:u w:val="single"/>
        </w:rPr>
        <w:t xml:space="preserve">    </w:t>
      </w:r>
      <w:r>
        <w:rPr>
          <w:rFonts w:hint="eastAsia" w:ascii="宋体" w:hAnsi="宋体" w:cs="宋体"/>
          <w:kern w:val="0"/>
          <w:highlight w:val="none"/>
        </w:rPr>
        <w:t>；</w:t>
      </w:r>
    </w:p>
    <w:p w14:paraId="29252D9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发包人向承包人提供图纸的内容：</w:t>
      </w:r>
      <w:r>
        <w:rPr>
          <w:rFonts w:hint="eastAsia" w:ascii="宋体" w:hAnsi="宋体" w:cs="宋体"/>
          <w:kern w:val="0"/>
          <w:highlight w:val="none"/>
          <w:u w:val="single"/>
        </w:rPr>
        <w:t xml:space="preserve">            </w:t>
      </w:r>
      <w:r>
        <w:rPr>
          <w:rFonts w:hint="eastAsia" w:ascii="宋体" w:hAnsi="宋体" w:cs="宋体"/>
          <w:kern w:val="0"/>
          <w:highlight w:val="none"/>
        </w:rPr>
        <w:t>。</w:t>
      </w:r>
    </w:p>
    <w:p w14:paraId="125241D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1.6.4 承包人文件</w:t>
      </w:r>
    </w:p>
    <w:p w14:paraId="78B3812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需要由承包人提供的文件，包括：</w:t>
      </w:r>
      <w:r>
        <w:rPr>
          <w:rFonts w:hint="eastAsia" w:ascii="宋体" w:hAnsi="宋体" w:cs="宋体"/>
          <w:kern w:val="0"/>
          <w:highlight w:val="none"/>
          <w:u w:val="single"/>
        </w:rPr>
        <w:t>营业执照、管理人员名单等</w:t>
      </w:r>
      <w:r>
        <w:rPr>
          <w:rFonts w:hint="eastAsia" w:ascii="宋体" w:hAnsi="宋体" w:cs="宋体"/>
          <w:kern w:val="0"/>
          <w:highlight w:val="none"/>
        </w:rPr>
        <w:t>；</w:t>
      </w:r>
    </w:p>
    <w:p w14:paraId="196DD48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承包人提供的文件的期限为：</w:t>
      </w:r>
      <w:r>
        <w:rPr>
          <w:rFonts w:hint="eastAsia" w:ascii="宋体" w:hAnsi="宋体" w:cs="宋体"/>
          <w:kern w:val="0"/>
          <w:highlight w:val="none"/>
          <w:u w:val="single"/>
        </w:rPr>
        <w:t xml:space="preserve">根据设计单位进度提交 </w:t>
      </w:r>
      <w:r>
        <w:rPr>
          <w:rFonts w:hint="eastAsia" w:ascii="宋体" w:hAnsi="宋体" w:cs="宋体"/>
          <w:kern w:val="0"/>
          <w:highlight w:val="none"/>
        </w:rPr>
        <w:t>；</w:t>
      </w:r>
    </w:p>
    <w:p w14:paraId="257E737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承包人提供的文件的数量为：</w:t>
      </w:r>
      <w:r>
        <w:rPr>
          <w:rFonts w:hint="eastAsia" w:ascii="宋体" w:hAnsi="宋体" w:cs="宋体"/>
          <w:kern w:val="0"/>
          <w:highlight w:val="none"/>
          <w:u w:val="single"/>
        </w:rPr>
        <w:t xml:space="preserve">贰套  </w:t>
      </w:r>
      <w:r>
        <w:rPr>
          <w:rFonts w:hint="eastAsia" w:ascii="宋体" w:hAnsi="宋体" w:cs="宋体"/>
          <w:kern w:val="0"/>
          <w:highlight w:val="none"/>
        </w:rPr>
        <w:t>；</w:t>
      </w:r>
    </w:p>
    <w:p w14:paraId="7F1F855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承包人提供的文件的形式为：</w:t>
      </w:r>
      <w:r>
        <w:rPr>
          <w:rFonts w:hint="eastAsia" w:ascii="宋体" w:hAnsi="宋体" w:cs="宋体"/>
          <w:kern w:val="0"/>
          <w:highlight w:val="none"/>
          <w:u w:val="single"/>
        </w:rPr>
        <w:t xml:space="preserve">纸质 </w:t>
      </w:r>
      <w:r>
        <w:rPr>
          <w:rFonts w:hint="eastAsia" w:ascii="宋体" w:hAnsi="宋体" w:cs="宋体"/>
          <w:kern w:val="0"/>
          <w:highlight w:val="none"/>
        </w:rPr>
        <w:t xml:space="preserve"> ；</w:t>
      </w:r>
    </w:p>
    <w:p w14:paraId="774AA1B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发包人审批承包人文件的期限：</w:t>
      </w:r>
      <w:r>
        <w:rPr>
          <w:rFonts w:hint="eastAsia" w:ascii="宋体" w:hAnsi="宋体" w:cs="宋体"/>
          <w:kern w:val="0"/>
          <w:highlight w:val="none"/>
          <w:u w:val="single"/>
        </w:rPr>
        <w:t>收到文件后3天内</w:t>
      </w:r>
      <w:r>
        <w:rPr>
          <w:rFonts w:hint="eastAsia" w:ascii="宋体" w:hAnsi="宋体" w:cs="宋体"/>
          <w:kern w:val="0"/>
          <w:highlight w:val="none"/>
        </w:rPr>
        <w:t>。</w:t>
      </w:r>
    </w:p>
    <w:p w14:paraId="052B886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1.6.5 现场图纸准备</w:t>
      </w:r>
    </w:p>
    <w:p w14:paraId="721BDE6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关于现场图纸准备的约定：</w:t>
      </w:r>
      <w:r>
        <w:rPr>
          <w:rFonts w:hint="eastAsia" w:ascii="宋体" w:hAnsi="宋体" w:cs="宋体"/>
          <w:kern w:val="0"/>
          <w:highlight w:val="none"/>
          <w:u w:val="single"/>
        </w:rPr>
        <w:t>执行通用条款</w:t>
      </w:r>
      <w:r>
        <w:rPr>
          <w:rFonts w:hint="eastAsia" w:ascii="宋体" w:hAnsi="宋体" w:cs="宋体"/>
          <w:kern w:val="0"/>
          <w:highlight w:val="none"/>
        </w:rPr>
        <w:t>。</w:t>
      </w:r>
    </w:p>
    <w:p w14:paraId="32302E9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 联络</w:t>
      </w:r>
    </w:p>
    <w:p w14:paraId="7D777B5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1.7.1发包人和承包人应当在</w:t>
      </w:r>
      <w:r>
        <w:rPr>
          <w:rFonts w:hint="eastAsia" w:ascii="宋体" w:hAnsi="宋体" w:cs="宋体"/>
          <w:kern w:val="0"/>
          <w:highlight w:val="none"/>
          <w:u w:val="single"/>
        </w:rPr>
        <w:t xml:space="preserve"> 2 </w:t>
      </w:r>
      <w:r>
        <w:rPr>
          <w:rFonts w:hint="eastAsia" w:ascii="宋体" w:hAnsi="宋体" w:cs="宋体"/>
          <w:kern w:val="0"/>
          <w:highlight w:val="none"/>
        </w:rPr>
        <w:t>天内将与合同有关的通知、批准、证明、证书、指示、指令、要求、请求、同意、意见、确定和决定等书面函件送达对方当事人。</w:t>
      </w:r>
    </w:p>
    <w:p w14:paraId="6BC4A74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1.7.2 发包人接收文件的地点：白市驿人民政府规划建设管理办公室；</w:t>
      </w:r>
    </w:p>
    <w:p w14:paraId="7253336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发包人指定的接收人为：</w:t>
      </w:r>
      <w:r>
        <w:rPr>
          <w:rFonts w:hint="eastAsia" w:ascii="宋体" w:hAnsi="宋体" w:cs="宋体"/>
          <w:kern w:val="0"/>
          <w:highlight w:val="none"/>
          <w:u w:val="single"/>
        </w:rPr>
        <w:t xml:space="preserve">                      </w:t>
      </w:r>
      <w:r>
        <w:rPr>
          <w:rFonts w:hint="eastAsia" w:ascii="宋体" w:hAnsi="宋体" w:cs="宋体"/>
          <w:kern w:val="0"/>
          <w:highlight w:val="none"/>
        </w:rPr>
        <w:t xml:space="preserve"> 。</w:t>
      </w:r>
    </w:p>
    <w:p w14:paraId="7CE6D43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承包人接收文件的地点：</w:t>
      </w:r>
      <w:r>
        <w:rPr>
          <w:rFonts w:hint="eastAsia" w:ascii="宋体" w:hAnsi="宋体" w:cs="宋体"/>
          <w:kern w:val="0"/>
          <w:highlight w:val="none"/>
          <w:u w:val="single"/>
          <w:lang w:val="en-US" w:eastAsia="zh-CN"/>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w:t>
      </w:r>
    </w:p>
    <w:p w14:paraId="3E6778C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承包人指定的接收人为：</w:t>
      </w:r>
      <w:r>
        <w:rPr>
          <w:rFonts w:hint="eastAsia" w:ascii="宋体" w:hAnsi="宋体" w:cs="宋体"/>
          <w:kern w:val="0"/>
          <w:highlight w:val="none"/>
          <w:u w:val="single"/>
        </w:rPr>
        <w:t xml:space="preserve"> </w:t>
      </w:r>
      <w:r>
        <w:rPr>
          <w:rFonts w:hint="eastAsia" w:ascii="宋体" w:hAnsi="宋体" w:cs="宋体"/>
          <w:kern w:val="0"/>
          <w:highlight w:val="none"/>
          <w:u w:val="single"/>
          <w:lang w:val="en-US" w:eastAsia="zh-CN"/>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w:t>
      </w:r>
    </w:p>
    <w:p w14:paraId="2291327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监理人接收文件的地点：</w:t>
      </w:r>
      <w:r>
        <w:rPr>
          <w:rFonts w:hint="eastAsia" w:ascii="宋体" w:hAnsi="宋体" w:cs="宋体"/>
          <w:kern w:val="0"/>
          <w:highlight w:val="none"/>
          <w:u w:val="single"/>
          <w:lang w:val="en-US" w:eastAsia="zh-CN"/>
        </w:rPr>
        <w:t xml:space="preserve">                       </w:t>
      </w:r>
      <w:r>
        <w:rPr>
          <w:rFonts w:hint="eastAsia" w:ascii="宋体" w:hAnsi="宋体" w:cs="宋体"/>
          <w:kern w:val="0"/>
          <w:highlight w:val="none"/>
        </w:rPr>
        <w:t>；</w:t>
      </w:r>
    </w:p>
    <w:p w14:paraId="37493C8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监理人指定的接收人为：</w:t>
      </w:r>
      <w:r>
        <w:rPr>
          <w:rFonts w:hint="eastAsia" w:ascii="宋体" w:hAnsi="宋体" w:cs="宋体"/>
          <w:kern w:val="0"/>
          <w:highlight w:val="none"/>
          <w:u w:val="single"/>
          <w:lang w:val="en-US" w:eastAsia="zh-CN"/>
        </w:rPr>
        <w:t xml:space="preserve">                       </w:t>
      </w:r>
      <w:r>
        <w:rPr>
          <w:rFonts w:hint="eastAsia" w:ascii="宋体" w:hAnsi="宋体" w:cs="宋体"/>
          <w:kern w:val="0"/>
          <w:highlight w:val="none"/>
        </w:rPr>
        <w:t>。</w:t>
      </w:r>
    </w:p>
    <w:p w14:paraId="0FA4876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1.10 交通运输</w:t>
      </w:r>
    </w:p>
    <w:p w14:paraId="35EA306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w:t>
      </w:r>
      <w:bookmarkStart w:id="488" w:name="_Toc300934943"/>
      <w:bookmarkStart w:id="489" w:name="_Toc304295521"/>
      <w:bookmarkStart w:id="490" w:name="_Toc303539100"/>
      <w:bookmarkStart w:id="491" w:name="_Toc312677986"/>
      <w:bookmarkStart w:id="492" w:name="_Toc318581155"/>
      <w:r>
        <w:rPr>
          <w:rFonts w:hint="eastAsia" w:ascii="宋体" w:hAnsi="宋体" w:cs="宋体"/>
          <w:kern w:val="0"/>
          <w:highlight w:val="none"/>
        </w:rPr>
        <w:t>.10.1 出入现场的权利</w:t>
      </w:r>
    </w:p>
    <w:p w14:paraId="7450115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关于出入现场的权利的约定：</w:t>
      </w:r>
      <w:r>
        <w:rPr>
          <w:rFonts w:hint="eastAsia" w:ascii="宋体" w:hAnsi="宋体" w:cs="宋体"/>
          <w:kern w:val="0"/>
          <w:highlight w:val="none"/>
          <w:u w:val="single"/>
        </w:rPr>
        <w:t>由承包人按发包人要求取得相关出入</w:t>
      </w:r>
      <w:r>
        <w:rPr>
          <w:rFonts w:hint="eastAsia" w:ascii="宋体" w:hAnsi="宋体" w:cs="宋体"/>
          <w:kern w:val="0"/>
          <w:highlight w:val="none"/>
          <w:u w:val="single"/>
          <w:lang w:val="en-US" w:eastAsia="zh-CN"/>
        </w:rPr>
        <w:t>项目</w:t>
      </w:r>
      <w:r>
        <w:rPr>
          <w:rFonts w:hint="eastAsia" w:ascii="宋体" w:hAnsi="宋体" w:cs="宋体"/>
          <w:kern w:val="0"/>
          <w:highlight w:val="none"/>
          <w:u w:val="single"/>
        </w:rPr>
        <w:t>场地所需批准手续和全部权利，并承担相应的措施和手续费用</w:t>
      </w:r>
      <w:r>
        <w:rPr>
          <w:rFonts w:hint="eastAsia" w:ascii="宋体" w:hAnsi="宋体" w:cs="宋体"/>
          <w:kern w:val="0"/>
          <w:highlight w:val="none"/>
        </w:rPr>
        <w:t>。</w:t>
      </w:r>
    </w:p>
    <w:bookmarkEnd w:id="488"/>
    <w:bookmarkEnd w:id="489"/>
    <w:bookmarkEnd w:id="490"/>
    <w:bookmarkEnd w:id="491"/>
    <w:bookmarkEnd w:id="492"/>
    <w:p w14:paraId="3EB7529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w:t>
      </w:r>
      <w:bookmarkStart w:id="493" w:name="_Toc304295522"/>
      <w:bookmarkStart w:id="494" w:name="_Toc318581156"/>
      <w:bookmarkStart w:id="495" w:name="_Toc300934944"/>
      <w:bookmarkStart w:id="496" w:name="_Toc312677987"/>
      <w:bookmarkStart w:id="497" w:name="_Toc303539101"/>
      <w:r>
        <w:rPr>
          <w:rFonts w:hint="eastAsia" w:ascii="宋体" w:hAnsi="宋体" w:cs="宋体"/>
          <w:kern w:val="0"/>
          <w:highlight w:val="none"/>
        </w:rPr>
        <w:t>.10.3 场内交通</w:t>
      </w:r>
    </w:p>
    <w:p w14:paraId="19E72B4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关于场外交通和场内交通的边界的约定：本项目</w:t>
      </w:r>
      <w:r>
        <w:rPr>
          <w:rFonts w:hint="eastAsia" w:ascii="宋体" w:hAnsi="宋体" w:cs="宋体"/>
          <w:kern w:val="0"/>
          <w:highlight w:val="none"/>
          <w:lang w:val="en-US" w:eastAsia="zh-CN"/>
        </w:rPr>
        <w:t>实施</w:t>
      </w:r>
      <w:r>
        <w:rPr>
          <w:rFonts w:hint="eastAsia" w:ascii="宋体" w:hAnsi="宋体" w:cs="宋体"/>
          <w:kern w:val="0"/>
          <w:highlight w:val="none"/>
        </w:rPr>
        <w:t>区域线外。</w:t>
      </w:r>
    </w:p>
    <w:p w14:paraId="5473981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关于发包人向承包人免费提供满足工程</w:t>
      </w:r>
      <w:r>
        <w:rPr>
          <w:rFonts w:hint="eastAsia" w:ascii="宋体" w:hAnsi="宋体" w:cs="宋体"/>
          <w:kern w:val="0"/>
          <w:highlight w:val="none"/>
          <w:lang w:val="en-US" w:eastAsia="zh-CN"/>
        </w:rPr>
        <w:t>实施</w:t>
      </w:r>
      <w:r>
        <w:rPr>
          <w:rFonts w:hint="eastAsia" w:ascii="宋体" w:hAnsi="宋体" w:cs="宋体"/>
          <w:kern w:val="0"/>
          <w:highlight w:val="none"/>
        </w:rPr>
        <w:t>需要的场内道路和交通设施的约定：</w:t>
      </w:r>
      <w:r>
        <w:rPr>
          <w:rFonts w:hint="eastAsia" w:ascii="宋体" w:hAnsi="宋体" w:cs="宋体"/>
          <w:kern w:val="0"/>
          <w:highlight w:val="none"/>
          <w:u w:val="single"/>
        </w:rPr>
        <w:t>双方另行确定</w:t>
      </w:r>
      <w:r>
        <w:rPr>
          <w:rFonts w:hint="eastAsia" w:ascii="宋体" w:hAnsi="宋体" w:cs="宋体"/>
          <w:kern w:val="0"/>
          <w:highlight w:val="none"/>
        </w:rPr>
        <w:t>。</w:t>
      </w:r>
      <w:bookmarkEnd w:id="493"/>
      <w:bookmarkEnd w:id="494"/>
      <w:bookmarkEnd w:id="495"/>
      <w:bookmarkEnd w:id="496"/>
      <w:bookmarkEnd w:id="497"/>
      <w:r>
        <w:rPr>
          <w:rFonts w:hint="eastAsia" w:ascii="宋体" w:hAnsi="宋体" w:cs="宋体"/>
          <w:kern w:val="0"/>
          <w:highlight w:val="none"/>
        </w:rPr>
        <w:t xml:space="preserve">  </w:t>
      </w:r>
      <w:bookmarkStart w:id="498" w:name="_Toc318581157"/>
    </w:p>
    <w:p w14:paraId="719E494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1.10.4超大件和超重件的运输</w:t>
      </w:r>
    </w:p>
    <w:p w14:paraId="606EE97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运输超大件或超重件所需的道路和桥梁临时加固改造费用和其他有关费用由</w:t>
      </w:r>
      <w:r>
        <w:rPr>
          <w:rFonts w:hint="eastAsia" w:ascii="宋体" w:hAnsi="宋体" w:cs="宋体"/>
          <w:kern w:val="0"/>
          <w:highlight w:val="none"/>
          <w:u w:val="single"/>
        </w:rPr>
        <w:t>承包方</w:t>
      </w:r>
      <w:r>
        <w:rPr>
          <w:rFonts w:hint="eastAsia" w:ascii="宋体" w:hAnsi="宋体" w:cs="宋体"/>
          <w:kern w:val="0"/>
          <w:highlight w:val="none"/>
        </w:rPr>
        <w:t>承担。</w:t>
      </w:r>
    </w:p>
    <w:bookmarkEnd w:id="498"/>
    <w:p w14:paraId="1A00241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 知识产权</w:t>
      </w:r>
    </w:p>
    <w:p w14:paraId="1274A13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1.11.1关于发包人提供给承包人的图纸、发包人为实施</w:t>
      </w:r>
      <w:r>
        <w:rPr>
          <w:rFonts w:hint="eastAsia" w:ascii="宋体" w:hAnsi="宋体" w:cs="宋体"/>
          <w:kern w:val="0"/>
          <w:highlight w:val="none"/>
          <w:lang w:val="en-US" w:eastAsia="zh-CN"/>
        </w:rPr>
        <w:t>项目</w:t>
      </w:r>
      <w:r>
        <w:rPr>
          <w:rFonts w:hint="eastAsia" w:ascii="宋体" w:hAnsi="宋体" w:cs="宋体"/>
          <w:kern w:val="0"/>
          <w:highlight w:val="none"/>
        </w:rPr>
        <w:t>自行编制或委托编制的技术规范以及反映发包人关于合同要求或其他类似性质的文件的著作权的归属：</w:t>
      </w:r>
      <w:r>
        <w:rPr>
          <w:rFonts w:hint="eastAsia" w:ascii="宋体" w:hAnsi="宋体" w:cs="宋体"/>
          <w:kern w:val="0"/>
          <w:highlight w:val="none"/>
          <w:u w:val="single"/>
        </w:rPr>
        <w:t>按通用条款</w:t>
      </w:r>
      <w:r>
        <w:rPr>
          <w:rFonts w:hint="eastAsia" w:ascii="宋体" w:hAnsi="宋体" w:cs="宋体"/>
          <w:kern w:val="0"/>
          <w:highlight w:val="none"/>
        </w:rPr>
        <w:t>。</w:t>
      </w:r>
    </w:p>
    <w:p w14:paraId="1F59197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关于发包人提供的上述文件的使用限制的要求：</w:t>
      </w:r>
      <w:r>
        <w:rPr>
          <w:rFonts w:hint="eastAsia" w:ascii="宋体" w:hAnsi="宋体" w:cs="宋体"/>
          <w:kern w:val="0"/>
          <w:highlight w:val="none"/>
          <w:u w:val="single"/>
        </w:rPr>
        <w:t>按通用条款</w:t>
      </w:r>
      <w:r>
        <w:rPr>
          <w:rFonts w:hint="eastAsia" w:ascii="宋体" w:hAnsi="宋体" w:cs="宋体"/>
          <w:kern w:val="0"/>
          <w:highlight w:val="none"/>
        </w:rPr>
        <w:t>。</w:t>
      </w:r>
    </w:p>
    <w:p w14:paraId="3833A2D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1.11.2 关于承包人为实施</w:t>
      </w:r>
      <w:r>
        <w:rPr>
          <w:rFonts w:hint="eastAsia" w:ascii="宋体" w:hAnsi="宋体" w:cs="宋体"/>
          <w:kern w:val="0"/>
          <w:highlight w:val="none"/>
          <w:lang w:val="en-US" w:eastAsia="zh-CN"/>
        </w:rPr>
        <w:t>项目</w:t>
      </w:r>
      <w:r>
        <w:rPr>
          <w:rFonts w:hint="eastAsia" w:ascii="宋体" w:hAnsi="宋体" w:cs="宋体"/>
          <w:kern w:val="0"/>
          <w:highlight w:val="none"/>
        </w:rPr>
        <w:t>所编制文件的著作权的归属：</w:t>
      </w:r>
      <w:r>
        <w:rPr>
          <w:rFonts w:hint="eastAsia" w:ascii="宋体" w:hAnsi="宋体" w:cs="宋体"/>
          <w:kern w:val="0"/>
          <w:highlight w:val="none"/>
          <w:u w:val="single"/>
        </w:rPr>
        <w:t>承包人享有</w:t>
      </w:r>
      <w:r>
        <w:rPr>
          <w:rFonts w:hint="eastAsia" w:ascii="宋体" w:hAnsi="宋体" w:cs="宋体"/>
          <w:kern w:val="0"/>
          <w:highlight w:val="none"/>
        </w:rPr>
        <w:t>。</w:t>
      </w:r>
    </w:p>
    <w:p w14:paraId="2FFA97B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关于承包人提供的上述文件的使用限制的要求：</w:t>
      </w:r>
      <w:r>
        <w:rPr>
          <w:rFonts w:hint="eastAsia" w:ascii="宋体" w:hAnsi="宋体" w:cs="宋体"/>
          <w:kern w:val="0"/>
          <w:highlight w:val="none"/>
          <w:u w:val="single"/>
        </w:rPr>
        <w:t>承包人所编制的工程管理文件、管理方案、组织设计、施工方案、安全措施等与本工程有关的文件，使用至档案移交之日</w:t>
      </w:r>
      <w:r>
        <w:rPr>
          <w:rFonts w:hint="eastAsia" w:ascii="宋体" w:hAnsi="宋体" w:cs="宋体"/>
          <w:kern w:val="0"/>
          <w:highlight w:val="none"/>
        </w:rPr>
        <w:t xml:space="preserve"> 。</w:t>
      </w:r>
    </w:p>
    <w:p w14:paraId="3B9B85F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1.11.4 承包人在施工过程中所采用的专利、专有技术、技术秘密的使用费的承担方式：</w:t>
      </w:r>
      <w:r>
        <w:rPr>
          <w:rFonts w:hint="eastAsia" w:ascii="宋体" w:hAnsi="宋体" w:cs="宋体"/>
          <w:kern w:val="0"/>
          <w:highlight w:val="none"/>
          <w:u w:val="single"/>
        </w:rPr>
        <w:t>按通用条款</w:t>
      </w:r>
      <w:r>
        <w:rPr>
          <w:rFonts w:hint="eastAsia" w:ascii="宋体" w:hAnsi="宋体" w:cs="宋体"/>
          <w:kern w:val="0"/>
          <w:highlight w:val="none"/>
        </w:rPr>
        <w:t xml:space="preserve"> 。</w:t>
      </w:r>
    </w:p>
    <w:p w14:paraId="586E8AC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1.13工程量清单错误的修正</w:t>
      </w:r>
    </w:p>
    <w:p w14:paraId="23CEC36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出现工程量清单错误时，是否调整合同价格：</w:t>
      </w:r>
      <w:r>
        <w:rPr>
          <w:rFonts w:hint="eastAsia" w:ascii="宋体" w:hAnsi="宋体" w:cs="宋体"/>
          <w:kern w:val="0"/>
          <w:highlight w:val="none"/>
          <w:u w:val="single"/>
        </w:rPr>
        <w:t xml:space="preserve">  否  </w:t>
      </w:r>
      <w:r>
        <w:rPr>
          <w:rFonts w:hint="eastAsia" w:ascii="宋体" w:hAnsi="宋体" w:cs="宋体"/>
          <w:kern w:val="0"/>
          <w:highlight w:val="none"/>
        </w:rPr>
        <w:t>。</w:t>
      </w:r>
    </w:p>
    <w:p w14:paraId="4E2BB28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允许调整合同价格的工程量偏差范围：</w:t>
      </w:r>
      <w:r>
        <w:rPr>
          <w:rFonts w:hint="eastAsia" w:ascii="宋体" w:hAnsi="宋体" w:cs="宋体"/>
          <w:kern w:val="0"/>
          <w:highlight w:val="none"/>
          <w:u w:val="single"/>
        </w:rPr>
        <w:t xml:space="preserve">  /  </w:t>
      </w:r>
      <w:r>
        <w:rPr>
          <w:rFonts w:hint="eastAsia" w:ascii="宋体" w:hAnsi="宋体" w:cs="宋体"/>
          <w:kern w:val="0"/>
          <w:highlight w:val="none"/>
        </w:rPr>
        <w:t>。</w:t>
      </w:r>
    </w:p>
    <w:p w14:paraId="7D6C5933">
      <w:pPr>
        <w:spacing w:line="560" w:lineRule="exact"/>
        <w:ind w:firstLine="420" w:firstLineChars="200"/>
        <w:jc w:val="left"/>
        <w:rPr>
          <w:rFonts w:hint="eastAsia" w:ascii="宋体" w:hAnsi="宋体" w:cs="宋体"/>
          <w:kern w:val="0"/>
          <w:highlight w:val="none"/>
        </w:rPr>
      </w:pPr>
      <w:bookmarkStart w:id="499" w:name="_Toc351203634"/>
      <w:r>
        <w:rPr>
          <w:rFonts w:hint="eastAsia" w:ascii="宋体" w:hAnsi="宋体" w:cs="宋体"/>
          <w:kern w:val="0"/>
          <w:highlight w:val="none"/>
        </w:rPr>
        <w:t>2</w:t>
      </w:r>
      <w:bookmarkStart w:id="500" w:name="_Toc296890985"/>
      <w:bookmarkStart w:id="501" w:name="_Toc297048343"/>
      <w:bookmarkStart w:id="502" w:name="_Toc296503157"/>
      <w:bookmarkStart w:id="503" w:name="_Toc292559867"/>
      <w:bookmarkStart w:id="504" w:name="_Toc292559362"/>
      <w:bookmarkStart w:id="505" w:name="_Toc296346658"/>
      <w:bookmarkStart w:id="506" w:name="_Toc296944496"/>
      <w:bookmarkStart w:id="507" w:name="_Toc297120457"/>
      <w:bookmarkStart w:id="508" w:name="_Toc296891197"/>
      <w:bookmarkStart w:id="509" w:name="_Toc296347156"/>
      <w:r>
        <w:rPr>
          <w:rFonts w:hint="eastAsia" w:ascii="宋体" w:hAnsi="宋体" w:cs="宋体"/>
          <w:kern w:val="0"/>
          <w:highlight w:val="none"/>
        </w:rPr>
        <w:t>. 发包人</w:t>
      </w:r>
      <w:bookmarkEnd w:id="499"/>
    </w:p>
    <w:bookmarkEnd w:id="500"/>
    <w:bookmarkEnd w:id="501"/>
    <w:bookmarkEnd w:id="502"/>
    <w:bookmarkEnd w:id="503"/>
    <w:bookmarkEnd w:id="504"/>
    <w:bookmarkEnd w:id="505"/>
    <w:bookmarkEnd w:id="506"/>
    <w:bookmarkEnd w:id="507"/>
    <w:bookmarkEnd w:id="508"/>
    <w:bookmarkEnd w:id="509"/>
    <w:p w14:paraId="40A7054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2.2 发包人代表</w:t>
      </w:r>
    </w:p>
    <w:p w14:paraId="6281F8C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发包人代表：</w:t>
      </w:r>
    </w:p>
    <w:p w14:paraId="2F3142B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姓    名：</w:t>
      </w:r>
      <w:r>
        <w:rPr>
          <w:rFonts w:hint="eastAsia" w:ascii="宋体" w:hAnsi="宋体" w:cs="宋体"/>
          <w:kern w:val="0"/>
          <w:highlight w:val="none"/>
          <w:u w:val="single"/>
        </w:rPr>
        <w:t xml:space="preserve">                             </w:t>
      </w:r>
      <w:r>
        <w:rPr>
          <w:rFonts w:hint="eastAsia" w:ascii="宋体" w:hAnsi="宋体" w:cs="宋体"/>
          <w:kern w:val="0"/>
          <w:highlight w:val="none"/>
        </w:rPr>
        <w:t>；</w:t>
      </w:r>
    </w:p>
    <w:p w14:paraId="0FD9DD5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职    务：</w:t>
      </w:r>
      <w:r>
        <w:rPr>
          <w:rFonts w:hint="eastAsia" w:ascii="宋体" w:hAnsi="宋体" w:cs="宋体"/>
          <w:kern w:val="0"/>
          <w:highlight w:val="none"/>
          <w:u w:val="single"/>
        </w:rPr>
        <w:t xml:space="preserve">现场技术负责人  现场代表  </w:t>
      </w:r>
      <w:r>
        <w:rPr>
          <w:rFonts w:hint="eastAsia" w:ascii="宋体" w:hAnsi="宋体" w:cs="宋体"/>
          <w:kern w:val="0"/>
          <w:highlight w:val="none"/>
        </w:rPr>
        <w:t>；</w:t>
      </w:r>
    </w:p>
    <w:p w14:paraId="340E4C6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通信地址：</w:t>
      </w:r>
      <w:r>
        <w:rPr>
          <w:rFonts w:hint="eastAsia" w:ascii="宋体" w:hAnsi="宋体" w:cs="宋体"/>
          <w:kern w:val="0"/>
          <w:highlight w:val="none"/>
          <w:u w:val="single"/>
        </w:rPr>
        <w:t xml:space="preserve">                              </w:t>
      </w:r>
      <w:r>
        <w:rPr>
          <w:rFonts w:hint="eastAsia" w:ascii="宋体" w:hAnsi="宋体" w:cs="宋体"/>
          <w:kern w:val="0"/>
          <w:highlight w:val="none"/>
        </w:rPr>
        <w:t>。</w:t>
      </w:r>
    </w:p>
    <w:p w14:paraId="2395921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发包人对发包人代表的授权范围如下：</w:t>
      </w:r>
      <w:r>
        <w:rPr>
          <w:rFonts w:hint="eastAsia" w:ascii="宋体" w:hAnsi="宋体" w:cs="宋体"/>
          <w:kern w:val="0"/>
          <w:highlight w:val="none"/>
          <w:u w:val="single"/>
        </w:rPr>
        <w:t xml:space="preserve">协调施工现场各方面关系，协调工程质量、进度和安全文明施工中存在的问题，解决有关设计和技术签证，办理、签认现场经济技术签证，审核工程进度报表 </w:t>
      </w:r>
      <w:r>
        <w:rPr>
          <w:rFonts w:hint="eastAsia" w:ascii="宋体" w:hAnsi="宋体" w:cs="宋体"/>
          <w:kern w:val="0"/>
          <w:highlight w:val="none"/>
        </w:rPr>
        <w:t>。</w:t>
      </w:r>
    </w:p>
    <w:p w14:paraId="3C12363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2.4 施工现场、施工条件和基础资料的提供</w:t>
      </w:r>
    </w:p>
    <w:p w14:paraId="21B6250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2.4.1 提供施工现场</w:t>
      </w:r>
    </w:p>
    <w:p w14:paraId="63B884D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关于发包人移交施工现场的期限要求：</w:t>
      </w:r>
      <w:r>
        <w:rPr>
          <w:rFonts w:hint="eastAsia" w:ascii="宋体" w:hAnsi="宋体" w:cs="宋体"/>
          <w:kern w:val="0"/>
          <w:highlight w:val="none"/>
          <w:u w:val="single"/>
        </w:rPr>
        <w:t>公示期满后移交</w:t>
      </w:r>
      <w:r>
        <w:rPr>
          <w:rFonts w:hint="eastAsia" w:ascii="宋体" w:hAnsi="宋体" w:cs="宋体"/>
          <w:kern w:val="0"/>
          <w:highlight w:val="none"/>
        </w:rPr>
        <w:t>。</w:t>
      </w:r>
    </w:p>
    <w:p w14:paraId="38CC33F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2.4.2 提供施工条件</w:t>
      </w:r>
    </w:p>
    <w:p w14:paraId="0CF390F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关于发包人应负责提供施工所需要的条件，包括：</w:t>
      </w:r>
      <w:r>
        <w:rPr>
          <w:rFonts w:hint="eastAsia" w:ascii="宋体" w:hAnsi="宋体" w:cs="宋体"/>
          <w:kern w:val="0"/>
          <w:highlight w:val="none"/>
          <w:u w:val="single"/>
        </w:rPr>
        <w:t>执行通用条款</w:t>
      </w:r>
      <w:r>
        <w:rPr>
          <w:rFonts w:hint="eastAsia" w:ascii="宋体" w:hAnsi="宋体" w:cs="宋体"/>
          <w:kern w:val="0"/>
          <w:highlight w:val="none"/>
        </w:rPr>
        <w:t>。</w:t>
      </w:r>
    </w:p>
    <w:p w14:paraId="770CE03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2.5 资金来源证明及支付担保</w:t>
      </w:r>
    </w:p>
    <w:p w14:paraId="4403912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发包人提供资金来源证明的期限要求：</w:t>
      </w:r>
      <w:r>
        <w:rPr>
          <w:rFonts w:hint="eastAsia" w:ascii="宋体" w:hAnsi="宋体" w:cs="宋体"/>
          <w:kern w:val="0"/>
          <w:highlight w:val="none"/>
          <w:u w:val="single"/>
        </w:rPr>
        <w:t>不提供</w:t>
      </w:r>
      <w:r>
        <w:rPr>
          <w:rFonts w:hint="eastAsia" w:ascii="宋体" w:hAnsi="宋体" w:cs="宋体"/>
          <w:kern w:val="0"/>
          <w:highlight w:val="none"/>
        </w:rPr>
        <w:t xml:space="preserve"> 。</w:t>
      </w:r>
    </w:p>
    <w:p w14:paraId="57E53F7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发包人是否提供支付担保：</w:t>
      </w:r>
      <w:r>
        <w:rPr>
          <w:rFonts w:hint="eastAsia" w:ascii="宋体" w:hAnsi="宋体" w:cs="宋体"/>
          <w:kern w:val="0"/>
          <w:highlight w:val="none"/>
          <w:u w:val="single"/>
        </w:rPr>
        <w:t xml:space="preserve">不提供 </w:t>
      </w:r>
      <w:r>
        <w:rPr>
          <w:rFonts w:hint="eastAsia" w:ascii="宋体" w:hAnsi="宋体" w:cs="宋体"/>
          <w:kern w:val="0"/>
          <w:highlight w:val="none"/>
        </w:rPr>
        <w:t xml:space="preserve"> 。</w:t>
      </w:r>
    </w:p>
    <w:p w14:paraId="10C19DF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发包人提供支付担保的形式：</w:t>
      </w:r>
      <w:r>
        <w:rPr>
          <w:rFonts w:hint="eastAsia" w:ascii="宋体" w:hAnsi="宋体" w:cs="宋体"/>
          <w:kern w:val="0"/>
          <w:highlight w:val="none"/>
          <w:u w:val="single"/>
        </w:rPr>
        <w:t>不提供</w:t>
      </w:r>
      <w:r>
        <w:rPr>
          <w:rFonts w:hint="eastAsia" w:ascii="宋体" w:hAnsi="宋体" w:cs="宋体"/>
          <w:kern w:val="0"/>
          <w:highlight w:val="none"/>
        </w:rPr>
        <w:t xml:space="preserve"> 。</w:t>
      </w:r>
    </w:p>
    <w:p w14:paraId="6ED4DFDE">
      <w:pPr>
        <w:spacing w:line="560" w:lineRule="exact"/>
        <w:ind w:firstLine="420" w:firstLineChars="200"/>
        <w:jc w:val="left"/>
        <w:rPr>
          <w:rFonts w:hint="eastAsia" w:ascii="宋体" w:hAnsi="宋体" w:cs="宋体"/>
          <w:kern w:val="0"/>
          <w:highlight w:val="none"/>
        </w:rPr>
      </w:pPr>
      <w:bookmarkStart w:id="510" w:name="_Toc351203635"/>
      <w:r>
        <w:rPr>
          <w:rFonts w:hint="eastAsia" w:ascii="宋体" w:hAnsi="宋体" w:cs="宋体"/>
          <w:kern w:val="0"/>
          <w:highlight w:val="none"/>
        </w:rPr>
        <w:t>3</w:t>
      </w:r>
      <w:bookmarkStart w:id="511" w:name="_Toc297120458"/>
      <w:bookmarkStart w:id="512" w:name="_Toc292559868"/>
      <w:bookmarkStart w:id="513" w:name="_Toc296503158"/>
      <w:bookmarkStart w:id="514" w:name="_Toc296890986"/>
      <w:bookmarkStart w:id="515" w:name="_Toc297048344"/>
      <w:bookmarkStart w:id="516" w:name="_Toc296347157"/>
      <w:bookmarkStart w:id="517" w:name="_Toc292559363"/>
      <w:bookmarkStart w:id="518" w:name="_Toc296891198"/>
      <w:bookmarkStart w:id="519" w:name="_Toc296944497"/>
      <w:bookmarkStart w:id="520" w:name="_Toc296346659"/>
      <w:r>
        <w:rPr>
          <w:rFonts w:hint="eastAsia" w:ascii="宋体" w:hAnsi="宋体" w:cs="宋体"/>
          <w:kern w:val="0"/>
          <w:highlight w:val="none"/>
        </w:rPr>
        <w:t>. 承包人</w:t>
      </w:r>
      <w:bookmarkEnd w:id="510"/>
    </w:p>
    <w:bookmarkEnd w:id="511"/>
    <w:bookmarkEnd w:id="512"/>
    <w:bookmarkEnd w:id="513"/>
    <w:bookmarkEnd w:id="514"/>
    <w:bookmarkEnd w:id="515"/>
    <w:bookmarkEnd w:id="516"/>
    <w:bookmarkEnd w:id="517"/>
    <w:bookmarkEnd w:id="518"/>
    <w:bookmarkEnd w:id="519"/>
    <w:bookmarkEnd w:id="520"/>
    <w:p w14:paraId="779D462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3.1 承包人的一般义务</w:t>
      </w:r>
    </w:p>
    <w:p w14:paraId="67982AD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（9）承包人提交的竣工资料的内容：</w:t>
      </w:r>
      <w:r>
        <w:rPr>
          <w:rFonts w:hint="eastAsia" w:ascii="宋体" w:hAnsi="宋体" w:cs="宋体"/>
          <w:kern w:val="0"/>
          <w:highlight w:val="none"/>
          <w:u w:val="single"/>
        </w:rPr>
        <w:t>工程总结、交工文件、合同管理文件、结算书、 竣工图、工程质量管理文件、材料和标准试验、缺陷责任期文件、安全文明管理文件、进度控制文件、合同管理文件、原始工程量签证、现场施工照片等相关资料</w:t>
      </w:r>
      <w:r>
        <w:rPr>
          <w:rFonts w:hint="eastAsia" w:ascii="宋体" w:hAnsi="宋体" w:cs="宋体"/>
          <w:kern w:val="0"/>
          <w:highlight w:val="none"/>
        </w:rPr>
        <w:t>。</w:t>
      </w:r>
    </w:p>
    <w:p w14:paraId="53B065A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承包人需要提交的竣工资料套数：</w:t>
      </w:r>
      <w:r>
        <w:rPr>
          <w:rFonts w:hint="eastAsia" w:ascii="宋体" w:hAnsi="宋体" w:cs="宋体"/>
          <w:kern w:val="0"/>
          <w:highlight w:val="none"/>
          <w:u w:val="single"/>
        </w:rPr>
        <w:t xml:space="preserve"> 三套 </w:t>
      </w:r>
      <w:r>
        <w:rPr>
          <w:rFonts w:hint="eastAsia" w:ascii="宋体" w:hAnsi="宋体" w:cs="宋体"/>
          <w:kern w:val="0"/>
          <w:highlight w:val="none"/>
        </w:rPr>
        <w:t>。</w:t>
      </w:r>
    </w:p>
    <w:p w14:paraId="31379E1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承包人提交的竣工资料的费用承担：</w:t>
      </w:r>
      <w:r>
        <w:rPr>
          <w:rFonts w:hint="eastAsia" w:ascii="宋体" w:hAnsi="宋体" w:cs="宋体"/>
          <w:kern w:val="0"/>
          <w:highlight w:val="none"/>
          <w:u w:val="single"/>
        </w:rPr>
        <w:t xml:space="preserve"> 承包人承担 </w:t>
      </w:r>
      <w:r>
        <w:rPr>
          <w:rFonts w:hint="eastAsia" w:ascii="宋体" w:hAnsi="宋体" w:cs="宋体"/>
          <w:kern w:val="0"/>
          <w:highlight w:val="none"/>
        </w:rPr>
        <w:t>。</w:t>
      </w:r>
    </w:p>
    <w:p w14:paraId="3DB7BE1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承包人提交的竣工资料移交时间：</w:t>
      </w:r>
      <w:r>
        <w:rPr>
          <w:rFonts w:hint="eastAsia" w:ascii="宋体" w:hAnsi="宋体" w:cs="宋体"/>
          <w:kern w:val="0"/>
          <w:highlight w:val="none"/>
          <w:u w:val="single"/>
        </w:rPr>
        <w:t xml:space="preserve"> 竣工验收之日后7天内 </w:t>
      </w:r>
      <w:r>
        <w:rPr>
          <w:rFonts w:hint="eastAsia" w:ascii="宋体" w:hAnsi="宋体" w:cs="宋体"/>
          <w:kern w:val="0"/>
          <w:highlight w:val="none"/>
        </w:rPr>
        <w:t>。</w:t>
      </w:r>
    </w:p>
    <w:p w14:paraId="4D03DF2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承包人提交的竣工资料形式要求：</w:t>
      </w:r>
      <w:r>
        <w:rPr>
          <w:rFonts w:hint="eastAsia" w:ascii="宋体" w:hAnsi="宋体" w:cs="宋体"/>
          <w:kern w:val="0"/>
          <w:highlight w:val="none"/>
          <w:u w:val="single"/>
        </w:rPr>
        <w:t xml:space="preserve"> 纸质文档和电子文档 </w:t>
      </w:r>
      <w:r>
        <w:rPr>
          <w:rFonts w:hint="eastAsia" w:ascii="宋体" w:hAnsi="宋体" w:cs="宋体"/>
          <w:kern w:val="0"/>
          <w:highlight w:val="none"/>
        </w:rPr>
        <w:t>。</w:t>
      </w:r>
    </w:p>
    <w:p w14:paraId="2895C05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承包人应履行的其他义务：</w:t>
      </w:r>
      <w:r>
        <w:rPr>
          <w:rFonts w:hint="eastAsia" w:ascii="宋体" w:hAnsi="宋体" w:cs="宋体"/>
          <w:kern w:val="0"/>
          <w:highlight w:val="none"/>
          <w:u w:val="single"/>
        </w:rPr>
        <w:t>双方另行确定</w:t>
      </w:r>
      <w:r>
        <w:rPr>
          <w:rFonts w:hint="eastAsia" w:ascii="宋体" w:hAnsi="宋体" w:cs="宋体"/>
          <w:kern w:val="0"/>
          <w:highlight w:val="none"/>
        </w:rPr>
        <w:t xml:space="preserve"> 。 </w:t>
      </w:r>
    </w:p>
    <w:p w14:paraId="140111F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3.2 项目经理</w:t>
      </w:r>
    </w:p>
    <w:p w14:paraId="081AFF5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3.2.1 项目经理：</w:t>
      </w:r>
    </w:p>
    <w:p w14:paraId="0EC2281D">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姓    名：</w:t>
      </w:r>
      <w:r>
        <w:rPr>
          <w:rFonts w:hint="eastAsia" w:ascii="宋体" w:hAnsi="宋体" w:cs="宋体"/>
          <w:sz w:val="21"/>
          <w:highlight w:val="none"/>
          <w:u w:val="single"/>
        </w:rPr>
        <w:t xml:space="preserve">             </w:t>
      </w:r>
      <w:r>
        <w:rPr>
          <w:rFonts w:hint="eastAsia" w:ascii="宋体" w:hAnsi="宋体" w:cs="宋体"/>
          <w:sz w:val="21"/>
          <w:highlight w:val="none"/>
        </w:rPr>
        <w:t>；</w:t>
      </w:r>
    </w:p>
    <w:p w14:paraId="498997E8">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身份证号：</w:t>
      </w:r>
      <w:r>
        <w:rPr>
          <w:rFonts w:hint="eastAsia" w:ascii="宋体" w:hAnsi="宋体" w:cs="宋体"/>
          <w:sz w:val="21"/>
          <w:highlight w:val="none"/>
          <w:u w:val="single"/>
        </w:rPr>
        <w:t xml:space="preserve">                   </w:t>
      </w:r>
      <w:r>
        <w:rPr>
          <w:rFonts w:hint="eastAsia" w:ascii="宋体" w:hAnsi="宋体" w:cs="宋体"/>
          <w:sz w:val="21"/>
          <w:highlight w:val="none"/>
        </w:rPr>
        <w:t>；</w:t>
      </w:r>
    </w:p>
    <w:p w14:paraId="3E95820A">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建造师执业资格等级：</w:t>
      </w:r>
      <w:r>
        <w:rPr>
          <w:rFonts w:hint="eastAsia" w:ascii="宋体" w:hAnsi="宋体" w:cs="宋体"/>
          <w:sz w:val="21"/>
          <w:highlight w:val="none"/>
          <w:u w:val="single"/>
        </w:rPr>
        <w:t>              </w:t>
      </w:r>
      <w:r>
        <w:rPr>
          <w:rFonts w:hint="eastAsia" w:ascii="宋体" w:hAnsi="宋体" w:cs="宋体"/>
          <w:sz w:val="21"/>
          <w:highlight w:val="none"/>
        </w:rPr>
        <w:t>；</w:t>
      </w:r>
    </w:p>
    <w:p w14:paraId="08AA7C8C">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建造师注册证书号：</w:t>
      </w:r>
      <w:r>
        <w:rPr>
          <w:rFonts w:hint="eastAsia" w:ascii="宋体" w:hAnsi="宋体" w:cs="宋体"/>
          <w:sz w:val="21"/>
          <w:highlight w:val="none"/>
          <w:u w:val="single"/>
        </w:rPr>
        <w:t xml:space="preserve">                </w:t>
      </w:r>
      <w:r>
        <w:rPr>
          <w:rFonts w:hint="eastAsia" w:ascii="宋体" w:hAnsi="宋体" w:cs="宋体"/>
          <w:sz w:val="21"/>
          <w:highlight w:val="none"/>
        </w:rPr>
        <w:t xml:space="preserve">； </w:t>
      </w:r>
    </w:p>
    <w:p w14:paraId="0F78C235">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联系电话：</w:t>
      </w:r>
      <w:r>
        <w:rPr>
          <w:rFonts w:hint="eastAsia" w:ascii="宋体" w:hAnsi="宋体" w:cs="宋体"/>
          <w:sz w:val="21"/>
          <w:highlight w:val="none"/>
          <w:u w:val="single"/>
        </w:rPr>
        <w:t>                </w:t>
      </w:r>
      <w:r>
        <w:rPr>
          <w:rFonts w:hint="eastAsia" w:ascii="宋体" w:hAnsi="宋体" w:cs="宋体"/>
          <w:sz w:val="21"/>
          <w:highlight w:val="none"/>
        </w:rPr>
        <w:t>；</w:t>
      </w:r>
    </w:p>
    <w:p w14:paraId="26BF1956">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通信地址：</w:t>
      </w:r>
      <w:r>
        <w:rPr>
          <w:rFonts w:hint="eastAsia" w:ascii="宋体" w:hAnsi="宋体" w:cs="宋体"/>
          <w:sz w:val="21"/>
          <w:highlight w:val="none"/>
          <w:u w:val="single"/>
        </w:rPr>
        <w:t xml:space="preserve">                      </w:t>
      </w:r>
      <w:r>
        <w:rPr>
          <w:rFonts w:hint="eastAsia" w:ascii="宋体" w:hAnsi="宋体" w:cs="宋体"/>
          <w:sz w:val="21"/>
          <w:highlight w:val="none"/>
        </w:rPr>
        <w:t>；</w:t>
      </w:r>
    </w:p>
    <w:p w14:paraId="0C3BC6E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承包人对项目经理的授权范围如下：</w:t>
      </w:r>
      <w:r>
        <w:rPr>
          <w:rFonts w:hint="eastAsia" w:ascii="宋体" w:hAnsi="宋体" w:cs="宋体"/>
          <w:kern w:val="0"/>
          <w:highlight w:val="none"/>
          <w:u w:val="single"/>
        </w:rPr>
        <w:t>经承包人书面授权后代表承包人履行合同</w:t>
      </w:r>
      <w:r>
        <w:rPr>
          <w:rFonts w:hint="eastAsia" w:ascii="宋体" w:hAnsi="宋体" w:cs="宋体"/>
          <w:kern w:val="0"/>
          <w:highlight w:val="none"/>
        </w:rPr>
        <w:t xml:space="preserve"> 。</w:t>
      </w:r>
    </w:p>
    <w:p w14:paraId="6C4AF49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关于项目经理每月在施工现场的时间要求：</w:t>
      </w:r>
      <w:r>
        <w:rPr>
          <w:rFonts w:hint="eastAsia" w:ascii="宋体" w:hAnsi="宋体" w:cs="宋体"/>
          <w:kern w:val="0"/>
          <w:highlight w:val="none"/>
          <w:u w:val="single"/>
        </w:rPr>
        <w:t>同比选申请文件承诺时间</w:t>
      </w:r>
      <w:r>
        <w:rPr>
          <w:rFonts w:hint="eastAsia" w:ascii="宋体" w:hAnsi="宋体" w:cs="宋体"/>
          <w:kern w:val="0"/>
          <w:highlight w:val="none"/>
        </w:rPr>
        <w:t>。</w:t>
      </w:r>
    </w:p>
    <w:p w14:paraId="075D0FC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项目经理未经批准，擅自离开施工现场的违约责任：</w:t>
      </w:r>
      <w:r>
        <w:rPr>
          <w:rFonts w:hint="eastAsia" w:ascii="宋体" w:hAnsi="宋体" w:cs="宋体"/>
          <w:kern w:val="0"/>
          <w:highlight w:val="none"/>
          <w:u w:val="single"/>
        </w:rPr>
        <w:t>承包人承担上述违约给发包人造成的一切损失，发包人有权要求更换项目经理，由此增加的费用和延误的工期由承包人承担</w:t>
      </w:r>
      <w:r>
        <w:rPr>
          <w:rFonts w:hint="eastAsia" w:ascii="宋体" w:hAnsi="宋体" w:cs="宋体"/>
          <w:kern w:val="0"/>
          <w:highlight w:val="none"/>
        </w:rPr>
        <w:t xml:space="preserve"> 。</w:t>
      </w:r>
    </w:p>
    <w:p w14:paraId="1833EAD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3.2.3 承包人擅自更换项目经理的违约责任： </w:t>
      </w:r>
      <w:r>
        <w:rPr>
          <w:rFonts w:hint="eastAsia" w:ascii="宋体" w:hAnsi="宋体" w:cs="宋体"/>
          <w:kern w:val="0"/>
          <w:highlight w:val="none"/>
          <w:u w:val="single"/>
        </w:rPr>
        <w:t>承包人承担上述违约给发包人造成的一切损失，发包人有权要求更换项目经理，由此增加的费用和延误的工期由承包人承担</w:t>
      </w:r>
      <w:r>
        <w:rPr>
          <w:rFonts w:hint="eastAsia" w:ascii="宋体" w:hAnsi="宋体" w:cs="宋体"/>
          <w:kern w:val="0"/>
          <w:highlight w:val="none"/>
        </w:rPr>
        <w:t xml:space="preserve"> 。</w:t>
      </w:r>
    </w:p>
    <w:p w14:paraId="1AC5ED6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3.2.4 承包人无正当理由拒绝更换项目经理的违约责任：  </w:t>
      </w:r>
      <w:r>
        <w:rPr>
          <w:rFonts w:hint="eastAsia" w:ascii="宋体" w:hAnsi="宋体" w:cs="宋体"/>
          <w:kern w:val="0"/>
          <w:highlight w:val="none"/>
          <w:u w:val="single"/>
        </w:rPr>
        <w:t>承担上述违约造成的一切损失</w:t>
      </w:r>
      <w:r>
        <w:rPr>
          <w:rFonts w:hint="eastAsia" w:ascii="宋体" w:hAnsi="宋体" w:cs="宋体"/>
          <w:kern w:val="0"/>
          <w:highlight w:val="none"/>
        </w:rPr>
        <w:t>。</w:t>
      </w:r>
    </w:p>
    <w:p w14:paraId="3630C54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 承包人人员</w:t>
      </w:r>
    </w:p>
    <w:p w14:paraId="080D3E9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3.3.1 承包人提交项目管理机构及施工现场管理人员安排报告的期限：</w:t>
      </w:r>
      <w:r>
        <w:rPr>
          <w:rFonts w:hint="eastAsia" w:ascii="宋体" w:hAnsi="宋体" w:cs="宋体"/>
          <w:kern w:val="0"/>
          <w:highlight w:val="none"/>
          <w:u w:val="single"/>
        </w:rPr>
        <w:t xml:space="preserve">  准备开工同时上报  </w:t>
      </w:r>
      <w:r>
        <w:rPr>
          <w:rFonts w:hint="eastAsia" w:ascii="宋体" w:hAnsi="宋体" w:cs="宋体"/>
          <w:kern w:val="0"/>
          <w:highlight w:val="none"/>
        </w:rPr>
        <w:t xml:space="preserve"> 。</w:t>
      </w:r>
    </w:p>
    <w:p w14:paraId="7F26DBC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3.3.3 承包人无正当理由拒绝撤换主要管理人员的违约责任：</w:t>
      </w:r>
      <w:r>
        <w:rPr>
          <w:rFonts w:hint="eastAsia" w:ascii="宋体" w:hAnsi="宋体" w:cs="宋体"/>
          <w:kern w:val="0"/>
          <w:highlight w:val="none"/>
          <w:u w:val="single"/>
        </w:rPr>
        <w:t>更换一人罚金</w:t>
      </w:r>
      <w:r>
        <w:rPr>
          <w:rFonts w:hint="eastAsia" w:ascii="宋体" w:hAnsi="宋体" w:cs="宋体"/>
          <w:kern w:val="0"/>
          <w:highlight w:val="none"/>
          <w:u w:val="single"/>
          <w:lang w:val="en-US" w:eastAsia="zh-CN"/>
        </w:rPr>
        <w:t>1</w:t>
      </w:r>
      <w:r>
        <w:rPr>
          <w:rFonts w:hint="eastAsia" w:ascii="宋体" w:hAnsi="宋体" w:cs="宋体"/>
          <w:kern w:val="0"/>
          <w:highlight w:val="none"/>
          <w:u w:val="single"/>
        </w:rPr>
        <w:t>000，承担上述违约造成的一切损失</w:t>
      </w:r>
      <w:r>
        <w:rPr>
          <w:rFonts w:hint="eastAsia" w:ascii="宋体" w:hAnsi="宋体" w:cs="宋体"/>
          <w:kern w:val="0"/>
          <w:highlight w:val="none"/>
        </w:rPr>
        <w:t>。</w:t>
      </w:r>
    </w:p>
    <w:p w14:paraId="10C95E1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3.3.4 承包人主要施工管理人员离开施工现场的批准要求</w:t>
      </w:r>
      <w:r>
        <w:rPr>
          <w:rFonts w:hint="eastAsia" w:ascii="宋体" w:hAnsi="宋体" w:cs="宋体"/>
          <w:kern w:val="0"/>
          <w:highlight w:val="none"/>
          <w:lang w:eastAsia="zh-CN"/>
        </w:rPr>
        <w:t>：</w:t>
      </w:r>
      <w:r>
        <w:rPr>
          <w:rFonts w:hint="eastAsia" w:ascii="宋体" w:hAnsi="宋体" w:cs="宋体"/>
          <w:kern w:val="0"/>
          <w:highlight w:val="none"/>
          <w:u w:val="single"/>
        </w:rPr>
        <w:t xml:space="preserve">提前两天书面通知发包人代表，经发包人代表书面同意后方可离开；特殊情况下可由承包人法人代表电话通发包人代表，确定有相应的替代管理人员后可离场，但应后补相关离场管理文件 </w:t>
      </w:r>
      <w:r>
        <w:rPr>
          <w:rFonts w:hint="eastAsia" w:ascii="宋体" w:hAnsi="宋体" w:cs="宋体"/>
          <w:kern w:val="0"/>
          <w:highlight w:val="none"/>
        </w:rPr>
        <w:t>。</w:t>
      </w:r>
    </w:p>
    <w:p w14:paraId="182B969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3.3.5承包人擅自更换主要管理人员的违约责任：</w:t>
      </w:r>
      <w:r>
        <w:rPr>
          <w:rFonts w:hint="eastAsia" w:ascii="宋体" w:hAnsi="宋体" w:cs="宋体"/>
          <w:kern w:val="0"/>
          <w:highlight w:val="none"/>
          <w:u w:val="single"/>
        </w:rPr>
        <w:t>更换主要负责人罚金</w:t>
      </w:r>
      <w:r>
        <w:rPr>
          <w:rFonts w:hint="eastAsia" w:ascii="宋体" w:hAnsi="宋体" w:cs="宋体"/>
          <w:kern w:val="0"/>
          <w:highlight w:val="none"/>
          <w:u w:val="single"/>
          <w:lang w:val="en-US" w:eastAsia="zh-CN"/>
        </w:rPr>
        <w:t>1</w:t>
      </w:r>
      <w:r>
        <w:rPr>
          <w:rFonts w:hint="eastAsia" w:ascii="宋体" w:hAnsi="宋体" w:cs="宋体"/>
          <w:kern w:val="0"/>
          <w:highlight w:val="none"/>
          <w:u w:val="single"/>
        </w:rPr>
        <w:t xml:space="preserve">000，并承担工期延误和因安全文明管理规定导致的工期、资金损失责任 </w:t>
      </w:r>
      <w:r>
        <w:rPr>
          <w:rFonts w:hint="eastAsia" w:ascii="宋体" w:hAnsi="宋体" w:cs="宋体"/>
          <w:kern w:val="0"/>
          <w:highlight w:val="none"/>
        </w:rPr>
        <w:t xml:space="preserve"> 。</w:t>
      </w:r>
    </w:p>
    <w:p w14:paraId="5B3DBAF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承包人主要管理人员擅自离开施工现场的违约责任：</w:t>
      </w:r>
      <w:r>
        <w:rPr>
          <w:rFonts w:hint="eastAsia" w:ascii="宋体" w:hAnsi="宋体" w:cs="宋体"/>
          <w:kern w:val="0"/>
          <w:highlight w:val="none"/>
          <w:u w:val="single"/>
        </w:rPr>
        <w:t>更换一般管理人员罚金</w:t>
      </w:r>
      <w:r>
        <w:rPr>
          <w:rFonts w:hint="eastAsia" w:ascii="宋体" w:hAnsi="宋体" w:cs="宋体"/>
          <w:kern w:val="0"/>
          <w:highlight w:val="none"/>
          <w:u w:val="single"/>
          <w:lang w:val="en-US" w:eastAsia="zh-CN"/>
        </w:rPr>
        <w:t>1</w:t>
      </w:r>
      <w:r>
        <w:rPr>
          <w:rFonts w:hint="eastAsia" w:ascii="宋体" w:hAnsi="宋体" w:cs="宋体"/>
          <w:kern w:val="0"/>
          <w:highlight w:val="none"/>
          <w:u w:val="single"/>
        </w:rPr>
        <w:t>000，承担上述违约造成的一切损失</w:t>
      </w:r>
      <w:r>
        <w:rPr>
          <w:rFonts w:hint="eastAsia" w:ascii="宋体" w:hAnsi="宋体" w:cs="宋体"/>
          <w:kern w:val="0"/>
          <w:highlight w:val="none"/>
        </w:rPr>
        <w:t xml:space="preserve"> 。</w:t>
      </w:r>
    </w:p>
    <w:p w14:paraId="6A3B26F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w:t>
      </w:r>
      <w:bookmarkStart w:id="521" w:name="_Toc296503159"/>
      <w:bookmarkStart w:id="522" w:name="_Toc297048345"/>
      <w:bookmarkStart w:id="523" w:name="_Toc312677988"/>
      <w:bookmarkStart w:id="524" w:name="_Toc296347158"/>
      <w:bookmarkStart w:id="525" w:name="_Toc297216151"/>
      <w:bookmarkStart w:id="526" w:name="_Toc296890987"/>
      <w:bookmarkStart w:id="527" w:name="_Toc292559364"/>
      <w:bookmarkStart w:id="528" w:name="_Toc297123492"/>
      <w:bookmarkStart w:id="529" w:name="_Toc303539102"/>
      <w:bookmarkStart w:id="530" w:name="_Toc296346660"/>
      <w:bookmarkStart w:id="531" w:name="_Toc297120459"/>
      <w:bookmarkStart w:id="532" w:name="_Toc292559869"/>
      <w:bookmarkStart w:id="533" w:name="_Toc296944498"/>
      <w:bookmarkStart w:id="534" w:name="_Toc300934945"/>
      <w:bookmarkStart w:id="535" w:name="_Toc296891199"/>
      <w:bookmarkStart w:id="536" w:name="_Toc304295523"/>
      <w:r>
        <w:rPr>
          <w:rFonts w:hint="eastAsia" w:ascii="宋体" w:hAnsi="宋体" w:cs="宋体"/>
          <w:kern w:val="0"/>
          <w:highlight w:val="none"/>
        </w:rPr>
        <w:t>.5 分包</w:t>
      </w:r>
    </w:p>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p w14:paraId="7A53C91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w:t>
      </w:r>
      <w:bookmarkStart w:id="537" w:name="_Toc296890988"/>
      <w:bookmarkStart w:id="538" w:name="_Toc300934946"/>
      <w:bookmarkStart w:id="539" w:name="_Toc303539103"/>
      <w:bookmarkStart w:id="540" w:name="_Toc296346661"/>
      <w:bookmarkStart w:id="541" w:name="_Toc296944499"/>
      <w:bookmarkStart w:id="542" w:name="_Toc292559365"/>
      <w:bookmarkStart w:id="543" w:name="_Toc296891200"/>
      <w:bookmarkStart w:id="544" w:name="_Toc296503160"/>
      <w:bookmarkStart w:id="545" w:name="_Toc296347159"/>
      <w:bookmarkStart w:id="546" w:name="_Toc304295524"/>
      <w:bookmarkStart w:id="547" w:name="_Toc297123493"/>
      <w:bookmarkStart w:id="548" w:name="_Toc297216152"/>
      <w:bookmarkStart w:id="549" w:name="_Toc297048346"/>
      <w:bookmarkStart w:id="550" w:name="_Toc292559870"/>
      <w:bookmarkStart w:id="551" w:name="_Toc297120460"/>
      <w:bookmarkStart w:id="552" w:name="_Toc312677989"/>
      <w:bookmarkStart w:id="553" w:name="_Toc318581158"/>
      <w:r>
        <w:rPr>
          <w:rFonts w:hint="eastAsia" w:ascii="宋体" w:hAnsi="宋体" w:cs="宋体"/>
          <w:kern w:val="0"/>
          <w:highlight w:val="none"/>
        </w:rPr>
        <w:t>.5.1 分包的一般约定</w:t>
      </w:r>
    </w:p>
    <w:p w14:paraId="679069E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lang w:val="en-US" w:eastAsia="zh-CN"/>
        </w:rPr>
        <w:t>不允许</w:t>
      </w:r>
      <w:r>
        <w:rPr>
          <w:rFonts w:hint="eastAsia" w:ascii="宋体" w:hAnsi="宋体" w:cs="宋体"/>
          <w:kern w:val="0"/>
          <w:highlight w:val="none"/>
        </w:rPr>
        <w:t>。</w:t>
      </w:r>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Start w:id="554" w:name="_Toc296347160"/>
      <w:bookmarkStart w:id="555" w:name="_Toc296890989"/>
      <w:bookmarkStart w:id="556" w:name="_Toc296891201"/>
      <w:bookmarkStart w:id="557" w:name="_Toc296503161"/>
      <w:bookmarkStart w:id="558" w:name="_Toc300934947"/>
      <w:bookmarkStart w:id="559" w:name="_Toc303539104"/>
      <w:bookmarkStart w:id="560" w:name="_Toc304295525"/>
      <w:bookmarkStart w:id="561" w:name="_Toc297216153"/>
      <w:bookmarkStart w:id="562" w:name="_Toc297120461"/>
      <w:bookmarkStart w:id="563" w:name="_Toc296944500"/>
      <w:bookmarkStart w:id="564" w:name="_Toc297123494"/>
      <w:bookmarkStart w:id="565" w:name="_Toc296346662"/>
      <w:bookmarkStart w:id="566" w:name="_Toc297048347"/>
    </w:p>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14:paraId="2A3B7A2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3.6 工程照管与成品、半成品保护</w:t>
      </w:r>
    </w:p>
    <w:p w14:paraId="46C98BE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承包人负责照管工程及工程相关的材料、工程设备的起始时间：</w:t>
      </w:r>
      <w:r>
        <w:rPr>
          <w:rFonts w:hint="eastAsia" w:ascii="宋体" w:hAnsi="宋体" w:cs="宋体"/>
          <w:kern w:val="0"/>
          <w:highlight w:val="none"/>
          <w:u w:val="single"/>
        </w:rPr>
        <w:t>在竣工完成后工程及工程相关材料、工程设备在未移交前由承包人自行照管</w:t>
      </w:r>
      <w:r>
        <w:rPr>
          <w:rFonts w:hint="eastAsia" w:ascii="宋体" w:hAnsi="宋体" w:cs="宋体"/>
          <w:kern w:val="0"/>
          <w:highlight w:val="none"/>
        </w:rPr>
        <w:t xml:space="preserve"> 。</w:t>
      </w:r>
    </w:p>
    <w:p w14:paraId="3D08C1B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3.7 履约担保</w:t>
      </w:r>
    </w:p>
    <w:p w14:paraId="62F9CDD4">
      <w:pPr>
        <w:spacing w:line="560" w:lineRule="exact"/>
        <w:ind w:firstLine="420" w:firstLineChars="200"/>
        <w:jc w:val="left"/>
        <w:rPr>
          <w:rFonts w:hint="eastAsia" w:ascii="宋体" w:hAnsi="宋体" w:eastAsia="宋体" w:cs="宋体"/>
          <w:kern w:val="0"/>
          <w:highlight w:val="none"/>
          <w:lang w:eastAsia="zh-CN"/>
        </w:rPr>
      </w:pPr>
      <w:r>
        <w:rPr>
          <w:rFonts w:hint="eastAsia" w:ascii="宋体" w:hAnsi="宋体" w:cs="宋体"/>
          <w:kern w:val="0"/>
          <w:highlight w:val="none"/>
        </w:rPr>
        <w:t xml:space="preserve">承包人是否提供履约担保： </w:t>
      </w:r>
      <w:r>
        <w:rPr>
          <w:rFonts w:hint="eastAsia" w:ascii="宋体" w:hAnsi="宋体" w:cs="宋体"/>
          <w:kern w:val="0"/>
          <w:highlight w:val="none"/>
          <w:u w:val="single"/>
          <w:lang w:val="en-US" w:eastAsia="zh-CN"/>
        </w:rPr>
        <w:t>不提供</w:t>
      </w:r>
      <w:r>
        <w:rPr>
          <w:rFonts w:hint="eastAsia" w:ascii="宋体" w:hAnsi="宋体" w:cs="宋体"/>
          <w:kern w:val="0"/>
          <w:highlight w:val="none"/>
        </w:rPr>
        <w:t xml:space="preserve"> 。</w:t>
      </w:r>
    </w:p>
    <w:p w14:paraId="245A2FD5">
      <w:pPr>
        <w:spacing w:line="560" w:lineRule="exact"/>
        <w:ind w:firstLine="420" w:firstLineChars="200"/>
        <w:jc w:val="left"/>
        <w:rPr>
          <w:rFonts w:hint="eastAsia" w:ascii="宋体" w:hAnsi="宋体" w:cs="宋体"/>
          <w:kern w:val="0"/>
          <w:highlight w:val="none"/>
        </w:rPr>
      </w:pPr>
      <w:bookmarkStart w:id="567" w:name="_Toc351203636"/>
      <w:r>
        <w:rPr>
          <w:rFonts w:hint="eastAsia" w:ascii="宋体" w:hAnsi="宋体" w:cs="宋体"/>
          <w:kern w:val="0"/>
          <w:highlight w:val="none"/>
        </w:rPr>
        <w:t>4</w:t>
      </w:r>
      <w:bookmarkStart w:id="568" w:name="_Toc297120462"/>
      <w:bookmarkStart w:id="569" w:name="_Toc296347161"/>
      <w:bookmarkStart w:id="570" w:name="_Toc296346663"/>
      <w:bookmarkStart w:id="571" w:name="_Toc296944501"/>
      <w:bookmarkStart w:id="572" w:name="_Toc297048348"/>
      <w:bookmarkStart w:id="573" w:name="_Toc296890990"/>
      <w:bookmarkStart w:id="574" w:name="_Toc296891202"/>
      <w:bookmarkStart w:id="575" w:name="_Toc267251413"/>
      <w:bookmarkStart w:id="576" w:name="_Toc292559366"/>
      <w:bookmarkStart w:id="577" w:name="_Toc292559871"/>
      <w:bookmarkStart w:id="578" w:name="_Toc296503162"/>
      <w:r>
        <w:rPr>
          <w:rFonts w:hint="eastAsia" w:ascii="宋体" w:hAnsi="宋体" w:cs="宋体"/>
          <w:kern w:val="0"/>
          <w:highlight w:val="none"/>
        </w:rPr>
        <w:t>. 监</w:t>
      </w:r>
      <w:bookmarkEnd w:id="568"/>
      <w:bookmarkEnd w:id="569"/>
      <w:bookmarkEnd w:id="570"/>
      <w:bookmarkEnd w:id="571"/>
      <w:bookmarkEnd w:id="572"/>
      <w:bookmarkEnd w:id="573"/>
      <w:bookmarkEnd w:id="574"/>
      <w:bookmarkEnd w:id="575"/>
      <w:bookmarkEnd w:id="576"/>
      <w:bookmarkEnd w:id="577"/>
      <w:bookmarkEnd w:id="578"/>
      <w:r>
        <w:rPr>
          <w:rFonts w:hint="eastAsia" w:ascii="宋体" w:hAnsi="宋体" w:cs="宋体"/>
          <w:kern w:val="0"/>
          <w:highlight w:val="none"/>
        </w:rPr>
        <w:t>理人</w:t>
      </w:r>
      <w:bookmarkEnd w:id="567"/>
    </w:p>
    <w:p w14:paraId="32E9D4D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4.1监理人的一般规定</w:t>
      </w:r>
    </w:p>
    <w:p w14:paraId="1FA10D6B">
      <w:pPr>
        <w:spacing w:line="560" w:lineRule="exact"/>
        <w:ind w:firstLine="420" w:firstLineChars="200"/>
        <w:jc w:val="left"/>
        <w:rPr>
          <w:rFonts w:hint="default" w:ascii="宋体" w:hAnsi="宋体" w:eastAsia="宋体" w:cs="宋体"/>
          <w:kern w:val="0"/>
          <w:highlight w:val="none"/>
          <w:u w:val="single"/>
          <w:lang w:val="en-US" w:eastAsia="zh-CN"/>
        </w:rPr>
      </w:pPr>
      <w:r>
        <w:rPr>
          <w:rFonts w:hint="eastAsia" w:ascii="宋体" w:hAnsi="宋体" w:cs="宋体"/>
          <w:kern w:val="0"/>
          <w:highlight w:val="none"/>
          <w:u w:val="single"/>
          <w:lang w:val="en-US" w:eastAsia="zh-CN"/>
        </w:rPr>
        <w:t xml:space="preserve">              </w:t>
      </w:r>
    </w:p>
    <w:p w14:paraId="74220718">
      <w:pPr>
        <w:spacing w:line="560" w:lineRule="exact"/>
        <w:ind w:firstLine="420" w:firstLineChars="200"/>
        <w:jc w:val="left"/>
        <w:rPr>
          <w:rFonts w:hint="eastAsia" w:ascii="宋体" w:hAnsi="宋体" w:cs="宋体"/>
          <w:kern w:val="0"/>
          <w:highlight w:val="none"/>
        </w:rPr>
      </w:pPr>
      <w:bookmarkStart w:id="579" w:name="_Toc267251418"/>
      <w:bookmarkStart w:id="580" w:name="_Toc351203637"/>
      <w:r>
        <w:rPr>
          <w:rFonts w:hint="eastAsia" w:ascii="宋体" w:hAnsi="宋体" w:cs="宋体"/>
          <w:kern w:val="0"/>
          <w:highlight w:val="none"/>
        </w:rPr>
        <w:t>5</w:t>
      </w:r>
      <w:bookmarkEnd w:id="579"/>
      <w:bookmarkStart w:id="581" w:name="_Toc297048349"/>
      <w:bookmarkStart w:id="582" w:name="_Toc296944502"/>
      <w:bookmarkStart w:id="583" w:name="_Toc297120463"/>
      <w:bookmarkStart w:id="584" w:name="_Toc296347162"/>
      <w:bookmarkStart w:id="585" w:name="_Toc296503163"/>
      <w:bookmarkStart w:id="586" w:name="_Toc296346664"/>
      <w:bookmarkStart w:id="587" w:name="_Toc296891203"/>
      <w:bookmarkStart w:id="588" w:name="_Toc292559367"/>
      <w:bookmarkStart w:id="589" w:name="_Toc296890991"/>
      <w:bookmarkStart w:id="590" w:name="_Toc292559872"/>
      <w:r>
        <w:rPr>
          <w:rFonts w:hint="eastAsia" w:ascii="宋体" w:hAnsi="宋体" w:cs="宋体"/>
          <w:kern w:val="0"/>
          <w:highlight w:val="none"/>
        </w:rPr>
        <w:t>. 工程质量</w:t>
      </w:r>
      <w:bookmarkEnd w:id="580"/>
    </w:p>
    <w:p w14:paraId="58771E0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5.1 质量要求</w:t>
      </w:r>
    </w:p>
    <w:p w14:paraId="6CC6D09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w:t>
      </w:r>
      <w:bookmarkStart w:id="591" w:name="_Toc303539106"/>
      <w:bookmarkStart w:id="592" w:name="_Toc312677997"/>
      <w:bookmarkStart w:id="593" w:name="_Toc300934949"/>
      <w:bookmarkStart w:id="594" w:name="_Toc304295527"/>
      <w:bookmarkStart w:id="595" w:name="_Toc297216155"/>
      <w:bookmarkStart w:id="596" w:name="_Toc297123496"/>
      <w:bookmarkStart w:id="597" w:name="_Toc318581164"/>
      <w:r>
        <w:rPr>
          <w:rFonts w:hint="eastAsia" w:ascii="宋体" w:hAnsi="宋体" w:cs="宋体"/>
          <w:kern w:val="0"/>
          <w:highlight w:val="none"/>
        </w:rPr>
        <w:t>.1.1 特殊质量标准和要求：</w:t>
      </w:r>
      <w:r>
        <w:rPr>
          <w:rFonts w:hint="eastAsia" w:ascii="宋体" w:hAnsi="宋体" w:cs="宋体"/>
          <w:kern w:val="0"/>
          <w:highlight w:val="none"/>
          <w:u w:val="single"/>
        </w:rPr>
        <w:t xml:space="preserve">    无  </w:t>
      </w:r>
      <w:r>
        <w:rPr>
          <w:rFonts w:hint="eastAsia" w:ascii="宋体" w:hAnsi="宋体" w:cs="宋体"/>
          <w:kern w:val="0"/>
          <w:highlight w:val="none"/>
        </w:rPr>
        <w:t>。</w:t>
      </w:r>
    </w:p>
    <w:p w14:paraId="223E4FC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关于工程奖项的约定：</w:t>
      </w:r>
      <w:r>
        <w:rPr>
          <w:rFonts w:hint="eastAsia" w:ascii="宋体" w:hAnsi="宋体" w:cs="宋体"/>
          <w:kern w:val="0"/>
          <w:highlight w:val="none"/>
          <w:u w:val="single"/>
        </w:rPr>
        <w:t xml:space="preserve">     无    </w:t>
      </w:r>
      <w:r>
        <w:rPr>
          <w:rFonts w:hint="eastAsia" w:ascii="宋体" w:hAnsi="宋体" w:cs="宋体"/>
          <w:kern w:val="0"/>
          <w:highlight w:val="none"/>
        </w:rPr>
        <w:t>。</w:t>
      </w:r>
    </w:p>
    <w:p w14:paraId="4B888F5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5.3 隐蔽工程检查</w:t>
      </w:r>
    </w:p>
    <w:p w14:paraId="1D6FB4A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u w:val="single"/>
          <w:lang w:val="en-US" w:eastAsia="zh-CN"/>
        </w:rPr>
        <w:t xml:space="preserve">                </w:t>
      </w:r>
      <w:r>
        <w:rPr>
          <w:rFonts w:hint="eastAsia" w:ascii="宋体" w:hAnsi="宋体" w:cs="宋体"/>
          <w:kern w:val="0"/>
          <w:highlight w:val="none"/>
        </w:rPr>
        <w:t>。</w:t>
      </w:r>
    </w:p>
    <w:p w14:paraId="05374595">
      <w:pPr>
        <w:spacing w:line="560" w:lineRule="exact"/>
        <w:ind w:firstLine="420" w:firstLineChars="200"/>
        <w:jc w:val="left"/>
        <w:rPr>
          <w:rFonts w:hint="eastAsia" w:ascii="宋体" w:hAnsi="宋体" w:cs="宋体"/>
          <w:kern w:val="0"/>
          <w:highlight w:val="none"/>
        </w:rPr>
      </w:pPr>
      <w:bookmarkStart w:id="598" w:name="_Toc351203638"/>
      <w:r>
        <w:rPr>
          <w:rFonts w:hint="eastAsia" w:ascii="宋体" w:hAnsi="宋体" w:cs="宋体"/>
          <w:kern w:val="0"/>
          <w:highlight w:val="none"/>
        </w:rPr>
        <w:t>6. 安全文明施工与环境保护</w:t>
      </w:r>
      <w:bookmarkEnd w:id="598"/>
    </w:p>
    <w:p w14:paraId="347517A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6.1安全文明施工</w:t>
      </w:r>
    </w:p>
    <w:p w14:paraId="0B1865A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6.1.1 项目安全生产的达标目标及相应事项的约定：</w:t>
      </w:r>
      <w:r>
        <w:rPr>
          <w:rFonts w:hint="eastAsia" w:ascii="宋体" w:hAnsi="宋体" w:cs="宋体"/>
          <w:kern w:val="0"/>
          <w:highlight w:val="none"/>
          <w:u w:val="single"/>
        </w:rPr>
        <w:t>要求达到《建筑施工安全检查标准（JGJ59-2011）标准》</w:t>
      </w:r>
      <w:r>
        <w:rPr>
          <w:rFonts w:hint="eastAsia" w:ascii="宋体" w:hAnsi="宋体" w:cs="宋体"/>
          <w:kern w:val="0"/>
          <w:highlight w:val="none"/>
        </w:rPr>
        <w:t>。</w:t>
      </w:r>
    </w:p>
    <w:p w14:paraId="4200ECF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6.1.4 关于治安保卫的特别约定：</w:t>
      </w:r>
      <w:r>
        <w:rPr>
          <w:rFonts w:hint="eastAsia" w:ascii="宋体" w:hAnsi="宋体" w:cs="宋体"/>
          <w:kern w:val="0"/>
          <w:highlight w:val="none"/>
          <w:u w:val="single"/>
        </w:rPr>
        <w:t>按通用条款执行</w:t>
      </w:r>
      <w:r>
        <w:rPr>
          <w:rFonts w:hint="eastAsia" w:ascii="宋体" w:hAnsi="宋体" w:cs="宋体"/>
          <w:kern w:val="0"/>
          <w:highlight w:val="none"/>
        </w:rPr>
        <w:t>。</w:t>
      </w:r>
    </w:p>
    <w:p w14:paraId="3890BBF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关于编制施工场地治安管理计划的约定：</w:t>
      </w:r>
      <w:r>
        <w:rPr>
          <w:rFonts w:hint="eastAsia" w:ascii="宋体" w:hAnsi="宋体" w:cs="宋体"/>
          <w:kern w:val="0"/>
          <w:highlight w:val="none"/>
          <w:u w:val="single"/>
        </w:rPr>
        <w:t xml:space="preserve">开工前提供施工场地治安管理计划 </w:t>
      </w:r>
      <w:r>
        <w:rPr>
          <w:rFonts w:hint="eastAsia" w:ascii="宋体" w:hAnsi="宋体" w:cs="宋体"/>
          <w:kern w:val="0"/>
          <w:highlight w:val="none"/>
        </w:rPr>
        <w:t>。</w:t>
      </w:r>
    </w:p>
    <w:p w14:paraId="2388D27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6.1.5 文明施工</w:t>
      </w:r>
    </w:p>
    <w:p w14:paraId="52FE2AB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合同当事人对文明施工的要求： </w:t>
      </w:r>
      <w:r>
        <w:rPr>
          <w:rFonts w:hint="eastAsia" w:ascii="宋体" w:hAnsi="宋体" w:cs="宋体"/>
          <w:kern w:val="0"/>
          <w:highlight w:val="none"/>
          <w:u w:val="single"/>
        </w:rPr>
        <w:t>达到《建设工程施工现场环境与卫生标准》（JGJ146-2013）标准</w:t>
      </w:r>
      <w:r>
        <w:rPr>
          <w:rFonts w:hint="eastAsia" w:ascii="宋体" w:hAnsi="宋体" w:cs="宋体"/>
          <w:kern w:val="0"/>
          <w:highlight w:val="none"/>
        </w:rPr>
        <w:t>。</w:t>
      </w:r>
    </w:p>
    <w:bookmarkEnd w:id="591"/>
    <w:bookmarkEnd w:id="592"/>
    <w:bookmarkEnd w:id="593"/>
    <w:bookmarkEnd w:id="594"/>
    <w:bookmarkEnd w:id="595"/>
    <w:bookmarkEnd w:id="596"/>
    <w:bookmarkEnd w:id="597"/>
    <w:p w14:paraId="1AD73F1F">
      <w:pPr>
        <w:spacing w:line="560" w:lineRule="exact"/>
        <w:ind w:firstLine="420" w:firstLineChars="200"/>
        <w:jc w:val="left"/>
        <w:rPr>
          <w:rFonts w:hint="eastAsia" w:ascii="宋体" w:hAnsi="宋体" w:cs="宋体"/>
          <w:kern w:val="0"/>
          <w:highlight w:val="none"/>
        </w:rPr>
      </w:pPr>
      <w:bookmarkStart w:id="599" w:name="_Toc351203639"/>
      <w:r>
        <w:rPr>
          <w:rFonts w:hint="eastAsia" w:ascii="宋体" w:hAnsi="宋体" w:cs="宋体"/>
          <w:kern w:val="0"/>
          <w:highlight w:val="none"/>
        </w:rPr>
        <w:t>7. 工期和进度</w:t>
      </w:r>
      <w:bookmarkEnd w:id="599"/>
    </w:p>
    <w:p w14:paraId="4E9D5A9B">
      <w:pPr>
        <w:spacing w:line="560" w:lineRule="exact"/>
        <w:ind w:firstLine="420" w:firstLineChars="200"/>
        <w:jc w:val="left"/>
        <w:rPr>
          <w:rFonts w:hint="eastAsia" w:ascii="宋体" w:hAnsi="宋体" w:eastAsia="宋体" w:cs="宋体"/>
          <w:kern w:val="0"/>
          <w:highlight w:val="none"/>
          <w:lang w:eastAsia="zh-CN"/>
        </w:rPr>
      </w:pPr>
      <w:r>
        <w:rPr>
          <w:rFonts w:hint="eastAsia" w:ascii="宋体" w:hAnsi="宋体" w:cs="宋体"/>
          <w:kern w:val="0"/>
          <w:highlight w:val="none"/>
        </w:rPr>
        <w:t xml:space="preserve">7.1 </w:t>
      </w:r>
      <w:r>
        <w:rPr>
          <w:rFonts w:hint="eastAsia" w:ascii="宋体" w:hAnsi="宋体" w:cs="宋体"/>
          <w:kern w:val="0"/>
          <w:highlight w:val="none"/>
          <w:lang w:eastAsia="zh-CN"/>
        </w:rPr>
        <w:t>实施方案</w:t>
      </w:r>
    </w:p>
    <w:p w14:paraId="05A9DE0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7.1.1 合同当事人约定的</w:t>
      </w:r>
      <w:r>
        <w:rPr>
          <w:rFonts w:hint="eastAsia" w:ascii="宋体" w:hAnsi="宋体" w:cs="宋体"/>
          <w:kern w:val="0"/>
          <w:highlight w:val="none"/>
          <w:lang w:eastAsia="zh-CN"/>
        </w:rPr>
        <w:t>实施方案</w:t>
      </w:r>
      <w:r>
        <w:rPr>
          <w:rFonts w:hint="eastAsia" w:ascii="宋体" w:hAnsi="宋体" w:cs="宋体"/>
          <w:kern w:val="0"/>
          <w:highlight w:val="none"/>
        </w:rPr>
        <w:t>应包括的其他内容： 按通用条款执行或双方另行约定。</w:t>
      </w:r>
    </w:p>
    <w:p w14:paraId="60B8683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7.1.2 </w:t>
      </w:r>
      <w:r>
        <w:rPr>
          <w:rFonts w:hint="eastAsia" w:ascii="宋体" w:hAnsi="宋体" w:cs="宋体"/>
          <w:kern w:val="0"/>
          <w:highlight w:val="none"/>
          <w:lang w:eastAsia="zh-CN"/>
        </w:rPr>
        <w:t>实施方案</w:t>
      </w:r>
      <w:r>
        <w:rPr>
          <w:rFonts w:hint="eastAsia" w:ascii="宋体" w:hAnsi="宋体" w:cs="宋体"/>
          <w:kern w:val="0"/>
          <w:highlight w:val="none"/>
        </w:rPr>
        <w:t>的提交和修改</w:t>
      </w:r>
    </w:p>
    <w:p w14:paraId="1D8321D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承包人提交详细</w:t>
      </w:r>
      <w:r>
        <w:rPr>
          <w:rFonts w:hint="eastAsia" w:ascii="宋体" w:hAnsi="宋体" w:cs="宋体"/>
          <w:kern w:val="0"/>
          <w:highlight w:val="none"/>
          <w:lang w:eastAsia="zh-CN"/>
        </w:rPr>
        <w:t>实施方案</w:t>
      </w:r>
      <w:r>
        <w:rPr>
          <w:rFonts w:hint="eastAsia" w:ascii="宋体" w:hAnsi="宋体" w:cs="宋体"/>
          <w:kern w:val="0"/>
          <w:highlight w:val="none"/>
        </w:rPr>
        <w:t>的期限的约定：</w:t>
      </w:r>
      <w:r>
        <w:rPr>
          <w:rFonts w:hint="eastAsia" w:ascii="宋体" w:hAnsi="宋体" w:cs="宋体"/>
          <w:kern w:val="0"/>
          <w:highlight w:val="none"/>
          <w:u w:val="single"/>
        </w:rPr>
        <w:t>在施工同时进行编制，开始编制后2天内完成</w:t>
      </w:r>
      <w:r>
        <w:rPr>
          <w:rFonts w:hint="eastAsia" w:ascii="宋体" w:hAnsi="宋体" w:cs="宋体"/>
          <w:kern w:val="0"/>
          <w:highlight w:val="none"/>
        </w:rPr>
        <w:t>。</w:t>
      </w:r>
    </w:p>
    <w:p w14:paraId="4AB5BB0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发包人和监理人在收到详细的</w:t>
      </w:r>
      <w:r>
        <w:rPr>
          <w:rFonts w:hint="eastAsia" w:ascii="宋体" w:hAnsi="宋体" w:cs="宋体"/>
          <w:kern w:val="0"/>
          <w:highlight w:val="none"/>
          <w:lang w:eastAsia="zh-CN"/>
        </w:rPr>
        <w:t>实施方案</w:t>
      </w:r>
      <w:r>
        <w:rPr>
          <w:rFonts w:hint="eastAsia" w:ascii="宋体" w:hAnsi="宋体" w:cs="宋体"/>
          <w:kern w:val="0"/>
          <w:highlight w:val="none"/>
        </w:rPr>
        <w:t>后确认或提出修改意见的期限：</w:t>
      </w:r>
      <w:r>
        <w:rPr>
          <w:rFonts w:hint="eastAsia" w:ascii="宋体" w:hAnsi="宋体" w:cs="宋体"/>
          <w:kern w:val="0"/>
          <w:highlight w:val="none"/>
          <w:u w:val="single"/>
        </w:rPr>
        <w:t>发包人、监理人在收到详细的</w:t>
      </w:r>
      <w:r>
        <w:rPr>
          <w:rFonts w:hint="eastAsia" w:ascii="宋体" w:hAnsi="宋体" w:cs="宋体"/>
          <w:kern w:val="0"/>
          <w:highlight w:val="none"/>
          <w:u w:val="single"/>
          <w:lang w:eastAsia="zh-CN"/>
        </w:rPr>
        <w:t>实施方案</w:t>
      </w:r>
      <w:r>
        <w:rPr>
          <w:rFonts w:hint="eastAsia" w:ascii="宋体" w:hAnsi="宋体" w:cs="宋体"/>
          <w:kern w:val="0"/>
          <w:highlight w:val="none"/>
          <w:u w:val="single"/>
        </w:rPr>
        <w:t>或提出修改意见后在当天进行审核确认</w:t>
      </w:r>
      <w:r>
        <w:rPr>
          <w:rFonts w:hint="eastAsia" w:ascii="宋体" w:hAnsi="宋体" w:cs="宋体"/>
          <w:kern w:val="0"/>
          <w:highlight w:val="none"/>
        </w:rPr>
        <w:t xml:space="preserve"> 。</w:t>
      </w:r>
    </w:p>
    <w:p w14:paraId="38D4BC6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00" w:name="_Toc297216173"/>
      <w:bookmarkStart w:id="601" w:name="_Toc312678005"/>
      <w:bookmarkStart w:id="602" w:name="_Toc303539123"/>
      <w:bookmarkStart w:id="603" w:name="_Toc297123514"/>
      <w:bookmarkStart w:id="604" w:name="_Toc312677479"/>
      <w:bookmarkStart w:id="605" w:name="_Toc304295541"/>
      <w:bookmarkStart w:id="606" w:name="_Toc300934966"/>
      <w:r>
        <w:rPr>
          <w:rFonts w:hint="eastAsia" w:ascii="宋体" w:hAnsi="宋体" w:cs="宋体"/>
          <w:kern w:val="0"/>
          <w:highlight w:val="none"/>
        </w:rPr>
        <w:t>.2 施工进度计划</w:t>
      </w:r>
    </w:p>
    <w:p w14:paraId="544DAD5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7.2.2 施工进度计划的修订</w:t>
      </w:r>
    </w:p>
    <w:p w14:paraId="42FFB33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发包人和监理人在收到修订的施工进度计划后确认或提出修改意见的期限：</w:t>
      </w:r>
      <w:r>
        <w:rPr>
          <w:rFonts w:hint="eastAsia" w:ascii="宋体" w:hAnsi="宋体" w:cs="宋体"/>
          <w:kern w:val="0"/>
          <w:highlight w:val="none"/>
          <w:u w:val="single"/>
        </w:rPr>
        <w:t xml:space="preserve">收到施工进度计划或提出修改意见后当天 </w:t>
      </w:r>
      <w:r>
        <w:rPr>
          <w:rFonts w:hint="eastAsia" w:ascii="宋体" w:hAnsi="宋体" w:cs="宋体"/>
          <w:kern w:val="0"/>
          <w:highlight w:val="none"/>
        </w:rPr>
        <w:t>。</w:t>
      </w:r>
    </w:p>
    <w:p w14:paraId="668BA2F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7.3 开工</w:t>
      </w:r>
    </w:p>
    <w:p w14:paraId="15F8CBD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7.3.1 开工准备</w:t>
      </w:r>
    </w:p>
    <w:p w14:paraId="04B070E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关于承包人提交工程开工报审表的期限：</w:t>
      </w:r>
      <w:r>
        <w:rPr>
          <w:rFonts w:hint="eastAsia" w:ascii="宋体" w:hAnsi="宋体" w:cs="宋体"/>
          <w:kern w:val="0"/>
          <w:highlight w:val="none"/>
          <w:u w:val="single"/>
        </w:rPr>
        <w:t>同时开工同时审批</w:t>
      </w:r>
      <w:r>
        <w:rPr>
          <w:rFonts w:hint="eastAsia" w:ascii="宋体" w:hAnsi="宋体" w:cs="宋体"/>
          <w:kern w:val="0"/>
          <w:highlight w:val="none"/>
        </w:rPr>
        <w:t>。</w:t>
      </w:r>
    </w:p>
    <w:p w14:paraId="7FE78B6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关于发包人应完成的其他开工准备工作及期限：</w:t>
      </w:r>
      <w:r>
        <w:rPr>
          <w:rFonts w:hint="eastAsia" w:ascii="宋体" w:hAnsi="宋体" w:cs="宋体"/>
          <w:kern w:val="0"/>
          <w:highlight w:val="none"/>
          <w:u w:val="single"/>
        </w:rPr>
        <w:t>合同签订后开始</w:t>
      </w:r>
      <w:r>
        <w:rPr>
          <w:rFonts w:hint="eastAsia" w:ascii="宋体" w:hAnsi="宋体" w:cs="宋体"/>
          <w:kern w:val="0"/>
          <w:highlight w:val="none"/>
        </w:rPr>
        <w:t>。</w:t>
      </w:r>
    </w:p>
    <w:p w14:paraId="70DAFD0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关于承包人应完成的其他开工准备工作及期限：</w:t>
      </w:r>
      <w:r>
        <w:rPr>
          <w:rFonts w:hint="eastAsia" w:ascii="宋体" w:hAnsi="宋体" w:cs="宋体"/>
          <w:kern w:val="0"/>
          <w:highlight w:val="none"/>
          <w:u w:val="single"/>
        </w:rPr>
        <w:t>合同签订后2天内</w:t>
      </w:r>
      <w:r>
        <w:rPr>
          <w:rFonts w:hint="eastAsia" w:ascii="宋体" w:hAnsi="宋体" w:cs="宋体"/>
          <w:kern w:val="0"/>
          <w:highlight w:val="none"/>
        </w:rPr>
        <w:t>。</w:t>
      </w:r>
    </w:p>
    <w:p w14:paraId="1C2ABC7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7.3.2开工通知</w:t>
      </w:r>
    </w:p>
    <w:p w14:paraId="2E8C9B2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因发包人原因造成监理人未能在计划开工日期之日起</w:t>
      </w:r>
      <w:r>
        <w:rPr>
          <w:rFonts w:hint="eastAsia" w:ascii="宋体" w:hAnsi="宋体" w:cs="宋体"/>
          <w:kern w:val="0"/>
          <w:highlight w:val="none"/>
          <w:u w:val="single"/>
        </w:rPr>
        <w:t xml:space="preserve">    </w:t>
      </w:r>
      <w:r>
        <w:rPr>
          <w:rFonts w:hint="eastAsia" w:ascii="宋体" w:hAnsi="宋体" w:cs="宋体"/>
          <w:kern w:val="0"/>
          <w:highlight w:val="none"/>
        </w:rPr>
        <w:t>天内发出开工通知的，工期顺延。</w:t>
      </w:r>
    </w:p>
    <w:bookmarkEnd w:id="600"/>
    <w:bookmarkEnd w:id="601"/>
    <w:bookmarkEnd w:id="602"/>
    <w:bookmarkEnd w:id="603"/>
    <w:bookmarkEnd w:id="604"/>
    <w:bookmarkEnd w:id="605"/>
    <w:bookmarkEnd w:id="606"/>
    <w:p w14:paraId="632958B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07" w:name="_Toc297123516"/>
      <w:bookmarkStart w:id="608" w:name="_Toc300934968"/>
      <w:bookmarkStart w:id="609" w:name="_Toc297216175"/>
      <w:bookmarkStart w:id="610" w:name="_Toc304295546"/>
      <w:bookmarkStart w:id="611" w:name="_Toc312677484"/>
      <w:bookmarkStart w:id="612" w:name="_Toc312678010"/>
      <w:bookmarkStart w:id="613" w:name="_Toc303539125"/>
      <w:r>
        <w:rPr>
          <w:rFonts w:hint="eastAsia" w:ascii="宋体" w:hAnsi="宋体" w:cs="宋体"/>
          <w:kern w:val="0"/>
          <w:highlight w:val="none"/>
        </w:rPr>
        <w:t>.5 工期延误</w:t>
      </w:r>
    </w:p>
    <w:bookmarkEnd w:id="607"/>
    <w:bookmarkEnd w:id="608"/>
    <w:bookmarkEnd w:id="609"/>
    <w:bookmarkEnd w:id="610"/>
    <w:bookmarkEnd w:id="611"/>
    <w:bookmarkEnd w:id="612"/>
    <w:bookmarkEnd w:id="613"/>
    <w:p w14:paraId="443E83F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7.5.1 因发包人原因导致工期延误（7）因发包人原因导致工期延误的其他情形：</w:t>
      </w:r>
      <w:r>
        <w:rPr>
          <w:rFonts w:hint="eastAsia" w:ascii="宋体" w:hAnsi="宋体" w:cs="宋体"/>
          <w:kern w:val="0"/>
          <w:highlight w:val="none"/>
          <w:u w:val="single"/>
        </w:rPr>
        <w:t>重大设计变更而影响施工进度的、政策处理问题影响施工进度、不可抗力、此延误工期须在发生后立即办理签证，逾期不予认可</w:t>
      </w:r>
      <w:r>
        <w:rPr>
          <w:rFonts w:hint="eastAsia" w:ascii="宋体" w:hAnsi="宋体" w:cs="宋体"/>
          <w:kern w:val="0"/>
          <w:highlight w:val="none"/>
        </w:rPr>
        <w:t>。</w:t>
      </w:r>
    </w:p>
    <w:p w14:paraId="2D592F6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14" w:name="_Toc312678012"/>
      <w:bookmarkStart w:id="615" w:name="_Toc318581169"/>
      <w:bookmarkStart w:id="616" w:name="_Toc312677486"/>
      <w:bookmarkStart w:id="617" w:name="_Toc297123518"/>
      <w:bookmarkStart w:id="618" w:name="_Toc300934970"/>
      <w:bookmarkStart w:id="619" w:name="_Toc297216177"/>
      <w:bookmarkStart w:id="620" w:name="_Toc304295548"/>
      <w:bookmarkStart w:id="621" w:name="_Toc303539127"/>
      <w:r>
        <w:rPr>
          <w:rFonts w:hint="eastAsia" w:ascii="宋体" w:hAnsi="宋体" w:cs="宋体"/>
          <w:kern w:val="0"/>
          <w:highlight w:val="none"/>
        </w:rPr>
        <w:t>.5.2 因承包人原因导致工期延误</w:t>
      </w:r>
    </w:p>
    <w:bookmarkEnd w:id="614"/>
    <w:bookmarkEnd w:id="615"/>
    <w:bookmarkEnd w:id="616"/>
    <w:p w14:paraId="517CAE1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因</w:t>
      </w:r>
      <w:bookmarkStart w:id="622" w:name="_Toc312678013"/>
      <w:bookmarkStart w:id="623" w:name="_Toc312677487"/>
      <w:bookmarkStart w:id="624" w:name="_Toc318581170"/>
      <w:r>
        <w:rPr>
          <w:rFonts w:hint="eastAsia" w:ascii="宋体" w:hAnsi="宋体" w:cs="宋体"/>
          <w:kern w:val="0"/>
          <w:highlight w:val="none"/>
        </w:rPr>
        <w:t>承包人原因造成工期延误，逾期竣工违约金的计算方法为：</w:t>
      </w:r>
    </w:p>
    <w:p w14:paraId="372F146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因其他外部原因延期并未对发包人造成使用影响且不超过</w:t>
      </w:r>
      <w:r>
        <w:rPr>
          <w:rFonts w:hint="eastAsia" w:ascii="宋体" w:hAnsi="宋体" w:cs="宋体"/>
          <w:kern w:val="0"/>
          <w:highlight w:val="none"/>
          <w:u w:val="single"/>
        </w:rPr>
        <w:t>10</w:t>
      </w:r>
      <w:r>
        <w:rPr>
          <w:rFonts w:hint="eastAsia" w:ascii="宋体" w:hAnsi="宋体" w:cs="宋体"/>
          <w:kern w:val="0"/>
          <w:highlight w:val="none"/>
        </w:rPr>
        <w:t>天不记违约金，逾期竣工超过</w:t>
      </w:r>
      <w:r>
        <w:rPr>
          <w:rFonts w:hint="eastAsia" w:ascii="宋体" w:hAnsi="宋体" w:cs="宋体"/>
          <w:kern w:val="0"/>
          <w:highlight w:val="none"/>
          <w:u w:val="single"/>
        </w:rPr>
        <w:t>10</w:t>
      </w:r>
      <w:r>
        <w:rPr>
          <w:rFonts w:hint="eastAsia" w:ascii="宋体" w:hAnsi="宋体" w:cs="宋体"/>
          <w:kern w:val="0"/>
          <w:highlight w:val="none"/>
        </w:rPr>
        <w:t>天开始计算违约金，违约金</w:t>
      </w:r>
      <w:r>
        <w:rPr>
          <w:rFonts w:hint="eastAsia" w:ascii="宋体" w:hAnsi="宋体" w:cs="宋体"/>
          <w:kern w:val="0"/>
          <w:highlight w:val="none"/>
          <w:u w:val="single"/>
        </w:rPr>
        <w:t>500元/天</w:t>
      </w:r>
      <w:r>
        <w:rPr>
          <w:rFonts w:hint="eastAsia" w:ascii="宋体" w:hAnsi="宋体" w:cs="宋体"/>
          <w:kern w:val="0"/>
          <w:highlight w:val="none"/>
        </w:rPr>
        <w:t>。</w:t>
      </w:r>
      <w:bookmarkEnd w:id="617"/>
      <w:bookmarkEnd w:id="618"/>
      <w:bookmarkEnd w:id="619"/>
      <w:bookmarkEnd w:id="620"/>
      <w:bookmarkEnd w:id="621"/>
      <w:bookmarkEnd w:id="622"/>
      <w:bookmarkEnd w:id="623"/>
      <w:r>
        <w:rPr>
          <w:rFonts w:hint="eastAsia" w:ascii="宋体" w:hAnsi="宋体" w:cs="宋体"/>
          <w:kern w:val="0"/>
          <w:highlight w:val="none"/>
        </w:rPr>
        <w:t>逾期竣工达到</w:t>
      </w:r>
      <w:r>
        <w:rPr>
          <w:rFonts w:hint="eastAsia" w:ascii="宋体" w:hAnsi="宋体" w:cs="宋体"/>
          <w:kern w:val="0"/>
          <w:highlight w:val="none"/>
          <w:u w:val="single"/>
        </w:rPr>
        <w:t>_5</w:t>
      </w:r>
      <w:r>
        <w:rPr>
          <w:rFonts w:hint="eastAsia" w:ascii="宋体" w:hAnsi="宋体" w:cs="宋体"/>
          <w:kern w:val="0"/>
          <w:highlight w:val="none"/>
        </w:rPr>
        <w:t>__天的，发包人有权解除合同，按承包人已完工且合格工程量的80%结算支付工程款，余款不再支付。</w:t>
      </w:r>
    </w:p>
    <w:bookmarkEnd w:id="624"/>
    <w:p w14:paraId="242F674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25" w:name="_Toc300934971"/>
      <w:bookmarkStart w:id="626" w:name="_Toc312678015"/>
      <w:bookmarkStart w:id="627" w:name="_Toc297216178"/>
      <w:bookmarkStart w:id="628" w:name="_Toc297123519"/>
      <w:bookmarkStart w:id="629" w:name="_Toc304295549"/>
      <w:bookmarkStart w:id="630" w:name="_Toc303539128"/>
      <w:r>
        <w:rPr>
          <w:rFonts w:hint="eastAsia" w:ascii="宋体" w:hAnsi="宋体" w:cs="宋体"/>
          <w:kern w:val="0"/>
          <w:highlight w:val="none"/>
        </w:rPr>
        <w:t>.6 不</w:t>
      </w:r>
      <w:bookmarkEnd w:id="625"/>
      <w:bookmarkEnd w:id="626"/>
      <w:bookmarkEnd w:id="627"/>
      <w:bookmarkEnd w:id="628"/>
      <w:bookmarkEnd w:id="629"/>
      <w:bookmarkEnd w:id="630"/>
      <w:r>
        <w:rPr>
          <w:rFonts w:hint="eastAsia" w:ascii="宋体" w:hAnsi="宋体" w:cs="宋体"/>
          <w:kern w:val="0"/>
          <w:highlight w:val="none"/>
        </w:rPr>
        <w:t>利物质条件</w:t>
      </w:r>
    </w:p>
    <w:p w14:paraId="499AB64F">
      <w:pPr>
        <w:spacing w:line="560" w:lineRule="exact"/>
        <w:ind w:firstLine="420" w:firstLineChars="200"/>
        <w:jc w:val="left"/>
        <w:rPr>
          <w:rFonts w:hint="eastAsia" w:ascii="宋体" w:hAnsi="宋体" w:cs="宋体"/>
          <w:kern w:val="0"/>
          <w:highlight w:val="none"/>
        </w:rPr>
      </w:pPr>
      <w:bookmarkStart w:id="631" w:name="_Toc318581172"/>
      <w:bookmarkStart w:id="632" w:name="_Toc297216179"/>
      <w:bookmarkStart w:id="633" w:name="_Toc300934972"/>
      <w:bookmarkStart w:id="634" w:name="_Toc297123520"/>
      <w:bookmarkStart w:id="635" w:name="_Toc303539129"/>
      <w:bookmarkStart w:id="636" w:name="_Toc312678016"/>
      <w:bookmarkStart w:id="637" w:name="_Toc304295550"/>
      <w:r>
        <w:rPr>
          <w:rFonts w:hint="eastAsia" w:ascii="宋体" w:hAnsi="宋体" w:cs="宋体"/>
          <w:kern w:val="0"/>
          <w:highlight w:val="none"/>
        </w:rPr>
        <w:t>不利物质条件的其他情形和有关约定：</w:t>
      </w:r>
      <w:r>
        <w:rPr>
          <w:rFonts w:hint="eastAsia" w:ascii="宋体" w:hAnsi="宋体" w:cs="宋体"/>
          <w:kern w:val="0"/>
          <w:highlight w:val="none"/>
          <w:u w:val="single"/>
        </w:rPr>
        <w:t xml:space="preserve"> 无 </w:t>
      </w:r>
      <w:r>
        <w:rPr>
          <w:rFonts w:hint="eastAsia" w:ascii="宋体" w:hAnsi="宋体" w:cs="宋体"/>
          <w:kern w:val="0"/>
          <w:highlight w:val="none"/>
        </w:rPr>
        <w:t>。</w:t>
      </w:r>
    </w:p>
    <w:bookmarkEnd w:id="631"/>
    <w:bookmarkEnd w:id="632"/>
    <w:bookmarkEnd w:id="633"/>
    <w:bookmarkEnd w:id="634"/>
    <w:bookmarkEnd w:id="635"/>
    <w:bookmarkEnd w:id="636"/>
    <w:bookmarkEnd w:id="637"/>
    <w:p w14:paraId="4F50DD8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38" w:name="_Toc303539130"/>
      <w:bookmarkStart w:id="639" w:name="_Toc304295551"/>
      <w:bookmarkStart w:id="640" w:name="_Toc297123521"/>
      <w:bookmarkStart w:id="641" w:name="_Toc297216180"/>
      <w:bookmarkStart w:id="642" w:name="_Toc300934973"/>
      <w:bookmarkStart w:id="643" w:name="_Toc312678017"/>
      <w:r>
        <w:rPr>
          <w:rFonts w:hint="eastAsia" w:ascii="宋体" w:hAnsi="宋体" w:cs="宋体"/>
          <w:kern w:val="0"/>
          <w:highlight w:val="none"/>
        </w:rPr>
        <w:t>.7异常恶劣的气候条件</w:t>
      </w:r>
    </w:p>
    <w:bookmarkEnd w:id="638"/>
    <w:bookmarkEnd w:id="639"/>
    <w:bookmarkEnd w:id="640"/>
    <w:bookmarkEnd w:id="641"/>
    <w:bookmarkEnd w:id="642"/>
    <w:bookmarkEnd w:id="643"/>
    <w:p w14:paraId="6C4F3BF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发包人和承包人同意以下情形视为异常恶劣的气候条件：</w:t>
      </w:r>
    </w:p>
    <w:p w14:paraId="36BB535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w:t>
      </w:r>
      <w:r>
        <w:rPr>
          <w:rFonts w:hint="eastAsia" w:ascii="宋体" w:hAnsi="宋体" w:cs="宋体"/>
          <w:kern w:val="0"/>
          <w:highlight w:val="none"/>
          <w:u w:val="single"/>
        </w:rPr>
        <w:t>大雨、大雪以上天气超过3天以上（气象局发布的）</w:t>
      </w:r>
      <w:r>
        <w:rPr>
          <w:rFonts w:hint="eastAsia" w:ascii="宋体" w:hAnsi="宋体" w:cs="宋体"/>
          <w:kern w:val="0"/>
          <w:highlight w:val="none"/>
        </w:rPr>
        <w:t xml:space="preserve"> ；</w:t>
      </w:r>
    </w:p>
    <w:p w14:paraId="4B79BCE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w:t>
      </w:r>
      <w:r>
        <w:rPr>
          <w:rFonts w:hint="eastAsia" w:ascii="宋体" w:hAnsi="宋体" w:cs="宋体"/>
          <w:kern w:val="0"/>
          <w:highlight w:val="none"/>
          <w:u w:val="single"/>
        </w:rPr>
        <w:t>超过37摄氏度高温预警（气象局发布的）</w:t>
      </w:r>
      <w:r>
        <w:rPr>
          <w:rFonts w:hint="eastAsia" w:ascii="宋体" w:hAnsi="宋体" w:cs="宋体"/>
          <w:kern w:val="0"/>
          <w:highlight w:val="none"/>
        </w:rPr>
        <w:t>；</w:t>
      </w:r>
    </w:p>
    <w:p w14:paraId="1851950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w:t>
      </w:r>
      <w:r>
        <w:rPr>
          <w:rFonts w:hint="eastAsia" w:ascii="宋体" w:hAnsi="宋体" w:cs="宋体"/>
          <w:kern w:val="0"/>
          <w:highlight w:val="none"/>
          <w:u w:val="single"/>
        </w:rPr>
        <w:t>气象局颁布的黄色预警气候连续3天以上</w:t>
      </w:r>
      <w:r>
        <w:rPr>
          <w:rFonts w:hint="eastAsia" w:ascii="宋体" w:hAnsi="宋体" w:cs="宋体"/>
          <w:kern w:val="0"/>
          <w:highlight w:val="none"/>
        </w:rPr>
        <w:t>。</w:t>
      </w:r>
    </w:p>
    <w:p w14:paraId="0CCF31F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（4）</w:t>
      </w:r>
      <w:r>
        <w:rPr>
          <w:rFonts w:hint="eastAsia" w:ascii="宋体" w:hAnsi="宋体" w:cs="宋体"/>
          <w:kern w:val="0"/>
          <w:highlight w:val="none"/>
          <w:u w:val="single"/>
        </w:rPr>
        <w:t xml:space="preserve">气象局颁布的黄色以上预警气候 </w:t>
      </w:r>
      <w:r>
        <w:rPr>
          <w:rFonts w:hint="eastAsia" w:ascii="宋体" w:hAnsi="宋体" w:cs="宋体"/>
          <w:kern w:val="0"/>
          <w:highlight w:val="none"/>
        </w:rPr>
        <w:t>。</w:t>
      </w:r>
    </w:p>
    <w:p w14:paraId="03BBC2D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（5）其他</w:t>
      </w:r>
      <w:r>
        <w:rPr>
          <w:rFonts w:hint="eastAsia" w:ascii="宋体" w:hAnsi="宋体" w:cs="宋体"/>
          <w:kern w:val="0"/>
          <w:highlight w:val="none"/>
          <w:u w:val="single"/>
        </w:rPr>
        <w:t>双方另行确认的情形</w:t>
      </w:r>
      <w:r>
        <w:rPr>
          <w:rFonts w:hint="eastAsia" w:ascii="宋体" w:hAnsi="宋体" w:cs="宋体"/>
          <w:kern w:val="0"/>
          <w:highlight w:val="none"/>
        </w:rPr>
        <w:t>。</w:t>
      </w:r>
    </w:p>
    <w:p w14:paraId="552DA4B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7.9 提前竣工的奖励</w:t>
      </w:r>
    </w:p>
    <w:p w14:paraId="5314E3A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7.9.2提前竣工的奖励：</w:t>
      </w:r>
      <w:r>
        <w:rPr>
          <w:rFonts w:hint="eastAsia" w:ascii="宋体" w:hAnsi="宋体" w:cs="宋体"/>
          <w:kern w:val="0"/>
          <w:highlight w:val="none"/>
          <w:u w:val="single"/>
        </w:rPr>
        <w:t xml:space="preserve">无 </w:t>
      </w:r>
      <w:r>
        <w:rPr>
          <w:rFonts w:hint="eastAsia" w:ascii="宋体" w:hAnsi="宋体" w:cs="宋体"/>
          <w:kern w:val="0"/>
          <w:highlight w:val="none"/>
        </w:rPr>
        <w:t>。</w:t>
      </w:r>
    </w:p>
    <w:p w14:paraId="636F9D4B">
      <w:pPr>
        <w:spacing w:line="560" w:lineRule="exact"/>
        <w:ind w:firstLine="420" w:firstLineChars="200"/>
        <w:jc w:val="left"/>
        <w:rPr>
          <w:rFonts w:hint="eastAsia" w:ascii="宋体" w:hAnsi="宋体" w:cs="宋体"/>
          <w:kern w:val="0"/>
          <w:highlight w:val="none"/>
        </w:rPr>
      </w:pPr>
      <w:bookmarkStart w:id="644" w:name="_Toc351203640"/>
      <w:r>
        <w:rPr>
          <w:rFonts w:hint="eastAsia" w:ascii="宋体" w:hAnsi="宋体" w:cs="宋体"/>
          <w:kern w:val="0"/>
          <w:highlight w:val="none"/>
        </w:rPr>
        <w:t>8. 材料与设备</w:t>
      </w:r>
      <w:bookmarkEnd w:id="644"/>
    </w:p>
    <w:bookmarkEnd w:id="581"/>
    <w:bookmarkEnd w:id="582"/>
    <w:bookmarkEnd w:id="583"/>
    <w:bookmarkEnd w:id="584"/>
    <w:bookmarkEnd w:id="585"/>
    <w:bookmarkEnd w:id="586"/>
    <w:bookmarkEnd w:id="587"/>
    <w:bookmarkEnd w:id="588"/>
    <w:bookmarkEnd w:id="589"/>
    <w:bookmarkEnd w:id="590"/>
    <w:p w14:paraId="4BF2359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w:t>
      </w:r>
      <w:bookmarkStart w:id="645" w:name="_Toc296890995"/>
      <w:bookmarkStart w:id="646" w:name="_Toc296891207"/>
      <w:bookmarkStart w:id="647" w:name="_Toc297216186"/>
      <w:bookmarkStart w:id="648" w:name="_Toc296346668"/>
      <w:bookmarkStart w:id="649" w:name="_Toc303539136"/>
      <w:bookmarkStart w:id="650" w:name="_Toc312678019"/>
      <w:bookmarkStart w:id="651" w:name="_Toc297120467"/>
      <w:bookmarkStart w:id="652" w:name="_Toc280868654"/>
      <w:bookmarkStart w:id="653" w:name="_Toc300934979"/>
      <w:bookmarkStart w:id="654" w:name="_Toc297123527"/>
      <w:bookmarkStart w:id="655" w:name="_Toc296347166"/>
      <w:bookmarkStart w:id="656" w:name="_Toc296503167"/>
      <w:bookmarkStart w:id="657" w:name="_Toc292559372"/>
      <w:bookmarkStart w:id="658" w:name="_Toc312677493"/>
      <w:bookmarkStart w:id="659" w:name="_Toc296944506"/>
      <w:bookmarkStart w:id="660" w:name="_Toc297048353"/>
      <w:bookmarkStart w:id="661" w:name="_Toc304295556"/>
      <w:bookmarkStart w:id="662" w:name="_Toc292559877"/>
      <w:bookmarkStart w:id="663" w:name="_Toc267251424"/>
      <w:bookmarkStart w:id="664" w:name="_Toc280868655"/>
      <w:bookmarkStart w:id="665" w:name="_Toc280868656"/>
      <w:r>
        <w:rPr>
          <w:rFonts w:hint="eastAsia" w:ascii="宋体" w:hAnsi="宋体" w:cs="宋体"/>
          <w:kern w:val="0"/>
          <w:highlight w:val="none"/>
        </w:rPr>
        <w:t>.4材料与工程设备的保管与使用</w:t>
      </w:r>
    </w:p>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14:paraId="25FEB88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w:t>
      </w:r>
      <w:bookmarkStart w:id="666" w:name="_Toc292559878"/>
      <w:bookmarkStart w:id="667" w:name="_Toc292559373"/>
      <w:bookmarkStart w:id="668" w:name="_Toc297123528"/>
      <w:bookmarkStart w:id="669" w:name="_Toc318581173"/>
      <w:bookmarkStart w:id="670" w:name="_Toc312678020"/>
      <w:bookmarkStart w:id="671" w:name="_Toc296891208"/>
      <w:bookmarkStart w:id="672" w:name="_Toc296890996"/>
      <w:bookmarkStart w:id="673" w:name="_Toc296347167"/>
      <w:bookmarkStart w:id="674" w:name="_Toc303539137"/>
      <w:bookmarkStart w:id="675" w:name="_Toc297216187"/>
      <w:bookmarkStart w:id="676" w:name="_Toc312677494"/>
      <w:bookmarkStart w:id="677" w:name="_Toc300934980"/>
      <w:bookmarkStart w:id="678" w:name="_Toc296346669"/>
      <w:bookmarkStart w:id="679" w:name="_Toc296944507"/>
      <w:bookmarkStart w:id="680" w:name="_Toc296503168"/>
      <w:bookmarkStart w:id="681" w:name="_Toc297120468"/>
      <w:bookmarkStart w:id="682" w:name="_Toc304295557"/>
      <w:bookmarkStart w:id="683" w:name="_Toc297048354"/>
      <w:r>
        <w:rPr>
          <w:rFonts w:hint="eastAsia" w:ascii="宋体" w:hAnsi="宋体" w:cs="宋体"/>
          <w:kern w:val="0"/>
          <w:highlight w:val="none"/>
        </w:rPr>
        <w:t>.4.1发包人供应的材料设备的保管费用的承担：</w:t>
      </w:r>
      <w:r>
        <w:rPr>
          <w:rFonts w:hint="eastAsia" w:ascii="宋体" w:hAnsi="宋体" w:cs="宋体"/>
          <w:kern w:val="0"/>
          <w:highlight w:val="none"/>
          <w:u w:val="single"/>
        </w:rPr>
        <w:t>承包方完成部分并移交给发包人的由发包人承担；承包人竣工后因其他发包人要求原因投入使用的由发包人承担</w:t>
      </w:r>
      <w:r>
        <w:rPr>
          <w:rFonts w:hint="eastAsia" w:ascii="宋体" w:hAnsi="宋体" w:cs="宋体"/>
          <w:kern w:val="0"/>
          <w:highlight w:val="none"/>
        </w:rPr>
        <w:t xml:space="preserve"> 。</w:t>
      </w:r>
      <w:bookmarkEnd w:id="666"/>
      <w:bookmarkEnd w:id="667"/>
    </w:p>
    <w:p w14:paraId="37FAB2C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8.6 样品</w:t>
      </w:r>
    </w:p>
    <w:p w14:paraId="27A8F63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8.6.1样品的报送与封存</w:t>
      </w:r>
    </w:p>
    <w:p w14:paraId="17FACD9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需要承包人报送样品的材料或工程设备，样品的种类、名称、规格、数量要求：</w:t>
      </w:r>
      <w:r>
        <w:rPr>
          <w:rFonts w:hint="eastAsia" w:ascii="宋体" w:hAnsi="宋体" w:cs="宋体"/>
          <w:kern w:val="0"/>
          <w:highlight w:val="none"/>
          <w:u w:val="single"/>
        </w:rPr>
        <w:t xml:space="preserve">  无  </w:t>
      </w:r>
      <w:r>
        <w:rPr>
          <w:rFonts w:hint="eastAsia" w:ascii="宋体" w:hAnsi="宋体" w:cs="宋体"/>
          <w:kern w:val="0"/>
          <w:highlight w:val="none"/>
        </w:rPr>
        <w:t>。</w:t>
      </w:r>
    </w:p>
    <w:p w14:paraId="0BACD38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8.8 施工设备和临时设施</w:t>
      </w:r>
    </w:p>
    <w:p w14:paraId="003B76B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8.8.1 承包人提供的施工设备和临时设施</w:t>
      </w:r>
    </w:p>
    <w:p w14:paraId="0446762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关于修建临时设施费用承担的约定：</w:t>
      </w:r>
      <w:r>
        <w:rPr>
          <w:rFonts w:hint="eastAsia" w:ascii="宋体" w:hAnsi="宋体" w:cs="宋体"/>
          <w:kern w:val="0"/>
          <w:highlight w:val="none"/>
          <w:u w:val="single"/>
        </w:rPr>
        <w:t>由承包人承担</w:t>
      </w:r>
      <w:r>
        <w:rPr>
          <w:rFonts w:hint="eastAsia" w:ascii="宋体" w:hAnsi="宋体" w:cs="宋体"/>
          <w:kern w:val="0"/>
          <w:highlight w:val="none"/>
        </w:rPr>
        <w:t>。</w:t>
      </w:r>
    </w:p>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14:paraId="1E2F223E">
      <w:pPr>
        <w:spacing w:line="560" w:lineRule="exact"/>
        <w:ind w:firstLine="420" w:firstLineChars="200"/>
        <w:jc w:val="left"/>
        <w:rPr>
          <w:rFonts w:hint="eastAsia" w:ascii="宋体" w:hAnsi="宋体" w:cs="宋体"/>
          <w:kern w:val="0"/>
          <w:highlight w:val="none"/>
        </w:rPr>
      </w:pPr>
      <w:bookmarkStart w:id="684" w:name="_Toc351203641"/>
      <w:r>
        <w:rPr>
          <w:rFonts w:hint="eastAsia" w:ascii="宋体" w:hAnsi="宋体" w:cs="宋体"/>
          <w:kern w:val="0"/>
          <w:highlight w:val="none"/>
        </w:rPr>
        <w:t>9</w:t>
      </w:r>
      <w:bookmarkEnd w:id="663"/>
      <w:bookmarkEnd w:id="664"/>
      <w:bookmarkEnd w:id="665"/>
      <w:bookmarkStart w:id="685" w:name="_Toc312677495"/>
      <w:bookmarkStart w:id="686" w:name="_Toc297123533"/>
      <w:bookmarkStart w:id="687" w:name="_Toc300934982"/>
      <w:bookmarkStart w:id="688" w:name="_Toc297216192"/>
      <w:bookmarkStart w:id="689" w:name="_Toc312678021"/>
      <w:bookmarkStart w:id="690" w:name="_Toc303539139"/>
      <w:bookmarkStart w:id="691" w:name="_Toc304295559"/>
      <w:bookmarkStart w:id="692" w:name="_Toc296891213"/>
      <w:bookmarkStart w:id="693" w:name="_Toc267251428"/>
      <w:bookmarkStart w:id="694" w:name="_Toc296347172"/>
      <w:bookmarkStart w:id="695" w:name="_Toc297120473"/>
      <w:bookmarkStart w:id="696" w:name="_Toc267251427"/>
      <w:bookmarkStart w:id="697" w:name="_Toc292559378"/>
      <w:bookmarkStart w:id="698" w:name="_Toc296346674"/>
      <w:bookmarkStart w:id="699" w:name="_Toc296944512"/>
      <w:bookmarkStart w:id="700" w:name="_Toc296503173"/>
      <w:bookmarkStart w:id="701" w:name="_Toc292559883"/>
      <w:bookmarkStart w:id="702" w:name="_Toc296891001"/>
      <w:bookmarkStart w:id="703" w:name="_Toc297048359"/>
      <w:r>
        <w:rPr>
          <w:rFonts w:hint="eastAsia" w:ascii="宋体" w:hAnsi="宋体" w:cs="宋体"/>
          <w:kern w:val="0"/>
          <w:highlight w:val="none"/>
        </w:rPr>
        <w:t>. 试验与检验</w:t>
      </w:r>
      <w:bookmarkEnd w:id="684"/>
    </w:p>
    <w:bookmarkEnd w:id="685"/>
    <w:bookmarkEnd w:id="686"/>
    <w:bookmarkEnd w:id="687"/>
    <w:bookmarkEnd w:id="688"/>
    <w:bookmarkEnd w:id="689"/>
    <w:bookmarkEnd w:id="690"/>
    <w:bookmarkEnd w:id="691"/>
    <w:p w14:paraId="11415A3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9</w:t>
      </w:r>
      <w:bookmarkStart w:id="704" w:name="_Toc297216193"/>
      <w:bookmarkStart w:id="705" w:name="_Toc300934983"/>
      <w:bookmarkStart w:id="706" w:name="_Toc297123534"/>
      <w:bookmarkStart w:id="707" w:name="_Toc312678022"/>
      <w:bookmarkStart w:id="708" w:name="_Toc312677496"/>
      <w:bookmarkStart w:id="709" w:name="_Toc304295560"/>
      <w:bookmarkStart w:id="710" w:name="_Toc303539140"/>
      <w:r>
        <w:rPr>
          <w:rFonts w:hint="eastAsia" w:ascii="宋体" w:hAnsi="宋体" w:cs="宋体"/>
          <w:kern w:val="0"/>
          <w:highlight w:val="none"/>
        </w:rPr>
        <w:t>.1试验设备与试验人员</w:t>
      </w:r>
    </w:p>
    <w:bookmarkEnd w:id="704"/>
    <w:bookmarkEnd w:id="705"/>
    <w:bookmarkEnd w:id="706"/>
    <w:bookmarkEnd w:id="707"/>
    <w:bookmarkEnd w:id="708"/>
    <w:bookmarkEnd w:id="709"/>
    <w:bookmarkEnd w:id="710"/>
    <w:p w14:paraId="132F7BD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9</w:t>
      </w:r>
      <w:bookmarkStart w:id="711" w:name="_Toc312678023"/>
      <w:bookmarkStart w:id="712" w:name="_Toc300934984"/>
      <w:bookmarkStart w:id="713" w:name="_Toc303539141"/>
      <w:bookmarkStart w:id="714" w:name="_Toc304295561"/>
      <w:bookmarkStart w:id="715" w:name="_Toc297216194"/>
      <w:bookmarkStart w:id="716" w:name="_Toc312677497"/>
      <w:bookmarkStart w:id="717" w:name="_Toc297123535"/>
      <w:bookmarkStart w:id="718" w:name="_Toc318581174"/>
      <w:r>
        <w:rPr>
          <w:rFonts w:hint="eastAsia" w:ascii="宋体" w:hAnsi="宋体" w:cs="宋体"/>
          <w:kern w:val="0"/>
          <w:highlight w:val="none"/>
        </w:rPr>
        <w:t>.1.2 试验设备</w:t>
      </w:r>
    </w:p>
    <w:p w14:paraId="1FADABC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施工现场需要配置的试验场所：</w:t>
      </w:r>
      <w:bookmarkEnd w:id="711"/>
      <w:bookmarkEnd w:id="712"/>
      <w:bookmarkEnd w:id="713"/>
      <w:bookmarkEnd w:id="714"/>
      <w:bookmarkEnd w:id="715"/>
      <w:bookmarkEnd w:id="716"/>
      <w:bookmarkEnd w:id="717"/>
      <w:bookmarkStart w:id="719" w:name="_Toc304295562"/>
      <w:bookmarkStart w:id="720" w:name="_Toc300934985"/>
      <w:bookmarkStart w:id="721" w:name="_Toc312677498"/>
      <w:bookmarkStart w:id="722" w:name="_Toc297123536"/>
      <w:bookmarkStart w:id="723" w:name="_Toc312678024"/>
      <w:bookmarkStart w:id="724" w:name="_Toc297216195"/>
      <w:bookmarkStart w:id="725" w:name="_Toc303539142"/>
      <w:r>
        <w:rPr>
          <w:rFonts w:hint="eastAsia" w:ascii="宋体" w:hAnsi="宋体" w:cs="宋体"/>
          <w:kern w:val="0"/>
          <w:highlight w:val="none"/>
          <w:u w:val="single"/>
        </w:rPr>
        <w:t xml:space="preserve">    无      </w:t>
      </w:r>
      <w:r>
        <w:rPr>
          <w:rFonts w:hint="eastAsia" w:ascii="宋体" w:hAnsi="宋体" w:cs="宋体"/>
          <w:kern w:val="0"/>
          <w:highlight w:val="none"/>
        </w:rPr>
        <w:t xml:space="preserve">。 </w:t>
      </w:r>
    </w:p>
    <w:p w14:paraId="64A2A40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施工现场需要配备的试验设备：</w:t>
      </w:r>
      <w:r>
        <w:rPr>
          <w:rFonts w:hint="eastAsia" w:ascii="宋体" w:hAnsi="宋体" w:cs="宋体"/>
          <w:kern w:val="0"/>
          <w:highlight w:val="none"/>
          <w:u w:val="single"/>
        </w:rPr>
        <w:t xml:space="preserve">    无    </w:t>
      </w:r>
      <w:r>
        <w:rPr>
          <w:rFonts w:hint="eastAsia" w:ascii="宋体" w:hAnsi="宋体" w:cs="宋体"/>
          <w:kern w:val="0"/>
          <w:highlight w:val="none"/>
        </w:rPr>
        <w:t>。</w:t>
      </w:r>
    </w:p>
    <w:p w14:paraId="4E7B765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施工现场需要具备的其他试验条件：</w:t>
      </w:r>
      <w:r>
        <w:rPr>
          <w:rFonts w:hint="eastAsia" w:ascii="宋体" w:hAnsi="宋体" w:cs="宋体"/>
          <w:kern w:val="0"/>
          <w:highlight w:val="none"/>
          <w:u w:val="single"/>
        </w:rPr>
        <w:t xml:space="preserve">    无   </w:t>
      </w:r>
      <w:r>
        <w:rPr>
          <w:rFonts w:hint="eastAsia" w:ascii="宋体" w:hAnsi="宋体" w:cs="宋体"/>
          <w:kern w:val="0"/>
          <w:highlight w:val="none"/>
        </w:rPr>
        <w:t>。</w:t>
      </w:r>
    </w:p>
    <w:p w14:paraId="71790A2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9.4 现场工艺试验 </w:t>
      </w:r>
    </w:p>
    <w:p w14:paraId="4B876CB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现场工艺试验的有关约定： </w:t>
      </w:r>
      <w:r>
        <w:rPr>
          <w:rFonts w:hint="eastAsia" w:ascii="宋体" w:hAnsi="宋体" w:cs="宋体"/>
          <w:kern w:val="0"/>
          <w:highlight w:val="none"/>
          <w:u w:val="single"/>
        </w:rPr>
        <w:t xml:space="preserve">  无    </w:t>
      </w:r>
      <w:r>
        <w:rPr>
          <w:rFonts w:hint="eastAsia" w:ascii="宋体" w:hAnsi="宋体" w:cs="宋体"/>
          <w:kern w:val="0"/>
          <w:highlight w:val="none"/>
        </w:rPr>
        <w:t>。</w:t>
      </w:r>
    </w:p>
    <w:bookmarkEnd w:id="718"/>
    <w:bookmarkEnd w:id="719"/>
    <w:bookmarkEnd w:id="720"/>
    <w:bookmarkEnd w:id="721"/>
    <w:bookmarkEnd w:id="722"/>
    <w:bookmarkEnd w:id="723"/>
    <w:bookmarkEnd w:id="724"/>
    <w:bookmarkEnd w:id="725"/>
    <w:p w14:paraId="256337CC">
      <w:pPr>
        <w:spacing w:line="560" w:lineRule="exact"/>
        <w:ind w:firstLine="420" w:firstLineChars="200"/>
        <w:jc w:val="left"/>
        <w:rPr>
          <w:rFonts w:hint="eastAsia" w:ascii="宋体" w:hAnsi="宋体" w:cs="宋体"/>
          <w:kern w:val="0"/>
          <w:highlight w:val="none"/>
        </w:rPr>
      </w:pPr>
      <w:bookmarkStart w:id="726" w:name="_Toc351203642"/>
      <w:r>
        <w:rPr>
          <w:rFonts w:hint="eastAsia" w:ascii="宋体" w:hAnsi="宋体" w:cs="宋体"/>
          <w:kern w:val="0"/>
          <w:highlight w:val="none"/>
        </w:rPr>
        <w:t>1</w:t>
      </w:r>
      <w:bookmarkEnd w:id="692"/>
      <w:bookmarkEnd w:id="693"/>
      <w:bookmarkEnd w:id="694"/>
      <w:bookmarkEnd w:id="695"/>
      <w:bookmarkEnd w:id="696"/>
      <w:bookmarkEnd w:id="697"/>
      <w:bookmarkEnd w:id="698"/>
      <w:bookmarkEnd w:id="699"/>
      <w:bookmarkEnd w:id="700"/>
      <w:bookmarkEnd w:id="701"/>
      <w:bookmarkEnd w:id="702"/>
      <w:bookmarkEnd w:id="703"/>
      <w:bookmarkStart w:id="727" w:name="_Toc297120493"/>
      <w:bookmarkStart w:id="728" w:name="_Toc296891233"/>
      <w:bookmarkStart w:id="729" w:name="_Toc304295566"/>
      <w:bookmarkStart w:id="730" w:name="_Toc292559903"/>
      <w:bookmarkStart w:id="731" w:name="_Toc297216199"/>
      <w:bookmarkStart w:id="732" w:name="_Toc300934989"/>
      <w:bookmarkStart w:id="733" w:name="_Toc297123540"/>
      <w:bookmarkStart w:id="734" w:name="_Toc296891021"/>
      <w:bookmarkStart w:id="735" w:name="_Toc292559398"/>
      <w:bookmarkStart w:id="736" w:name="_Toc303539146"/>
      <w:bookmarkStart w:id="737" w:name="_Toc296944532"/>
      <w:bookmarkStart w:id="738" w:name="_Toc296346694"/>
      <w:bookmarkStart w:id="739" w:name="_Toc297048379"/>
      <w:bookmarkStart w:id="740" w:name="_Toc296347192"/>
      <w:bookmarkStart w:id="741" w:name="_Toc296503193"/>
      <w:bookmarkStart w:id="742" w:name="_Toc312677499"/>
      <w:bookmarkStart w:id="743" w:name="_Toc312678025"/>
      <w:bookmarkStart w:id="744" w:name="_Toc267251439"/>
      <w:bookmarkStart w:id="745" w:name="_Toc267251441"/>
      <w:bookmarkStart w:id="746" w:name="_Toc267251433"/>
      <w:bookmarkStart w:id="747" w:name="_Toc267251437"/>
      <w:bookmarkStart w:id="748" w:name="_Toc267251435"/>
      <w:bookmarkStart w:id="749" w:name="_Toc267251440"/>
      <w:bookmarkStart w:id="750" w:name="_Toc267251442"/>
      <w:r>
        <w:rPr>
          <w:rFonts w:hint="eastAsia" w:ascii="宋体" w:hAnsi="宋体" w:cs="宋体"/>
          <w:kern w:val="0"/>
          <w:highlight w:val="none"/>
        </w:rPr>
        <w:t>0. 变更</w:t>
      </w:r>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p>
    <w:bookmarkEnd w:id="742"/>
    <w:bookmarkEnd w:id="743"/>
    <w:p w14:paraId="6A605C3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w:t>
      </w:r>
      <w:bookmarkStart w:id="751" w:name="_Toc292559904"/>
      <w:bookmarkStart w:id="752" w:name="_Toc297048380"/>
      <w:bookmarkStart w:id="753" w:name="_Toc303539147"/>
      <w:bookmarkStart w:id="754" w:name="_Toc297123541"/>
      <w:bookmarkStart w:id="755" w:name="_Toc296346695"/>
      <w:bookmarkStart w:id="756" w:name="_Toc296891022"/>
      <w:bookmarkStart w:id="757" w:name="_Toc300934990"/>
      <w:bookmarkStart w:id="758" w:name="_Toc297216200"/>
      <w:bookmarkStart w:id="759" w:name="_Toc292559399"/>
      <w:bookmarkStart w:id="760" w:name="_Toc296891234"/>
      <w:bookmarkStart w:id="761" w:name="_Toc304295567"/>
      <w:bookmarkStart w:id="762" w:name="_Toc296944533"/>
      <w:bookmarkStart w:id="763" w:name="_Toc297120494"/>
      <w:bookmarkStart w:id="764" w:name="_Toc296503194"/>
      <w:bookmarkStart w:id="765" w:name="_Toc312678026"/>
      <w:bookmarkStart w:id="766" w:name="_Toc312677500"/>
      <w:bookmarkStart w:id="767" w:name="_Toc296347193"/>
      <w:r>
        <w:rPr>
          <w:rFonts w:hint="eastAsia" w:ascii="宋体" w:hAnsi="宋体" w:cs="宋体"/>
          <w:kern w:val="0"/>
          <w:highlight w:val="none"/>
        </w:rPr>
        <w:t>0.1变更的范围</w:t>
      </w:r>
    </w:p>
    <w:p w14:paraId="0DBF3C7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关于变更的范围的约定：</w:t>
      </w:r>
      <w:r>
        <w:rPr>
          <w:rFonts w:hint="eastAsia" w:ascii="宋体" w:hAnsi="宋体" w:cs="宋体"/>
          <w:kern w:val="0"/>
          <w:highlight w:val="none"/>
          <w:u w:val="single"/>
        </w:rPr>
        <w:t>设计变更、施工变更、预算审核清单范围外的增项，均属工程变更。工程变更必须按程序先审批后实施。所有工程变更必须征得发包人的同意签认后，才可以实施。承包人不得直接向设计单位提出设计变更，确需进行设计变更的，由承包人向监理工程师和发包人提出，经监理工程师和发包人同意后，由发包人向设计单位提出进行设计变更</w:t>
      </w:r>
      <w:r>
        <w:rPr>
          <w:rFonts w:hint="eastAsia" w:ascii="宋体" w:hAnsi="宋体" w:cs="宋体"/>
          <w:kern w:val="0"/>
          <w:highlight w:val="none"/>
        </w:rPr>
        <w:t>。</w:t>
      </w:r>
    </w:p>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14:paraId="7810272A">
      <w:pPr>
        <w:spacing w:line="560" w:lineRule="exact"/>
        <w:ind w:firstLine="420" w:firstLineChars="200"/>
        <w:jc w:val="left"/>
        <w:rPr>
          <w:rFonts w:hint="eastAsia" w:ascii="宋体" w:hAnsi="宋体" w:cs="宋体"/>
          <w:kern w:val="0"/>
          <w:highlight w:val="none"/>
        </w:rPr>
      </w:pPr>
      <w:bookmarkStart w:id="768" w:name="_Toc351203643"/>
      <w:r>
        <w:rPr>
          <w:rFonts w:hint="eastAsia" w:ascii="宋体" w:hAnsi="宋体" w:cs="宋体"/>
          <w:kern w:val="0"/>
          <w:highlight w:val="none"/>
        </w:rPr>
        <w:t>11. 价格调整</w:t>
      </w:r>
      <w:bookmarkEnd w:id="768"/>
    </w:p>
    <w:p w14:paraId="1EBB7B08">
      <w:pPr>
        <w:spacing w:line="560" w:lineRule="exact"/>
        <w:ind w:firstLine="420" w:firstLineChars="200"/>
        <w:jc w:val="left"/>
        <w:rPr>
          <w:rFonts w:hint="eastAsia" w:ascii="宋体" w:hAnsi="宋体" w:cs="宋体"/>
          <w:kern w:val="0"/>
          <w:highlight w:val="none"/>
        </w:rPr>
      </w:pPr>
      <w:bookmarkStart w:id="769" w:name="_Toc303539157"/>
      <w:bookmarkStart w:id="770" w:name="_Toc304295577"/>
      <w:bookmarkStart w:id="771" w:name="_Toc292559911"/>
      <w:bookmarkStart w:id="772" w:name="_Toc297123550"/>
      <w:bookmarkStart w:id="773" w:name="_Toc296503201"/>
      <w:bookmarkStart w:id="774" w:name="_Toc297120501"/>
      <w:bookmarkStart w:id="775" w:name="_Toc296347200"/>
      <w:bookmarkStart w:id="776" w:name="_Toc312678039"/>
      <w:bookmarkStart w:id="777" w:name="_Toc297048387"/>
      <w:bookmarkStart w:id="778" w:name="_Toc296346702"/>
      <w:bookmarkStart w:id="779" w:name="_Toc292559406"/>
      <w:bookmarkStart w:id="780" w:name="_Toc296944540"/>
      <w:bookmarkStart w:id="781" w:name="_Toc296891241"/>
      <w:bookmarkStart w:id="782" w:name="_Toc297216209"/>
      <w:bookmarkStart w:id="783" w:name="_Toc300935000"/>
      <w:bookmarkStart w:id="784" w:name="_Toc296891029"/>
      <w:r>
        <w:rPr>
          <w:rFonts w:hint="eastAsia" w:ascii="宋体" w:hAnsi="宋体" w:cs="宋体"/>
          <w:kern w:val="0"/>
          <w:highlight w:val="none"/>
        </w:rPr>
        <w:t>11.1 市场价格波动引起的调整</w:t>
      </w:r>
    </w:p>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14:paraId="7045189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u w:val="single"/>
        </w:rPr>
        <w:t>不调整</w:t>
      </w:r>
      <w:r>
        <w:rPr>
          <w:rFonts w:hint="eastAsia" w:ascii="宋体" w:hAnsi="宋体" w:cs="宋体"/>
          <w:kern w:val="0"/>
          <w:highlight w:val="none"/>
        </w:rPr>
        <w:t>。</w:t>
      </w:r>
    </w:p>
    <w:bookmarkEnd w:id="744"/>
    <w:bookmarkEnd w:id="745"/>
    <w:bookmarkEnd w:id="746"/>
    <w:bookmarkEnd w:id="747"/>
    <w:bookmarkEnd w:id="748"/>
    <w:bookmarkEnd w:id="749"/>
    <w:p w14:paraId="25CDF4C3">
      <w:pPr>
        <w:spacing w:line="560" w:lineRule="exact"/>
        <w:ind w:firstLine="420" w:firstLineChars="200"/>
        <w:jc w:val="left"/>
        <w:rPr>
          <w:rFonts w:hint="eastAsia" w:ascii="宋体" w:hAnsi="宋体" w:cs="宋体"/>
          <w:kern w:val="0"/>
          <w:highlight w:val="none"/>
        </w:rPr>
      </w:pPr>
      <w:bookmarkStart w:id="785" w:name="_Toc297120505"/>
      <w:bookmarkStart w:id="786" w:name="_Toc292559915"/>
      <w:bookmarkStart w:id="787" w:name="_Toc296891033"/>
      <w:bookmarkStart w:id="788" w:name="_Toc296347204"/>
      <w:bookmarkStart w:id="789" w:name="_Toc296891245"/>
      <w:bookmarkStart w:id="790" w:name="_Toc296346706"/>
      <w:bookmarkStart w:id="791" w:name="_Toc292559410"/>
      <w:bookmarkStart w:id="792" w:name="_Toc297048391"/>
      <w:bookmarkStart w:id="793" w:name="_Toc296944544"/>
      <w:bookmarkStart w:id="794" w:name="_Toc296503205"/>
      <w:bookmarkStart w:id="795" w:name="_Toc351203644"/>
      <w:bookmarkStart w:id="796" w:name="_Toc297216211"/>
      <w:bookmarkStart w:id="797" w:name="_Toc312678040"/>
      <w:bookmarkStart w:id="798" w:name="_Toc300935002"/>
      <w:bookmarkStart w:id="799" w:name="_Toc303539159"/>
      <w:bookmarkStart w:id="800" w:name="_Toc297123552"/>
      <w:bookmarkStart w:id="801" w:name="_Toc304295579"/>
      <w:r>
        <w:rPr>
          <w:rFonts w:hint="eastAsia" w:ascii="宋体" w:hAnsi="宋体" w:cs="宋体"/>
          <w:kern w:val="0"/>
          <w:highlight w:val="none"/>
        </w:rPr>
        <w:t xml:space="preserve">12. </w:t>
      </w:r>
      <w:bookmarkEnd w:id="785"/>
      <w:bookmarkEnd w:id="786"/>
      <w:bookmarkEnd w:id="787"/>
      <w:bookmarkEnd w:id="788"/>
      <w:bookmarkEnd w:id="789"/>
      <w:bookmarkEnd w:id="790"/>
      <w:bookmarkEnd w:id="791"/>
      <w:bookmarkEnd w:id="792"/>
      <w:bookmarkEnd w:id="793"/>
      <w:bookmarkEnd w:id="794"/>
      <w:r>
        <w:rPr>
          <w:rFonts w:hint="eastAsia" w:ascii="宋体" w:hAnsi="宋体" w:cs="宋体"/>
          <w:kern w:val="0"/>
          <w:highlight w:val="none"/>
        </w:rPr>
        <w:t>合同价格、计量与支付</w:t>
      </w:r>
      <w:bookmarkEnd w:id="795"/>
    </w:p>
    <w:bookmarkEnd w:id="796"/>
    <w:bookmarkEnd w:id="797"/>
    <w:bookmarkEnd w:id="798"/>
    <w:bookmarkEnd w:id="799"/>
    <w:bookmarkEnd w:id="800"/>
    <w:bookmarkEnd w:id="801"/>
    <w:p w14:paraId="69339974">
      <w:pPr>
        <w:spacing w:line="560" w:lineRule="exact"/>
        <w:ind w:firstLine="420" w:firstLineChars="200"/>
        <w:jc w:val="left"/>
        <w:rPr>
          <w:rFonts w:hint="eastAsia" w:ascii="宋体" w:hAnsi="宋体" w:cs="宋体"/>
          <w:kern w:val="0"/>
          <w:highlight w:val="none"/>
        </w:rPr>
      </w:pPr>
      <w:bookmarkStart w:id="802" w:name="_Toc292559916"/>
      <w:bookmarkStart w:id="803" w:name="_Toc292559411"/>
      <w:bookmarkStart w:id="804" w:name="_Toc267251461"/>
      <w:bookmarkStart w:id="805" w:name="_Toc296891034"/>
      <w:bookmarkStart w:id="806" w:name="_Toc297048392"/>
      <w:bookmarkStart w:id="807" w:name="_Toc296944545"/>
      <w:bookmarkStart w:id="808" w:name="_Toc297120506"/>
      <w:bookmarkStart w:id="809" w:name="_Toc296891246"/>
      <w:bookmarkStart w:id="810" w:name="_Toc296503206"/>
      <w:bookmarkStart w:id="811" w:name="_Toc296347205"/>
      <w:bookmarkStart w:id="812" w:name="_Toc296346707"/>
      <w:bookmarkStart w:id="813" w:name="_Toc297216212"/>
      <w:bookmarkStart w:id="814" w:name="_Toc303539160"/>
      <w:bookmarkStart w:id="815" w:name="_Toc300935003"/>
      <w:bookmarkStart w:id="816" w:name="_Toc297123553"/>
      <w:bookmarkStart w:id="817" w:name="_Toc304295580"/>
      <w:bookmarkStart w:id="818" w:name="_Toc312678041"/>
      <w:r>
        <w:rPr>
          <w:rFonts w:hint="eastAsia" w:ascii="宋体" w:hAnsi="宋体" w:cs="宋体"/>
          <w:kern w:val="0"/>
          <w:highlight w:val="none"/>
        </w:rPr>
        <w:t>12.1 合</w:t>
      </w:r>
      <w:bookmarkEnd w:id="802"/>
      <w:bookmarkEnd w:id="803"/>
      <w:bookmarkEnd w:id="804"/>
      <w:r>
        <w:rPr>
          <w:rFonts w:hint="eastAsia" w:ascii="宋体" w:hAnsi="宋体" w:cs="宋体"/>
          <w:kern w:val="0"/>
          <w:highlight w:val="none"/>
        </w:rPr>
        <w:t>同价</w:t>
      </w:r>
      <w:bookmarkEnd w:id="805"/>
      <w:bookmarkEnd w:id="806"/>
      <w:bookmarkEnd w:id="807"/>
      <w:bookmarkEnd w:id="808"/>
      <w:bookmarkEnd w:id="809"/>
      <w:bookmarkEnd w:id="810"/>
      <w:bookmarkEnd w:id="811"/>
      <w:bookmarkEnd w:id="812"/>
      <w:r>
        <w:rPr>
          <w:rFonts w:hint="eastAsia" w:ascii="宋体" w:hAnsi="宋体" w:cs="宋体"/>
          <w:kern w:val="0"/>
          <w:highlight w:val="none"/>
        </w:rPr>
        <w:t>格形式</w:t>
      </w:r>
    </w:p>
    <w:bookmarkEnd w:id="813"/>
    <w:bookmarkEnd w:id="814"/>
    <w:bookmarkEnd w:id="815"/>
    <w:bookmarkEnd w:id="816"/>
    <w:bookmarkEnd w:id="817"/>
    <w:bookmarkEnd w:id="818"/>
    <w:p w14:paraId="35C73AB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lang w:val="en-US" w:eastAsia="zh-CN"/>
        </w:rPr>
        <w:t>固定总价合同</w:t>
      </w:r>
      <w:r>
        <w:rPr>
          <w:rFonts w:hint="eastAsia" w:ascii="宋体" w:hAnsi="宋体" w:cs="宋体"/>
          <w:kern w:val="0"/>
          <w:highlight w:val="none"/>
        </w:rPr>
        <w:t>。</w:t>
      </w:r>
    </w:p>
    <w:p w14:paraId="3724589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12.3 计量</w:t>
      </w:r>
    </w:p>
    <w:p w14:paraId="086892F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12.3.1 计量原则</w:t>
      </w:r>
    </w:p>
    <w:p w14:paraId="2EDA16D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工程量计算规则：</w:t>
      </w:r>
      <w:r>
        <w:rPr>
          <w:rFonts w:hint="eastAsia" w:ascii="宋体" w:hAnsi="宋体" w:cs="宋体"/>
          <w:kern w:val="0"/>
          <w:highlight w:val="none"/>
          <w:u w:val="single"/>
        </w:rPr>
        <w:t>《建设工程工程量清单计价规范》（GB50500-2013）和《重庆市建设工程工程量清单计价规则》（CQQDGZ-2013）的计量规则执行</w:t>
      </w:r>
      <w:r>
        <w:rPr>
          <w:rFonts w:hint="eastAsia" w:ascii="宋体" w:hAnsi="宋体" w:cs="宋体"/>
          <w:kern w:val="0"/>
          <w:highlight w:val="none"/>
        </w:rPr>
        <w:t xml:space="preserve"> 。</w:t>
      </w:r>
    </w:p>
    <w:p w14:paraId="7FAA460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12.3.2 计量周期</w:t>
      </w:r>
    </w:p>
    <w:p w14:paraId="424CC51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关于计量周期的约定：</w:t>
      </w:r>
      <w:r>
        <w:rPr>
          <w:rFonts w:hint="eastAsia" w:ascii="宋体" w:hAnsi="宋体" w:cs="宋体"/>
          <w:kern w:val="0"/>
          <w:highlight w:val="none"/>
          <w:u w:val="single"/>
          <w:lang w:val="en-US" w:eastAsia="zh-CN"/>
        </w:rPr>
        <w:t>完工移交后一次性计量计算</w:t>
      </w:r>
      <w:r>
        <w:rPr>
          <w:rFonts w:hint="eastAsia" w:ascii="宋体" w:hAnsi="宋体" w:cs="宋体"/>
          <w:kern w:val="0"/>
          <w:highlight w:val="none"/>
          <w:u w:val="single"/>
        </w:rPr>
        <w:t xml:space="preserve"> </w:t>
      </w:r>
      <w:r>
        <w:rPr>
          <w:rFonts w:hint="eastAsia" w:ascii="宋体" w:hAnsi="宋体" w:cs="宋体"/>
          <w:kern w:val="0"/>
          <w:highlight w:val="none"/>
        </w:rPr>
        <w:t>。</w:t>
      </w:r>
    </w:p>
    <w:p w14:paraId="68455FA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12.4 工程进度款支付</w:t>
      </w:r>
    </w:p>
    <w:p w14:paraId="48737E2E">
      <w:pPr>
        <w:spacing w:line="560" w:lineRule="exact"/>
        <w:ind w:firstLine="420" w:firstLineChars="200"/>
        <w:jc w:val="left"/>
        <w:rPr>
          <w:rFonts w:hint="eastAsia" w:ascii="宋体" w:hAnsi="宋体" w:cs="宋体"/>
          <w:kern w:val="0"/>
          <w:highlight w:val="none"/>
        </w:rPr>
      </w:pPr>
      <w:bookmarkStart w:id="819" w:name="_Toc300935006"/>
      <w:bookmarkStart w:id="820" w:name="_Toc296347210"/>
      <w:bookmarkStart w:id="821" w:name="_Toc296346712"/>
      <w:bookmarkStart w:id="822" w:name="_Toc303539163"/>
      <w:bookmarkStart w:id="823" w:name="_Toc296891251"/>
      <w:bookmarkStart w:id="824" w:name="_Toc296891039"/>
      <w:bookmarkStart w:id="825" w:name="_Toc297216215"/>
      <w:bookmarkStart w:id="826" w:name="_Toc296503211"/>
      <w:bookmarkStart w:id="827" w:name="_Toc297048397"/>
      <w:bookmarkStart w:id="828" w:name="_Toc296944550"/>
      <w:bookmarkStart w:id="829" w:name="_Toc292559416"/>
      <w:bookmarkStart w:id="830" w:name="_Toc297120511"/>
      <w:bookmarkStart w:id="831" w:name="_Toc297123556"/>
      <w:bookmarkStart w:id="832" w:name="_Toc292559921"/>
      <w:r>
        <w:rPr>
          <w:rFonts w:hint="eastAsia" w:ascii="宋体" w:hAnsi="宋体" w:cs="宋体"/>
          <w:kern w:val="0"/>
          <w:highlight w:val="none"/>
        </w:rPr>
        <w:t>12.4.1 付款周期</w:t>
      </w:r>
    </w:p>
    <w:p w14:paraId="23B4FEF9">
      <w:pPr>
        <w:spacing w:line="560" w:lineRule="exact"/>
        <w:ind w:firstLine="420" w:firstLineChars="200"/>
        <w:jc w:val="left"/>
        <w:rPr>
          <w:rFonts w:hint="default" w:ascii="宋体" w:hAnsi="宋体" w:eastAsia="宋体" w:cs="宋体"/>
          <w:b/>
          <w:bCs/>
          <w:color w:val="auto"/>
          <w:kern w:val="0"/>
          <w:sz w:val="21"/>
          <w:szCs w:val="21"/>
          <w:highlight w:val="none"/>
          <w:u w:val="single"/>
          <w:lang w:val="en-US" w:eastAsia="zh-CN"/>
        </w:rPr>
      </w:pPr>
      <w:r>
        <w:rPr>
          <w:rFonts w:hint="eastAsia" w:ascii="宋体" w:hAnsi="宋体" w:cs="宋体"/>
          <w:kern w:val="0"/>
          <w:highlight w:val="none"/>
        </w:rPr>
        <w:t>关于付款周期的约定：</w:t>
      </w:r>
      <w:r>
        <w:rPr>
          <w:rFonts w:hint="eastAsia" w:ascii="宋体" w:hAnsi="宋体" w:eastAsia="宋体" w:cs="宋体"/>
          <w:b/>
          <w:bCs/>
          <w:color w:val="auto"/>
          <w:sz w:val="21"/>
          <w:szCs w:val="21"/>
          <w:highlight w:val="none"/>
          <w:u w:val="single"/>
        </w:rPr>
        <w:t>本合同无预付款、进度款，</w:t>
      </w:r>
      <w:r>
        <w:rPr>
          <w:rFonts w:hint="eastAsia" w:ascii="宋体" w:hAnsi="宋体" w:cs="宋体"/>
          <w:b/>
          <w:bCs/>
          <w:color w:val="auto"/>
          <w:sz w:val="21"/>
          <w:szCs w:val="21"/>
          <w:highlight w:val="none"/>
          <w:u w:val="single"/>
          <w:lang w:val="en-US" w:eastAsia="zh-CN"/>
        </w:rPr>
        <w:t>项目</w:t>
      </w:r>
      <w:r>
        <w:rPr>
          <w:rFonts w:hint="eastAsia" w:ascii="宋体" w:hAnsi="宋体" w:eastAsia="宋体" w:cs="宋体"/>
          <w:b/>
          <w:bCs/>
          <w:color w:val="auto"/>
          <w:sz w:val="21"/>
          <w:szCs w:val="21"/>
          <w:highlight w:val="none"/>
          <w:u w:val="single"/>
        </w:rPr>
        <w:t>完工并验收合格后支付至合同金额的</w:t>
      </w:r>
      <w:r>
        <w:rPr>
          <w:rFonts w:hint="eastAsia" w:ascii="宋体" w:hAnsi="宋体" w:cs="宋体"/>
          <w:b/>
          <w:bCs/>
          <w:color w:val="auto"/>
          <w:sz w:val="21"/>
          <w:szCs w:val="21"/>
          <w:highlight w:val="none"/>
          <w:u w:val="single"/>
          <w:lang w:val="en-US" w:eastAsia="zh-CN"/>
        </w:rPr>
        <w:t>97</w:t>
      </w:r>
      <w:r>
        <w:rPr>
          <w:rFonts w:hint="eastAsia" w:ascii="宋体" w:hAnsi="宋体" w:eastAsia="宋体" w:cs="宋体"/>
          <w:b/>
          <w:bCs/>
          <w:color w:val="auto"/>
          <w:sz w:val="21"/>
          <w:szCs w:val="21"/>
          <w:highlight w:val="none"/>
          <w:u w:val="single"/>
        </w:rPr>
        <w:t>%</w:t>
      </w:r>
      <w:r>
        <w:rPr>
          <w:rFonts w:hint="eastAsia" w:ascii="宋体" w:hAnsi="宋体" w:cs="宋体"/>
          <w:b/>
          <w:bCs/>
          <w:color w:val="auto"/>
          <w:sz w:val="21"/>
          <w:szCs w:val="21"/>
          <w:highlight w:val="none"/>
          <w:u w:val="single"/>
          <w:lang w:eastAsia="zh-CN"/>
        </w:rPr>
        <w:t>，</w:t>
      </w:r>
      <w:r>
        <w:rPr>
          <w:rFonts w:hint="eastAsia" w:ascii="宋体" w:hAnsi="宋体" w:cs="宋体"/>
          <w:b/>
          <w:bCs/>
          <w:color w:val="auto"/>
          <w:sz w:val="21"/>
          <w:szCs w:val="21"/>
          <w:highlight w:val="none"/>
          <w:u w:val="single"/>
          <w:lang w:val="en-US" w:eastAsia="zh-CN"/>
        </w:rPr>
        <w:t>缺陷责任期结束后支付至合同金额的100%。</w:t>
      </w:r>
    </w:p>
    <w:bookmarkEnd w:id="750"/>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p w14:paraId="1426E7F9">
      <w:pPr>
        <w:spacing w:line="560" w:lineRule="exact"/>
        <w:ind w:firstLine="420" w:firstLineChars="200"/>
        <w:jc w:val="left"/>
        <w:rPr>
          <w:rFonts w:hint="eastAsia" w:ascii="宋体" w:hAnsi="宋体" w:cs="宋体"/>
          <w:kern w:val="0"/>
          <w:highlight w:val="none"/>
        </w:rPr>
      </w:pPr>
      <w:bookmarkStart w:id="833" w:name="_Toc297216224"/>
      <w:bookmarkStart w:id="834" w:name="_Toc296891263"/>
      <w:bookmarkStart w:id="835" w:name="_Toc303539173"/>
      <w:bookmarkStart w:id="836" w:name="_Toc300935016"/>
      <w:bookmarkStart w:id="837" w:name="_Toc296944562"/>
      <w:bookmarkStart w:id="838" w:name="_Toc292559933"/>
      <w:bookmarkStart w:id="839" w:name="_Toc296503223"/>
      <w:bookmarkStart w:id="840" w:name="_Toc296891051"/>
      <w:bookmarkStart w:id="841" w:name="_Toc296347222"/>
      <w:bookmarkStart w:id="842" w:name="_Toc292559428"/>
      <w:bookmarkStart w:id="843" w:name="_Toc312678056"/>
      <w:bookmarkStart w:id="844" w:name="_Toc297120523"/>
      <w:bookmarkStart w:id="845" w:name="_Toc304295596"/>
      <w:bookmarkStart w:id="846" w:name="_Toc296346724"/>
      <w:bookmarkStart w:id="847" w:name="_Toc297048409"/>
      <w:bookmarkStart w:id="848" w:name="_Toc297123565"/>
      <w:bookmarkStart w:id="849" w:name="_Toc267251476"/>
      <w:bookmarkStart w:id="850" w:name="_Toc267251471"/>
      <w:bookmarkStart w:id="851" w:name="_Toc267251473"/>
      <w:bookmarkStart w:id="852" w:name="_Toc267251474"/>
      <w:bookmarkStart w:id="853" w:name="_Toc267251472"/>
      <w:bookmarkStart w:id="854" w:name="_Toc267251475"/>
      <w:bookmarkStart w:id="855" w:name="_Toc267251470"/>
      <w:r>
        <w:rPr>
          <w:rFonts w:hint="eastAsia" w:ascii="宋体" w:hAnsi="宋体" w:cs="宋体"/>
          <w:kern w:val="0"/>
          <w:highlight w:val="none"/>
        </w:rPr>
        <w:t>13.2 竣工验收</w:t>
      </w:r>
    </w:p>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14:paraId="339DE545">
      <w:pPr>
        <w:spacing w:line="560" w:lineRule="exact"/>
        <w:ind w:firstLine="420" w:firstLineChars="200"/>
        <w:jc w:val="left"/>
        <w:rPr>
          <w:rFonts w:hint="eastAsia" w:ascii="宋体" w:hAnsi="宋体" w:cs="宋体"/>
          <w:kern w:val="0"/>
          <w:highlight w:val="none"/>
        </w:rPr>
      </w:pPr>
      <w:bookmarkStart w:id="856" w:name="_Toc280868704"/>
      <w:bookmarkStart w:id="857" w:name="_Toc280868705"/>
      <w:bookmarkStart w:id="858" w:name="_Toc280868706"/>
      <w:bookmarkStart w:id="859" w:name="_Toc280868707"/>
      <w:bookmarkStart w:id="860" w:name="_Toc280868708"/>
      <w:bookmarkStart w:id="861" w:name="_Toc280868709"/>
      <w:r>
        <w:rPr>
          <w:rFonts w:hint="eastAsia" w:ascii="宋体" w:hAnsi="宋体" w:cs="宋体"/>
          <w:kern w:val="0"/>
          <w:highlight w:val="none"/>
        </w:rPr>
        <w:t>13.2.2竣工验收程序</w:t>
      </w:r>
    </w:p>
    <w:bookmarkEnd w:id="856"/>
    <w:p w14:paraId="4B71492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关于竣工验收程序的约定：</w:t>
      </w:r>
      <w:r>
        <w:rPr>
          <w:rFonts w:hint="eastAsia" w:ascii="宋体" w:hAnsi="宋体" w:cs="宋体"/>
          <w:kern w:val="0"/>
          <w:highlight w:val="none"/>
          <w:u w:val="single"/>
        </w:rPr>
        <w:t xml:space="preserve">按通用条款执行 </w:t>
      </w:r>
      <w:r>
        <w:rPr>
          <w:rFonts w:hint="eastAsia" w:ascii="宋体" w:hAnsi="宋体" w:cs="宋体"/>
          <w:kern w:val="0"/>
          <w:highlight w:val="none"/>
        </w:rPr>
        <w:t xml:space="preserve">  。</w:t>
      </w:r>
    </w:p>
    <w:p w14:paraId="54113DA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发包人不按照本项约定组织竣工验收、颁发工程接收证书的违约金的计算方法：</w:t>
      </w:r>
      <w:r>
        <w:rPr>
          <w:rFonts w:hint="eastAsia" w:ascii="宋体" w:hAnsi="宋体" w:cs="宋体"/>
          <w:kern w:val="0"/>
          <w:highlight w:val="none"/>
          <w:u w:val="single"/>
        </w:rPr>
        <w:t xml:space="preserve"> 按通用条款执行</w:t>
      </w:r>
      <w:r>
        <w:rPr>
          <w:rFonts w:hint="eastAsia" w:ascii="宋体" w:hAnsi="宋体" w:cs="宋体"/>
          <w:kern w:val="0"/>
          <w:highlight w:val="none"/>
        </w:rPr>
        <w:t>。</w:t>
      </w:r>
    </w:p>
    <w:bookmarkEnd w:id="857"/>
    <w:p w14:paraId="3476341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13.2.5移交、接收全部与部分工程</w:t>
      </w:r>
    </w:p>
    <w:bookmarkEnd w:id="858"/>
    <w:p w14:paraId="35BA023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承包人向发包人移交工程的期限：</w:t>
      </w:r>
      <w:r>
        <w:rPr>
          <w:rFonts w:hint="eastAsia" w:ascii="宋体" w:hAnsi="宋体" w:cs="宋体"/>
          <w:kern w:val="0"/>
          <w:highlight w:val="none"/>
          <w:u w:val="single"/>
        </w:rPr>
        <w:t>颁发工程竣工验收7天内</w:t>
      </w:r>
      <w:r>
        <w:rPr>
          <w:rFonts w:hint="eastAsia" w:ascii="宋体" w:hAnsi="宋体" w:cs="宋体"/>
          <w:kern w:val="0"/>
          <w:highlight w:val="none"/>
        </w:rPr>
        <w:t>。</w:t>
      </w:r>
    </w:p>
    <w:p w14:paraId="3BF3F55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发包人未按本合同约定接收全部或部分工程的，违约金的计算方法为：</w:t>
      </w:r>
      <w:r>
        <w:rPr>
          <w:rFonts w:hint="eastAsia" w:ascii="宋体" w:hAnsi="宋体" w:cs="宋体"/>
          <w:kern w:val="0"/>
          <w:highlight w:val="none"/>
          <w:u w:val="single"/>
        </w:rPr>
        <w:t xml:space="preserve">    /   </w:t>
      </w:r>
      <w:r>
        <w:rPr>
          <w:rFonts w:hint="eastAsia" w:ascii="宋体" w:hAnsi="宋体" w:cs="宋体"/>
          <w:kern w:val="0"/>
          <w:highlight w:val="none"/>
        </w:rPr>
        <w:t>。</w:t>
      </w:r>
    </w:p>
    <w:bookmarkEnd w:id="859"/>
    <w:p w14:paraId="1917B9A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承包人未按时移交工程的，违约金的计算方法为：</w:t>
      </w:r>
      <w:r>
        <w:rPr>
          <w:rFonts w:hint="eastAsia" w:ascii="宋体" w:hAnsi="宋体" w:cs="宋体"/>
          <w:kern w:val="0"/>
          <w:highlight w:val="none"/>
          <w:u w:val="single"/>
        </w:rPr>
        <w:t xml:space="preserve">   /     </w:t>
      </w:r>
      <w:r>
        <w:rPr>
          <w:rFonts w:hint="eastAsia" w:ascii="宋体" w:hAnsi="宋体" w:cs="宋体"/>
          <w:kern w:val="0"/>
          <w:highlight w:val="none"/>
        </w:rPr>
        <w:t>。</w:t>
      </w:r>
    </w:p>
    <w:bookmarkEnd w:id="860"/>
    <w:p w14:paraId="683F4E1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13.6 竣工退场</w:t>
      </w:r>
    </w:p>
    <w:p w14:paraId="5FA2EEF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13.6.1 竣工退场</w:t>
      </w:r>
    </w:p>
    <w:p w14:paraId="08B65F3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承包人完成竣工退场的期限：</w:t>
      </w:r>
      <w:r>
        <w:rPr>
          <w:rFonts w:hint="eastAsia" w:ascii="宋体" w:hAnsi="宋体" w:cs="宋体"/>
          <w:kern w:val="0"/>
          <w:highlight w:val="none"/>
          <w:u w:val="single"/>
        </w:rPr>
        <w:t xml:space="preserve"> 颁发竣工验收证书后5天内 </w:t>
      </w:r>
      <w:r>
        <w:rPr>
          <w:rFonts w:hint="eastAsia" w:ascii="宋体" w:hAnsi="宋体" w:cs="宋体"/>
          <w:kern w:val="0"/>
          <w:highlight w:val="none"/>
        </w:rPr>
        <w:t xml:space="preserve"> 。</w:t>
      </w:r>
    </w:p>
    <w:p w14:paraId="576E65AA">
      <w:pPr>
        <w:spacing w:line="560" w:lineRule="exact"/>
        <w:ind w:firstLine="420" w:firstLineChars="200"/>
        <w:jc w:val="left"/>
        <w:rPr>
          <w:rFonts w:hint="eastAsia" w:ascii="宋体" w:hAnsi="宋体" w:cs="宋体"/>
          <w:kern w:val="0"/>
          <w:highlight w:val="none"/>
        </w:rPr>
      </w:pPr>
      <w:bookmarkStart w:id="862" w:name="_Toc351203646"/>
      <w:r>
        <w:rPr>
          <w:rFonts w:hint="eastAsia" w:ascii="宋体" w:hAnsi="宋体" w:cs="宋体"/>
          <w:kern w:val="0"/>
          <w:highlight w:val="none"/>
        </w:rPr>
        <w:t>14. 竣工结算</w:t>
      </w:r>
      <w:bookmarkEnd w:id="862"/>
    </w:p>
    <w:p w14:paraId="413F118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14.1 竣工结算申请</w:t>
      </w:r>
    </w:p>
    <w:p w14:paraId="2B917CE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承包人提交竣工结算申请单的期限：</w:t>
      </w:r>
      <w:r>
        <w:rPr>
          <w:rFonts w:hint="eastAsia" w:ascii="宋体" w:hAnsi="宋体" w:cs="宋体"/>
          <w:kern w:val="0"/>
          <w:highlight w:val="none"/>
          <w:u w:val="single"/>
        </w:rPr>
        <w:t>工程竣工验收后15天内</w:t>
      </w:r>
      <w:r>
        <w:rPr>
          <w:rFonts w:hint="eastAsia" w:ascii="宋体" w:hAnsi="宋体" w:cs="宋体"/>
          <w:kern w:val="0"/>
          <w:highlight w:val="none"/>
        </w:rPr>
        <w:t>。</w:t>
      </w:r>
    </w:p>
    <w:p w14:paraId="0770AD1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竣工结算申请单应包括的内容：</w:t>
      </w:r>
      <w:r>
        <w:rPr>
          <w:rFonts w:hint="eastAsia" w:ascii="宋体" w:hAnsi="宋体" w:cs="宋体"/>
          <w:kern w:val="0"/>
          <w:highlight w:val="none"/>
          <w:u w:val="single"/>
        </w:rPr>
        <w:t xml:space="preserve">执行通用条款 </w:t>
      </w:r>
      <w:r>
        <w:rPr>
          <w:rFonts w:hint="eastAsia" w:ascii="宋体" w:hAnsi="宋体" w:cs="宋体"/>
          <w:kern w:val="0"/>
          <w:highlight w:val="none"/>
        </w:rPr>
        <w:t xml:space="preserve"> 。</w:t>
      </w:r>
    </w:p>
    <w:p w14:paraId="08AD0DA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14.2 竣工结算审核</w:t>
      </w:r>
    </w:p>
    <w:p w14:paraId="71F2297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发包人审批竣工付款申请单的期限：</w:t>
      </w:r>
      <w:r>
        <w:rPr>
          <w:rFonts w:hint="eastAsia" w:ascii="宋体" w:hAnsi="宋体" w:cs="宋体"/>
          <w:kern w:val="0"/>
          <w:highlight w:val="none"/>
          <w:u w:val="single"/>
        </w:rPr>
        <w:t>收到竣工验收单28天内</w:t>
      </w:r>
      <w:r>
        <w:rPr>
          <w:rFonts w:hint="eastAsia" w:ascii="宋体" w:hAnsi="宋体" w:cs="宋体"/>
          <w:kern w:val="0"/>
          <w:highlight w:val="none"/>
        </w:rPr>
        <w:t>。</w:t>
      </w:r>
    </w:p>
    <w:p w14:paraId="722CC97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发包人完成竣工付款的期限：</w:t>
      </w:r>
      <w:r>
        <w:rPr>
          <w:rFonts w:hint="eastAsia" w:ascii="宋体" w:hAnsi="宋体" w:cs="宋体"/>
          <w:kern w:val="0"/>
          <w:highlight w:val="none"/>
          <w:u w:val="single"/>
        </w:rPr>
        <w:t xml:space="preserve"> 签发竣工申请28天内 </w:t>
      </w:r>
      <w:r>
        <w:rPr>
          <w:rFonts w:hint="eastAsia" w:ascii="宋体" w:hAnsi="宋体" w:cs="宋体"/>
          <w:kern w:val="0"/>
          <w:highlight w:val="none"/>
        </w:rPr>
        <w:t>。</w:t>
      </w:r>
    </w:p>
    <w:p w14:paraId="3B39A5F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关于竣工付款证书异议部分复核的方式和程序：</w:t>
      </w:r>
      <w:r>
        <w:rPr>
          <w:rFonts w:hint="eastAsia" w:ascii="宋体" w:hAnsi="宋体" w:cs="宋体"/>
          <w:kern w:val="0"/>
          <w:highlight w:val="none"/>
          <w:u w:val="single"/>
        </w:rPr>
        <w:t>按通用条款执行</w:t>
      </w:r>
      <w:r>
        <w:rPr>
          <w:rFonts w:hint="eastAsia" w:ascii="宋体" w:hAnsi="宋体" w:cs="宋体"/>
          <w:kern w:val="0"/>
          <w:highlight w:val="none"/>
        </w:rPr>
        <w:t>。</w:t>
      </w:r>
    </w:p>
    <w:p w14:paraId="2DA1809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14.4 最终结清</w:t>
      </w:r>
    </w:p>
    <w:p w14:paraId="27CF556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14.4.1 最终结清申请单</w:t>
      </w:r>
    </w:p>
    <w:p w14:paraId="580D53B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承包人提交最终结清申请单的份数：</w:t>
      </w:r>
      <w:r>
        <w:rPr>
          <w:rFonts w:hint="eastAsia" w:ascii="宋体" w:hAnsi="宋体" w:cs="宋体"/>
          <w:kern w:val="0"/>
          <w:highlight w:val="none"/>
          <w:u w:val="single"/>
        </w:rPr>
        <w:t xml:space="preserve">  叁份   </w:t>
      </w:r>
      <w:r>
        <w:rPr>
          <w:rFonts w:hint="eastAsia" w:ascii="宋体" w:hAnsi="宋体" w:cs="宋体"/>
          <w:kern w:val="0"/>
          <w:highlight w:val="none"/>
        </w:rPr>
        <w:t>。</w:t>
      </w:r>
    </w:p>
    <w:p w14:paraId="1251B63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承包人提交最终结算申请单的期限：</w:t>
      </w:r>
      <w:r>
        <w:rPr>
          <w:rFonts w:hint="eastAsia" w:ascii="宋体" w:hAnsi="宋体" w:cs="宋体"/>
          <w:kern w:val="0"/>
          <w:highlight w:val="none"/>
          <w:u w:val="single"/>
        </w:rPr>
        <w:t>结算审核完成且质保期满</w:t>
      </w:r>
      <w:r>
        <w:rPr>
          <w:rFonts w:hint="eastAsia" w:ascii="宋体" w:hAnsi="宋体" w:cs="宋体"/>
          <w:kern w:val="0"/>
          <w:highlight w:val="none"/>
        </w:rPr>
        <w:t xml:space="preserve">。 </w:t>
      </w:r>
    </w:p>
    <w:p w14:paraId="63C896A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14.4.2 最终结清证书和支付</w:t>
      </w:r>
    </w:p>
    <w:p w14:paraId="214763E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（1）发包人完成最终结清申请单的审批并颁发最终结清证书的期限：</w:t>
      </w:r>
      <w:r>
        <w:rPr>
          <w:rFonts w:hint="eastAsia" w:ascii="宋体" w:hAnsi="宋体" w:cs="宋体"/>
          <w:kern w:val="0"/>
          <w:highlight w:val="none"/>
          <w:u w:val="single"/>
        </w:rPr>
        <w:t xml:space="preserve"> 收到最终结算资料出具结算报告后7天 </w:t>
      </w:r>
      <w:r>
        <w:rPr>
          <w:rFonts w:hint="eastAsia" w:ascii="宋体" w:hAnsi="宋体" w:cs="宋体"/>
          <w:kern w:val="0"/>
          <w:highlight w:val="none"/>
        </w:rPr>
        <w:t>。</w:t>
      </w:r>
    </w:p>
    <w:p w14:paraId="4ACF437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（2）发包人完成支付的期限：</w:t>
      </w:r>
      <w:r>
        <w:rPr>
          <w:rFonts w:hint="eastAsia" w:ascii="宋体" w:hAnsi="宋体" w:cs="宋体"/>
          <w:kern w:val="0"/>
          <w:highlight w:val="none"/>
          <w:u w:val="single"/>
        </w:rPr>
        <w:t>收到支付申请之日起30天内</w:t>
      </w:r>
      <w:r>
        <w:rPr>
          <w:rFonts w:hint="eastAsia" w:ascii="宋体" w:hAnsi="宋体" w:cs="宋体"/>
          <w:kern w:val="0"/>
          <w:highlight w:val="none"/>
        </w:rPr>
        <w:t>。</w:t>
      </w:r>
    </w:p>
    <w:p w14:paraId="0C5D1EA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14.5 最终结清</w:t>
      </w:r>
    </w:p>
    <w:p w14:paraId="6B6EADE2">
      <w:pPr>
        <w:spacing w:line="560" w:lineRule="exact"/>
        <w:ind w:firstLine="420" w:firstLineChars="200"/>
        <w:jc w:val="left"/>
        <w:rPr>
          <w:rFonts w:hint="default" w:ascii="宋体" w:hAnsi="宋体" w:eastAsia="宋体" w:cs="宋体"/>
          <w:kern w:val="0"/>
          <w:highlight w:val="none"/>
          <w:lang w:val="en-US" w:eastAsia="zh-CN"/>
        </w:rPr>
      </w:pPr>
      <w:r>
        <w:rPr>
          <w:rFonts w:hint="eastAsia" w:ascii="宋体" w:hAnsi="宋体" w:cs="宋体"/>
          <w:kern w:val="0"/>
          <w:highlight w:val="none"/>
          <w:u w:val="single"/>
        </w:rPr>
        <w:t>结算总价=</w:t>
      </w:r>
      <w:r>
        <w:rPr>
          <w:rFonts w:hint="eastAsia" w:ascii="宋体" w:hAnsi="宋体" w:cs="宋体"/>
          <w:kern w:val="0"/>
          <w:highlight w:val="none"/>
          <w:u w:val="single"/>
          <w:lang w:val="en-US" w:eastAsia="zh-CN"/>
        </w:rPr>
        <w:t>合同价</w:t>
      </w:r>
      <w:r>
        <w:rPr>
          <w:rFonts w:hint="eastAsia" w:ascii="宋体" w:hAnsi="宋体" w:cs="宋体"/>
          <w:kern w:val="0"/>
          <w:highlight w:val="none"/>
          <w:u w:val="none"/>
        </w:rPr>
        <w:t>。</w:t>
      </w:r>
    </w:p>
    <w:bookmarkEnd w:id="849"/>
    <w:bookmarkEnd w:id="850"/>
    <w:bookmarkEnd w:id="851"/>
    <w:bookmarkEnd w:id="852"/>
    <w:bookmarkEnd w:id="853"/>
    <w:bookmarkEnd w:id="854"/>
    <w:bookmarkEnd w:id="855"/>
    <w:bookmarkEnd w:id="861"/>
    <w:p w14:paraId="3581BC30">
      <w:pPr>
        <w:spacing w:line="560" w:lineRule="exact"/>
        <w:ind w:firstLine="420" w:firstLineChars="200"/>
        <w:jc w:val="left"/>
        <w:rPr>
          <w:rFonts w:hint="eastAsia" w:ascii="宋体" w:hAnsi="宋体" w:cs="宋体"/>
          <w:kern w:val="0"/>
          <w:highlight w:val="none"/>
        </w:rPr>
      </w:pPr>
      <w:bookmarkStart w:id="863" w:name="_Toc351203647"/>
      <w:bookmarkStart w:id="864" w:name="_Toc267251483"/>
      <w:bookmarkStart w:id="865" w:name="_Toc267251482"/>
      <w:bookmarkStart w:id="866" w:name="_Toc267251484"/>
      <w:bookmarkStart w:id="867" w:name="_Toc267251485"/>
      <w:bookmarkStart w:id="868" w:name="_Toc267251488"/>
      <w:bookmarkStart w:id="869" w:name="_Toc267251486"/>
      <w:bookmarkStart w:id="870" w:name="_Toc267251490"/>
      <w:bookmarkStart w:id="871" w:name="_Toc267251489"/>
      <w:bookmarkStart w:id="872" w:name="_Toc267251502"/>
      <w:bookmarkStart w:id="873" w:name="_Toc267251493"/>
      <w:bookmarkStart w:id="874" w:name="_Toc267251503"/>
      <w:bookmarkStart w:id="875" w:name="_Toc267251492"/>
      <w:bookmarkStart w:id="876" w:name="_Toc267251496"/>
      <w:bookmarkStart w:id="877" w:name="_Toc267251497"/>
      <w:bookmarkStart w:id="878" w:name="_Toc267251495"/>
      <w:bookmarkStart w:id="879" w:name="_Toc267251501"/>
      <w:bookmarkStart w:id="880" w:name="_Toc267251494"/>
      <w:bookmarkStart w:id="881" w:name="_Toc267251498"/>
      <w:bookmarkStart w:id="882" w:name="_Toc267251491"/>
      <w:bookmarkStart w:id="883" w:name="_Toc267251499"/>
      <w:bookmarkStart w:id="884" w:name="_Toc267251506"/>
      <w:bookmarkStart w:id="885" w:name="_Toc267251504"/>
      <w:bookmarkStart w:id="886" w:name="_Toc267251507"/>
      <w:bookmarkStart w:id="887" w:name="_Toc267251508"/>
      <w:bookmarkStart w:id="888" w:name="_Toc267251513"/>
      <w:bookmarkStart w:id="889" w:name="_Toc267251514"/>
      <w:bookmarkStart w:id="890" w:name="_Toc267251510"/>
      <w:bookmarkStart w:id="891" w:name="_Toc267251511"/>
      <w:bookmarkStart w:id="892" w:name="_Toc267251515"/>
      <w:bookmarkStart w:id="893" w:name="_Toc267251509"/>
      <w:r>
        <w:rPr>
          <w:rFonts w:hint="eastAsia" w:ascii="宋体" w:hAnsi="宋体" w:cs="宋体"/>
          <w:kern w:val="0"/>
          <w:highlight w:val="none"/>
        </w:rPr>
        <w:t>15. 缺陷责任期与保修</w:t>
      </w:r>
      <w:bookmarkEnd w:id="863"/>
    </w:p>
    <w:p w14:paraId="4D1D481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15.2缺陷责任期</w:t>
      </w:r>
      <w:bookmarkEnd w:id="864"/>
    </w:p>
    <w:p w14:paraId="77628AB7">
      <w:pPr>
        <w:spacing w:line="560" w:lineRule="exact"/>
        <w:ind w:firstLine="420" w:firstLineChars="200"/>
        <w:jc w:val="left"/>
        <w:rPr>
          <w:rFonts w:hint="eastAsia" w:ascii="宋体" w:hAnsi="宋体" w:cs="宋体"/>
          <w:highlight w:val="none"/>
        </w:rPr>
      </w:pPr>
      <w:r>
        <w:rPr>
          <w:rFonts w:hint="eastAsia" w:ascii="宋体" w:hAnsi="宋体" w:cs="宋体"/>
          <w:highlight w:val="none"/>
        </w:rPr>
        <w:t>缺陷责任期的具体期限：</w:t>
      </w:r>
      <w:r>
        <w:rPr>
          <w:rFonts w:hint="eastAsia" w:ascii="宋体" w:hAnsi="宋体" w:cs="宋体"/>
          <w:highlight w:val="none"/>
          <w:u w:val="single"/>
        </w:rPr>
        <w:t xml:space="preserve"> </w:t>
      </w:r>
      <w:r>
        <w:rPr>
          <w:rFonts w:hint="eastAsia" w:ascii="宋体" w:hAnsi="宋体" w:cs="宋体"/>
          <w:kern w:val="0"/>
          <w:highlight w:val="none"/>
          <w:u w:val="single"/>
        </w:rPr>
        <w:t>12个月</w:t>
      </w:r>
      <w:r>
        <w:rPr>
          <w:rFonts w:hint="eastAsia" w:ascii="宋体" w:hAnsi="宋体" w:cs="宋体"/>
          <w:highlight w:val="none"/>
        </w:rPr>
        <w:t>。</w:t>
      </w:r>
    </w:p>
    <w:p w14:paraId="1A7086D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15.3 质量保证金</w:t>
      </w:r>
    </w:p>
    <w:p w14:paraId="69F0CEF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关于是否扣留质量保证金的约定：</w:t>
      </w:r>
      <w:r>
        <w:rPr>
          <w:rFonts w:hint="eastAsia" w:ascii="宋体" w:hAnsi="宋体" w:cs="宋体"/>
          <w:kern w:val="0"/>
          <w:highlight w:val="none"/>
          <w:u w:val="single"/>
        </w:rPr>
        <w:t xml:space="preserve"> 是</w:t>
      </w:r>
      <w:r>
        <w:rPr>
          <w:rFonts w:hint="eastAsia" w:ascii="宋体" w:hAnsi="宋体" w:cs="宋体"/>
          <w:kern w:val="0"/>
          <w:highlight w:val="none"/>
        </w:rPr>
        <w:t>。</w:t>
      </w:r>
    </w:p>
    <w:p w14:paraId="5641187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15.3.1 承包人提供质量保证金的方式</w:t>
      </w:r>
    </w:p>
    <w:p w14:paraId="459ACE9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质量保证金采用</w:t>
      </w:r>
      <w:r>
        <w:rPr>
          <w:rFonts w:hint="eastAsia" w:ascii="宋体" w:hAnsi="宋体" w:cs="宋体"/>
          <w:kern w:val="0"/>
          <w:highlight w:val="none"/>
          <w:lang w:eastAsia="zh-CN"/>
        </w:rPr>
        <w:t>：</w:t>
      </w:r>
      <w:r>
        <w:rPr>
          <w:rFonts w:hint="eastAsia" w:ascii="宋体" w:hAnsi="宋体" w:cs="宋体"/>
          <w:kern w:val="0"/>
          <w:highlight w:val="none"/>
          <w:u w:val="single"/>
        </w:rPr>
        <w:t xml:space="preserve"> 3  </w:t>
      </w:r>
      <w:r>
        <w:rPr>
          <w:rFonts w:hint="eastAsia" w:ascii="宋体" w:hAnsi="宋体" w:cs="宋体"/>
          <w:kern w:val="0"/>
          <w:highlight w:val="none"/>
        </w:rPr>
        <w:t>%的</w:t>
      </w:r>
      <w:r>
        <w:rPr>
          <w:rFonts w:hint="eastAsia" w:ascii="宋体" w:hAnsi="宋体" w:cs="宋体"/>
          <w:kern w:val="0"/>
          <w:highlight w:val="none"/>
          <w:lang w:val="en-US" w:eastAsia="zh-CN"/>
        </w:rPr>
        <w:t>合同</w:t>
      </w:r>
      <w:r>
        <w:rPr>
          <w:rFonts w:hint="eastAsia" w:ascii="宋体" w:hAnsi="宋体" w:cs="宋体"/>
          <w:kern w:val="0"/>
          <w:highlight w:val="none"/>
        </w:rPr>
        <w:t>款；</w:t>
      </w:r>
    </w:p>
    <w:p w14:paraId="4C6F762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15.3.2 质量保证金的扣留 </w:t>
      </w:r>
    </w:p>
    <w:p w14:paraId="10CE04F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质量保证金的扣留</w:t>
      </w:r>
      <w:r>
        <w:rPr>
          <w:rFonts w:hint="eastAsia" w:ascii="宋体" w:hAnsi="宋体" w:cs="宋体"/>
          <w:kern w:val="0"/>
          <w:highlight w:val="none"/>
          <w:lang w:eastAsia="zh-CN"/>
        </w:rPr>
        <w:t>：</w:t>
      </w:r>
      <w:r>
        <w:rPr>
          <w:rFonts w:hint="eastAsia" w:ascii="宋体" w:hAnsi="宋体" w:cs="宋体"/>
          <w:kern w:val="0"/>
          <w:highlight w:val="none"/>
        </w:rPr>
        <w:t>工程竣工结算时一次性扣留质量保证金；</w:t>
      </w:r>
    </w:p>
    <w:p w14:paraId="55C45BE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关于质量保证金的补充约定：</w:t>
      </w:r>
      <w:r>
        <w:rPr>
          <w:rFonts w:hint="eastAsia" w:ascii="宋体" w:hAnsi="宋体" w:cs="宋体"/>
          <w:kern w:val="0"/>
          <w:highlight w:val="none"/>
          <w:u w:val="single"/>
        </w:rPr>
        <w:t>竣工完成后且缺陷责任期满后，经检查无质量问题，无息返还质量保证金</w:t>
      </w:r>
      <w:r>
        <w:rPr>
          <w:rFonts w:hint="eastAsia" w:ascii="宋体" w:hAnsi="宋体" w:cs="宋体"/>
          <w:kern w:val="0"/>
          <w:highlight w:val="none"/>
        </w:rPr>
        <w:t>。</w:t>
      </w:r>
    </w:p>
    <w:bookmarkEnd w:id="865"/>
    <w:bookmarkEnd w:id="866"/>
    <w:p w14:paraId="6905E44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15.4保修</w:t>
      </w:r>
    </w:p>
    <w:bookmarkEnd w:id="867"/>
    <w:p w14:paraId="2214AA8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15.4.1 保修责任</w:t>
      </w:r>
    </w:p>
    <w:p w14:paraId="0DDED23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工程保修期为：</w:t>
      </w:r>
      <w:r>
        <w:rPr>
          <w:rFonts w:hint="eastAsia" w:ascii="宋体" w:hAnsi="宋体" w:cs="宋体"/>
          <w:kern w:val="0"/>
          <w:highlight w:val="none"/>
          <w:u w:val="single"/>
        </w:rPr>
        <w:t xml:space="preserve"> 见工程保修书  </w:t>
      </w:r>
      <w:r>
        <w:rPr>
          <w:rFonts w:hint="eastAsia" w:ascii="宋体" w:hAnsi="宋体" w:cs="宋体"/>
          <w:kern w:val="0"/>
          <w:highlight w:val="none"/>
        </w:rPr>
        <w:t>。</w:t>
      </w:r>
    </w:p>
    <w:p w14:paraId="383435C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15.4.3 修复通知</w:t>
      </w:r>
    </w:p>
    <w:p w14:paraId="4600791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承包人收到保修通知并到达工程现场的合理时间：</w:t>
      </w:r>
      <w:r>
        <w:rPr>
          <w:rFonts w:hint="eastAsia" w:ascii="宋体" w:hAnsi="宋体" w:cs="宋体"/>
          <w:kern w:val="0"/>
          <w:highlight w:val="none"/>
          <w:u w:val="single"/>
        </w:rPr>
        <w:t>24小时内</w:t>
      </w:r>
      <w:r>
        <w:rPr>
          <w:rFonts w:hint="eastAsia" w:ascii="宋体" w:hAnsi="宋体" w:cs="宋体"/>
          <w:kern w:val="0"/>
          <w:highlight w:val="none"/>
        </w:rPr>
        <w:t>。</w:t>
      </w:r>
    </w:p>
    <w:bookmarkEnd w:id="868"/>
    <w:bookmarkEnd w:id="869"/>
    <w:bookmarkEnd w:id="870"/>
    <w:bookmarkEnd w:id="871"/>
    <w:p w14:paraId="1B329172">
      <w:pPr>
        <w:spacing w:line="560" w:lineRule="exact"/>
        <w:ind w:firstLine="420" w:firstLineChars="200"/>
        <w:jc w:val="left"/>
        <w:rPr>
          <w:rFonts w:hint="eastAsia" w:ascii="宋体" w:hAnsi="宋体" w:cs="宋体"/>
          <w:kern w:val="0"/>
          <w:highlight w:val="none"/>
        </w:rPr>
      </w:pPr>
      <w:bookmarkStart w:id="894" w:name="_Toc351203648"/>
      <w:bookmarkStart w:id="895" w:name="_Toc280868717"/>
      <w:bookmarkStart w:id="896" w:name="_Toc280868718"/>
      <w:r>
        <w:rPr>
          <w:rFonts w:hint="eastAsia" w:ascii="宋体" w:hAnsi="宋体" w:cs="宋体"/>
          <w:kern w:val="0"/>
          <w:highlight w:val="none"/>
        </w:rPr>
        <w:t>16. 违约</w:t>
      </w:r>
      <w:bookmarkEnd w:id="894"/>
    </w:p>
    <w:p w14:paraId="7E02825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 发包人违约</w:t>
      </w:r>
    </w:p>
    <w:p w14:paraId="414EA80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16.1.1发包人违约的情形</w:t>
      </w:r>
    </w:p>
    <w:p w14:paraId="01911AB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发包人违约的其他情形：</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36BBAAB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16.1.2 发包人违约的责任</w:t>
      </w:r>
    </w:p>
    <w:p w14:paraId="5890F11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发包人违约责任的承担方式和计算方法：</w:t>
      </w:r>
    </w:p>
    <w:p w14:paraId="4B7DF70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（1）因发包人原因未能在计划开工日期前7天内下达开工通知的违约责任：</w:t>
      </w:r>
      <w:r>
        <w:rPr>
          <w:rFonts w:hint="eastAsia" w:ascii="宋体" w:hAnsi="宋体" w:cs="宋体"/>
          <w:kern w:val="0"/>
          <w:highlight w:val="none"/>
          <w:u w:val="single"/>
        </w:rPr>
        <w:t xml:space="preserve"> 工期顺延 </w:t>
      </w:r>
      <w:r>
        <w:rPr>
          <w:rFonts w:hint="eastAsia" w:ascii="宋体" w:hAnsi="宋体" w:cs="宋体"/>
          <w:kern w:val="0"/>
          <w:highlight w:val="none"/>
        </w:rPr>
        <w:t>。</w:t>
      </w:r>
    </w:p>
    <w:p w14:paraId="3A7A315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（2）因发包人原因未能按合同约定支付合同价款的违约责任：</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7CC49F9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（3）发包人违反第10.1款〔变更的范围〕第（2）项约定，自行实施被取消的工作或转由他人实施的违约责任：</w:t>
      </w:r>
      <w:r>
        <w:rPr>
          <w:rFonts w:hint="eastAsia" w:ascii="宋体" w:hAnsi="宋体" w:cs="宋体"/>
          <w:kern w:val="0"/>
          <w:highlight w:val="none"/>
          <w:u w:val="single"/>
        </w:rPr>
        <w:t>双方另行确定</w:t>
      </w:r>
      <w:r>
        <w:rPr>
          <w:rFonts w:hint="eastAsia" w:ascii="宋体" w:hAnsi="宋体" w:cs="宋体"/>
          <w:kern w:val="0"/>
          <w:highlight w:val="none"/>
        </w:rPr>
        <w:t>。</w:t>
      </w:r>
    </w:p>
    <w:p w14:paraId="1E2C3A4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（4）发包人提供的材料、工程设备的规格、数量或质量不符合合同约定，或因发包人原因导致交货日期延误或交货地点变更等情况的违约责任：</w:t>
      </w:r>
      <w:r>
        <w:rPr>
          <w:rFonts w:hint="eastAsia" w:ascii="宋体" w:hAnsi="宋体" w:cs="宋体"/>
          <w:kern w:val="0"/>
          <w:highlight w:val="none"/>
          <w:u w:val="single"/>
        </w:rPr>
        <w:t>双方另行确定</w:t>
      </w:r>
      <w:r>
        <w:rPr>
          <w:rFonts w:hint="eastAsia" w:ascii="宋体" w:hAnsi="宋体" w:cs="宋体"/>
          <w:kern w:val="0"/>
          <w:highlight w:val="none"/>
        </w:rPr>
        <w:t>。</w:t>
      </w:r>
    </w:p>
    <w:p w14:paraId="21C4938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（5）因发包人违反合同约定造成暂停施工的违约责任：</w:t>
      </w:r>
      <w:r>
        <w:rPr>
          <w:rFonts w:hint="eastAsia" w:ascii="宋体" w:hAnsi="宋体" w:cs="宋体"/>
          <w:kern w:val="0"/>
          <w:highlight w:val="none"/>
          <w:u w:val="single"/>
        </w:rPr>
        <w:t xml:space="preserve">双方另行确定 </w:t>
      </w:r>
      <w:r>
        <w:rPr>
          <w:rFonts w:hint="eastAsia" w:ascii="宋体" w:hAnsi="宋体" w:cs="宋体"/>
          <w:kern w:val="0"/>
          <w:highlight w:val="none"/>
        </w:rPr>
        <w:t>。</w:t>
      </w:r>
    </w:p>
    <w:p w14:paraId="0D5C84C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（6）发包人无正当理由没有在约定期限内发出复工指示，导致承包人无法复工的违约责任：</w:t>
      </w:r>
      <w:r>
        <w:rPr>
          <w:rFonts w:hint="eastAsia" w:ascii="宋体" w:hAnsi="宋体" w:cs="宋体"/>
          <w:kern w:val="0"/>
          <w:highlight w:val="none"/>
          <w:u w:val="single"/>
        </w:rPr>
        <w:t>双方另行确定</w:t>
      </w:r>
      <w:r>
        <w:rPr>
          <w:rFonts w:hint="eastAsia" w:ascii="宋体" w:hAnsi="宋体" w:cs="宋体"/>
          <w:kern w:val="0"/>
          <w:highlight w:val="none"/>
        </w:rPr>
        <w:t>。</w:t>
      </w:r>
    </w:p>
    <w:p w14:paraId="315F6F6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（7）其他： </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3540E44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16.1.3 因发包人违约解除合同</w:t>
      </w:r>
    </w:p>
    <w:p w14:paraId="15837F2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承包人按16.1.1项〔发包人违约的情形〕约定暂停施工满  </w:t>
      </w:r>
      <w:r>
        <w:rPr>
          <w:rFonts w:hint="eastAsia" w:ascii="宋体" w:hAnsi="宋体" w:cs="宋体"/>
          <w:kern w:val="0"/>
          <w:highlight w:val="none"/>
          <w:u w:val="single"/>
        </w:rPr>
        <w:t xml:space="preserve">45 </w:t>
      </w:r>
      <w:r>
        <w:rPr>
          <w:rFonts w:hint="eastAsia" w:ascii="宋体" w:hAnsi="宋体" w:cs="宋体"/>
          <w:kern w:val="0"/>
          <w:highlight w:val="none"/>
        </w:rPr>
        <w:t>天后发包人仍不纠正其违约行为并致使合同目的不能实现的，承包人有权解除合同。</w:t>
      </w:r>
    </w:p>
    <w:p w14:paraId="70B17D1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16.2 承包人违约</w:t>
      </w:r>
    </w:p>
    <w:p w14:paraId="6419B71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16.2.1 承包人违约的情形</w:t>
      </w:r>
    </w:p>
    <w:p w14:paraId="499213C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承包人违约的其他情形：</w:t>
      </w:r>
      <w:r>
        <w:rPr>
          <w:rFonts w:hint="eastAsia" w:ascii="宋体" w:hAnsi="宋体" w:cs="宋体"/>
          <w:kern w:val="0"/>
          <w:highlight w:val="none"/>
          <w:u w:val="single"/>
        </w:rPr>
        <w:t>双方另行确定</w:t>
      </w:r>
      <w:r>
        <w:rPr>
          <w:rFonts w:hint="eastAsia" w:ascii="宋体" w:hAnsi="宋体" w:cs="宋体"/>
          <w:kern w:val="0"/>
          <w:highlight w:val="none"/>
        </w:rPr>
        <w:t>。</w:t>
      </w:r>
    </w:p>
    <w:p w14:paraId="040D56A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16.2.2承包人违约的责任</w:t>
      </w:r>
    </w:p>
    <w:p w14:paraId="0EC2996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承包人违约责任的承担方式和计算方法： 由承包人自行承担全部费用并承担相应的法律责任 。    </w:t>
      </w:r>
    </w:p>
    <w:p w14:paraId="5A835EC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16.2.3 因承包人违约解除合同</w:t>
      </w:r>
    </w:p>
    <w:p w14:paraId="7CD8D7A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关于承包人违约解除合同的特别约定：</w:t>
      </w:r>
      <w:r>
        <w:rPr>
          <w:rFonts w:hint="eastAsia" w:ascii="宋体" w:hAnsi="宋体" w:cs="宋体"/>
          <w:kern w:val="0"/>
          <w:highlight w:val="none"/>
          <w:u w:val="single"/>
        </w:rPr>
        <w:t xml:space="preserve"> 按通用条款执行</w:t>
      </w:r>
      <w:r>
        <w:rPr>
          <w:rFonts w:hint="eastAsia" w:ascii="宋体" w:hAnsi="宋体" w:cs="宋体"/>
          <w:kern w:val="0"/>
          <w:highlight w:val="none"/>
        </w:rPr>
        <w:t xml:space="preserve"> 。</w:t>
      </w:r>
    </w:p>
    <w:p w14:paraId="25D530A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发包人继续使用承包人在施工现场的材料、设备、临时工程、承包人文件和由承包人或以其名义编制的其他文件的费用承担方式：</w:t>
      </w:r>
      <w:r>
        <w:rPr>
          <w:rFonts w:hint="eastAsia" w:ascii="宋体" w:hAnsi="宋体" w:cs="宋体"/>
          <w:kern w:val="0"/>
          <w:highlight w:val="none"/>
          <w:u w:val="single"/>
        </w:rPr>
        <w:t xml:space="preserve"> / </w:t>
      </w:r>
      <w:r>
        <w:rPr>
          <w:rFonts w:hint="eastAsia" w:ascii="宋体" w:hAnsi="宋体" w:cs="宋体"/>
          <w:kern w:val="0"/>
          <w:highlight w:val="none"/>
        </w:rPr>
        <w:t>。</w:t>
      </w:r>
    </w:p>
    <w:p w14:paraId="7EB939FB">
      <w:pPr>
        <w:spacing w:line="560" w:lineRule="exact"/>
        <w:ind w:firstLine="420" w:firstLineChars="200"/>
        <w:jc w:val="left"/>
        <w:rPr>
          <w:rFonts w:hint="eastAsia" w:ascii="宋体" w:hAnsi="宋体" w:cs="宋体"/>
          <w:kern w:val="0"/>
          <w:highlight w:val="none"/>
        </w:rPr>
      </w:pPr>
      <w:bookmarkStart w:id="897" w:name="_Toc351203649"/>
      <w:r>
        <w:rPr>
          <w:rFonts w:hint="eastAsia" w:ascii="宋体" w:hAnsi="宋体" w:cs="宋体"/>
          <w:kern w:val="0"/>
          <w:highlight w:val="none"/>
        </w:rPr>
        <w:t>17. 不可抗力</w:t>
      </w:r>
      <w:bookmarkEnd w:id="897"/>
      <w:r>
        <w:rPr>
          <w:rFonts w:hint="eastAsia" w:ascii="宋体" w:hAnsi="宋体" w:cs="宋体"/>
          <w:kern w:val="0"/>
          <w:highlight w:val="none"/>
        </w:rPr>
        <w:t xml:space="preserve"> </w:t>
      </w:r>
      <w:bookmarkEnd w:id="895"/>
    </w:p>
    <w:p w14:paraId="22F249E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17.1 不可抗力的确认</w:t>
      </w:r>
    </w:p>
    <w:p w14:paraId="440AA06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除通用合同条款约定的不可抗力事件之外，视为不可抗力的其他情形：</w:t>
      </w:r>
      <w:r>
        <w:rPr>
          <w:rFonts w:hint="eastAsia" w:ascii="宋体" w:hAnsi="宋体" w:cs="宋体"/>
          <w:kern w:val="0"/>
          <w:highlight w:val="none"/>
          <w:u w:val="single"/>
        </w:rPr>
        <w:t xml:space="preserve">      /    </w:t>
      </w:r>
      <w:r>
        <w:rPr>
          <w:rFonts w:hint="eastAsia" w:ascii="宋体" w:hAnsi="宋体" w:cs="宋体"/>
          <w:kern w:val="0"/>
          <w:highlight w:val="none"/>
        </w:rPr>
        <w:t>。</w:t>
      </w:r>
    </w:p>
    <w:p w14:paraId="66B855B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17.4 因不可抗力解除合同</w:t>
      </w:r>
    </w:p>
    <w:p w14:paraId="48BC9C67">
      <w:pPr>
        <w:spacing w:line="560" w:lineRule="exact"/>
        <w:ind w:left="319" w:leftChars="152" w:firstLine="210" w:firstLineChars="100"/>
        <w:jc w:val="left"/>
        <w:rPr>
          <w:rFonts w:hint="eastAsia" w:ascii="宋体" w:hAnsi="宋体" w:cs="宋体"/>
          <w:kern w:val="0"/>
          <w:highlight w:val="none"/>
        </w:rPr>
      </w:pPr>
      <w:r>
        <w:rPr>
          <w:rFonts w:hint="eastAsia" w:ascii="宋体" w:hAnsi="宋体" w:cs="宋体"/>
          <w:kern w:val="0"/>
          <w:highlight w:val="none"/>
        </w:rPr>
        <w:t>合同解除后，发包人应在商定或确定发包人应支付款项后</w:t>
      </w:r>
      <w:r>
        <w:rPr>
          <w:rFonts w:hint="eastAsia" w:ascii="宋体" w:hAnsi="宋体" w:cs="宋体"/>
          <w:kern w:val="0"/>
          <w:highlight w:val="none"/>
          <w:u w:val="single"/>
        </w:rPr>
        <w:t>60</w:t>
      </w:r>
      <w:r>
        <w:rPr>
          <w:rFonts w:hint="eastAsia" w:ascii="宋体" w:hAnsi="宋体" w:cs="宋体"/>
          <w:kern w:val="0"/>
          <w:highlight w:val="none"/>
        </w:rPr>
        <w:t xml:space="preserve"> 天内完成款项的支付。</w:t>
      </w:r>
    </w:p>
    <w:p w14:paraId="06C8F63C">
      <w:pPr>
        <w:spacing w:line="560" w:lineRule="exact"/>
        <w:ind w:firstLine="420" w:firstLineChars="200"/>
        <w:jc w:val="left"/>
        <w:rPr>
          <w:rFonts w:hint="eastAsia" w:ascii="宋体" w:hAnsi="宋体" w:cs="宋体"/>
          <w:kern w:val="0"/>
          <w:highlight w:val="none"/>
        </w:rPr>
      </w:pPr>
      <w:bookmarkStart w:id="898" w:name="_Toc351203650"/>
      <w:r>
        <w:rPr>
          <w:rFonts w:hint="eastAsia" w:ascii="宋体" w:hAnsi="宋体" w:cs="宋体"/>
          <w:kern w:val="0"/>
          <w:highlight w:val="none"/>
        </w:rPr>
        <w:t>18. 保险</w:t>
      </w:r>
      <w:bookmarkEnd w:id="898"/>
    </w:p>
    <w:bookmarkEnd w:id="896"/>
    <w:p w14:paraId="669B14F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18.1 工程保险</w:t>
      </w:r>
    </w:p>
    <w:p w14:paraId="6680384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关于工程保险的特别约定：</w:t>
      </w:r>
      <w:r>
        <w:rPr>
          <w:rFonts w:hint="eastAsia" w:ascii="宋体" w:hAnsi="宋体" w:cs="宋体"/>
          <w:kern w:val="0"/>
          <w:highlight w:val="none"/>
          <w:u w:val="single"/>
        </w:rPr>
        <w:t xml:space="preserve"> 按通用条款执行 </w:t>
      </w:r>
      <w:r>
        <w:rPr>
          <w:rFonts w:hint="eastAsia" w:ascii="宋体" w:hAnsi="宋体" w:cs="宋体"/>
          <w:kern w:val="0"/>
          <w:highlight w:val="none"/>
        </w:rPr>
        <w:t>。</w:t>
      </w:r>
    </w:p>
    <w:p w14:paraId="5FFBA88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18.3 其他保险</w:t>
      </w:r>
    </w:p>
    <w:p w14:paraId="547D076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关于其他保险的约定： </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5B90E0E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承包人是否应为其施工设备等办理财产保险：</w:t>
      </w:r>
      <w:r>
        <w:rPr>
          <w:rFonts w:hint="eastAsia" w:ascii="宋体" w:hAnsi="宋体" w:cs="宋体"/>
          <w:kern w:val="0"/>
          <w:highlight w:val="none"/>
          <w:u w:val="single"/>
        </w:rPr>
        <w:t>按通用条款执行</w:t>
      </w:r>
      <w:r>
        <w:rPr>
          <w:rFonts w:hint="eastAsia" w:ascii="宋体" w:hAnsi="宋体" w:cs="宋体"/>
          <w:kern w:val="0"/>
          <w:highlight w:val="none"/>
        </w:rPr>
        <w:t>。</w:t>
      </w:r>
    </w:p>
    <w:p w14:paraId="60105DB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18.7 通知义务</w:t>
      </w:r>
    </w:p>
    <w:p w14:paraId="6EE771D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关于变更保险合同时的通知义务的约定：</w:t>
      </w:r>
      <w:r>
        <w:rPr>
          <w:rFonts w:hint="eastAsia" w:ascii="宋体" w:hAnsi="宋体" w:cs="宋体"/>
          <w:kern w:val="0"/>
          <w:highlight w:val="none"/>
          <w:u w:val="single"/>
        </w:rPr>
        <w:t>按通用条款执行</w:t>
      </w:r>
      <w:r>
        <w:rPr>
          <w:rFonts w:hint="eastAsia" w:ascii="宋体" w:hAnsi="宋体" w:cs="宋体"/>
          <w:kern w:val="0"/>
          <w:highlight w:val="none"/>
        </w:rPr>
        <w:t>。</w:t>
      </w:r>
    </w:p>
    <w:bookmarkEnd w:id="872"/>
    <w:bookmarkEnd w:id="873"/>
    <w:bookmarkEnd w:id="874"/>
    <w:bookmarkEnd w:id="875"/>
    <w:bookmarkEnd w:id="876"/>
    <w:bookmarkEnd w:id="877"/>
    <w:bookmarkEnd w:id="878"/>
    <w:bookmarkEnd w:id="879"/>
    <w:bookmarkEnd w:id="880"/>
    <w:bookmarkEnd w:id="881"/>
    <w:bookmarkEnd w:id="882"/>
    <w:bookmarkEnd w:id="883"/>
    <w:p w14:paraId="40065E4E">
      <w:pPr>
        <w:spacing w:line="560" w:lineRule="exact"/>
        <w:ind w:firstLine="420" w:firstLineChars="200"/>
        <w:jc w:val="left"/>
        <w:rPr>
          <w:rFonts w:hint="eastAsia" w:ascii="宋体" w:hAnsi="宋体" w:cs="宋体"/>
          <w:kern w:val="0"/>
          <w:highlight w:val="none"/>
        </w:rPr>
      </w:pPr>
      <w:bookmarkStart w:id="899" w:name="_Toc351203651"/>
      <w:r>
        <w:rPr>
          <w:rFonts w:hint="eastAsia" w:ascii="宋体" w:hAnsi="宋体" w:cs="宋体"/>
          <w:kern w:val="0"/>
          <w:highlight w:val="none"/>
        </w:rPr>
        <w:t>19.争议解决</w:t>
      </w:r>
      <w:bookmarkEnd w:id="899"/>
    </w:p>
    <w:bookmarkEnd w:id="884"/>
    <w:bookmarkEnd w:id="885"/>
    <w:p w14:paraId="4F5CA81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19.1 争</w:t>
      </w:r>
      <w:bookmarkEnd w:id="886"/>
      <w:r>
        <w:rPr>
          <w:rFonts w:hint="eastAsia" w:ascii="宋体" w:hAnsi="宋体" w:cs="宋体"/>
          <w:kern w:val="0"/>
          <w:highlight w:val="none"/>
        </w:rPr>
        <w:t>议评审</w:t>
      </w:r>
    </w:p>
    <w:p w14:paraId="0EEFCF4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19.2仲裁或诉讼</w:t>
      </w:r>
      <w:bookmarkEnd w:id="887"/>
    </w:p>
    <w:p w14:paraId="7048861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因合同及合同有关事项发生的争议，向</w:t>
      </w:r>
      <w:r>
        <w:rPr>
          <w:rFonts w:hint="eastAsia" w:ascii="宋体" w:hAnsi="宋体" w:cs="宋体"/>
          <w:kern w:val="0"/>
          <w:highlight w:val="none"/>
          <w:u w:val="single"/>
        </w:rPr>
        <w:t xml:space="preserve"> 项目所在地的  </w:t>
      </w:r>
      <w:r>
        <w:rPr>
          <w:rFonts w:hint="eastAsia" w:ascii="宋体" w:hAnsi="宋体" w:cs="宋体"/>
          <w:kern w:val="0"/>
          <w:highlight w:val="none"/>
        </w:rPr>
        <w:t>人民法院起诉。</w:t>
      </w:r>
      <w:bookmarkEnd w:id="888"/>
      <w:bookmarkEnd w:id="889"/>
      <w:bookmarkEnd w:id="890"/>
      <w:bookmarkEnd w:id="891"/>
      <w:bookmarkEnd w:id="892"/>
      <w:bookmarkEnd w:id="893"/>
    </w:p>
    <w:p w14:paraId="294C86E2">
      <w:pPr>
        <w:spacing w:line="560" w:lineRule="exact"/>
        <w:ind w:firstLine="420" w:firstLineChars="200"/>
        <w:jc w:val="left"/>
        <w:rPr>
          <w:rFonts w:hint="eastAsia" w:ascii="宋体" w:hAnsi="宋体" w:cs="宋体"/>
          <w:kern w:val="0"/>
          <w:highlight w:val="none"/>
        </w:rPr>
      </w:pPr>
      <w:bookmarkStart w:id="900" w:name="_Toc351203652"/>
      <w:r>
        <w:rPr>
          <w:rFonts w:hint="eastAsia" w:ascii="宋体" w:hAnsi="宋体" w:cs="宋体"/>
          <w:kern w:val="0"/>
          <w:highlight w:val="none"/>
        </w:rPr>
        <w:t>附件</w:t>
      </w:r>
      <w:bookmarkEnd w:id="900"/>
    </w:p>
    <w:p w14:paraId="77DF48D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协议书附件：</w:t>
      </w:r>
    </w:p>
    <w:p w14:paraId="4BFB526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附件1：清单</w:t>
      </w:r>
    </w:p>
    <w:p w14:paraId="039506A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附件2：工程质量保修书</w:t>
      </w:r>
    </w:p>
    <w:p w14:paraId="072DB26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附件3：工程廉政协议</w:t>
      </w:r>
    </w:p>
    <w:p w14:paraId="7F20E80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附件4：承包人主要施工管理人员表</w:t>
      </w:r>
    </w:p>
    <w:p w14:paraId="40ABEBFE">
      <w:pPr>
        <w:spacing w:line="560" w:lineRule="exact"/>
        <w:ind w:firstLine="420" w:firstLineChars="200"/>
        <w:jc w:val="left"/>
        <w:rPr>
          <w:rFonts w:hint="eastAsia" w:ascii="宋体" w:hAnsi="宋体" w:cs="宋体"/>
          <w:kern w:val="0"/>
          <w:highlight w:val="none"/>
        </w:rPr>
        <w:sectPr>
          <w:pgSz w:w="11906" w:h="16838"/>
          <w:pgMar w:top="2098" w:right="1449" w:bottom="1720" w:left="1417" w:header="851" w:footer="992" w:gutter="0"/>
          <w:pgNumType w:start="1"/>
          <w:cols w:space="720" w:num="1"/>
          <w:titlePg/>
          <w:docGrid w:type="lines" w:linePitch="312" w:charSpace="0"/>
        </w:sectPr>
      </w:pPr>
    </w:p>
    <w:p w14:paraId="677B3F96">
      <w:pPr>
        <w:spacing w:before="120" w:beforeLines="50" w:after="120" w:afterLines="50" w:line="560" w:lineRule="exact"/>
        <w:jc w:val="center"/>
        <w:rPr>
          <w:rFonts w:hint="eastAsia" w:ascii="宋体" w:hAnsi="宋体" w:cs="宋体"/>
          <w:highlight w:val="none"/>
        </w:rPr>
      </w:pPr>
      <w:r>
        <w:rPr>
          <w:rFonts w:hint="eastAsia" w:ascii="宋体" w:hAnsi="宋体" w:cs="宋体"/>
          <w:highlight w:val="none"/>
        </w:rPr>
        <w:t>工程质量保修书</w:t>
      </w:r>
    </w:p>
    <w:p w14:paraId="7E4358D2">
      <w:pPr>
        <w:spacing w:line="560" w:lineRule="exact"/>
        <w:ind w:firstLine="420" w:firstLineChars="200"/>
        <w:rPr>
          <w:rFonts w:hint="eastAsia" w:ascii="宋体" w:hAnsi="宋体" w:cs="宋体"/>
          <w:highlight w:val="none"/>
        </w:rPr>
      </w:pPr>
      <w:r>
        <w:rPr>
          <w:rFonts w:hint="eastAsia" w:ascii="宋体" w:hAnsi="宋体" w:cs="宋体"/>
          <w:highlight w:val="none"/>
        </w:rPr>
        <w:t>发包人（全称）：</w:t>
      </w:r>
      <w:r>
        <w:rPr>
          <w:rFonts w:hint="eastAsia" w:ascii="宋体" w:hAnsi="宋体" w:cs="宋体"/>
          <w:bCs/>
          <w:highlight w:val="none"/>
          <w:u w:val="single"/>
        </w:rPr>
        <w:t>重庆市九龙坡区白市驿镇人民政府</w:t>
      </w:r>
      <w:r>
        <w:rPr>
          <w:rFonts w:hint="eastAsia" w:ascii="宋体" w:hAnsi="宋体" w:cs="宋体"/>
          <w:highlight w:val="none"/>
          <w:u w:val="single"/>
        </w:rPr>
        <w:t xml:space="preserve">  </w:t>
      </w:r>
      <w:r>
        <w:rPr>
          <w:rFonts w:hint="eastAsia" w:ascii="宋体" w:hAnsi="宋体" w:cs="宋体"/>
          <w:highlight w:val="none"/>
        </w:rPr>
        <w:t xml:space="preserve">  </w:t>
      </w:r>
    </w:p>
    <w:p w14:paraId="78B36FBD">
      <w:pPr>
        <w:spacing w:line="560" w:lineRule="exact"/>
        <w:rPr>
          <w:rFonts w:hint="eastAsia" w:ascii="宋体" w:hAnsi="宋体" w:cs="宋体"/>
          <w:highlight w:val="none"/>
        </w:rPr>
      </w:pPr>
      <w:r>
        <w:rPr>
          <w:rFonts w:hint="eastAsia" w:ascii="宋体" w:hAnsi="宋体" w:cs="宋体"/>
          <w:highlight w:val="none"/>
        </w:rPr>
        <w:t>　　承包人（全称）：</w:t>
      </w:r>
      <w:r>
        <w:rPr>
          <w:rFonts w:hint="eastAsia" w:ascii="宋体" w:hAnsi="宋体" w:cs="宋体"/>
          <w:kern w:val="0"/>
          <w:highlight w:val="none"/>
          <w:u w:val="single"/>
        </w:rPr>
        <w:t xml:space="preserve">                             </w:t>
      </w:r>
      <w:r>
        <w:rPr>
          <w:rFonts w:hint="eastAsia" w:ascii="宋体" w:hAnsi="宋体" w:cs="宋体"/>
          <w:highlight w:val="none"/>
          <w:u w:val="single"/>
        </w:rPr>
        <w:t xml:space="preserve">  </w:t>
      </w:r>
    </w:p>
    <w:p w14:paraId="16D2A4D1">
      <w:pPr>
        <w:spacing w:line="560" w:lineRule="exact"/>
        <w:rPr>
          <w:rFonts w:hint="eastAsia" w:ascii="宋体" w:hAnsi="宋体" w:cs="宋体"/>
          <w:highlight w:val="none"/>
        </w:rPr>
      </w:pPr>
      <w:r>
        <w:rPr>
          <w:rFonts w:hint="eastAsia" w:ascii="宋体" w:hAnsi="宋体" w:cs="宋体"/>
          <w:highlight w:val="none"/>
        </w:rPr>
        <w:t>　　发包人和承包人根据《中华人民共和国建筑法》和《建设工程质量管理条例》，经协商一致就</w:t>
      </w:r>
      <w:r>
        <w:rPr>
          <w:rFonts w:hint="eastAsia" w:ascii="宋体" w:hAnsi="宋体" w:cs="宋体"/>
          <w:kern w:val="0"/>
          <w:highlight w:val="none"/>
          <w:u w:val="single"/>
        </w:rPr>
        <w:t xml:space="preserve">                         </w:t>
      </w:r>
      <w:r>
        <w:rPr>
          <w:rFonts w:hint="eastAsia" w:ascii="宋体" w:hAnsi="宋体" w:cs="宋体"/>
          <w:highlight w:val="none"/>
        </w:rPr>
        <w:t>（工程全称）签订工程质量保修书。</w:t>
      </w:r>
    </w:p>
    <w:p w14:paraId="2A09A2D8">
      <w:pPr>
        <w:spacing w:line="560" w:lineRule="exact"/>
        <w:outlineLvl w:val="0"/>
        <w:rPr>
          <w:rFonts w:hint="eastAsia" w:ascii="宋体" w:hAnsi="宋体" w:cs="宋体"/>
          <w:highlight w:val="none"/>
        </w:rPr>
      </w:pPr>
      <w:r>
        <w:rPr>
          <w:rFonts w:hint="eastAsia" w:ascii="宋体" w:hAnsi="宋体" w:cs="宋体"/>
          <w:highlight w:val="none"/>
        </w:rPr>
        <w:t>　　一、工程质量保修范围和内容</w:t>
      </w:r>
    </w:p>
    <w:p w14:paraId="2B2027F8">
      <w:pPr>
        <w:spacing w:line="560" w:lineRule="exact"/>
        <w:rPr>
          <w:rFonts w:hint="eastAsia" w:ascii="宋体" w:hAnsi="宋体" w:cs="宋体"/>
          <w:highlight w:val="none"/>
        </w:rPr>
      </w:pPr>
      <w:r>
        <w:rPr>
          <w:rFonts w:hint="eastAsia" w:ascii="宋体" w:hAnsi="宋体" w:cs="宋体"/>
          <w:highlight w:val="none"/>
        </w:rPr>
        <w:t>　　具体保修的内容，双方约定如下：</w:t>
      </w:r>
      <w:r>
        <w:rPr>
          <w:rFonts w:hint="eastAsia" w:ascii="宋体" w:hAnsi="宋体" w:cs="宋体"/>
          <w:highlight w:val="none"/>
          <w:u w:val="single"/>
          <w:lang w:val="en-US" w:eastAsia="zh-CN"/>
        </w:rPr>
        <w:t>项目涉及方案内的所有实施内容均属于保修范围</w:t>
      </w:r>
      <w:r>
        <w:rPr>
          <w:rFonts w:hint="eastAsia" w:ascii="宋体" w:hAnsi="宋体" w:cs="宋体"/>
          <w:highlight w:val="none"/>
        </w:rPr>
        <w:t>。</w:t>
      </w:r>
    </w:p>
    <w:p w14:paraId="0BAA2C2A">
      <w:pPr>
        <w:spacing w:line="560" w:lineRule="exact"/>
        <w:outlineLvl w:val="0"/>
        <w:rPr>
          <w:rFonts w:hint="eastAsia" w:ascii="宋体" w:hAnsi="宋体" w:cs="宋体"/>
          <w:highlight w:val="none"/>
        </w:rPr>
      </w:pPr>
      <w:r>
        <w:rPr>
          <w:rFonts w:hint="eastAsia" w:ascii="宋体" w:hAnsi="宋体" w:cs="宋体"/>
          <w:b/>
          <w:highlight w:val="none"/>
        </w:rPr>
        <w:t>　</w:t>
      </w:r>
      <w:r>
        <w:rPr>
          <w:rFonts w:hint="eastAsia" w:ascii="宋体" w:hAnsi="宋体" w:cs="宋体"/>
          <w:highlight w:val="none"/>
        </w:rPr>
        <w:t>　二、质量保修期</w:t>
      </w:r>
    </w:p>
    <w:p w14:paraId="1EEE5A9F">
      <w:pPr>
        <w:spacing w:line="560" w:lineRule="exact"/>
        <w:ind w:left="420" w:leftChars="200" w:firstLine="105" w:firstLineChars="50"/>
        <w:rPr>
          <w:rFonts w:hint="eastAsia" w:ascii="宋体" w:hAnsi="宋体" w:cs="宋体"/>
          <w:highlight w:val="none"/>
        </w:rPr>
      </w:pPr>
      <w:r>
        <w:rPr>
          <w:rFonts w:hint="eastAsia" w:ascii="宋体" w:hAnsi="宋体" w:cs="宋体"/>
          <w:highlight w:val="none"/>
          <w:u w:val="single"/>
        </w:rPr>
        <w:t>1年</w:t>
      </w:r>
      <w:r>
        <w:rPr>
          <w:rFonts w:hint="eastAsia" w:ascii="宋体" w:hAnsi="宋体" w:cs="宋体"/>
          <w:highlight w:val="none"/>
        </w:rPr>
        <w:t>。</w:t>
      </w:r>
    </w:p>
    <w:p w14:paraId="39174886">
      <w:pPr>
        <w:spacing w:line="560" w:lineRule="exact"/>
        <w:rPr>
          <w:rFonts w:hint="eastAsia" w:ascii="宋体" w:hAnsi="宋体" w:cs="宋体"/>
          <w:highlight w:val="none"/>
        </w:rPr>
      </w:pPr>
      <w:r>
        <w:rPr>
          <w:rFonts w:hint="eastAsia" w:ascii="宋体" w:hAnsi="宋体" w:cs="宋体"/>
          <w:highlight w:val="none"/>
        </w:rPr>
        <w:t>　　质量保修期自工程竣工验收合格之日起计算。</w:t>
      </w:r>
    </w:p>
    <w:p w14:paraId="4D461073">
      <w:pPr>
        <w:spacing w:line="560" w:lineRule="exact"/>
        <w:ind w:firstLine="420" w:firstLineChars="200"/>
        <w:outlineLvl w:val="0"/>
        <w:rPr>
          <w:rFonts w:hint="eastAsia" w:ascii="宋体" w:hAnsi="宋体" w:cs="宋体"/>
          <w:highlight w:val="none"/>
        </w:rPr>
      </w:pPr>
      <w:r>
        <w:rPr>
          <w:rFonts w:hint="eastAsia" w:ascii="宋体" w:hAnsi="宋体" w:cs="宋体"/>
          <w:highlight w:val="none"/>
        </w:rPr>
        <w:t>三、缺陷责任期</w:t>
      </w:r>
    </w:p>
    <w:p w14:paraId="13F1E877">
      <w:pPr>
        <w:spacing w:line="560" w:lineRule="exact"/>
        <w:ind w:firstLine="420" w:firstLineChars="200"/>
        <w:rPr>
          <w:rFonts w:hint="eastAsia" w:ascii="宋体" w:hAnsi="宋体" w:cs="宋体"/>
          <w:highlight w:val="none"/>
        </w:rPr>
      </w:pPr>
      <w:r>
        <w:rPr>
          <w:rFonts w:hint="eastAsia" w:ascii="宋体" w:hAnsi="宋体" w:cs="宋体"/>
          <w:highlight w:val="none"/>
        </w:rPr>
        <w:t>工程缺陷责任期为</w:t>
      </w:r>
      <w:r>
        <w:rPr>
          <w:rFonts w:hint="eastAsia" w:ascii="宋体" w:hAnsi="宋体" w:cs="宋体"/>
          <w:highlight w:val="none"/>
          <w:u w:val="single"/>
        </w:rPr>
        <w:t xml:space="preserve">  12  </w:t>
      </w:r>
      <w:r>
        <w:rPr>
          <w:rFonts w:hint="eastAsia" w:ascii="宋体" w:hAnsi="宋体" w:cs="宋体"/>
          <w:highlight w:val="none"/>
        </w:rPr>
        <w:t>个月，缺陷责任期自工程通过竣工验收之日起计算。。</w:t>
      </w:r>
    </w:p>
    <w:p w14:paraId="426FEB28">
      <w:pPr>
        <w:spacing w:line="560" w:lineRule="exact"/>
        <w:ind w:firstLine="420" w:firstLineChars="200"/>
        <w:rPr>
          <w:rFonts w:hint="eastAsia" w:ascii="宋体" w:hAnsi="宋体" w:cs="宋体"/>
          <w:highlight w:val="none"/>
        </w:rPr>
      </w:pPr>
      <w:r>
        <w:rPr>
          <w:rFonts w:hint="eastAsia" w:ascii="宋体" w:hAnsi="宋体" w:cs="宋体"/>
          <w:highlight w:val="none"/>
        </w:rPr>
        <w:t>缺陷责任期终止后，发包人应退还剩余的质量保证金。</w:t>
      </w:r>
    </w:p>
    <w:p w14:paraId="5A9D33C6">
      <w:pPr>
        <w:spacing w:line="480" w:lineRule="auto"/>
        <w:outlineLvl w:val="0"/>
        <w:rPr>
          <w:rFonts w:hint="eastAsia" w:ascii="宋体" w:hAnsi="宋体" w:cs="宋体"/>
          <w:highlight w:val="none"/>
        </w:rPr>
      </w:pPr>
      <w:r>
        <w:rPr>
          <w:rFonts w:hint="eastAsia" w:ascii="宋体" w:hAnsi="宋体" w:cs="宋体"/>
          <w:highlight w:val="none"/>
        </w:rPr>
        <w:t xml:space="preserve"> </w:t>
      </w:r>
    </w:p>
    <w:p w14:paraId="5BD80F64">
      <w:pPr>
        <w:spacing w:line="480" w:lineRule="auto"/>
        <w:outlineLvl w:val="0"/>
        <w:rPr>
          <w:rFonts w:hint="eastAsia" w:ascii="宋体" w:hAnsi="宋体" w:cs="宋体"/>
          <w:highlight w:val="none"/>
        </w:rPr>
      </w:pPr>
      <w:r>
        <w:rPr>
          <w:rFonts w:hint="eastAsia" w:ascii="宋体" w:hAnsi="宋体" w:cs="宋体"/>
          <w:highlight w:val="none"/>
        </w:rPr>
        <w:t xml:space="preserve">   四、质量保修责任</w:t>
      </w:r>
    </w:p>
    <w:p w14:paraId="0AD34EB7">
      <w:pPr>
        <w:spacing w:line="480" w:lineRule="auto"/>
        <w:ind w:left="105" w:leftChars="50" w:firstLine="430" w:firstLineChars="205"/>
        <w:rPr>
          <w:rFonts w:hint="eastAsia" w:ascii="宋体" w:hAnsi="宋体" w:cs="宋体"/>
          <w:highlight w:val="none"/>
        </w:rPr>
      </w:pPr>
      <w:r>
        <w:rPr>
          <w:rFonts w:hint="eastAsia" w:ascii="宋体" w:hAnsi="宋体" w:cs="宋体"/>
          <w:highlight w:val="none"/>
        </w:rPr>
        <w:t>1．属于保修范围、内容的项目，承包人应当在接到保修通知之日起7天内派人保修。承包人不在约定期限内派人保修的，发包人可以委托他人修理。</w:t>
      </w:r>
    </w:p>
    <w:p w14:paraId="677F7EB9">
      <w:pPr>
        <w:spacing w:line="480" w:lineRule="auto"/>
        <w:ind w:left="105" w:leftChars="50" w:firstLine="430" w:firstLineChars="205"/>
        <w:rPr>
          <w:rFonts w:hint="eastAsia" w:ascii="宋体" w:hAnsi="宋体" w:cs="宋体"/>
          <w:highlight w:val="none"/>
        </w:rPr>
      </w:pPr>
      <w:r>
        <w:rPr>
          <w:rFonts w:hint="eastAsia" w:ascii="宋体" w:hAnsi="宋体" w:cs="宋体"/>
          <w:highlight w:val="none"/>
        </w:rPr>
        <w:t>2．发生紧急事故需抢修的，承包人在接到事故通知后，应当立即到达事故现场抢修。</w:t>
      </w:r>
    </w:p>
    <w:p w14:paraId="212D5A8C">
      <w:pPr>
        <w:spacing w:line="480" w:lineRule="auto"/>
        <w:ind w:left="105" w:leftChars="50" w:firstLine="430" w:firstLineChars="205"/>
        <w:rPr>
          <w:rFonts w:hint="eastAsia" w:ascii="宋体" w:hAnsi="宋体" w:cs="宋体"/>
          <w:highlight w:val="none"/>
        </w:rPr>
      </w:pPr>
      <w:r>
        <w:rPr>
          <w:rFonts w:hint="eastAsia" w:ascii="宋体" w:hAnsi="宋体" w:cs="宋体"/>
          <w:highlight w:val="none"/>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63F77071">
      <w:pPr>
        <w:spacing w:line="480" w:lineRule="auto"/>
        <w:ind w:firstLine="420" w:firstLineChars="200"/>
        <w:rPr>
          <w:rFonts w:hint="eastAsia" w:ascii="宋体" w:hAnsi="宋体" w:cs="宋体"/>
          <w:highlight w:val="none"/>
        </w:rPr>
      </w:pPr>
      <w:r>
        <w:rPr>
          <w:rFonts w:hint="eastAsia" w:ascii="宋体" w:hAnsi="宋体" w:cs="宋体"/>
          <w:highlight w:val="none"/>
        </w:rPr>
        <w:t>4．质量保修完成后，由发包人组织验收。</w:t>
      </w:r>
    </w:p>
    <w:p w14:paraId="26A1991C">
      <w:pPr>
        <w:spacing w:line="480" w:lineRule="auto"/>
        <w:outlineLvl w:val="0"/>
        <w:rPr>
          <w:rFonts w:hint="eastAsia" w:ascii="宋体" w:hAnsi="宋体" w:cs="宋体"/>
          <w:highlight w:val="none"/>
        </w:rPr>
      </w:pPr>
      <w:r>
        <w:rPr>
          <w:rFonts w:hint="eastAsia" w:ascii="宋体" w:hAnsi="宋体" w:cs="宋体"/>
          <w:highlight w:val="none"/>
        </w:rPr>
        <w:t>　　五、保修费用</w:t>
      </w:r>
    </w:p>
    <w:p w14:paraId="207B9CE4">
      <w:pPr>
        <w:spacing w:line="480" w:lineRule="auto"/>
        <w:rPr>
          <w:rFonts w:hint="eastAsia" w:ascii="宋体" w:hAnsi="宋体" w:cs="宋体"/>
          <w:highlight w:val="none"/>
        </w:rPr>
      </w:pPr>
      <w:r>
        <w:rPr>
          <w:rFonts w:hint="eastAsia" w:ascii="宋体" w:hAnsi="宋体" w:cs="宋体"/>
          <w:highlight w:val="none"/>
        </w:rPr>
        <w:t>　　保修费用由造成质量缺陷的责任方承担。</w:t>
      </w:r>
    </w:p>
    <w:p w14:paraId="413EA8E0">
      <w:pPr>
        <w:spacing w:line="480" w:lineRule="auto"/>
        <w:ind w:firstLine="420" w:firstLineChars="200"/>
        <w:outlineLvl w:val="0"/>
        <w:rPr>
          <w:rFonts w:hint="eastAsia" w:ascii="宋体" w:hAnsi="宋体" w:cs="宋体"/>
          <w:highlight w:val="none"/>
        </w:rPr>
      </w:pPr>
      <w:r>
        <w:rPr>
          <w:rFonts w:hint="eastAsia" w:ascii="宋体" w:hAnsi="宋体" w:cs="宋体"/>
          <w:highlight w:val="none"/>
        </w:rPr>
        <w:t>六、双方约定的其他工程质量保修事项：</w:t>
      </w:r>
      <w:r>
        <w:rPr>
          <w:rFonts w:hint="eastAsia" w:ascii="宋体" w:hAnsi="宋体" w:cs="宋体"/>
          <w:i/>
          <w:iCs/>
          <w:highlight w:val="none"/>
          <w:u w:val="single"/>
        </w:rPr>
        <w:t xml:space="preserve">   </w:t>
      </w:r>
      <w:r>
        <w:rPr>
          <w:rFonts w:hint="eastAsia" w:ascii="宋体" w:hAnsi="宋体" w:cs="宋体"/>
          <w:highlight w:val="none"/>
          <w:u w:val="single"/>
        </w:rPr>
        <w:t>/</w:t>
      </w:r>
      <w:r>
        <w:rPr>
          <w:rFonts w:hint="eastAsia" w:ascii="宋体" w:hAnsi="宋体" w:cs="宋体"/>
          <w:i/>
          <w:iCs/>
          <w:highlight w:val="none"/>
          <w:u w:val="single"/>
        </w:rPr>
        <w:t xml:space="preserve">   </w:t>
      </w:r>
      <w:r>
        <w:rPr>
          <w:rFonts w:hint="eastAsia" w:ascii="宋体" w:hAnsi="宋体" w:cs="宋体"/>
          <w:highlight w:val="none"/>
        </w:rPr>
        <w:t>。</w:t>
      </w:r>
    </w:p>
    <w:p w14:paraId="1BE16F3F">
      <w:pPr>
        <w:spacing w:line="480" w:lineRule="auto"/>
        <w:ind w:firstLine="399" w:firstLineChars="190"/>
        <w:rPr>
          <w:rFonts w:hint="eastAsia" w:ascii="宋体" w:hAnsi="宋体" w:cs="宋体"/>
          <w:highlight w:val="none"/>
        </w:rPr>
      </w:pPr>
      <w:r>
        <w:rPr>
          <w:rFonts w:hint="eastAsia" w:ascii="宋体" w:hAnsi="宋体" w:cs="宋体"/>
          <w:highlight w:val="none"/>
        </w:rPr>
        <w:t>工程质量保修书由发包人、承包人在工程竣工验收前共同签署，作为施工合同附件，其有效期限至保修期满。</w:t>
      </w:r>
    </w:p>
    <w:p w14:paraId="32757D82">
      <w:pPr>
        <w:spacing w:line="480" w:lineRule="auto"/>
        <w:ind w:firstLine="420"/>
        <w:rPr>
          <w:rFonts w:hint="eastAsia" w:ascii="宋体" w:hAnsi="宋体" w:cs="宋体"/>
          <w:highlight w:val="none"/>
        </w:rPr>
      </w:pPr>
    </w:p>
    <w:p w14:paraId="605CB1DA">
      <w:pPr>
        <w:spacing w:line="480" w:lineRule="auto"/>
        <w:jc w:val="left"/>
        <w:rPr>
          <w:rFonts w:hint="eastAsia" w:ascii="宋体" w:hAnsi="宋体" w:cs="宋体"/>
          <w:kern w:val="0"/>
          <w:highlight w:val="none"/>
        </w:rPr>
      </w:pPr>
      <w:r>
        <w:rPr>
          <w:rFonts w:hint="eastAsia" w:ascii="宋体" w:hAnsi="宋体" w:cs="宋体"/>
          <w:kern w:val="0"/>
          <w:highlight w:val="none"/>
        </w:rPr>
        <w:t xml:space="preserve">发   包  人 (公章) ：            承   包   人(公章)：  </w:t>
      </w:r>
    </w:p>
    <w:p w14:paraId="5F1FD8ED">
      <w:pPr>
        <w:spacing w:line="480" w:lineRule="auto"/>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p>
    <w:p w14:paraId="63D1E90B">
      <w:pPr>
        <w:spacing w:line="480" w:lineRule="auto"/>
        <w:jc w:val="left"/>
        <w:rPr>
          <w:rFonts w:hint="eastAsia" w:ascii="宋体" w:hAnsi="宋体" w:cs="宋体"/>
          <w:kern w:val="0"/>
          <w:highlight w:val="none"/>
        </w:rPr>
      </w:pPr>
      <w:r>
        <w:rPr>
          <w:rFonts w:hint="eastAsia" w:ascii="宋体" w:hAnsi="宋体" w:cs="宋体"/>
          <w:kern w:val="0"/>
          <w:highlight w:val="none"/>
        </w:rPr>
        <w:t>法定代表人（签字）：            法定代表人（签字）：</w:t>
      </w:r>
    </w:p>
    <w:p w14:paraId="06E628E3">
      <w:pPr>
        <w:spacing w:line="480" w:lineRule="auto"/>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p>
    <w:p w14:paraId="46BB306E">
      <w:pPr>
        <w:spacing w:line="480" w:lineRule="auto"/>
        <w:jc w:val="left"/>
        <w:rPr>
          <w:rFonts w:hint="eastAsia" w:ascii="宋体" w:hAnsi="宋体" w:cs="宋体"/>
          <w:kern w:val="0"/>
          <w:highlight w:val="none"/>
        </w:rPr>
      </w:pPr>
      <w:r>
        <w:rPr>
          <w:rFonts w:hint="eastAsia" w:ascii="宋体" w:hAnsi="宋体" w:cs="宋体"/>
          <w:kern w:val="0"/>
          <w:highlight w:val="none"/>
        </w:rPr>
        <w:t>委托代理人（签字）：            委托代理人（签字）：</w:t>
      </w:r>
    </w:p>
    <w:p w14:paraId="163DCCFF">
      <w:pPr>
        <w:spacing w:line="480" w:lineRule="auto"/>
        <w:ind w:firstLine="420" w:firstLineChars="200"/>
        <w:jc w:val="left"/>
        <w:rPr>
          <w:rFonts w:hint="eastAsia" w:ascii="宋体" w:hAnsi="宋体" w:cs="宋体"/>
          <w:kern w:val="0"/>
          <w:highlight w:val="none"/>
        </w:rPr>
      </w:pPr>
    </w:p>
    <w:p w14:paraId="5BEE0EBA">
      <w:pPr>
        <w:spacing w:line="480" w:lineRule="auto"/>
        <w:jc w:val="left"/>
        <w:rPr>
          <w:rFonts w:hint="eastAsia" w:ascii="宋体" w:hAnsi="宋体" w:cs="宋体"/>
          <w:kern w:val="0"/>
          <w:highlight w:val="none"/>
        </w:rPr>
      </w:pPr>
      <w:r>
        <w:rPr>
          <w:rFonts w:hint="eastAsia" w:ascii="宋体" w:hAnsi="宋体" w:cs="宋体"/>
          <w:kern w:val="0"/>
          <w:highlight w:val="none"/>
        </w:rPr>
        <w:t>经 办 人：                      经 办 人：</w:t>
      </w:r>
    </w:p>
    <w:p w14:paraId="56B7E955">
      <w:pPr>
        <w:spacing w:line="480" w:lineRule="auto"/>
        <w:jc w:val="left"/>
        <w:rPr>
          <w:rFonts w:hint="eastAsia" w:ascii="宋体" w:hAnsi="宋体" w:cs="宋体"/>
          <w:kern w:val="0"/>
          <w:highlight w:val="none"/>
        </w:rPr>
      </w:pPr>
      <w:r>
        <w:rPr>
          <w:rFonts w:hint="eastAsia" w:ascii="宋体" w:hAnsi="宋体" w:cs="宋体"/>
          <w:kern w:val="0"/>
          <w:highlight w:val="none"/>
        </w:rPr>
        <w:t xml:space="preserve">  </w:t>
      </w:r>
    </w:p>
    <w:p w14:paraId="687F5411">
      <w:pPr>
        <w:spacing w:line="480" w:lineRule="auto"/>
        <w:jc w:val="left"/>
        <w:rPr>
          <w:rFonts w:hint="eastAsia" w:ascii="宋体" w:hAnsi="宋体" w:cs="宋体"/>
          <w:kern w:val="0"/>
          <w:highlight w:val="none"/>
        </w:rPr>
      </w:pPr>
      <w:r>
        <w:rPr>
          <w:rFonts w:hint="eastAsia" w:ascii="宋体" w:hAnsi="宋体" w:cs="宋体"/>
          <w:kern w:val="0"/>
          <w:highlight w:val="none"/>
        </w:rPr>
        <w:t xml:space="preserve">地  址：                       地  址：                                        </w:t>
      </w:r>
    </w:p>
    <w:p w14:paraId="77C9097B">
      <w:pPr>
        <w:spacing w:line="480" w:lineRule="auto"/>
        <w:jc w:val="left"/>
        <w:rPr>
          <w:rFonts w:hint="eastAsia" w:ascii="宋体" w:hAnsi="宋体" w:cs="宋体"/>
          <w:kern w:val="0"/>
          <w:highlight w:val="none"/>
        </w:rPr>
      </w:pPr>
    </w:p>
    <w:p w14:paraId="43BECA2D">
      <w:pPr>
        <w:spacing w:line="480" w:lineRule="auto"/>
        <w:jc w:val="left"/>
        <w:rPr>
          <w:rFonts w:hint="eastAsia" w:ascii="宋体" w:hAnsi="宋体" w:cs="宋体"/>
          <w:kern w:val="0"/>
          <w:highlight w:val="none"/>
        </w:rPr>
      </w:pPr>
      <w:r>
        <w:rPr>
          <w:rFonts w:hint="eastAsia" w:ascii="宋体" w:hAnsi="宋体" w:cs="宋体"/>
          <w:kern w:val="0"/>
          <w:highlight w:val="none"/>
        </w:rPr>
        <w:t xml:space="preserve">邮政编码：                     邮政编：  </w:t>
      </w:r>
    </w:p>
    <w:p w14:paraId="767DB6CE">
      <w:pPr>
        <w:rPr>
          <w:rFonts w:hint="eastAsia" w:ascii="宋体" w:hAnsi="宋体" w:cs="宋体"/>
          <w:kern w:val="0"/>
          <w:highlight w:val="none"/>
        </w:rPr>
      </w:pPr>
      <w:r>
        <w:rPr>
          <w:rFonts w:hint="eastAsia" w:ascii="宋体" w:hAnsi="宋体" w:cs="宋体"/>
          <w:kern w:val="0"/>
          <w:highlight w:val="none"/>
        </w:rPr>
        <w:br w:type="page"/>
      </w:r>
    </w:p>
    <w:p w14:paraId="3DC8AFFA">
      <w:pPr>
        <w:spacing w:line="480" w:lineRule="auto"/>
        <w:jc w:val="left"/>
        <w:rPr>
          <w:rFonts w:hint="eastAsia" w:ascii="宋体" w:hAnsi="宋体" w:cs="宋体"/>
          <w:kern w:val="0"/>
          <w:highlight w:val="none"/>
        </w:rPr>
      </w:pPr>
    </w:p>
    <w:p w14:paraId="4FDAF83E">
      <w:pPr>
        <w:spacing w:line="560" w:lineRule="exact"/>
        <w:jc w:val="center"/>
        <w:rPr>
          <w:rFonts w:hint="eastAsia" w:ascii="宋体" w:hAnsi="宋体" w:cs="宋体"/>
          <w:b/>
          <w:highlight w:val="none"/>
        </w:rPr>
      </w:pPr>
      <w:r>
        <w:rPr>
          <w:rFonts w:hint="eastAsia" w:ascii="宋体" w:hAnsi="宋体" w:cs="宋体"/>
          <w:b/>
          <w:highlight w:val="none"/>
        </w:rPr>
        <w:t>建设工程廉政责任书</w:t>
      </w:r>
    </w:p>
    <w:p w14:paraId="1E7242A9">
      <w:pPr>
        <w:spacing w:line="360" w:lineRule="auto"/>
        <w:ind w:firstLine="420" w:firstLineChars="200"/>
        <w:rPr>
          <w:rFonts w:hint="eastAsia" w:ascii="宋体" w:hAnsi="宋体" w:cs="宋体"/>
          <w:b/>
          <w:highlight w:val="none"/>
          <w:u w:val="single"/>
        </w:rPr>
      </w:pPr>
      <w:r>
        <w:rPr>
          <w:rFonts w:hint="eastAsia" w:ascii="宋体" w:hAnsi="宋体" w:cs="宋体"/>
          <w:highlight w:val="none"/>
        </w:rPr>
        <w:t>发包人（全称）：</w:t>
      </w:r>
      <w:r>
        <w:rPr>
          <w:rFonts w:hint="eastAsia" w:ascii="宋体" w:hAnsi="宋体" w:cs="宋体"/>
          <w:highlight w:val="none"/>
          <w:u w:val="single"/>
        </w:rPr>
        <w:t xml:space="preserve"> </w:t>
      </w:r>
      <w:r>
        <w:rPr>
          <w:rFonts w:hint="eastAsia" w:ascii="宋体" w:hAnsi="宋体" w:cs="宋体"/>
          <w:bCs/>
          <w:highlight w:val="none"/>
          <w:u w:val="single"/>
        </w:rPr>
        <w:t>重庆市九龙坡区白市驿镇人民政府</w:t>
      </w:r>
    </w:p>
    <w:p w14:paraId="20740299">
      <w:pPr>
        <w:spacing w:line="360" w:lineRule="auto"/>
        <w:rPr>
          <w:rFonts w:hint="eastAsia" w:ascii="宋体" w:hAnsi="宋体" w:cs="宋体"/>
          <w:highlight w:val="none"/>
        </w:rPr>
      </w:pPr>
      <w:r>
        <w:rPr>
          <w:rFonts w:hint="eastAsia" w:ascii="宋体" w:hAnsi="宋体" w:cs="宋体"/>
          <w:highlight w:val="none"/>
        </w:rPr>
        <w:t>　　承包人（全称）：</w:t>
      </w:r>
      <w:r>
        <w:rPr>
          <w:rFonts w:hint="eastAsia" w:ascii="宋体" w:hAnsi="宋体" w:cs="宋体"/>
          <w:b/>
          <w:highlight w:val="none"/>
          <w:u w:val="single"/>
        </w:rPr>
        <w:t xml:space="preserve"> </w:t>
      </w:r>
      <w:r>
        <w:rPr>
          <w:rFonts w:hint="eastAsia" w:ascii="宋体" w:hAnsi="宋体" w:cs="宋体"/>
          <w:kern w:val="0"/>
          <w:highlight w:val="none"/>
          <w:u w:val="single"/>
        </w:rPr>
        <w:t xml:space="preserve">                                </w:t>
      </w:r>
      <w:r>
        <w:rPr>
          <w:rFonts w:hint="eastAsia" w:ascii="宋体" w:hAnsi="宋体" w:cs="宋体"/>
          <w:b/>
          <w:highlight w:val="none"/>
          <w:u w:val="single"/>
        </w:rPr>
        <w:t xml:space="preserve"> </w:t>
      </w:r>
      <w:r>
        <w:rPr>
          <w:rFonts w:hint="eastAsia" w:ascii="宋体" w:hAnsi="宋体" w:cs="宋体"/>
          <w:highlight w:val="none"/>
        </w:rPr>
        <w:t xml:space="preserve"> 　　　　　　　　　　　　　　　　　　　　　　</w:t>
      </w:r>
    </w:p>
    <w:p w14:paraId="1D9459B6">
      <w:pPr>
        <w:spacing w:line="360" w:lineRule="auto"/>
        <w:rPr>
          <w:rFonts w:hint="eastAsia" w:ascii="宋体" w:hAnsi="宋体" w:cs="宋体"/>
          <w:highlight w:val="none"/>
        </w:rPr>
      </w:pPr>
      <w:r>
        <w:rPr>
          <w:rFonts w:hint="eastAsia" w:ascii="宋体" w:hAnsi="宋体" w:cs="宋体"/>
          <w:highlight w:val="none"/>
        </w:rPr>
        <w:t>　　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5F426273">
      <w:pPr>
        <w:spacing w:line="360" w:lineRule="auto"/>
        <w:ind w:firstLine="420" w:firstLineChars="200"/>
        <w:rPr>
          <w:rFonts w:hint="eastAsia" w:ascii="宋体" w:hAnsi="宋体" w:cs="宋体"/>
          <w:bCs/>
          <w:highlight w:val="none"/>
        </w:rPr>
      </w:pPr>
      <w:r>
        <w:rPr>
          <w:rFonts w:hint="eastAsia" w:ascii="宋体" w:hAnsi="宋体" w:cs="宋体"/>
          <w:bCs/>
          <w:highlight w:val="none"/>
        </w:rPr>
        <w:t>一、双方的责任</w:t>
      </w:r>
    </w:p>
    <w:p w14:paraId="10C7AC9F">
      <w:pPr>
        <w:spacing w:line="360" w:lineRule="auto"/>
        <w:rPr>
          <w:rFonts w:hint="eastAsia" w:ascii="宋体" w:hAnsi="宋体" w:cs="宋体"/>
          <w:highlight w:val="none"/>
        </w:rPr>
      </w:pPr>
      <w:r>
        <w:rPr>
          <w:rFonts w:hint="eastAsia" w:ascii="宋体" w:hAnsi="宋体" w:cs="宋体"/>
          <w:highlight w:val="none"/>
        </w:rPr>
        <w:t>　　1.1应严格遵守国家关于建设工程的有关法律、法规，相关政策，以及廉政建设的各项规定。</w:t>
      </w:r>
    </w:p>
    <w:p w14:paraId="5736173E">
      <w:pPr>
        <w:spacing w:line="360" w:lineRule="auto"/>
        <w:rPr>
          <w:rFonts w:hint="eastAsia" w:ascii="宋体" w:hAnsi="宋体" w:cs="宋体"/>
          <w:highlight w:val="none"/>
        </w:rPr>
      </w:pPr>
      <w:r>
        <w:rPr>
          <w:rFonts w:hint="eastAsia" w:ascii="宋体" w:hAnsi="宋体" w:cs="宋体"/>
          <w:highlight w:val="none"/>
        </w:rPr>
        <w:t>　　1.2严格执行建设工程合同文件，自觉按合同办事。</w:t>
      </w:r>
    </w:p>
    <w:p w14:paraId="51268A4D">
      <w:pPr>
        <w:spacing w:line="360" w:lineRule="auto"/>
        <w:rPr>
          <w:rFonts w:hint="eastAsia" w:ascii="宋体" w:hAnsi="宋体" w:cs="宋体"/>
          <w:highlight w:val="none"/>
        </w:rPr>
      </w:pPr>
      <w:r>
        <w:rPr>
          <w:rFonts w:hint="eastAsia" w:ascii="宋体" w:hAnsi="宋体" w:cs="宋体"/>
          <w:highlight w:val="none"/>
        </w:rPr>
        <w:t>　　1.3各项活动必须坚持公开、公平、公正、诚信、透明的原则(除法律法规另有规定者外)，不得为获取不正当的利益，损害国家、集体和对方利益，不得违反建设工程管理的规章制度。</w:t>
      </w:r>
    </w:p>
    <w:p w14:paraId="4E949193">
      <w:pPr>
        <w:spacing w:line="360" w:lineRule="auto"/>
        <w:rPr>
          <w:rFonts w:hint="eastAsia" w:ascii="宋体" w:hAnsi="宋体" w:cs="宋体"/>
          <w:highlight w:val="none"/>
        </w:rPr>
      </w:pPr>
      <w:r>
        <w:rPr>
          <w:rFonts w:hint="eastAsia" w:ascii="宋体" w:hAnsi="宋体" w:cs="宋体"/>
          <w:highlight w:val="none"/>
        </w:rPr>
        <w:t>　　1.4发现对方在业务活动中有违规、违纪、违法行为的，应及时提醒对方，情节严重的，应向其上级主管部门或纪检监察、司法等有关机关举报。</w:t>
      </w:r>
    </w:p>
    <w:p w14:paraId="34A199EE">
      <w:pPr>
        <w:spacing w:line="360" w:lineRule="auto"/>
        <w:ind w:firstLine="420" w:firstLineChars="200"/>
        <w:rPr>
          <w:rFonts w:hint="eastAsia" w:ascii="宋体" w:hAnsi="宋体" w:cs="宋体"/>
          <w:bCs/>
          <w:highlight w:val="none"/>
        </w:rPr>
      </w:pPr>
      <w:r>
        <w:rPr>
          <w:rFonts w:hint="eastAsia" w:ascii="宋体" w:hAnsi="宋体" w:cs="宋体"/>
          <w:bCs/>
          <w:highlight w:val="none"/>
        </w:rPr>
        <w:t>二、发包人责任</w:t>
      </w:r>
    </w:p>
    <w:p w14:paraId="369B1E05">
      <w:pPr>
        <w:spacing w:line="360" w:lineRule="auto"/>
        <w:rPr>
          <w:rFonts w:hint="eastAsia" w:ascii="宋体" w:hAnsi="宋体" w:cs="宋体"/>
          <w:highlight w:val="none"/>
        </w:rPr>
      </w:pPr>
      <w:r>
        <w:rPr>
          <w:rFonts w:hint="eastAsia" w:ascii="宋体" w:hAnsi="宋体" w:cs="宋体"/>
          <w:highlight w:val="none"/>
        </w:rPr>
        <w:t>　　发包人的领导和从事该建设工程项目的工作人员，在工程建设的事前、事中、事后应遵守以下规定：</w:t>
      </w:r>
    </w:p>
    <w:p w14:paraId="77DB887E">
      <w:pPr>
        <w:spacing w:line="360" w:lineRule="auto"/>
        <w:rPr>
          <w:rFonts w:hint="eastAsia" w:ascii="宋体" w:hAnsi="宋体" w:cs="宋体"/>
          <w:highlight w:val="none"/>
        </w:rPr>
      </w:pPr>
      <w:r>
        <w:rPr>
          <w:rFonts w:hint="eastAsia" w:ascii="宋体" w:hAnsi="宋体" w:cs="宋体"/>
          <w:highlight w:val="none"/>
        </w:rPr>
        <w:t>　　2.1不得向承包人和相关单位索要或接受回扣、礼金、有价证券、贵重物品和好处费、感谢费等。</w:t>
      </w:r>
    </w:p>
    <w:p w14:paraId="3C105271">
      <w:pPr>
        <w:spacing w:line="360" w:lineRule="auto"/>
        <w:rPr>
          <w:rFonts w:hint="eastAsia" w:ascii="宋体" w:hAnsi="宋体" w:cs="宋体"/>
          <w:highlight w:val="none"/>
        </w:rPr>
      </w:pPr>
      <w:r>
        <w:rPr>
          <w:rFonts w:hint="eastAsia" w:ascii="宋体" w:hAnsi="宋体" w:cs="宋体"/>
          <w:highlight w:val="none"/>
        </w:rPr>
        <w:t>　　2.2不得在承包人和相关单位报销任何应由发包人或个人支付的费用。</w:t>
      </w:r>
    </w:p>
    <w:p w14:paraId="59379EE1">
      <w:pPr>
        <w:spacing w:line="360" w:lineRule="auto"/>
        <w:rPr>
          <w:rFonts w:hint="eastAsia" w:ascii="宋体" w:hAnsi="宋体" w:cs="宋体"/>
          <w:highlight w:val="none"/>
        </w:rPr>
      </w:pPr>
      <w:r>
        <w:rPr>
          <w:rFonts w:hint="eastAsia" w:ascii="宋体" w:hAnsi="宋体" w:cs="宋体"/>
          <w:highlight w:val="none"/>
        </w:rPr>
        <w:t>　　2.3不得要求、暗示或接受承包人和相关单位为个人装修住房、婚丧嫁娶、配偶子女的工作安排以及出国(境)、旅游等提供方便。</w:t>
      </w:r>
    </w:p>
    <w:p w14:paraId="45D6F1CF">
      <w:pPr>
        <w:spacing w:line="360" w:lineRule="auto"/>
        <w:rPr>
          <w:rFonts w:hint="eastAsia" w:ascii="宋体" w:hAnsi="宋体" w:cs="宋体"/>
          <w:highlight w:val="none"/>
        </w:rPr>
      </w:pPr>
      <w:r>
        <w:rPr>
          <w:rFonts w:hint="eastAsia" w:ascii="宋体" w:hAnsi="宋体" w:cs="宋体"/>
          <w:highlight w:val="none"/>
        </w:rPr>
        <w:t>　　2.4不得参加有可能影响公正执行公务的承包人和相关单位的宴请、健身、娱乐等活动。</w:t>
      </w:r>
    </w:p>
    <w:p w14:paraId="62076465">
      <w:pPr>
        <w:spacing w:line="360" w:lineRule="auto"/>
        <w:rPr>
          <w:rFonts w:hint="eastAsia" w:ascii="宋体" w:hAnsi="宋体" w:cs="宋体"/>
          <w:highlight w:val="none"/>
        </w:rPr>
      </w:pPr>
      <w:r>
        <w:rPr>
          <w:rFonts w:hint="eastAsia" w:ascii="宋体" w:hAnsi="宋体" w:cs="宋体"/>
          <w:highlight w:val="none"/>
        </w:rPr>
        <w:t>　　2.5不得向承包人和相关单位介绍或为配偶、子女、亲属参与同发包人工程建设管理合同有关的业务活动；不得以任何理由要求承包人和相关单位使用某种产品、材料和设备。</w:t>
      </w:r>
    </w:p>
    <w:p w14:paraId="50A35A7F">
      <w:pPr>
        <w:spacing w:line="360" w:lineRule="auto"/>
        <w:ind w:firstLine="420" w:firstLineChars="200"/>
        <w:rPr>
          <w:rFonts w:hint="eastAsia" w:ascii="宋体" w:hAnsi="宋体" w:cs="宋体"/>
          <w:bCs/>
          <w:highlight w:val="none"/>
        </w:rPr>
      </w:pPr>
      <w:r>
        <w:rPr>
          <w:rFonts w:hint="eastAsia" w:ascii="宋体" w:hAnsi="宋体" w:cs="宋体"/>
          <w:bCs/>
          <w:highlight w:val="none"/>
        </w:rPr>
        <w:t>三、承包人责任</w:t>
      </w:r>
    </w:p>
    <w:p w14:paraId="25D391E1">
      <w:pPr>
        <w:spacing w:line="360" w:lineRule="auto"/>
        <w:rPr>
          <w:rFonts w:hint="eastAsia" w:ascii="宋体" w:hAnsi="宋体" w:cs="宋体"/>
          <w:highlight w:val="none"/>
        </w:rPr>
      </w:pPr>
      <w:r>
        <w:rPr>
          <w:rFonts w:hint="eastAsia" w:ascii="宋体" w:hAnsi="宋体" w:cs="宋体"/>
          <w:highlight w:val="none"/>
        </w:rPr>
        <w:t>　  应与发包人保持正常的业务交往，按照有关法律法规和程序开展业务工作，严格执行工程建设的有关方针、政策，执行工程建设强制性标准，并遵守以下规定：</w:t>
      </w:r>
    </w:p>
    <w:p w14:paraId="4090331D">
      <w:pPr>
        <w:spacing w:line="360" w:lineRule="auto"/>
        <w:rPr>
          <w:rFonts w:hint="eastAsia" w:ascii="宋体" w:hAnsi="宋体" w:cs="宋体"/>
          <w:highlight w:val="none"/>
        </w:rPr>
      </w:pPr>
      <w:r>
        <w:rPr>
          <w:rFonts w:hint="eastAsia" w:ascii="宋体" w:hAnsi="宋体" w:cs="宋体"/>
          <w:highlight w:val="none"/>
        </w:rPr>
        <w:t>　　3.1不得以任何理由向发包人及其工作人员索要、接受或赠送礼金、有价证券、贵重物品及回扣、好处费、感谢费等。</w:t>
      </w:r>
    </w:p>
    <w:p w14:paraId="7705B939">
      <w:pPr>
        <w:spacing w:line="360" w:lineRule="auto"/>
        <w:rPr>
          <w:rFonts w:hint="eastAsia" w:ascii="宋体" w:hAnsi="宋体" w:cs="宋体"/>
          <w:highlight w:val="none"/>
        </w:rPr>
      </w:pPr>
      <w:r>
        <w:rPr>
          <w:rFonts w:hint="eastAsia" w:ascii="宋体" w:hAnsi="宋体" w:cs="宋体"/>
          <w:highlight w:val="none"/>
        </w:rPr>
        <w:t>　　3.2不得以任何理由为发包人和相关单位报销应由对方或个人支付的费用。</w:t>
      </w:r>
    </w:p>
    <w:p w14:paraId="319FA9CF">
      <w:pPr>
        <w:spacing w:line="360" w:lineRule="auto"/>
        <w:rPr>
          <w:rFonts w:hint="eastAsia" w:ascii="宋体" w:hAnsi="宋体" w:cs="宋体"/>
          <w:highlight w:val="none"/>
        </w:rPr>
      </w:pPr>
      <w:r>
        <w:rPr>
          <w:rFonts w:hint="eastAsia" w:ascii="宋体" w:hAnsi="宋体" w:cs="宋体"/>
          <w:highlight w:val="none"/>
        </w:rPr>
        <w:t>　　3.3不得接受或暗示为发包人、相关单位或个人装修住房、婚丧嫁娶、配偶子女的工作安排以及出国(境)、旅游等提供方便。</w:t>
      </w:r>
    </w:p>
    <w:p w14:paraId="55422577">
      <w:pPr>
        <w:spacing w:line="360" w:lineRule="auto"/>
        <w:rPr>
          <w:rFonts w:hint="eastAsia" w:ascii="宋体" w:hAnsi="宋体" w:cs="宋体"/>
          <w:highlight w:val="none"/>
        </w:rPr>
      </w:pPr>
      <w:r>
        <w:rPr>
          <w:rFonts w:hint="eastAsia" w:ascii="宋体" w:hAnsi="宋体" w:cs="宋体"/>
          <w:highlight w:val="none"/>
        </w:rPr>
        <w:t>　　3.4不得以任何理由为发包人、相关单位或个人组织有可能影响公正执行公务的宴请、健身、娱乐等活动。</w:t>
      </w:r>
    </w:p>
    <w:p w14:paraId="65A43A11">
      <w:pPr>
        <w:spacing w:line="360" w:lineRule="auto"/>
        <w:ind w:firstLine="420" w:firstLineChars="200"/>
        <w:rPr>
          <w:rFonts w:hint="eastAsia" w:ascii="宋体" w:hAnsi="宋体" w:cs="宋体"/>
          <w:bCs/>
          <w:highlight w:val="none"/>
        </w:rPr>
      </w:pPr>
      <w:r>
        <w:rPr>
          <w:rFonts w:hint="eastAsia" w:ascii="宋体" w:hAnsi="宋体" w:cs="宋体"/>
          <w:bCs/>
          <w:highlight w:val="none"/>
        </w:rPr>
        <w:t>四、违约责任</w:t>
      </w:r>
    </w:p>
    <w:p w14:paraId="68549755">
      <w:pPr>
        <w:spacing w:line="360" w:lineRule="auto"/>
        <w:rPr>
          <w:rFonts w:hint="eastAsia" w:ascii="宋体" w:hAnsi="宋体" w:cs="宋体"/>
          <w:highlight w:val="none"/>
        </w:rPr>
      </w:pPr>
      <w:r>
        <w:rPr>
          <w:rFonts w:hint="eastAsia" w:ascii="宋体" w:hAnsi="宋体" w:cs="宋体"/>
          <w:highlight w:val="none"/>
        </w:rPr>
        <w:t>　　4.1发包人工作人员有违反本责任书第一、二条责任行为的，依据有关法律、法规给予处理；涉嫌犯罪的，移交司法机关追究刑事责任；给承包人单位造成经济损失的，应予以赔偿。</w:t>
      </w:r>
    </w:p>
    <w:p w14:paraId="103E8D12">
      <w:pPr>
        <w:spacing w:line="360" w:lineRule="auto"/>
        <w:rPr>
          <w:rFonts w:hint="eastAsia" w:ascii="宋体" w:hAnsi="宋体" w:cs="宋体"/>
          <w:highlight w:val="none"/>
        </w:rPr>
      </w:pPr>
      <w:r>
        <w:rPr>
          <w:rFonts w:hint="eastAsia" w:ascii="宋体" w:hAnsi="宋体" w:cs="宋体"/>
          <w:highlight w:val="none"/>
        </w:rPr>
        <w:t>　　4.2承包人工作人员有违反本责任书第一、三条责任行为的，依据有关法律法规处理；涉嫌犯罪的，移交司法机关追究刑事责任；给发包人单位造成经济损失的，应予以赔偿。</w:t>
      </w:r>
    </w:p>
    <w:p w14:paraId="4AB6A250">
      <w:pPr>
        <w:spacing w:line="360" w:lineRule="auto"/>
        <w:rPr>
          <w:rFonts w:hint="eastAsia" w:ascii="宋体" w:hAnsi="宋体" w:cs="宋体"/>
          <w:highlight w:val="none"/>
        </w:rPr>
      </w:pPr>
      <w:r>
        <w:rPr>
          <w:rFonts w:hint="eastAsia" w:ascii="宋体" w:hAnsi="宋体" w:cs="宋体"/>
          <w:highlight w:val="none"/>
        </w:rPr>
        <w:t>　　4.3本责任书作为建设工程合同的组成部分，与建设工程合同具有同等法律效力。经双方签署后立即生效。</w:t>
      </w:r>
    </w:p>
    <w:p w14:paraId="5B7DA86F">
      <w:pPr>
        <w:spacing w:line="360" w:lineRule="auto"/>
        <w:ind w:firstLine="420" w:firstLineChars="200"/>
        <w:rPr>
          <w:rFonts w:hint="eastAsia" w:ascii="宋体" w:hAnsi="宋体" w:cs="宋体"/>
          <w:bCs/>
          <w:highlight w:val="none"/>
        </w:rPr>
      </w:pPr>
      <w:r>
        <w:rPr>
          <w:rFonts w:hint="eastAsia" w:ascii="宋体" w:hAnsi="宋体" w:cs="宋体"/>
          <w:bCs/>
          <w:highlight w:val="none"/>
        </w:rPr>
        <w:t>五、责任书有效期</w:t>
      </w:r>
    </w:p>
    <w:p w14:paraId="7EB38E33">
      <w:pPr>
        <w:spacing w:line="360" w:lineRule="auto"/>
        <w:rPr>
          <w:rFonts w:hint="eastAsia" w:ascii="宋体" w:hAnsi="宋体" w:cs="宋体"/>
          <w:highlight w:val="none"/>
        </w:rPr>
      </w:pPr>
      <w:r>
        <w:rPr>
          <w:rFonts w:hint="eastAsia" w:ascii="宋体" w:hAnsi="宋体" w:cs="宋体"/>
          <w:highlight w:val="none"/>
        </w:rPr>
        <w:t>　　本责任书的有效期为双方签署之日起至该工程项目竣工验收合格时止。</w:t>
      </w:r>
    </w:p>
    <w:p w14:paraId="49633F9A">
      <w:pPr>
        <w:spacing w:line="360" w:lineRule="auto"/>
        <w:ind w:firstLine="420" w:firstLineChars="200"/>
        <w:rPr>
          <w:rFonts w:hint="eastAsia" w:ascii="宋体" w:hAnsi="宋体" w:cs="宋体"/>
          <w:bCs/>
          <w:highlight w:val="none"/>
        </w:rPr>
      </w:pPr>
      <w:r>
        <w:rPr>
          <w:rFonts w:hint="eastAsia" w:ascii="宋体" w:hAnsi="宋体" w:cs="宋体"/>
          <w:bCs/>
          <w:highlight w:val="none"/>
        </w:rPr>
        <w:t>六、责任书份数</w:t>
      </w:r>
    </w:p>
    <w:p w14:paraId="7F8BC132">
      <w:pPr>
        <w:spacing w:line="360" w:lineRule="auto"/>
        <w:ind w:firstLine="420" w:firstLineChars="200"/>
        <w:rPr>
          <w:rFonts w:hint="eastAsia" w:ascii="宋体" w:hAnsi="宋体" w:cs="宋体"/>
          <w:highlight w:val="none"/>
        </w:rPr>
      </w:pPr>
      <w:r>
        <w:rPr>
          <w:rFonts w:hint="eastAsia" w:ascii="宋体" w:hAnsi="宋体" w:cs="宋体"/>
          <w:highlight w:val="none"/>
        </w:rPr>
        <w:t>本责任书一式六份，发包人承包人各执三份，具有同等效力。</w:t>
      </w:r>
    </w:p>
    <w:p w14:paraId="2F7F9B98">
      <w:pPr>
        <w:spacing w:line="560" w:lineRule="exact"/>
        <w:jc w:val="left"/>
        <w:rPr>
          <w:rFonts w:hint="eastAsia" w:ascii="宋体" w:hAnsi="宋体" w:cs="宋体"/>
          <w:kern w:val="0"/>
          <w:highlight w:val="none"/>
        </w:rPr>
      </w:pPr>
    </w:p>
    <w:p w14:paraId="4D80D695">
      <w:pPr>
        <w:spacing w:line="560" w:lineRule="exact"/>
        <w:jc w:val="left"/>
        <w:rPr>
          <w:rFonts w:hint="eastAsia" w:ascii="宋体" w:hAnsi="宋体" w:cs="宋体"/>
          <w:kern w:val="0"/>
          <w:highlight w:val="none"/>
        </w:rPr>
      </w:pPr>
      <w:r>
        <w:rPr>
          <w:rFonts w:hint="eastAsia" w:ascii="宋体" w:hAnsi="宋体" w:cs="宋体"/>
          <w:kern w:val="0"/>
          <w:highlight w:val="none"/>
        </w:rPr>
        <w:t>发 包 人：  (公章)              承 包 人：  (公章)</w:t>
      </w:r>
    </w:p>
    <w:p w14:paraId="62B4ED1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p>
    <w:p w14:paraId="51F878D3">
      <w:pPr>
        <w:spacing w:line="560" w:lineRule="exact"/>
        <w:jc w:val="left"/>
        <w:rPr>
          <w:rFonts w:hint="eastAsia" w:ascii="宋体" w:hAnsi="宋体" w:cs="宋体"/>
          <w:kern w:val="0"/>
          <w:highlight w:val="none"/>
        </w:rPr>
      </w:pPr>
      <w:r>
        <w:rPr>
          <w:rFonts w:hint="eastAsia" w:ascii="宋体" w:hAnsi="宋体" w:cs="宋体"/>
          <w:kern w:val="0"/>
          <w:highlight w:val="none"/>
        </w:rPr>
        <w:t>法定代表人（签字）：            法定代表人（签字）：</w:t>
      </w:r>
    </w:p>
    <w:p w14:paraId="44401EF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p>
    <w:p w14:paraId="6AF04A7C">
      <w:pPr>
        <w:spacing w:line="560" w:lineRule="exact"/>
        <w:jc w:val="left"/>
        <w:rPr>
          <w:rFonts w:hint="eastAsia" w:ascii="宋体" w:hAnsi="宋体" w:cs="宋体"/>
          <w:kern w:val="0"/>
          <w:highlight w:val="none"/>
        </w:rPr>
      </w:pPr>
      <w:r>
        <w:rPr>
          <w:rFonts w:hint="eastAsia" w:ascii="宋体" w:hAnsi="宋体" w:cs="宋体"/>
          <w:kern w:val="0"/>
          <w:highlight w:val="none"/>
        </w:rPr>
        <w:t>委托代理人（签字）：            委托代理人（签字）：</w:t>
      </w:r>
    </w:p>
    <w:p w14:paraId="1F665AB4">
      <w:pPr>
        <w:spacing w:line="560" w:lineRule="exact"/>
        <w:ind w:firstLine="420" w:firstLineChars="200"/>
        <w:jc w:val="left"/>
        <w:rPr>
          <w:rFonts w:hint="eastAsia" w:ascii="宋体" w:hAnsi="宋体" w:cs="宋体"/>
          <w:kern w:val="0"/>
          <w:highlight w:val="none"/>
        </w:rPr>
      </w:pPr>
    </w:p>
    <w:p w14:paraId="34B27559">
      <w:pPr>
        <w:spacing w:line="560" w:lineRule="exact"/>
        <w:jc w:val="left"/>
        <w:rPr>
          <w:rFonts w:hint="eastAsia" w:ascii="宋体" w:hAnsi="宋体" w:cs="宋体"/>
          <w:kern w:val="0"/>
          <w:highlight w:val="none"/>
        </w:rPr>
      </w:pPr>
      <w:r>
        <w:rPr>
          <w:rFonts w:hint="eastAsia" w:ascii="宋体" w:hAnsi="宋体" w:cs="宋体"/>
          <w:kern w:val="0"/>
          <w:highlight w:val="none"/>
        </w:rPr>
        <w:t>经 办 人：                     经 办 人：</w:t>
      </w:r>
    </w:p>
    <w:p w14:paraId="3D4C9586">
      <w:pPr>
        <w:spacing w:line="560" w:lineRule="exact"/>
        <w:jc w:val="left"/>
        <w:rPr>
          <w:rFonts w:hint="eastAsia" w:ascii="宋体" w:hAnsi="宋体" w:cs="宋体"/>
          <w:kern w:val="0"/>
          <w:highlight w:val="none"/>
        </w:rPr>
      </w:pPr>
      <w:r>
        <w:rPr>
          <w:rFonts w:hint="eastAsia" w:ascii="宋体" w:hAnsi="宋体" w:cs="宋体"/>
          <w:kern w:val="0"/>
          <w:highlight w:val="none"/>
        </w:rPr>
        <w:t xml:space="preserve">  </w:t>
      </w:r>
    </w:p>
    <w:p w14:paraId="3E110661">
      <w:pPr>
        <w:spacing w:line="560" w:lineRule="exact"/>
        <w:jc w:val="left"/>
        <w:rPr>
          <w:rFonts w:hint="eastAsia" w:ascii="宋体" w:hAnsi="宋体" w:cs="宋体"/>
          <w:kern w:val="0"/>
          <w:highlight w:val="none"/>
        </w:rPr>
      </w:pPr>
      <w:r>
        <w:rPr>
          <w:rFonts w:hint="eastAsia" w:ascii="宋体" w:hAnsi="宋体" w:cs="宋体"/>
          <w:kern w:val="0"/>
          <w:highlight w:val="none"/>
        </w:rPr>
        <w:t xml:space="preserve">地  址：                       地  址：                    </w:t>
      </w:r>
    </w:p>
    <w:p w14:paraId="2E2E82C4">
      <w:pPr>
        <w:spacing w:line="560" w:lineRule="exact"/>
        <w:jc w:val="left"/>
        <w:rPr>
          <w:rFonts w:hint="eastAsia" w:ascii="宋体" w:hAnsi="宋体" w:cs="宋体"/>
          <w:kern w:val="0"/>
          <w:highlight w:val="none"/>
        </w:rPr>
      </w:pPr>
      <w:r>
        <w:rPr>
          <w:rFonts w:hint="eastAsia" w:ascii="宋体" w:hAnsi="宋体" w:cs="宋体"/>
          <w:kern w:val="0"/>
          <w:highlight w:val="none"/>
        </w:rPr>
        <w:t xml:space="preserve">邮政编码：                     邮政编码： </w:t>
      </w:r>
    </w:p>
    <w:p w14:paraId="495B76A3">
      <w:pPr>
        <w:spacing w:line="560" w:lineRule="exact"/>
        <w:rPr>
          <w:rFonts w:hint="eastAsia" w:ascii="宋体" w:hAnsi="宋体" w:cs="宋体"/>
          <w:highlight w:val="none"/>
        </w:rPr>
      </w:pPr>
    </w:p>
    <w:p w14:paraId="6B004EDA">
      <w:pPr>
        <w:rPr>
          <w:rFonts w:hint="eastAsia" w:ascii="宋体" w:hAnsi="宋体" w:cs="宋体"/>
          <w:highlight w:val="none"/>
        </w:rPr>
        <w:sectPr>
          <w:footerReference r:id="rId3" w:type="default"/>
          <w:pgSz w:w="11910" w:h="16840"/>
          <w:pgMar w:top="1580" w:right="1417" w:bottom="1280" w:left="1417" w:header="0" w:footer="913" w:gutter="0"/>
          <w:cols w:space="720" w:num="1"/>
        </w:sectPr>
      </w:pPr>
    </w:p>
    <w:p w14:paraId="2BF9DA44">
      <w:pPr>
        <w:pStyle w:val="16"/>
        <w:spacing w:before="6"/>
        <w:rPr>
          <w:rFonts w:hint="eastAsia" w:ascii="宋体" w:hAnsi="宋体" w:cs="宋体"/>
          <w:b/>
          <w:sz w:val="21"/>
          <w:szCs w:val="21"/>
          <w:highlight w:val="none"/>
        </w:rPr>
      </w:pPr>
    </w:p>
    <w:p w14:paraId="2B371C8D">
      <w:pPr>
        <w:spacing w:line="400" w:lineRule="exact"/>
        <w:ind w:firstLine="422" w:firstLineChars="200"/>
        <w:jc w:val="center"/>
        <w:rPr>
          <w:rFonts w:hint="eastAsia" w:ascii="宋体" w:hAnsi="宋体" w:cs="宋体"/>
          <w:b/>
          <w:bCs/>
          <w:highlight w:val="none"/>
        </w:rPr>
      </w:pPr>
      <w:bookmarkStart w:id="901" w:name="目____录"/>
      <w:bookmarkEnd w:id="901"/>
      <w:bookmarkStart w:id="902" w:name="第五章_投标文件格式"/>
      <w:bookmarkEnd w:id="902"/>
      <w:bookmarkStart w:id="903" w:name="第二节_专用合同条款"/>
      <w:bookmarkEnd w:id="903"/>
      <w:bookmarkStart w:id="904" w:name="_Toc336680145"/>
      <w:bookmarkStart w:id="905" w:name="_Toc435690184"/>
      <w:bookmarkStart w:id="906" w:name="_Toc239510288"/>
      <w:bookmarkStart w:id="907" w:name="_Toc435689499"/>
      <w:bookmarkStart w:id="908" w:name="_Toc247431422"/>
      <w:bookmarkStart w:id="909" w:name="_Toc448406299"/>
      <w:r>
        <w:rPr>
          <w:rFonts w:hint="eastAsia" w:ascii="宋体" w:hAnsi="宋体" w:cs="宋体"/>
          <w:b/>
          <w:bCs/>
          <w:highlight w:val="none"/>
        </w:rPr>
        <w:t>安全管理协议</w:t>
      </w:r>
      <w:bookmarkEnd w:id="904"/>
      <w:bookmarkEnd w:id="905"/>
      <w:bookmarkEnd w:id="906"/>
      <w:bookmarkEnd w:id="907"/>
      <w:bookmarkEnd w:id="908"/>
      <w:bookmarkEnd w:id="909"/>
    </w:p>
    <w:p w14:paraId="7C4F0963">
      <w:pPr>
        <w:pStyle w:val="16"/>
        <w:spacing w:line="400" w:lineRule="exact"/>
        <w:rPr>
          <w:rFonts w:hint="eastAsia" w:ascii="宋体" w:hAnsi="宋体" w:cs="宋体"/>
          <w:sz w:val="21"/>
          <w:szCs w:val="21"/>
          <w:highlight w:val="none"/>
        </w:rPr>
      </w:pPr>
    </w:p>
    <w:p w14:paraId="7F2815B2">
      <w:pPr>
        <w:jc w:val="left"/>
        <w:rPr>
          <w:rFonts w:hint="eastAsia" w:ascii="宋体" w:hAnsi="宋体" w:cs="宋体"/>
          <w:highlight w:val="none"/>
        </w:rPr>
      </w:pPr>
      <w:r>
        <w:rPr>
          <w:rFonts w:hint="eastAsia" w:ascii="宋体" w:hAnsi="宋体" w:cs="宋体"/>
          <w:highlight w:val="none"/>
        </w:rPr>
        <w:t xml:space="preserve">    为了确保实现</w:t>
      </w:r>
      <w:r>
        <w:rPr>
          <w:rFonts w:hint="eastAsia" w:ascii="宋体" w:hAnsi="宋体" w:cs="宋体"/>
          <w:highlight w:val="none"/>
          <w:u w:val="single"/>
        </w:rPr>
        <w:t xml:space="preserve">                              </w:t>
      </w:r>
      <w:r>
        <w:rPr>
          <w:rFonts w:hint="eastAsia" w:ascii="宋体" w:hAnsi="宋体" w:cs="宋体"/>
          <w:highlight w:val="none"/>
        </w:rPr>
        <w:t xml:space="preserve"> 工程安全生产目标，进一步明确双方的安全管理责任，加强安全生产管理工作的协调、管理力度，</w:t>
      </w:r>
      <w:r>
        <w:rPr>
          <w:rFonts w:hint="eastAsia" w:ascii="宋体" w:hAnsi="宋体" w:cs="宋体"/>
          <w:highlight w:val="none"/>
          <w:u w:val="single"/>
        </w:rPr>
        <w:t xml:space="preserve"> 重庆市高新区白市驿镇人民政府 </w:t>
      </w:r>
      <w:r>
        <w:rPr>
          <w:rFonts w:hint="eastAsia" w:ascii="宋体" w:hAnsi="宋体" w:cs="宋体"/>
          <w:highlight w:val="none"/>
        </w:rPr>
        <w:t>（以下简称“发包人”）与</w:t>
      </w:r>
      <w:r>
        <w:rPr>
          <w:rFonts w:hint="eastAsia" w:ascii="宋体" w:hAnsi="宋体" w:cs="宋体"/>
          <w:highlight w:val="none"/>
          <w:u w:val="single"/>
        </w:rPr>
        <w:t xml:space="preserve">                     </w:t>
      </w:r>
      <w:r>
        <w:rPr>
          <w:rFonts w:hint="eastAsia" w:ascii="宋体" w:hAnsi="宋体" w:cs="宋体"/>
          <w:highlight w:val="none"/>
        </w:rPr>
        <w:t>（以下简称“承包人”）依据国家安全生产相关的法律、法规和安全方面的强制性国家标准或行业标准，双方同意签订该协议作为正式合同安全管理方面的补充规定，并承诺本协议具有与合同相同的法律效力。具体条款如下：</w:t>
      </w:r>
    </w:p>
    <w:p w14:paraId="3FD53BE2">
      <w:pPr>
        <w:spacing w:line="400" w:lineRule="exact"/>
        <w:ind w:firstLine="420" w:firstLineChars="200"/>
        <w:rPr>
          <w:rFonts w:hint="eastAsia" w:ascii="宋体" w:hAnsi="宋体" w:cs="宋体"/>
          <w:highlight w:val="none"/>
        </w:rPr>
      </w:pPr>
      <w:bookmarkStart w:id="910" w:name="_Toc247431423"/>
      <w:bookmarkStart w:id="911" w:name="_Toc532375700"/>
      <w:bookmarkStart w:id="912" w:name="_Toc239510289"/>
      <w:bookmarkStart w:id="913" w:name="_Toc247418263"/>
      <w:r>
        <w:rPr>
          <w:rFonts w:hint="eastAsia" w:ascii="宋体" w:hAnsi="宋体" w:cs="宋体"/>
          <w:highlight w:val="none"/>
        </w:rPr>
        <w:t>一、协议有效期限</w:t>
      </w:r>
      <w:bookmarkEnd w:id="910"/>
      <w:bookmarkEnd w:id="911"/>
      <w:bookmarkEnd w:id="912"/>
      <w:bookmarkEnd w:id="913"/>
    </w:p>
    <w:p w14:paraId="72672E6E">
      <w:pPr>
        <w:spacing w:line="400" w:lineRule="exact"/>
        <w:ind w:firstLine="420" w:firstLineChars="200"/>
        <w:jc w:val="left"/>
        <w:rPr>
          <w:rFonts w:hint="eastAsia" w:ascii="宋体" w:hAnsi="宋体" w:cs="宋体"/>
          <w:highlight w:val="none"/>
        </w:rPr>
      </w:pPr>
      <w:r>
        <w:rPr>
          <w:rFonts w:hint="eastAsia" w:ascii="宋体" w:hAnsi="宋体" w:cs="宋体"/>
          <w:highlight w:val="none"/>
        </w:rPr>
        <w:t>本协议中所涉及的安全管理责任自合同签订之日起开始生效，至合同工程全部完工验收且经发包人与承包人签订移交协议生效后之日终止。</w:t>
      </w:r>
    </w:p>
    <w:p w14:paraId="7B6D3049">
      <w:pPr>
        <w:spacing w:line="400" w:lineRule="exact"/>
        <w:ind w:firstLine="420" w:firstLineChars="200"/>
        <w:rPr>
          <w:rFonts w:hint="eastAsia" w:ascii="宋体" w:hAnsi="宋体" w:cs="宋体"/>
          <w:highlight w:val="none"/>
        </w:rPr>
      </w:pPr>
      <w:bookmarkStart w:id="914" w:name="_Toc239510290"/>
      <w:bookmarkStart w:id="915" w:name="_Toc247431424"/>
      <w:bookmarkStart w:id="916" w:name="_Toc247418264"/>
      <w:bookmarkStart w:id="917" w:name="_Toc532375701"/>
      <w:r>
        <w:rPr>
          <w:rFonts w:hint="eastAsia" w:ascii="宋体" w:hAnsi="宋体" w:cs="宋体"/>
          <w:highlight w:val="none"/>
        </w:rPr>
        <w:t>二、责任目标</w:t>
      </w:r>
      <w:bookmarkEnd w:id="914"/>
      <w:bookmarkEnd w:id="915"/>
      <w:bookmarkEnd w:id="916"/>
      <w:bookmarkEnd w:id="917"/>
    </w:p>
    <w:p w14:paraId="26E26A51">
      <w:pPr>
        <w:spacing w:line="400" w:lineRule="exact"/>
        <w:ind w:firstLine="420" w:firstLineChars="200"/>
        <w:jc w:val="left"/>
        <w:rPr>
          <w:rFonts w:hint="eastAsia" w:ascii="宋体" w:hAnsi="宋体" w:cs="宋体"/>
          <w:highlight w:val="none"/>
        </w:rPr>
      </w:pPr>
      <w:r>
        <w:rPr>
          <w:rFonts w:hint="eastAsia" w:ascii="宋体" w:hAnsi="宋体" w:cs="宋体"/>
          <w:highlight w:val="none"/>
        </w:rPr>
        <w:t>（一）承包人承诺承担和履行合同和发包人所规定的安全责任，且满足要求。</w:t>
      </w:r>
    </w:p>
    <w:p w14:paraId="57155A66">
      <w:pPr>
        <w:spacing w:line="400" w:lineRule="exact"/>
        <w:ind w:firstLine="420" w:firstLineChars="200"/>
        <w:jc w:val="left"/>
        <w:rPr>
          <w:rFonts w:hint="eastAsia" w:ascii="宋体" w:hAnsi="宋体" w:cs="宋体"/>
          <w:highlight w:val="none"/>
        </w:rPr>
      </w:pPr>
      <w:r>
        <w:rPr>
          <w:rFonts w:hint="eastAsia" w:ascii="宋体" w:hAnsi="宋体" w:cs="宋体"/>
          <w:highlight w:val="none"/>
        </w:rPr>
        <w:t>（二）承包人的安全控制目标是确保本工程在实施过程中：</w:t>
      </w:r>
    </w:p>
    <w:p w14:paraId="6939E500">
      <w:pPr>
        <w:spacing w:line="400" w:lineRule="exact"/>
        <w:ind w:firstLine="420" w:firstLineChars="200"/>
        <w:jc w:val="left"/>
        <w:rPr>
          <w:rFonts w:hint="eastAsia" w:ascii="宋体" w:hAnsi="宋体" w:cs="宋体"/>
          <w:highlight w:val="none"/>
        </w:rPr>
      </w:pPr>
      <w:r>
        <w:rPr>
          <w:rFonts w:hint="eastAsia" w:ascii="宋体" w:hAnsi="宋体" w:cs="宋体"/>
          <w:highlight w:val="none"/>
        </w:rPr>
        <w:t>1．不发生人身重伤事故；</w:t>
      </w:r>
    </w:p>
    <w:p w14:paraId="6D132B0E">
      <w:pPr>
        <w:spacing w:line="400" w:lineRule="exact"/>
        <w:ind w:firstLine="420" w:firstLineChars="200"/>
        <w:jc w:val="left"/>
        <w:rPr>
          <w:rFonts w:hint="eastAsia" w:ascii="宋体" w:hAnsi="宋体" w:cs="宋体"/>
          <w:highlight w:val="none"/>
        </w:rPr>
      </w:pPr>
      <w:r>
        <w:rPr>
          <w:rFonts w:hint="eastAsia" w:ascii="宋体" w:hAnsi="宋体" w:cs="宋体"/>
          <w:highlight w:val="none"/>
        </w:rPr>
        <w:t>2．不发生火灾事故；</w:t>
      </w:r>
    </w:p>
    <w:p w14:paraId="1367B42C">
      <w:pPr>
        <w:spacing w:line="400" w:lineRule="exact"/>
        <w:ind w:firstLine="420" w:firstLineChars="200"/>
        <w:jc w:val="left"/>
        <w:rPr>
          <w:rFonts w:hint="eastAsia" w:ascii="宋体" w:hAnsi="宋体" w:cs="宋体"/>
          <w:highlight w:val="none"/>
        </w:rPr>
      </w:pPr>
      <w:r>
        <w:rPr>
          <w:rFonts w:hint="eastAsia" w:ascii="宋体" w:hAnsi="宋体" w:cs="宋体"/>
          <w:highlight w:val="none"/>
        </w:rPr>
        <w:t>3．不发生负有同等及以上事故责任的造成人身重伤的一般交通事故；</w:t>
      </w:r>
    </w:p>
    <w:p w14:paraId="0C77A7AC">
      <w:pPr>
        <w:spacing w:line="400" w:lineRule="exact"/>
        <w:ind w:firstLine="420" w:firstLineChars="200"/>
        <w:jc w:val="left"/>
        <w:rPr>
          <w:rFonts w:hint="eastAsia" w:ascii="宋体" w:hAnsi="宋体" w:cs="宋体"/>
          <w:highlight w:val="none"/>
        </w:rPr>
      </w:pPr>
      <w:r>
        <w:rPr>
          <w:rFonts w:hint="eastAsia" w:ascii="宋体" w:hAnsi="宋体" w:cs="宋体"/>
          <w:highlight w:val="none"/>
        </w:rPr>
        <w:t>4．不发生集体食物中毒事件（同时5人及以上的食物中毒）；</w:t>
      </w:r>
    </w:p>
    <w:p w14:paraId="656820FD">
      <w:pPr>
        <w:spacing w:line="400" w:lineRule="exact"/>
        <w:ind w:firstLine="420" w:firstLineChars="200"/>
        <w:jc w:val="left"/>
        <w:rPr>
          <w:rFonts w:hint="eastAsia" w:ascii="宋体" w:hAnsi="宋体" w:cs="宋体"/>
          <w:highlight w:val="none"/>
        </w:rPr>
      </w:pPr>
      <w:r>
        <w:rPr>
          <w:rFonts w:hint="eastAsia" w:ascii="宋体" w:hAnsi="宋体" w:cs="宋体"/>
          <w:highlight w:val="none"/>
        </w:rPr>
        <w:t>5．不发生流行性传染病 （无甲型传染病、其他常见传染病未形成多人同时患病）；</w:t>
      </w:r>
    </w:p>
    <w:p w14:paraId="66C669E4">
      <w:pPr>
        <w:spacing w:line="400" w:lineRule="exact"/>
        <w:ind w:firstLine="420" w:firstLineChars="200"/>
        <w:jc w:val="left"/>
        <w:rPr>
          <w:rFonts w:hint="eastAsia" w:ascii="宋体" w:hAnsi="宋体" w:cs="宋体"/>
          <w:highlight w:val="none"/>
        </w:rPr>
      </w:pPr>
      <w:r>
        <w:rPr>
          <w:rFonts w:hint="eastAsia" w:ascii="宋体" w:hAnsi="宋体" w:cs="宋体"/>
          <w:highlight w:val="none"/>
        </w:rPr>
        <w:t>6．不发生重大环境污染事件（生活、工业垃圾及其他污染物造成环境污染和大面积水土流失）；</w:t>
      </w:r>
    </w:p>
    <w:p w14:paraId="64D943D1">
      <w:pPr>
        <w:spacing w:line="400" w:lineRule="exact"/>
        <w:ind w:firstLine="420" w:firstLineChars="200"/>
        <w:jc w:val="left"/>
        <w:rPr>
          <w:rFonts w:hint="eastAsia" w:ascii="宋体" w:hAnsi="宋体" w:cs="宋体"/>
          <w:highlight w:val="none"/>
        </w:rPr>
      </w:pPr>
      <w:r>
        <w:rPr>
          <w:rFonts w:hint="eastAsia" w:ascii="宋体" w:hAnsi="宋体" w:cs="宋体"/>
          <w:highlight w:val="none"/>
        </w:rPr>
        <w:t>7．不发生对施工区附近生产、生活造成重大影响的事件（如造成重大设备损坏、重大财产损失、人员伤害等）；</w:t>
      </w:r>
    </w:p>
    <w:p w14:paraId="7E0B89A8">
      <w:pPr>
        <w:spacing w:line="400" w:lineRule="exact"/>
        <w:ind w:firstLine="420" w:firstLineChars="200"/>
        <w:jc w:val="left"/>
        <w:rPr>
          <w:rFonts w:hint="eastAsia" w:ascii="宋体" w:hAnsi="宋体" w:cs="宋体"/>
          <w:highlight w:val="none"/>
        </w:rPr>
      </w:pPr>
      <w:r>
        <w:rPr>
          <w:rFonts w:hint="eastAsia" w:ascii="宋体" w:hAnsi="宋体" w:cs="宋体"/>
          <w:highlight w:val="none"/>
        </w:rPr>
        <w:t>8．不发生治安保卫事件（构成刑事拘留及以上的事件、盗窃直接损失超过1万元人民币的事件）。</w:t>
      </w:r>
    </w:p>
    <w:p w14:paraId="1BACDEFB">
      <w:pPr>
        <w:spacing w:line="400" w:lineRule="exact"/>
        <w:ind w:firstLine="420" w:firstLineChars="200"/>
        <w:jc w:val="left"/>
        <w:rPr>
          <w:rFonts w:hint="eastAsia" w:ascii="宋体" w:hAnsi="宋体" w:cs="宋体"/>
          <w:highlight w:val="none"/>
        </w:rPr>
      </w:pPr>
      <w:bookmarkStart w:id="918" w:name="_Toc239510291"/>
      <w:bookmarkStart w:id="919" w:name="_Toc247431425"/>
      <w:bookmarkStart w:id="920" w:name="_Toc247418265"/>
      <w:r>
        <w:rPr>
          <w:rFonts w:hint="eastAsia" w:ascii="宋体" w:hAnsi="宋体" w:cs="宋体"/>
          <w:highlight w:val="none"/>
        </w:rPr>
        <w:t>（三）承包人承诺在施工中控制以下安全事故的发生：</w:t>
      </w:r>
      <w:bookmarkEnd w:id="918"/>
      <w:bookmarkEnd w:id="919"/>
      <w:bookmarkEnd w:id="920"/>
    </w:p>
    <w:p w14:paraId="51F2FADB">
      <w:pPr>
        <w:spacing w:line="400" w:lineRule="exact"/>
        <w:ind w:firstLine="420" w:firstLineChars="200"/>
        <w:jc w:val="left"/>
        <w:rPr>
          <w:rFonts w:hint="eastAsia" w:ascii="宋体" w:hAnsi="宋体" w:cs="宋体"/>
          <w:highlight w:val="none"/>
        </w:rPr>
      </w:pPr>
      <w:r>
        <w:rPr>
          <w:rFonts w:hint="eastAsia" w:ascii="宋体" w:hAnsi="宋体" w:cs="宋体"/>
          <w:highlight w:val="none"/>
        </w:rPr>
        <w:t>1．人员轻伤事故。</w:t>
      </w:r>
    </w:p>
    <w:p w14:paraId="718E7BD2">
      <w:pPr>
        <w:spacing w:line="400" w:lineRule="exact"/>
        <w:ind w:firstLine="420" w:firstLineChars="200"/>
        <w:jc w:val="left"/>
        <w:rPr>
          <w:rFonts w:hint="eastAsia" w:ascii="宋体" w:hAnsi="宋体" w:cs="宋体"/>
          <w:highlight w:val="none"/>
        </w:rPr>
      </w:pPr>
      <w:r>
        <w:rPr>
          <w:rFonts w:hint="eastAsia" w:ascii="宋体" w:hAnsi="宋体" w:cs="宋体"/>
          <w:highlight w:val="none"/>
        </w:rPr>
        <w:t>2．负有同等及以上事故责任的人身轻伤交通事故。</w:t>
      </w:r>
    </w:p>
    <w:p w14:paraId="02312672">
      <w:pPr>
        <w:spacing w:line="400" w:lineRule="exact"/>
        <w:ind w:firstLine="420" w:firstLineChars="200"/>
        <w:jc w:val="left"/>
        <w:rPr>
          <w:rFonts w:hint="eastAsia" w:ascii="宋体" w:hAnsi="宋体" w:cs="宋体"/>
          <w:highlight w:val="none"/>
        </w:rPr>
      </w:pPr>
      <w:r>
        <w:rPr>
          <w:rFonts w:hint="eastAsia" w:ascii="宋体" w:hAnsi="宋体" w:cs="宋体"/>
          <w:highlight w:val="none"/>
        </w:rPr>
        <w:t>3．其他安全未遂事故和异常事件。</w:t>
      </w:r>
    </w:p>
    <w:p w14:paraId="329CA055">
      <w:pPr>
        <w:spacing w:line="400" w:lineRule="exact"/>
        <w:ind w:firstLine="420" w:firstLineChars="200"/>
        <w:rPr>
          <w:rFonts w:hint="eastAsia" w:ascii="宋体" w:hAnsi="宋体" w:cs="宋体"/>
          <w:highlight w:val="none"/>
        </w:rPr>
      </w:pPr>
      <w:bookmarkStart w:id="921" w:name="_Toc239510292"/>
      <w:bookmarkStart w:id="922" w:name="_Toc532375702"/>
      <w:bookmarkStart w:id="923" w:name="_Toc247431426"/>
      <w:bookmarkStart w:id="924" w:name="_Toc247418266"/>
      <w:r>
        <w:rPr>
          <w:rFonts w:hint="eastAsia" w:ascii="宋体" w:hAnsi="宋体" w:cs="宋体"/>
          <w:highlight w:val="none"/>
        </w:rPr>
        <w:t>三、安全责任</w:t>
      </w:r>
      <w:bookmarkEnd w:id="921"/>
      <w:bookmarkEnd w:id="922"/>
      <w:bookmarkEnd w:id="923"/>
      <w:bookmarkEnd w:id="924"/>
    </w:p>
    <w:p w14:paraId="3DBFAA35">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1．承包人负有安全生产的管理责任和直接责任。</w:t>
      </w:r>
    </w:p>
    <w:p w14:paraId="7CF18F1D">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2．承包人的法人或签署合同的公司总经理或受委托的代理人对合同安全负有全面的领导责任。</w:t>
      </w:r>
    </w:p>
    <w:p w14:paraId="5A0C3FE6">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3．承包人项目经理对施工现场的安全工作负有全面的直接领导责任。</w:t>
      </w:r>
    </w:p>
    <w:p w14:paraId="22FC37D8">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4．承包人保证执行“谁施工、谁负责”的施工安全原则。</w:t>
      </w:r>
    </w:p>
    <w:p w14:paraId="40F7126A">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5．承包人保证服从发包人对安全工作的统一协调和管理。</w:t>
      </w:r>
    </w:p>
    <w:p w14:paraId="618A4825">
      <w:pPr>
        <w:spacing w:line="400" w:lineRule="exact"/>
        <w:ind w:firstLine="420" w:firstLineChars="200"/>
        <w:jc w:val="left"/>
        <w:rPr>
          <w:rFonts w:hint="eastAsia" w:ascii="宋体" w:hAnsi="宋体" w:cs="宋体"/>
          <w:highlight w:val="none"/>
        </w:rPr>
      </w:pPr>
      <w:r>
        <w:rPr>
          <w:rFonts w:hint="eastAsia" w:ascii="宋体" w:hAnsi="宋体" w:cs="宋体"/>
          <w:highlight w:val="none"/>
        </w:rPr>
        <w:t>6．承包人保证对本工程项目安全生产条件及其管理资源自行投入，保证安全资金的专款专用。</w:t>
      </w:r>
    </w:p>
    <w:p w14:paraId="10FE92E7">
      <w:pPr>
        <w:spacing w:line="400" w:lineRule="exact"/>
        <w:ind w:firstLine="420" w:firstLineChars="200"/>
        <w:jc w:val="left"/>
        <w:rPr>
          <w:rFonts w:hint="eastAsia" w:ascii="宋体" w:hAnsi="宋体" w:cs="宋体"/>
          <w:highlight w:val="none"/>
        </w:rPr>
      </w:pPr>
      <w:r>
        <w:rPr>
          <w:rFonts w:hint="eastAsia" w:ascii="宋体" w:hAnsi="宋体" w:cs="宋体"/>
          <w:highlight w:val="none"/>
        </w:rPr>
        <w:t>7．承包人保证建立本工程项目的安全管理体系及安全保证体系（注：项目安全管理大纲/手册、管理性的程序文件等）。</w:t>
      </w:r>
    </w:p>
    <w:p w14:paraId="11566B22">
      <w:pPr>
        <w:spacing w:line="400" w:lineRule="exact"/>
        <w:ind w:firstLine="420" w:firstLineChars="200"/>
        <w:jc w:val="left"/>
        <w:rPr>
          <w:rFonts w:hint="eastAsia" w:ascii="宋体" w:hAnsi="宋体" w:cs="宋体"/>
          <w:highlight w:val="none"/>
        </w:rPr>
      </w:pPr>
      <w:r>
        <w:rPr>
          <w:rFonts w:hint="eastAsia" w:ascii="宋体" w:hAnsi="宋体" w:cs="宋体"/>
          <w:highlight w:val="none"/>
        </w:rPr>
        <w:t>8．承包人保证现场的安全管理专职人员必须持有建设主管部门安全生产培训考核合格证书。</w:t>
      </w:r>
    </w:p>
    <w:p w14:paraId="3B58A835">
      <w:pPr>
        <w:spacing w:line="400" w:lineRule="exact"/>
        <w:ind w:firstLine="420" w:firstLineChars="200"/>
        <w:jc w:val="left"/>
        <w:rPr>
          <w:rFonts w:hint="eastAsia" w:ascii="宋体" w:hAnsi="宋体" w:cs="宋体"/>
          <w:highlight w:val="none"/>
        </w:rPr>
      </w:pPr>
      <w:r>
        <w:rPr>
          <w:rFonts w:hint="eastAsia" w:ascii="宋体" w:hAnsi="宋体" w:cs="宋体"/>
          <w:highlight w:val="none"/>
        </w:rPr>
        <w:t>9．承包人保证为现场所有工作人员（含分包商员工及劳务人员）配备符合国家标准的有承包人和/或其下属分包商标志的个人基本劳动保护用品。</w:t>
      </w:r>
    </w:p>
    <w:p w14:paraId="5339BD37">
      <w:pPr>
        <w:spacing w:line="400" w:lineRule="exact"/>
        <w:ind w:firstLine="420" w:firstLineChars="200"/>
        <w:jc w:val="left"/>
        <w:rPr>
          <w:rFonts w:hint="eastAsia" w:ascii="宋体" w:hAnsi="宋体" w:cs="宋体"/>
          <w:highlight w:val="none"/>
        </w:rPr>
      </w:pPr>
      <w:r>
        <w:rPr>
          <w:rFonts w:hint="eastAsia" w:ascii="宋体" w:hAnsi="宋体" w:cs="宋体"/>
          <w:highlight w:val="none"/>
        </w:rPr>
        <w:t>10．承包人保证按照国家法律规定为现场所有工作人员（含分包商员工及劳务人员）购买意外伤害保险。</w:t>
      </w:r>
    </w:p>
    <w:p w14:paraId="691CB727">
      <w:pPr>
        <w:spacing w:line="400" w:lineRule="exact"/>
        <w:ind w:firstLine="420" w:firstLineChars="200"/>
        <w:jc w:val="left"/>
        <w:rPr>
          <w:rFonts w:hint="eastAsia" w:ascii="宋体" w:hAnsi="宋体" w:cs="宋体"/>
          <w:highlight w:val="none"/>
        </w:rPr>
      </w:pPr>
      <w:r>
        <w:rPr>
          <w:rFonts w:hint="eastAsia" w:ascii="宋体" w:hAnsi="宋体" w:cs="宋体"/>
          <w:highlight w:val="none"/>
        </w:rPr>
        <w:t>11．承包人保证施工生活营地（包括自建的和租用的营地）满足消防、安全用电、卫生防疫、防暴雨、防雷击等方面的安全要求。</w:t>
      </w:r>
    </w:p>
    <w:p w14:paraId="0DAB3AA6">
      <w:pPr>
        <w:spacing w:line="400" w:lineRule="exact"/>
        <w:ind w:firstLine="420" w:firstLineChars="200"/>
        <w:jc w:val="left"/>
        <w:rPr>
          <w:rFonts w:hint="eastAsia" w:ascii="宋体" w:hAnsi="宋体" w:cs="宋体"/>
          <w:highlight w:val="none"/>
        </w:rPr>
      </w:pPr>
      <w:r>
        <w:rPr>
          <w:rFonts w:hint="eastAsia" w:ascii="宋体" w:hAnsi="宋体" w:cs="宋体"/>
          <w:highlight w:val="none"/>
        </w:rPr>
        <w:t>12．承包人保证对带入现场的设备、工具、材料按照国家法规和标准进行检测、试验，并持有法定部门出具的检验证书。</w:t>
      </w:r>
    </w:p>
    <w:p w14:paraId="7CF59FDC">
      <w:pPr>
        <w:spacing w:line="400" w:lineRule="exact"/>
        <w:ind w:firstLine="420" w:firstLineChars="200"/>
        <w:jc w:val="left"/>
        <w:rPr>
          <w:rFonts w:hint="eastAsia" w:ascii="宋体" w:hAnsi="宋体" w:cs="宋体"/>
          <w:highlight w:val="none"/>
        </w:rPr>
      </w:pPr>
      <w:r>
        <w:rPr>
          <w:rFonts w:hint="eastAsia" w:ascii="宋体" w:hAnsi="宋体" w:cs="宋体"/>
          <w:highlight w:val="none"/>
        </w:rPr>
        <w:t>13．承包人保证制订施工现场的文明施工措施，保护环境、树木和植被，保持施工现场的良好秩序和整洁的作业环境。</w:t>
      </w:r>
    </w:p>
    <w:p w14:paraId="7602A58B">
      <w:pPr>
        <w:spacing w:line="400" w:lineRule="exact"/>
        <w:ind w:firstLine="420" w:firstLineChars="200"/>
        <w:jc w:val="left"/>
        <w:rPr>
          <w:rFonts w:hint="eastAsia" w:ascii="宋体" w:hAnsi="宋体" w:cs="宋体"/>
          <w:highlight w:val="none"/>
        </w:rPr>
      </w:pPr>
      <w:r>
        <w:rPr>
          <w:rFonts w:hint="eastAsia" w:ascii="宋体" w:hAnsi="宋体" w:cs="宋体"/>
          <w:highlight w:val="none"/>
        </w:rPr>
        <w:t>14．承包人负责在施工过程中与当地政府、周边群众及其他承包商保持良好的沟通和交流。承包人遇到与周边群众发生纠纷时，应负责协调工作，确保工程能够顺利进行。</w:t>
      </w:r>
    </w:p>
    <w:p w14:paraId="5E95B19E">
      <w:pPr>
        <w:spacing w:line="400" w:lineRule="exact"/>
        <w:ind w:firstLine="420" w:firstLineChars="200"/>
        <w:rPr>
          <w:rFonts w:hint="eastAsia" w:ascii="宋体" w:hAnsi="宋体" w:cs="宋体"/>
          <w:highlight w:val="none"/>
        </w:rPr>
      </w:pPr>
      <w:bookmarkStart w:id="925" w:name="_Toc247431427"/>
      <w:bookmarkStart w:id="926" w:name="_Toc247418267"/>
      <w:bookmarkStart w:id="927" w:name="_Toc239510293"/>
      <w:bookmarkStart w:id="928" w:name="_Toc532375703"/>
      <w:r>
        <w:rPr>
          <w:rFonts w:hint="eastAsia" w:ascii="宋体" w:hAnsi="宋体" w:cs="宋体"/>
          <w:highlight w:val="none"/>
        </w:rPr>
        <w:t>四、接口及协调</w:t>
      </w:r>
      <w:bookmarkEnd w:id="925"/>
      <w:bookmarkEnd w:id="926"/>
      <w:bookmarkEnd w:id="927"/>
      <w:bookmarkEnd w:id="928"/>
    </w:p>
    <w:p w14:paraId="2FCBD86F">
      <w:pPr>
        <w:spacing w:line="400" w:lineRule="exact"/>
        <w:ind w:firstLine="420" w:firstLineChars="200"/>
        <w:jc w:val="left"/>
        <w:rPr>
          <w:rFonts w:hint="eastAsia" w:ascii="宋体" w:hAnsi="宋体" w:cs="宋体"/>
          <w:highlight w:val="none"/>
        </w:rPr>
      </w:pPr>
      <w:r>
        <w:rPr>
          <w:rFonts w:hint="eastAsia" w:ascii="宋体" w:hAnsi="宋体" w:cs="宋体"/>
          <w:highlight w:val="none"/>
        </w:rPr>
        <w:t>1．发包人委托监理公司对该工程实施监理，监理公司在安全管理方面代表发包人行使监督检查职能，承包人必须给予配合和支持。</w:t>
      </w:r>
    </w:p>
    <w:p w14:paraId="3A3AF297">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2．承包人人员、车辆的出入，带入现场的设备、机具、材料，在现场使用的或直接管理的办公、生活、生产性设施的安全管理须满足发包人现场管理的基本要求。</w:t>
      </w:r>
    </w:p>
    <w:p w14:paraId="027963A6">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3．承包人应指定专职安全管理人员与发包人委托的监理公司接口，参与安全协调和管理。安全协调和管理的内容包括职业健康、工业安全、消防安全、卫生防疫、交通安全、环境保护、治安保卫等各方面。</w:t>
      </w:r>
    </w:p>
    <w:p w14:paraId="05F09426">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的专职安全管理人员应具备协调安全工作的能力和授权。发包人委托的监理公司有权对专职安全管理人员的能力和权力做出评价，对于不能胜任的专职安全管理人员，发包人委托的监理公司有权要求承包人换人。</w:t>
      </w:r>
    </w:p>
    <w:p w14:paraId="79703C29">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5．承包人指定的专职安全管理人员应与发包人委托的监理公司建立联系，在业务上接受发包人委托的监理公司的协调和指导。</w:t>
      </w:r>
    </w:p>
    <w:p w14:paraId="61C0F73B">
      <w:pPr>
        <w:spacing w:line="400" w:lineRule="exact"/>
        <w:ind w:firstLine="420" w:firstLineChars="200"/>
        <w:jc w:val="left"/>
        <w:rPr>
          <w:rFonts w:hint="eastAsia" w:ascii="宋体" w:hAnsi="宋体" w:cs="宋体"/>
          <w:highlight w:val="none"/>
        </w:rPr>
      </w:pPr>
      <w:r>
        <w:rPr>
          <w:rFonts w:hint="eastAsia" w:ascii="宋体" w:hAnsi="宋体" w:cs="宋体"/>
          <w:highlight w:val="none"/>
        </w:rPr>
        <w:t>6．开工后承包人的专职安全管理人员应按照发包人委托的监理公司的规定，定期报送安全月度快报、季报、年报和各种专项事故报告等。</w:t>
      </w:r>
    </w:p>
    <w:p w14:paraId="42D97736">
      <w:pPr>
        <w:spacing w:line="400" w:lineRule="exact"/>
        <w:ind w:firstLine="420" w:firstLineChars="200"/>
        <w:jc w:val="left"/>
        <w:rPr>
          <w:rFonts w:hint="eastAsia" w:ascii="宋体" w:hAnsi="宋体" w:cs="宋体"/>
          <w:highlight w:val="none"/>
        </w:rPr>
      </w:pPr>
      <w:r>
        <w:rPr>
          <w:rFonts w:hint="eastAsia" w:ascii="宋体" w:hAnsi="宋体" w:cs="宋体"/>
          <w:highlight w:val="none"/>
        </w:rPr>
        <w:t>7．在工程实体未全部正式移交发包人施工管理部门之前，承包人依旧对施工范围内的安全管理负责。</w:t>
      </w:r>
    </w:p>
    <w:p w14:paraId="2BBF3839">
      <w:pPr>
        <w:spacing w:line="400" w:lineRule="exact"/>
        <w:ind w:firstLine="420" w:firstLineChars="200"/>
        <w:rPr>
          <w:rFonts w:hint="eastAsia" w:ascii="宋体" w:hAnsi="宋体" w:cs="宋体"/>
          <w:highlight w:val="none"/>
        </w:rPr>
      </w:pPr>
      <w:bookmarkStart w:id="929" w:name="_Toc247418268"/>
      <w:bookmarkStart w:id="930" w:name="_Toc532375704"/>
      <w:bookmarkStart w:id="931" w:name="_Toc239510294"/>
      <w:bookmarkStart w:id="932" w:name="_Toc247431428"/>
      <w:r>
        <w:rPr>
          <w:rFonts w:hint="eastAsia" w:ascii="宋体" w:hAnsi="宋体" w:cs="宋体"/>
          <w:highlight w:val="none"/>
        </w:rPr>
        <w:t>五、安全资质审查</w:t>
      </w:r>
      <w:bookmarkEnd w:id="929"/>
      <w:bookmarkEnd w:id="930"/>
      <w:bookmarkEnd w:id="931"/>
      <w:bookmarkEnd w:id="932"/>
    </w:p>
    <w:p w14:paraId="61DCA1DF">
      <w:pPr>
        <w:spacing w:line="400" w:lineRule="exact"/>
        <w:ind w:firstLine="420" w:firstLineChars="200"/>
        <w:jc w:val="left"/>
        <w:rPr>
          <w:rFonts w:hint="eastAsia" w:ascii="宋体" w:hAnsi="宋体" w:cs="宋体"/>
          <w:highlight w:val="none"/>
        </w:rPr>
      </w:pPr>
      <w:r>
        <w:rPr>
          <w:rFonts w:hint="eastAsia" w:ascii="宋体" w:hAnsi="宋体" w:cs="宋体"/>
          <w:highlight w:val="none"/>
        </w:rPr>
        <w:t>承包人在项目开工前5个工作天内向发包人委托的监理公司提供以下安全资质供审查和存档：</w:t>
      </w:r>
    </w:p>
    <w:p w14:paraId="683AC692">
      <w:pPr>
        <w:spacing w:line="400" w:lineRule="exact"/>
        <w:ind w:firstLine="420" w:firstLineChars="200"/>
        <w:jc w:val="left"/>
        <w:rPr>
          <w:rFonts w:hint="eastAsia" w:ascii="宋体" w:hAnsi="宋体" w:cs="宋体"/>
          <w:highlight w:val="none"/>
        </w:rPr>
      </w:pPr>
      <w:r>
        <w:rPr>
          <w:rFonts w:hint="eastAsia" w:ascii="宋体" w:hAnsi="宋体" w:cs="宋体"/>
          <w:highlight w:val="none"/>
        </w:rPr>
        <w:t>1．企业安全生产许可证书复印件。</w:t>
      </w:r>
    </w:p>
    <w:p w14:paraId="31E0B1B9">
      <w:pPr>
        <w:spacing w:line="400" w:lineRule="exact"/>
        <w:ind w:firstLine="420" w:firstLineChars="200"/>
        <w:jc w:val="left"/>
        <w:rPr>
          <w:rFonts w:hint="eastAsia" w:ascii="宋体" w:hAnsi="宋体" w:cs="宋体"/>
          <w:highlight w:val="none"/>
        </w:rPr>
      </w:pPr>
      <w:r>
        <w:rPr>
          <w:rFonts w:hint="eastAsia" w:ascii="宋体" w:hAnsi="宋体" w:cs="宋体"/>
          <w:highlight w:val="none"/>
        </w:rPr>
        <w:t>2．企业近三年的施工简历及安全施工业绩证明文件。</w:t>
      </w:r>
    </w:p>
    <w:p w14:paraId="140EC227">
      <w:pPr>
        <w:spacing w:line="400" w:lineRule="exact"/>
        <w:ind w:firstLine="420" w:firstLineChars="200"/>
        <w:jc w:val="left"/>
        <w:rPr>
          <w:rFonts w:hint="eastAsia" w:ascii="宋体" w:hAnsi="宋体" w:cs="宋体"/>
          <w:highlight w:val="none"/>
        </w:rPr>
      </w:pPr>
      <w:r>
        <w:rPr>
          <w:rFonts w:hint="eastAsia" w:ascii="宋体" w:hAnsi="宋体" w:cs="宋体"/>
          <w:highlight w:val="none"/>
        </w:rPr>
        <w:t>3．企业主要安全管理人员（包括项目经理、专职安全管理人员）经建设主管部门安全生产知识考核合格证书。</w:t>
      </w:r>
    </w:p>
    <w:p w14:paraId="153B11A3">
      <w:pPr>
        <w:spacing w:line="400" w:lineRule="exact"/>
        <w:ind w:firstLine="420" w:firstLineChars="200"/>
        <w:jc w:val="left"/>
        <w:rPr>
          <w:rFonts w:hint="eastAsia" w:ascii="宋体" w:hAnsi="宋体" w:cs="宋体"/>
          <w:highlight w:val="none"/>
        </w:rPr>
      </w:pPr>
      <w:r>
        <w:rPr>
          <w:rFonts w:hint="eastAsia" w:ascii="宋体" w:hAnsi="宋体" w:cs="宋体"/>
          <w:highlight w:val="none"/>
        </w:rPr>
        <w:t>4．特种作业人员资格证书。</w:t>
      </w:r>
    </w:p>
    <w:p w14:paraId="162047ED">
      <w:pPr>
        <w:spacing w:line="400" w:lineRule="exact"/>
        <w:ind w:firstLine="420" w:firstLineChars="200"/>
        <w:jc w:val="left"/>
        <w:rPr>
          <w:rFonts w:hint="eastAsia" w:ascii="宋体" w:hAnsi="宋体" w:cs="宋体"/>
          <w:highlight w:val="none"/>
        </w:rPr>
      </w:pPr>
      <w:r>
        <w:rPr>
          <w:rFonts w:hint="eastAsia" w:ascii="宋体" w:hAnsi="宋体" w:cs="宋体"/>
          <w:highlight w:val="none"/>
        </w:rPr>
        <w:t>5．项目安全管理机构及其人员配备（承包人必须配有专职的安全员）。</w:t>
      </w:r>
    </w:p>
    <w:p w14:paraId="6F73FAEE">
      <w:pPr>
        <w:spacing w:line="400" w:lineRule="exact"/>
        <w:ind w:firstLine="420" w:firstLineChars="200"/>
        <w:jc w:val="left"/>
        <w:rPr>
          <w:rFonts w:hint="eastAsia" w:ascii="宋体" w:hAnsi="宋体" w:cs="宋体"/>
          <w:highlight w:val="none"/>
        </w:rPr>
      </w:pPr>
      <w:r>
        <w:rPr>
          <w:rFonts w:hint="eastAsia" w:ascii="宋体" w:hAnsi="宋体" w:cs="宋体"/>
          <w:highlight w:val="none"/>
        </w:rPr>
        <w:t>6．适用于项目的安全管理体系及保证体系文件（安全管理大纲及管理程序文件）。</w:t>
      </w:r>
    </w:p>
    <w:p w14:paraId="4F6E6044">
      <w:pPr>
        <w:spacing w:line="400" w:lineRule="exact"/>
        <w:ind w:firstLine="420" w:firstLineChars="200"/>
        <w:rPr>
          <w:rFonts w:hint="eastAsia" w:ascii="宋体" w:hAnsi="宋体" w:cs="宋体"/>
          <w:highlight w:val="none"/>
        </w:rPr>
      </w:pPr>
      <w:bookmarkStart w:id="933" w:name="_Toc247431429"/>
      <w:bookmarkStart w:id="934" w:name="_Toc532375705"/>
      <w:bookmarkStart w:id="935" w:name="_Toc247418269"/>
      <w:bookmarkStart w:id="936" w:name="_Toc239510295"/>
      <w:r>
        <w:rPr>
          <w:rFonts w:hint="eastAsia" w:ascii="宋体" w:hAnsi="宋体" w:cs="宋体"/>
          <w:highlight w:val="none"/>
        </w:rPr>
        <w:t>六、人员基本素质</w:t>
      </w:r>
      <w:bookmarkEnd w:id="933"/>
      <w:bookmarkEnd w:id="934"/>
      <w:bookmarkEnd w:id="935"/>
      <w:bookmarkEnd w:id="936"/>
    </w:p>
    <w:p w14:paraId="586FE871">
      <w:pPr>
        <w:spacing w:line="400" w:lineRule="exact"/>
        <w:ind w:firstLine="420" w:firstLineChars="200"/>
        <w:jc w:val="left"/>
        <w:rPr>
          <w:rFonts w:hint="eastAsia" w:ascii="宋体" w:hAnsi="宋体" w:cs="宋体"/>
          <w:highlight w:val="none"/>
        </w:rPr>
      </w:pPr>
      <w:r>
        <w:rPr>
          <w:rFonts w:hint="eastAsia" w:ascii="宋体" w:hAnsi="宋体" w:cs="宋体"/>
          <w:highlight w:val="none"/>
        </w:rPr>
        <w:t>承包人提供的人员必须满足下列要求:</w:t>
      </w:r>
    </w:p>
    <w:p w14:paraId="58352BCA">
      <w:pPr>
        <w:spacing w:line="400" w:lineRule="exact"/>
        <w:ind w:firstLine="420" w:firstLineChars="200"/>
        <w:jc w:val="left"/>
        <w:rPr>
          <w:rFonts w:hint="eastAsia" w:ascii="宋体" w:hAnsi="宋体" w:cs="宋体"/>
          <w:highlight w:val="none"/>
        </w:rPr>
      </w:pPr>
      <w:r>
        <w:rPr>
          <w:rFonts w:hint="eastAsia" w:ascii="宋体" w:hAnsi="宋体" w:cs="宋体"/>
          <w:highlight w:val="none"/>
        </w:rPr>
        <w:t>1．身体健康，无影响工作的精神疾病、无传染病和其他重大疾病；承包人需对其雇用的施工人员签发健康声明并保证其健康。其中体检证明材料（县级以上医院）和健康声明作为人员办理入场证件的必备材料。</w:t>
      </w:r>
    </w:p>
    <w:p w14:paraId="0ADDBE13">
      <w:pPr>
        <w:spacing w:line="400" w:lineRule="exact"/>
        <w:ind w:firstLine="420" w:firstLineChars="200"/>
        <w:jc w:val="left"/>
        <w:rPr>
          <w:rFonts w:hint="eastAsia" w:ascii="宋体" w:hAnsi="宋体" w:cs="宋体"/>
          <w:highlight w:val="none"/>
        </w:rPr>
      </w:pPr>
      <w:r>
        <w:rPr>
          <w:rFonts w:hint="eastAsia" w:ascii="宋体" w:hAnsi="宋体" w:cs="宋体"/>
          <w:highlight w:val="none"/>
        </w:rPr>
        <w:t>2．无刑事案件牵连。</w:t>
      </w:r>
    </w:p>
    <w:p w14:paraId="77D1A2A2">
      <w:pPr>
        <w:spacing w:line="400" w:lineRule="exact"/>
        <w:ind w:firstLine="420" w:firstLineChars="200"/>
        <w:jc w:val="left"/>
        <w:rPr>
          <w:rFonts w:hint="eastAsia" w:ascii="宋体" w:hAnsi="宋体" w:cs="宋体"/>
          <w:highlight w:val="none"/>
        </w:rPr>
      </w:pPr>
      <w:r>
        <w:rPr>
          <w:rFonts w:hint="eastAsia" w:ascii="宋体" w:hAnsi="宋体" w:cs="宋体"/>
          <w:highlight w:val="none"/>
        </w:rPr>
        <w:t>3．无吸毒、酗酒、赌博、嫖娼等恶习及违法行为。</w:t>
      </w:r>
    </w:p>
    <w:p w14:paraId="405928D9">
      <w:pPr>
        <w:spacing w:line="400" w:lineRule="exact"/>
        <w:ind w:firstLine="420" w:firstLineChars="200"/>
        <w:rPr>
          <w:rFonts w:hint="eastAsia" w:ascii="宋体" w:hAnsi="宋体" w:cs="宋体"/>
          <w:highlight w:val="none"/>
        </w:rPr>
      </w:pPr>
      <w:bookmarkStart w:id="937" w:name="_Toc247431430"/>
      <w:bookmarkStart w:id="938" w:name="_Toc239510296"/>
      <w:bookmarkStart w:id="939" w:name="_Toc247418270"/>
      <w:bookmarkStart w:id="940" w:name="_Toc532375706"/>
      <w:r>
        <w:rPr>
          <w:rFonts w:hint="eastAsia" w:ascii="宋体" w:hAnsi="宋体" w:cs="宋体"/>
          <w:highlight w:val="none"/>
        </w:rPr>
        <w:t>七、劳动保护</w:t>
      </w:r>
      <w:bookmarkEnd w:id="937"/>
      <w:bookmarkEnd w:id="938"/>
      <w:bookmarkEnd w:id="939"/>
      <w:bookmarkEnd w:id="940"/>
    </w:p>
    <w:p w14:paraId="3780DA62">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1．承包人负责为本单位任何用工形式的员工提供个人劳动保护用品（包括工作服、安全帽、安全鞋等）。</w:t>
      </w:r>
    </w:p>
    <w:p w14:paraId="6546BB5D">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2．承包人负责向特殊工种的员工提供特殊劳动保护，否则不得从事特殊工种作业。</w:t>
      </w:r>
    </w:p>
    <w:p w14:paraId="658ECFDA">
      <w:pPr>
        <w:spacing w:line="400" w:lineRule="exact"/>
        <w:ind w:firstLine="420" w:firstLineChars="200"/>
        <w:jc w:val="left"/>
        <w:rPr>
          <w:rFonts w:hint="eastAsia" w:ascii="宋体" w:hAnsi="宋体" w:cs="宋体"/>
          <w:highlight w:val="none"/>
        </w:rPr>
      </w:pPr>
      <w:r>
        <w:rPr>
          <w:rFonts w:hint="eastAsia" w:ascii="宋体" w:hAnsi="宋体" w:cs="宋体"/>
          <w:highlight w:val="none"/>
        </w:rPr>
        <w:t>3．发包人委托的监理公司有权检查承包人的个人劳动保护用品是否符合国家的相应标准。</w:t>
      </w:r>
    </w:p>
    <w:p w14:paraId="32C8BBB5">
      <w:pPr>
        <w:spacing w:line="400" w:lineRule="exact"/>
        <w:ind w:firstLine="420" w:firstLineChars="200"/>
        <w:jc w:val="left"/>
        <w:rPr>
          <w:rFonts w:hint="eastAsia" w:ascii="宋体" w:hAnsi="宋体" w:cs="宋体"/>
          <w:highlight w:val="none"/>
        </w:rPr>
      </w:pPr>
      <w:r>
        <w:rPr>
          <w:rFonts w:hint="eastAsia" w:ascii="宋体" w:hAnsi="宋体" w:cs="宋体"/>
          <w:highlight w:val="none"/>
        </w:rPr>
        <w:t>4． 承包人在特殊风险场所作业而需要特殊防护用品或安全仪表时，必须在上述防护用品全部到位后才能开工。</w:t>
      </w:r>
    </w:p>
    <w:p w14:paraId="59D5DC9A">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5．承包人应配备临时安全围栏、警示带、警告标志、防火布等集体防护用品。</w:t>
      </w:r>
    </w:p>
    <w:p w14:paraId="7C7CF594">
      <w:pPr>
        <w:spacing w:line="400" w:lineRule="exact"/>
        <w:ind w:firstLine="420" w:firstLineChars="200"/>
        <w:rPr>
          <w:rFonts w:hint="eastAsia" w:ascii="宋体" w:hAnsi="宋体" w:cs="宋体"/>
          <w:highlight w:val="none"/>
        </w:rPr>
      </w:pPr>
      <w:bookmarkStart w:id="941" w:name="_Toc532375707"/>
      <w:bookmarkStart w:id="942" w:name="_Toc239510297"/>
      <w:bookmarkStart w:id="943" w:name="_Toc247431431"/>
      <w:bookmarkStart w:id="944" w:name="_Toc247418271"/>
      <w:r>
        <w:rPr>
          <w:rFonts w:hint="eastAsia" w:ascii="宋体" w:hAnsi="宋体" w:cs="宋体"/>
          <w:highlight w:val="none"/>
        </w:rPr>
        <w:t>八、施工机具与材料</w:t>
      </w:r>
      <w:bookmarkEnd w:id="941"/>
      <w:bookmarkEnd w:id="942"/>
      <w:bookmarkEnd w:id="943"/>
      <w:bookmarkEnd w:id="944"/>
    </w:p>
    <w:p w14:paraId="60E635B6">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1．承包人对带入现场的施工机械和工器具的安全负责。</w:t>
      </w:r>
    </w:p>
    <w:p w14:paraId="7AA76633">
      <w:pPr>
        <w:spacing w:line="400" w:lineRule="exact"/>
        <w:ind w:firstLine="420" w:firstLineChars="200"/>
        <w:jc w:val="left"/>
        <w:rPr>
          <w:rFonts w:hint="eastAsia" w:ascii="宋体" w:hAnsi="宋体" w:cs="宋体"/>
          <w:highlight w:val="none"/>
        </w:rPr>
      </w:pPr>
      <w:r>
        <w:rPr>
          <w:rFonts w:hint="eastAsia" w:ascii="宋体" w:hAnsi="宋体" w:cs="宋体"/>
          <w:highlight w:val="none"/>
        </w:rPr>
        <w:t>2．对于承包人带入现场的特殊工器具，如起重设备、索具、机动车辆、压缩气瓶等，承包人必须按国家法规和标准进行检测、试验，并持有法定部门出具的检验证书。</w:t>
      </w:r>
    </w:p>
    <w:p w14:paraId="03089FA1">
      <w:pPr>
        <w:spacing w:line="400" w:lineRule="exact"/>
        <w:ind w:firstLine="420" w:firstLineChars="200"/>
        <w:jc w:val="left"/>
        <w:rPr>
          <w:rFonts w:hint="eastAsia" w:ascii="宋体" w:hAnsi="宋体" w:cs="宋体"/>
          <w:highlight w:val="none"/>
        </w:rPr>
      </w:pPr>
      <w:r>
        <w:rPr>
          <w:rFonts w:hint="eastAsia" w:ascii="宋体" w:hAnsi="宋体" w:cs="宋体"/>
          <w:highlight w:val="none"/>
        </w:rPr>
        <w:t>3．对于不属于法定检测的工器具，承包人也必须建立相应的管理、检测制度，这些工器具包括登高工具、脚手架材料、电动工具、安全防护设备及用具等。</w:t>
      </w:r>
    </w:p>
    <w:p w14:paraId="7CE08295">
      <w:pPr>
        <w:spacing w:line="400" w:lineRule="exact"/>
        <w:ind w:firstLine="420" w:firstLineChars="200"/>
        <w:rPr>
          <w:rFonts w:hint="eastAsia" w:ascii="宋体" w:hAnsi="宋体" w:cs="宋体"/>
          <w:highlight w:val="none"/>
        </w:rPr>
      </w:pPr>
      <w:bookmarkStart w:id="945" w:name="_Toc239510298"/>
      <w:bookmarkStart w:id="946" w:name="_Toc247431432"/>
      <w:bookmarkStart w:id="947" w:name="_Toc247418272"/>
      <w:bookmarkStart w:id="948" w:name="_Toc532375708"/>
      <w:r>
        <w:rPr>
          <w:rFonts w:hint="eastAsia" w:ascii="宋体" w:hAnsi="宋体" w:cs="宋体"/>
          <w:highlight w:val="none"/>
        </w:rPr>
        <w:t>九、开工前安全条件检查</w:t>
      </w:r>
      <w:bookmarkEnd w:id="945"/>
      <w:bookmarkEnd w:id="946"/>
      <w:bookmarkEnd w:id="947"/>
      <w:bookmarkEnd w:id="948"/>
    </w:p>
    <w:p w14:paraId="4BFE7695">
      <w:pPr>
        <w:spacing w:line="400" w:lineRule="exact"/>
        <w:ind w:firstLine="420" w:firstLineChars="200"/>
        <w:jc w:val="left"/>
        <w:rPr>
          <w:rFonts w:hint="eastAsia" w:ascii="宋体" w:hAnsi="宋体" w:cs="宋体"/>
          <w:highlight w:val="none"/>
        </w:rPr>
      </w:pPr>
      <w:r>
        <w:rPr>
          <w:rFonts w:hint="eastAsia" w:ascii="宋体" w:hAnsi="宋体" w:cs="宋体"/>
          <w:highlight w:val="none"/>
        </w:rPr>
        <w:t>1．发包人委托的监理公司将在合同生效后，工程项目正式开工5个工作日前，依据合同安全条款的要求逐项对承包人安全准备情况进行检查。不满足开工安全条件时，承包人将不得开工，由此产生的工期和成本的影响，由承包人自行负责。</w:t>
      </w:r>
    </w:p>
    <w:p w14:paraId="7C18049F">
      <w:pPr>
        <w:spacing w:line="400" w:lineRule="exact"/>
        <w:ind w:firstLine="420" w:firstLineChars="200"/>
        <w:jc w:val="left"/>
        <w:rPr>
          <w:rFonts w:hint="eastAsia" w:ascii="宋体" w:hAnsi="宋体" w:cs="宋体"/>
          <w:highlight w:val="none"/>
        </w:rPr>
      </w:pPr>
      <w:r>
        <w:rPr>
          <w:rFonts w:hint="eastAsia" w:ascii="宋体" w:hAnsi="宋体" w:cs="宋体"/>
          <w:highlight w:val="none"/>
        </w:rPr>
        <w:t>2．开工前安全条件检查的基本内容包括：安全管理体系建设、安全资金投入、危险源识别和安全风险分析、施工机械的安全状况、安全工器具和材料、安全培训教材和教员、专职安全人员的到岗情况、培训的有效性、人员控制、个人劳动保护用品配备等内容。</w:t>
      </w:r>
    </w:p>
    <w:p w14:paraId="40764771">
      <w:pPr>
        <w:spacing w:line="400" w:lineRule="exact"/>
        <w:ind w:firstLine="420" w:firstLineChars="200"/>
        <w:jc w:val="left"/>
        <w:rPr>
          <w:rFonts w:hint="eastAsia" w:ascii="宋体" w:hAnsi="宋体" w:cs="宋体"/>
          <w:highlight w:val="none"/>
        </w:rPr>
      </w:pPr>
      <w:r>
        <w:rPr>
          <w:rFonts w:hint="eastAsia" w:ascii="宋体" w:hAnsi="宋体" w:cs="宋体"/>
          <w:highlight w:val="none"/>
        </w:rPr>
        <w:t>3．发包人委托的监理公司检查发现的缺陷，承包人应在规定期限内完成整改。对于重大缺陷，发包人委托的监理公司有权要求承包人推迟开工，由此对工期产生的影响或经济损失，由承包人承担。</w:t>
      </w:r>
    </w:p>
    <w:p w14:paraId="149F8150">
      <w:pPr>
        <w:spacing w:line="400" w:lineRule="exact"/>
        <w:ind w:firstLine="420" w:firstLineChars="200"/>
        <w:rPr>
          <w:rFonts w:hint="eastAsia" w:ascii="宋体" w:hAnsi="宋体" w:cs="宋体"/>
          <w:highlight w:val="none"/>
        </w:rPr>
      </w:pPr>
      <w:bookmarkStart w:id="949" w:name="_Toc247418273"/>
      <w:bookmarkStart w:id="950" w:name="_Toc247431433"/>
      <w:bookmarkStart w:id="951" w:name="_Toc239510299"/>
      <w:bookmarkStart w:id="952" w:name="_Toc532375709"/>
      <w:r>
        <w:rPr>
          <w:rFonts w:hint="eastAsia" w:ascii="宋体" w:hAnsi="宋体" w:cs="宋体"/>
          <w:highlight w:val="none"/>
        </w:rPr>
        <w:t>十、安全监督</w:t>
      </w:r>
      <w:bookmarkEnd w:id="949"/>
      <w:bookmarkEnd w:id="950"/>
      <w:bookmarkEnd w:id="951"/>
      <w:bookmarkEnd w:id="952"/>
    </w:p>
    <w:p w14:paraId="46308393">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1．承包人应配备有满足项目安全管理需要的专职安全管理人员。</w:t>
      </w:r>
    </w:p>
    <w:p w14:paraId="4E346A01">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2．承包人的专职安全管理人员必须持建设主管部门颁发的安全生产知识考核合格证书。</w:t>
      </w:r>
    </w:p>
    <w:p w14:paraId="4BD38CC4">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3．承包人的专职安全管理人员在业务上接受发包人委托的监理公司和发包人安全管理部门的协调和指导。</w:t>
      </w:r>
    </w:p>
    <w:p w14:paraId="0DCC2455">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4．承包人应建立班前安全交底制度；施工期间坚持开展安全检查和日常安全监督并形成相应的记录。</w:t>
      </w:r>
    </w:p>
    <w:p w14:paraId="6B9A7E48">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5．承包人应在每个作业区任命兼职安全员，赋予兼职安全员相应的授权和义务，并对兼职安全员进行定期考核。</w:t>
      </w:r>
    </w:p>
    <w:p w14:paraId="20EB9335">
      <w:pPr>
        <w:spacing w:line="400" w:lineRule="exact"/>
        <w:ind w:firstLine="420" w:firstLineChars="200"/>
        <w:jc w:val="left"/>
        <w:rPr>
          <w:rFonts w:hint="eastAsia" w:ascii="宋体" w:hAnsi="宋体" w:cs="宋体"/>
          <w:highlight w:val="none"/>
        </w:rPr>
      </w:pPr>
      <w:r>
        <w:rPr>
          <w:rFonts w:hint="eastAsia" w:ascii="宋体" w:hAnsi="宋体" w:cs="宋体"/>
          <w:highlight w:val="none"/>
        </w:rPr>
        <w:t>6．承包人应接受和配合发包人专业部门及委托的监理公司的监督与安全评价。</w:t>
      </w:r>
    </w:p>
    <w:p w14:paraId="087B2642">
      <w:pPr>
        <w:spacing w:line="400" w:lineRule="exact"/>
        <w:ind w:firstLine="420" w:firstLineChars="200"/>
        <w:jc w:val="left"/>
        <w:rPr>
          <w:rFonts w:hint="eastAsia" w:ascii="宋体" w:hAnsi="宋体" w:cs="宋体"/>
          <w:highlight w:val="none"/>
        </w:rPr>
      </w:pPr>
      <w:r>
        <w:rPr>
          <w:rFonts w:hint="eastAsia" w:ascii="宋体" w:hAnsi="宋体" w:cs="宋体"/>
          <w:highlight w:val="none"/>
        </w:rPr>
        <w:t>7．发包人和委托的监理公司有权对承包人履行安全管理协议的情况进行监督，并有权对违章行为实行停工和处罚，处罚情况将通知承包人。涉及经济处罚时将直接通知合同管理部门从合同结算中扣除。</w:t>
      </w:r>
    </w:p>
    <w:p w14:paraId="777768D2">
      <w:pPr>
        <w:spacing w:line="400" w:lineRule="exact"/>
        <w:ind w:firstLine="420" w:firstLineChars="200"/>
        <w:rPr>
          <w:rFonts w:hint="eastAsia" w:ascii="宋体" w:hAnsi="宋体" w:cs="宋体"/>
          <w:highlight w:val="none"/>
        </w:rPr>
      </w:pPr>
      <w:bookmarkStart w:id="953" w:name="_Toc247431434"/>
      <w:bookmarkStart w:id="954" w:name="_Toc247418274"/>
      <w:bookmarkStart w:id="955" w:name="_Toc239510300"/>
      <w:bookmarkStart w:id="956" w:name="_Toc532375710"/>
      <w:r>
        <w:rPr>
          <w:rFonts w:hint="eastAsia" w:ascii="宋体" w:hAnsi="宋体" w:cs="宋体"/>
          <w:highlight w:val="none"/>
        </w:rPr>
        <w:t>十一、安全培训与授权</w:t>
      </w:r>
      <w:bookmarkEnd w:id="953"/>
      <w:bookmarkEnd w:id="954"/>
      <w:bookmarkEnd w:id="955"/>
      <w:bookmarkEnd w:id="956"/>
    </w:p>
    <w:p w14:paraId="3AFD3EFE">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1．承包人所有特殊工种人员必须持证上岗，发包人和发包人委托的监理公司有权对其进行抽查。承包人要建立特殊工种定期培训和检查计划，这些工种包括但不限于：机动车驾驶员、焊工、起重工、电工等。</w:t>
      </w:r>
    </w:p>
    <w:p w14:paraId="2066761C">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2．承包人应在特殊工种之外的其他工种中，筛选出高风险工种，并对其开展针对性的专题安全培训。</w:t>
      </w:r>
    </w:p>
    <w:p w14:paraId="15CDCFDD">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3．承包人应组织 “入场培训”和考核。发包人委托的监理公司有权监督培训、考核情况或组织抽查考核。</w:t>
      </w:r>
    </w:p>
    <w:p w14:paraId="13AC13E6">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4．承包人应建立安全培训和考核机制，编制培训教材和培训滚动计划。承包人应组织安全考试/考核，建立培训考核记录，发包人委托的监理公司有权查看这些记录。</w:t>
      </w:r>
    </w:p>
    <w:p w14:paraId="4B842463">
      <w:pPr>
        <w:spacing w:line="400" w:lineRule="exact"/>
        <w:ind w:firstLine="420" w:firstLineChars="200"/>
        <w:rPr>
          <w:rFonts w:hint="eastAsia" w:ascii="宋体" w:hAnsi="宋体" w:cs="宋体"/>
          <w:highlight w:val="none"/>
        </w:rPr>
      </w:pPr>
      <w:bookmarkStart w:id="957" w:name="_Toc247431435"/>
      <w:bookmarkStart w:id="958" w:name="_Toc247418275"/>
      <w:bookmarkStart w:id="959" w:name="_Toc532375711"/>
      <w:bookmarkStart w:id="960" w:name="_Toc239510301"/>
      <w:r>
        <w:rPr>
          <w:rFonts w:hint="eastAsia" w:ascii="宋体" w:hAnsi="宋体" w:cs="宋体"/>
          <w:highlight w:val="none"/>
        </w:rPr>
        <w:t>十二、职业健康与卫生防疫</w:t>
      </w:r>
      <w:bookmarkEnd w:id="957"/>
      <w:bookmarkEnd w:id="958"/>
      <w:bookmarkEnd w:id="959"/>
      <w:bookmarkEnd w:id="960"/>
    </w:p>
    <w:p w14:paraId="2774CEE5">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1．承包人应有特殊健康检查制度，预防有禁忌症患者从事有关职业，如恐高症患者不得从事高空作业，患有心血管疾病的人员不得从事繁重的体力劳动，特殊工种人员的体检应符合国家的规定。</w:t>
      </w:r>
    </w:p>
    <w:p w14:paraId="4731F45E">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2．承包人应保证卫生防疫基本设施的投入，以满足医疗、急救的要求，建立外部医疗支持渠道。</w:t>
      </w:r>
    </w:p>
    <w:p w14:paraId="6278976F">
      <w:pPr>
        <w:spacing w:line="400" w:lineRule="exact"/>
        <w:ind w:firstLine="420" w:firstLineChars="200"/>
        <w:jc w:val="left"/>
        <w:rPr>
          <w:rFonts w:hint="eastAsia" w:ascii="宋体" w:hAnsi="宋体" w:cs="宋体"/>
          <w:highlight w:val="none"/>
        </w:rPr>
      </w:pPr>
      <w:r>
        <w:rPr>
          <w:rFonts w:hint="eastAsia" w:ascii="宋体" w:hAnsi="宋体" w:cs="宋体"/>
          <w:highlight w:val="none"/>
        </w:rPr>
        <w:t>3．应建立卫生防疫措施计划，做好生活区和施工区的卫生防疫工作；制定和执行保证饮水卫生、饮食卫生、环境卫生和预防集体食物中毒的措施；有灭蚊、灭鼠和消毒的专项工作计划；有针对性地制订预防SARS、禽流感、疟疾、霍乱、肠道传染病、肝炎、H1N1流感等疾病的措施。</w:t>
      </w:r>
    </w:p>
    <w:p w14:paraId="47565CA2">
      <w:pPr>
        <w:spacing w:line="400" w:lineRule="exact"/>
        <w:ind w:firstLine="420" w:firstLineChars="200"/>
        <w:rPr>
          <w:rFonts w:hint="eastAsia" w:ascii="宋体" w:hAnsi="宋体" w:cs="宋体"/>
          <w:highlight w:val="none"/>
        </w:rPr>
      </w:pPr>
      <w:bookmarkStart w:id="961" w:name="_Toc239510302"/>
      <w:bookmarkStart w:id="962" w:name="_Toc247431436"/>
      <w:bookmarkStart w:id="963" w:name="_Toc247418276"/>
      <w:bookmarkStart w:id="964" w:name="_Toc532375712"/>
      <w:r>
        <w:rPr>
          <w:rFonts w:hint="eastAsia" w:ascii="宋体" w:hAnsi="宋体" w:cs="宋体"/>
          <w:highlight w:val="none"/>
        </w:rPr>
        <w:t>十三、文明施工与环保要求</w:t>
      </w:r>
      <w:bookmarkEnd w:id="961"/>
      <w:bookmarkEnd w:id="962"/>
      <w:bookmarkEnd w:id="963"/>
      <w:bookmarkEnd w:id="964"/>
    </w:p>
    <w:p w14:paraId="572C8E7D">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1．承包人需制订施工现场的文明施工措施，保持良好的施工现场秩序。施工现场的物料堆放要摆放整齐，安全标志和宣传标志要清楚醒目，废料、废物要分类收集，安全通道要畅通。</w:t>
      </w:r>
    </w:p>
    <w:p w14:paraId="636330DE">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2．承包人作业时应避免建筑材料抛洒、飞扬、流淌；应尽可能降低噪音、震动。</w:t>
      </w:r>
    </w:p>
    <w:p w14:paraId="6F569E38">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3．承包人应根据实际需要，在施工现场布置临时卫生设施（洗手间、卫生间等），施工作业不破坏环境卫生，不污染现场环境。</w:t>
      </w:r>
    </w:p>
    <w:p w14:paraId="6900C7EC">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4．承包人在施工中应充分重视对环境的保护，保护绿色植被，保护古树。施工如需伤害古树，必须报告发包人委托的监理公司，在未得到指令前，禁止擅自伤害古树。</w:t>
      </w:r>
    </w:p>
    <w:p w14:paraId="5E02930E">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应及时清理现场废物和垃圾。工业废料与生活垃圾必须分开，有害废物与普通废物必须分开（如油品废物、电池灯管等，必须单独收集、存放）；禁止在非指定场所乱倒、乱堆垃圾。禁止违章处理危险化学品和工业垃圾。</w:t>
      </w:r>
    </w:p>
    <w:p w14:paraId="23D076A0">
      <w:pPr>
        <w:spacing w:line="400" w:lineRule="exact"/>
        <w:ind w:firstLine="420" w:firstLineChars="200"/>
        <w:jc w:val="left"/>
        <w:rPr>
          <w:rFonts w:hint="eastAsia" w:ascii="宋体" w:hAnsi="宋体" w:cs="宋体"/>
          <w:highlight w:val="none"/>
        </w:rPr>
      </w:pPr>
      <w:r>
        <w:rPr>
          <w:rFonts w:hint="eastAsia" w:ascii="宋体" w:hAnsi="宋体" w:cs="宋体"/>
          <w:highlight w:val="none"/>
        </w:rPr>
        <w:t>6．承包人在施工中应禁止向环境，排放工业污水、生活污水、废油或其他有害物质。</w:t>
      </w:r>
    </w:p>
    <w:p w14:paraId="0F63993E">
      <w:pPr>
        <w:spacing w:line="400" w:lineRule="exact"/>
        <w:ind w:firstLine="420" w:firstLineChars="200"/>
        <w:jc w:val="left"/>
        <w:rPr>
          <w:rFonts w:hint="eastAsia" w:ascii="宋体" w:hAnsi="宋体" w:cs="宋体"/>
          <w:highlight w:val="none"/>
        </w:rPr>
      </w:pPr>
      <w:r>
        <w:rPr>
          <w:rFonts w:hint="eastAsia" w:ascii="宋体" w:hAnsi="宋体" w:cs="宋体"/>
          <w:highlight w:val="none"/>
        </w:rPr>
        <w:t>7．承包人在施工中应防止水土流失，应及时对裸露的地基、边坡、开挖出来的沙/土以及砂、石、水泥等建筑材料予以保护，防止风刮扬尘，雨水冲刷，流入下水道、排洪沟。如因防护不及时而造成大量水土流失、淤塞道路、沟道或污染环境的，承包人应承担清淤、清扫以及相应的赔偿责任。</w:t>
      </w:r>
    </w:p>
    <w:p w14:paraId="7AFA8D14">
      <w:pPr>
        <w:spacing w:line="400" w:lineRule="exact"/>
        <w:ind w:firstLine="420" w:firstLineChars="200"/>
        <w:rPr>
          <w:rFonts w:hint="eastAsia" w:ascii="宋体" w:hAnsi="宋体" w:cs="宋体"/>
          <w:highlight w:val="none"/>
        </w:rPr>
      </w:pPr>
      <w:bookmarkStart w:id="965" w:name="_Toc247418277"/>
      <w:bookmarkStart w:id="966" w:name="_Toc247431437"/>
      <w:bookmarkStart w:id="967" w:name="_Toc532375713"/>
      <w:bookmarkStart w:id="968" w:name="_Toc239510303"/>
      <w:r>
        <w:rPr>
          <w:rFonts w:hint="eastAsia" w:ascii="宋体" w:hAnsi="宋体" w:cs="宋体"/>
          <w:highlight w:val="none"/>
        </w:rPr>
        <w:t>十四、工程风险管理与事故预防</w:t>
      </w:r>
      <w:bookmarkEnd w:id="965"/>
      <w:bookmarkEnd w:id="966"/>
      <w:bookmarkEnd w:id="967"/>
      <w:bookmarkEnd w:id="968"/>
    </w:p>
    <w:p w14:paraId="790322E3">
      <w:pPr>
        <w:spacing w:line="400" w:lineRule="exact"/>
        <w:ind w:firstLine="420" w:firstLineChars="200"/>
        <w:jc w:val="left"/>
        <w:rPr>
          <w:rFonts w:hint="eastAsia" w:ascii="宋体" w:hAnsi="宋体" w:cs="宋体"/>
          <w:highlight w:val="none"/>
        </w:rPr>
      </w:pPr>
      <w:bookmarkStart w:id="969" w:name="_Toc247431438"/>
      <w:bookmarkStart w:id="970" w:name="_Toc239510304"/>
      <w:bookmarkStart w:id="971" w:name="_Toc247418278"/>
      <w:r>
        <w:rPr>
          <w:rFonts w:hint="eastAsia" w:ascii="宋体" w:hAnsi="宋体" w:cs="宋体"/>
          <w:highlight w:val="none"/>
        </w:rPr>
        <w:t>（一）基本要求</w:t>
      </w:r>
      <w:bookmarkEnd w:id="969"/>
      <w:bookmarkEnd w:id="970"/>
      <w:bookmarkEnd w:id="971"/>
    </w:p>
    <w:p w14:paraId="085E4A97">
      <w:pPr>
        <w:spacing w:line="400" w:lineRule="exact"/>
        <w:ind w:firstLine="420" w:firstLineChars="200"/>
        <w:jc w:val="left"/>
        <w:rPr>
          <w:rFonts w:hint="eastAsia" w:ascii="宋体" w:hAnsi="宋体" w:cs="宋体"/>
          <w:highlight w:val="none"/>
        </w:rPr>
      </w:pPr>
      <w:bookmarkStart w:id="972" w:name="_Toc532375714"/>
      <w:r>
        <w:rPr>
          <w:rFonts w:hint="eastAsia" w:ascii="宋体" w:hAnsi="宋体" w:cs="宋体"/>
          <w:highlight w:val="none"/>
        </w:rPr>
        <w:t>1．承包人应对施工过程进行全面、深入的危险源识别和风险分析。在施工安全组织设计中提供危险源及重要危险源清单、作业风险分析报告，该报告应包括（但不限于）如下信息：</w:t>
      </w:r>
      <w:bookmarkEnd w:id="972"/>
    </w:p>
    <w:p w14:paraId="24603A87">
      <w:pPr>
        <w:spacing w:line="400" w:lineRule="exact"/>
        <w:ind w:firstLine="420" w:firstLineChars="200"/>
        <w:jc w:val="left"/>
        <w:rPr>
          <w:rFonts w:hint="eastAsia" w:ascii="宋体" w:hAnsi="宋体" w:cs="宋体"/>
          <w:highlight w:val="none"/>
        </w:rPr>
      </w:pPr>
      <w:r>
        <w:rPr>
          <w:rFonts w:hint="eastAsia" w:ascii="宋体" w:hAnsi="宋体" w:cs="宋体"/>
          <w:highlight w:val="none"/>
        </w:rPr>
        <w:t>（1）高风险作业和工种清单：作业名称、类别和数量、主要事故风险。</w:t>
      </w:r>
    </w:p>
    <w:p w14:paraId="1AB22550">
      <w:pPr>
        <w:spacing w:line="400" w:lineRule="exact"/>
        <w:ind w:firstLine="420" w:firstLineChars="200"/>
        <w:jc w:val="left"/>
        <w:rPr>
          <w:rFonts w:hint="eastAsia" w:ascii="宋体" w:hAnsi="宋体" w:cs="宋体"/>
          <w:highlight w:val="none"/>
        </w:rPr>
      </w:pPr>
      <w:r>
        <w:rPr>
          <w:rFonts w:hint="eastAsia" w:ascii="宋体" w:hAnsi="宋体" w:cs="宋体"/>
          <w:highlight w:val="none"/>
        </w:rPr>
        <w:t>（2）施工能源和机械的种类、数量和主要事故风险。</w:t>
      </w:r>
    </w:p>
    <w:p w14:paraId="3F4E207D">
      <w:pPr>
        <w:spacing w:line="400" w:lineRule="exact"/>
        <w:ind w:firstLine="420" w:firstLineChars="200"/>
        <w:jc w:val="left"/>
        <w:rPr>
          <w:rFonts w:hint="eastAsia" w:ascii="宋体" w:hAnsi="宋体" w:cs="宋体"/>
          <w:highlight w:val="none"/>
        </w:rPr>
      </w:pPr>
      <w:r>
        <w:rPr>
          <w:rFonts w:hint="eastAsia" w:ascii="宋体" w:hAnsi="宋体" w:cs="宋体"/>
          <w:highlight w:val="none"/>
        </w:rPr>
        <w:t>（3）施工作业条件的类型和主要事故风险。</w:t>
      </w:r>
    </w:p>
    <w:p w14:paraId="33413E9E">
      <w:pPr>
        <w:spacing w:line="400" w:lineRule="exact"/>
        <w:ind w:firstLine="420" w:firstLineChars="200"/>
        <w:jc w:val="left"/>
        <w:rPr>
          <w:rFonts w:hint="eastAsia" w:ascii="宋体" w:hAnsi="宋体" w:cs="宋体"/>
          <w:highlight w:val="none"/>
        </w:rPr>
      </w:pPr>
      <w:r>
        <w:rPr>
          <w:rFonts w:hint="eastAsia" w:ascii="宋体" w:hAnsi="宋体" w:cs="宋体"/>
          <w:highlight w:val="none"/>
        </w:rPr>
        <w:t>（4）主要工艺过程（或施工活动）的类别及其相关的事故风险。</w:t>
      </w:r>
    </w:p>
    <w:p w14:paraId="690BF9C1">
      <w:pPr>
        <w:spacing w:line="400" w:lineRule="exact"/>
        <w:ind w:firstLine="420" w:firstLineChars="200"/>
        <w:jc w:val="left"/>
        <w:rPr>
          <w:rFonts w:hint="eastAsia" w:ascii="宋体" w:hAnsi="宋体" w:cs="宋体"/>
          <w:highlight w:val="none"/>
        </w:rPr>
      </w:pPr>
      <w:r>
        <w:rPr>
          <w:rFonts w:hint="eastAsia" w:ascii="宋体" w:hAnsi="宋体" w:cs="宋体"/>
          <w:highlight w:val="none"/>
        </w:rPr>
        <w:t>（5）主要火灾危险（可燃物、点火源）。</w:t>
      </w:r>
    </w:p>
    <w:p w14:paraId="0B795076">
      <w:pPr>
        <w:spacing w:line="400" w:lineRule="exact"/>
        <w:ind w:firstLine="420" w:firstLineChars="200"/>
        <w:jc w:val="left"/>
        <w:rPr>
          <w:rFonts w:hint="eastAsia" w:ascii="宋体" w:hAnsi="宋体" w:cs="宋体"/>
          <w:highlight w:val="none"/>
        </w:rPr>
      </w:pPr>
      <w:r>
        <w:rPr>
          <w:rFonts w:hint="eastAsia" w:ascii="宋体" w:hAnsi="宋体" w:cs="宋体"/>
          <w:highlight w:val="none"/>
        </w:rPr>
        <w:t>（6）主要自然灾害（洪水、大风、雷暴、暴雨、地质灾害等）。</w:t>
      </w:r>
    </w:p>
    <w:p w14:paraId="48106F32">
      <w:pPr>
        <w:spacing w:line="400" w:lineRule="exact"/>
        <w:ind w:firstLine="420" w:firstLineChars="200"/>
        <w:jc w:val="left"/>
        <w:rPr>
          <w:rFonts w:hint="eastAsia" w:ascii="宋体" w:hAnsi="宋体" w:cs="宋体"/>
          <w:highlight w:val="none"/>
        </w:rPr>
      </w:pPr>
      <w:r>
        <w:rPr>
          <w:rFonts w:hint="eastAsia" w:ascii="宋体" w:hAnsi="宋体" w:cs="宋体"/>
          <w:highlight w:val="none"/>
        </w:rPr>
        <w:t>（7）主要环境保护事件（有害垃圾、机械的跑冒滴漏、原材料流失、水土流失等）。</w:t>
      </w:r>
    </w:p>
    <w:p w14:paraId="3986B113">
      <w:pPr>
        <w:spacing w:line="400" w:lineRule="exact"/>
        <w:ind w:firstLine="420" w:firstLineChars="200"/>
        <w:jc w:val="left"/>
        <w:rPr>
          <w:rFonts w:hint="eastAsia" w:ascii="宋体" w:hAnsi="宋体" w:cs="宋体"/>
          <w:highlight w:val="none"/>
        </w:rPr>
      </w:pPr>
      <w:r>
        <w:rPr>
          <w:rFonts w:hint="eastAsia" w:ascii="宋体" w:hAnsi="宋体" w:cs="宋体"/>
          <w:highlight w:val="none"/>
        </w:rPr>
        <w:t>（8）其他。</w:t>
      </w:r>
    </w:p>
    <w:p w14:paraId="7F43EC8E">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2．承包人应针对识别出的危险源制定有针对性的事故预防措施并确保在施工中得到有效落实。</w:t>
      </w:r>
    </w:p>
    <w:p w14:paraId="6BD70ECD">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3．承包人应建立日常施工活动的动态作业风险分析和安全交底制度。该制度应明确规定风险分析的方法、责任和交底的内容、时间及记录。</w:t>
      </w:r>
    </w:p>
    <w:p w14:paraId="345FBB32">
      <w:pPr>
        <w:spacing w:line="400" w:lineRule="exact"/>
        <w:ind w:firstLine="420" w:firstLineChars="200"/>
        <w:jc w:val="left"/>
        <w:rPr>
          <w:rFonts w:hint="eastAsia" w:ascii="宋体" w:hAnsi="宋体" w:cs="宋体"/>
          <w:highlight w:val="none"/>
        </w:rPr>
      </w:pPr>
      <w:bookmarkStart w:id="973" w:name="_Toc239510305"/>
      <w:bookmarkStart w:id="974" w:name="_Toc247431439"/>
      <w:bookmarkStart w:id="975" w:name="_Toc247418279"/>
      <w:r>
        <w:rPr>
          <w:rFonts w:hint="eastAsia" w:ascii="宋体" w:hAnsi="宋体" w:cs="宋体"/>
          <w:highlight w:val="none"/>
        </w:rPr>
        <w:t>（二）现场作业基本安全条件</w:t>
      </w:r>
      <w:bookmarkEnd w:id="973"/>
      <w:bookmarkEnd w:id="974"/>
      <w:bookmarkEnd w:id="975"/>
    </w:p>
    <w:p w14:paraId="579D3638">
      <w:pPr>
        <w:spacing w:line="400" w:lineRule="exact"/>
        <w:ind w:firstLine="420" w:firstLineChars="200"/>
        <w:jc w:val="left"/>
        <w:rPr>
          <w:rFonts w:hint="eastAsia" w:ascii="宋体" w:hAnsi="宋体" w:cs="宋体"/>
          <w:highlight w:val="none"/>
        </w:rPr>
      </w:pPr>
      <w:r>
        <w:rPr>
          <w:rFonts w:hint="eastAsia" w:ascii="宋体" w:hAnsi="宋体" w:cs="宋体"/>
          <w:highlight w:val="none"/>
        </w:rPr>
        <w:t>承包人应规定现场作业的基本安全条件，包括照明条件、通风条件、作业平台和通道条件、物料堆放条件、供电供水条件、吸烟点、休息点等，并对临边现场、道路上作业现场、立体交叉作业现场、地面坑洞和沟道、夜间作业现场等的基本安全条件做出规定。</w:t>
      </w:r>
    </w:p>
    <w:p w14:paraId="4535E001">
      <w:pPr>
        <w:spacing w:line="400" w:lineRule="exact"/>
        <w:ind w:firstLine="420" w:firstLineChars="200"/>
        <w:rPr>
          <w:rFonts w:hint="eastAsia" w:ascii="宋体" w:hAnsi="宋体" w:cs="宋体"/>
          <w:highlight w:val="none"/>
        </w:rPr>
      </w:pPr>
      <w:bookmarkStart w:id="976" w:name="_Toc247431440"/>
      <w:bookmarkStart w:id="977" w:name="_Toc532375715"/>
      <w:bookmarkStart w:id="978" w:name="_Toc247418280"/>
      <w:bookmarkStart w:id="979" w:name="_Toc239510306"/>
      <w:r>
        <w:rPr>
          <w:rFonts w:hint="eastAsia" w:ascii="宋体" w:hAnsi="宋体" w:cs="宋体"/>
          <w:highlight w:val="none"/>
        </w:rPr>
        <w:t>十五、事故报告与应急救援</w:t>
      </w:r>
      <w:bookmarkEnd w:id="976"/>
      <w:bookmarkEnd w:id="977"/>
      <w:bookmarkEnd w:id="978"/>
      <w:bookmarkEnd w:id="979"/>
    </w:p>
    <w:p w14:paraId="3EDF6227">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1．承包人应制定对于未遂事故及以上级别的安全事件和事故，定期报送安全月度快报、季报、年报和各种专项事故报告等。</w:t>
      </w:r>
    </w:p>
    <w:p w14:paraId="1AC53934">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2．承包人应建立安全事故统计记录、未遂事故统计记录、违章统计记录，并根据统计情况进行分析，并就分析结果制定相应的预防措施。</w:t>
      </w:r>
    </w:p>
    <w:p w14:paraId="1B303ADD">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3．承包人应建立事故应急救援机制，明确事故处置的基本原则，即现场发生事故时，首先抢救生命，向救援组织报警，并采取措施限制事故扩大。</w:t>
      </w:r>
    </w:p>
    <w:p w14:paraId="244EE1E4">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4．承包人应建立相应的应急响应组织，以便能迅速处理突发意外。</w:t>
      </w:r>
    </w:p>
    <w:p w14:paraId="013CA4C0">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5．承包人应建立专项应急响应预案，包括重大人身伤亡事故的救护预案、火灾响应预案、“四防”预案（防风、防冻、防雷、防暴雨）、重大疫病防护预案、环境污染防护预案、地质灾害防护预案等。</w:t>
      </w:r>
    </w:p>
    <w:p w14:paraId="0E8900B7">
      <w:pPr>
        <w:spacing w:line="400" w:lineRule="exact"/>
        <w:ind w:firstLine="420" w:firstLineChars="200"/>
        <w:jc w:val="left"/>
        <w:rPr>
          <w:rFonts w:hint="eastAsia" w:ascii="宋体" w:hAnsi="宋体" w:cs="宋体"/>
          <w:highlight w:val="none"/>
        </w:rPr>
      </w:pPr>
      <w:r>
        <w:rPr>
          <w:rFonts w:hint="eastAsia" w:ascii="宋体" w:hAnsi="宋体" w:cs="宋体"/>
          <w:highlight w:val="none"/>
        </w:rPr>
        <w:t>6．承包人应对应急预案进行适当演练，保证应急预案的可操作性。</w:t>
      </w:r>
    </w:p>
    <w:p w14:paraId="38ED3157">
      <w:pPr>
        <w:spacing w:line="400" w:lineRule="exact"/>
        <w:ind w:firstLine="420" w:firstLineChars="200"/>
        <w:jc w:val="left"/>
        <w:rPr>
          <w:rFonts w:hint="eastAsia" w:ascii="宋体" w:hAnsi="宋体" w:cs="宋体"/>
          <w:highlight w:val="none"/>
        </w:rPr>
      </w:pPr>
      <w:r>
        <w:rPr>
          <w:rFonts w:hint="eastAsia" w:ascii="宋体" w:hAnsi="宋体" w:cs="宋体"/>
          <w:highlight w:val="none"/>
        </w:rPr>
        <w:t>7．在工地的其他施工单位发生重大事故时，承包人应无条件立即配合、支持事故抢险。</w:t>
      </w:r>
    </w:p>
    <w:p w14:paraId="7E8AB92C">
      <w:pPr>
        <w:spacing w:line="400" w:lineRule="exact"/>
        <w:ind w:firstLine="420" w:firstLineChars="200"/>
        <w:jc w:val="left"/>
        <w:rPr>
          <w:rFonts w:hint="eastAsia" w:ascii="宋体" w:hAnsi="宋体" w:cs="宋体"/>
          <w:highlight w:val="none"/>
        </w:rPr>
      </w:pPr>
      <w:r>
        <w:rPr>
          <w:rFonts w:hint="eastAsia" w:ascii="宋体" w:hAnsi="宋体" w:cs="宋体"/>
          <w:highlight w:val="none"/>
        </w:rPr>
        <w:t>8．承包人必须为事故处置支付各项费用，包括受伤者的抚恤、补偿等费用，并按合同要求赔偿对发包人造成的损失。</w:t>
      </w:r>
    </w:p>
    <w:p w14:paraId="2AEEB7FC">
      <w:pPr>
        <w:spacing w:line="400" w:lineRule="exact"/>
        <w:ind w:firstLine="420" w:firstLineChars="200"/>
        <w:jc w:val="left"/>
        <w:rPr>
          <w:rFonts w:hint="eastAsia" w:ascii="宋体" w:hAnsi="宋体" w:cs="宋体"/>
          <w:highlight w:val="none"/>
        </w:rPr>
      </w:pPr>
      <w:r>
        <w:rPr>
          <w:rFonts w:hint="eastAsia" w:ascii="宋体" w:hAnsi="宋体" w:cs="宋体"/>
          <w:highlight w:val="none"/>
        </w:rPr>
        <w:t>9．由于发包人原因而造成的事故，发包人应负责按事故的具体损失情况给予承包人经济赔偿。</w:t>
      </w:r>
    </w:p>
    <w:p w14:paraId="231500B6">
      <w:pPr>
        <w:spacing w:line="400" w:lineRule="exact"/>
        <w:ind w:firstLine="420" w:firstLineChars="200"/>
        <w:jc w:val="left"/>
        <w:rPr>
          <w:rFonts w:hint="eastAsia" w:ascii="宋体" w:hAnsi="宋体" w:cs="宋体"/>
          <w:highlight w:val="none"/>
        </w:rPr>
      </w:pPr>
      <w:r>
        <w:rPr>
          <w:rFonts w:hint="eastAsia" w:ascii="宋体" w:hAnsi="宋体" w:cs="宋体"/>
          <w:highlight w:val="none"/>
        </w:rPr>
        <w:t>10．涉及承包人员工的伤害事故，承包人除要报告发包人委托的监理公司外，还应负责按照国家、行业和本单位上级公司的要求，上报事故。</w:t>
      </w:r>
    </w:p>
    <w:p w14:paraId="77C90880">
      <w:pPr>
        <w:spacing w:line="400" w:lineRule="exact"/>
        <w:ind w:firstLine="420" w:firstLineChars="200"/>
        <w:rPr>
          <w:rFonts w:hint="eastAsia" w:ascii="宋体" w:hAnsi="宋体" w:cs="宋体"/>
          <w:highlight w:val="none"/>
        </w:rPr>
      </w:pPr>
      <w:bookmarkStart w:id="980" w:name="_Toc532375716"/>
      <w:bookmarkStart w:id="981" w:name="_Toc239510307"/>
      <w:bookmarkStart w:id="982" w:name="_Toc247418281"/>
      <w:bookmarkStart w:id="983" w:name="_Toc247431441"/>
      <w:r>
        <w:rPr>
          <w:rFonts w:hint="eastAsia" w:ascii="宋体" w:hAnsi="宋体" w:cs="宋体"/>
          <w:highlight w:val="none"/>
        </w:rPr>
        <w:t>十六、安全业绩考核</w:t>
      </w:r>
      <w:bookmarkEnd w:id="980"/>
      <w:bookmarkEnd w:id="981"/>
      <w:bookmarkEnd w:id="982"/>
      <w:bookmarkEnd w:id="983"/>
    </w:p>
    <w:p w14:paraId="76581427">
      <w:pPr>
        <w:spacing w:line="400" w:lineRule="exact"/>
        <w:ind w:firstLine="420" w:firstLineChars="200"/>
        <w:jc w:val="left"/>
        <w:rPr>
          <w:rFonts w:hint="eastAsia" w:ascii="宋体" w:hAnsi="宋体" w:cs="宋体"/>
          <w:highlight w:val="none"/>
        </w:rPr>
      </w:pPr>
      <w:r>
        <w:rPr>
          <w:rFonts w:hint="eastAsia" w:ascii="宋体" w:hAnsi="宋体" w:cs="宋体"/>
          <w:highlight w:val="none"/>
        </w:rPr>
        <w:t>为了落实安全管理的责任，承包人在施工过程中发生安全事故时，承包人除应按国家有关规定承担责任和处罚外，发包人还将按照以下标准进行考核：</w:t>
      </w:r>
    </w:p>
    <w:tbl>
      <w:tblPr>
        <w:tblStyle w:val="44"/>
        <w:tblW w:w="0" w:type="auto"/>
        <w:jc w:val="center"/>
        <w:tblLayout w:type="fixed"/>
        <w:tblCellMar>
          <w:top w:w="0" w:type="dxa"/>
          <w:left w:w="0" w:type="dxa"/>
          <w:bottom w:w="0" w:type="dxa"/>
          <w:right w:w="0" w:type="dxa"/>
        </w:tblCellMar>
      </w:tblPr>
      <w:tblGrid>
        <w:gridCol w:w="3240"/>
        <w:gridCol w:w="3765"/>
      </w:tblGrid>
      <w:tr w14:paraId="1C24EFFC">
        <w:tblPrEx>
          <w:tblCellMar>
            <w:top w:w="0" w:type="dxa"/>
            <w:left w:w="0" w:type="dxa"/>
            <w:bottom w:w="0" w:type="dxa"/>
            <w:right w:w="0" w:type="dxa"/>
          </w:tblCellMar>
        </w:tblPrEx>
        <w:trPr>
          <w:trHeight w:val="188"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0A0D89">
            <w:pPr>
              <w:spacing w:line="400" w:lineRule="exact"/>
              <w:ind w:firstLine="420" w:firstLineChars="200"/>
              <w:jc w:val="left"/>
              <w:rPr>
                <w:rFonts w:hint="eastAsia" w:ascii="宋体" w:hAnsi="宋体" w:cs="宋体"/>
                <w:highlight w:val="none"/>
              </w:rPr>
            </w:pPr>
            <w:r>
              <w:rPr>
                <w:rFonts w:hint="eastAsia" w:ascii="宋体" w:hAnsi="宋体" w:cs="宋体"/>
                <w:highlight w:val="none"/>
              </w:rPr>
              <w:t>事件类型</w:t>
            </w:r>
          </w:p>
        </w:tc>
        <w:tc>
          <w:tcPr>
            <w:tcW w:w="376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8B613DE">
            <w:pPr>
              <w:spacing w:line="400" w:lineRule="exact"/>
              <w:ind w:firstLine="420" w:firstLineChars="200"/>
              <w:jc w:val="left"/>
              <w:rPr>
                <w:rFonts w:hint="eastAsia" w:ascii="宋体" w:hAnsi="宋体" w:cs="宋体"/>
                <w:highlight w:val="none"/>
              </w:rPr>
            </w:pPr>
            <w:r>
              <w:rPr>
                <w:rFonts w:hint="eastAsia" w:ascii="宋体" w:hAnsi="宋体" w:cs="宋体"/>
                <w:highlight w:val="none"/>
              </w:rPr>
              <w:t>违约金额</w:t>
            </w:r>
          </w:p>
        </w:tc>
      </w:tr>
      <w:tr w14:paraId="7EA914D8">
        <w:tblPrEx>
          <w:tblCellMar>
            <w:top w:w="0" w:type="dxa"/>
            <w:left w:w="0" w:type="dxa"/>
            <w:bottom w:w="0" w:type="dxa"/>
            <w:right w:w="0" w:type="dxa"/>
          </w:tblCellMar>
        </w:tblPrEx>
        <w:trPr>
          <w:trHeight w:val="281"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176333">
            <w:pPr>
              <w:spacing w:line="400" w:lineRule="exact"/>
              <w:ind w:firstLine="420" w:firstLineChars="200"/>
              <w:jc w:val="left"/>
              <w:rPr>
                <w:rFonts w:hint="eastAsia" w:ascii="宋体" w:hAnsi="宋体" w:cs="宋体"/>
                <w:highlight w:val="none"/>
              </w:rPr>
            </w:pPr>
            <w:r>
              <w:rPr>
                <w:rFonts w:hint="eastAsia" w:ascii="宋体" w:hAnsi="宋体" w:cs="宋体"/>
                <w:highlight w:val="none"/>
              </w:rPr>
              <w:t>较大事故</w:t>
            </w:r>
          </w:p>
        </w:tc>
        <w:tc>
          <w:tcPr>
            <w:tcW w:w="3765" w:type="dxa"/>
            <w:tcBorders>
              <w:top w:val="single" w:color="auto" w:sz="8" w:space="0"/>
              <w:left w:val="nil"/>
              <w:bottom w:val="single" w:color="auto" w:sz="8" w:space="0"/>
              <w:right w:val="single" w:color="auto" w:sz="8" w:space="0"/>
            </w:tcBorders>
            <w:vAlign w:val="center"/>
          </w:tcPr>
          <w:p w14:paraId="2C456E66">
            <w:pPr>
              <w:spacing w:line="400" w:lineRule="exact"/>
              <w:ind w:firstLine="420" w:firstLineChars="200"/>
              <w:jc w:val="left"/>
              <w:rPr>
                <w:rFonts w:hint="eastAsia" w:ascii="宋体" w:hAnsi="宋体" w:cs="宋体"/>
                <w:highlight w:val="none"/>
              </w:rPr>
            </w:pPr>
            <w:r>
              <w:rPr>
                <w:rFonts w:hint="eastAsia" w:ascii="宋体" w:hAnsi="宋体" w:cs="宋体"/>
                <w:kern w:val="0"/>
                <w:highlight w:val="none"/>
              </w:rPr>
              <w:t>签约合同价</w:t>
            </w:r>
            <w:r>
              <w:rPr>
                <w:rFonts w:hint="eastAsia" w:ascii="宋体" w:hAnsi="宋体" w:cs="宋体"/>
                <w:highlight w:val="none"/>
              </w:rPr>
              <w:t>的0.5‰</w:t>
            </w:r>
          </w:p>
        </w:tc>
      </w:tr>
      <w:tr w14:paraId="7993B51F">
        <w:tblPrEx>
          <w:tblCellMar>
            <w:top w:w="0" w:type="dxa"/>
            <w:left w:w="0" w:type="dxa"/>
            <w:bottom w:w="0" w:type="dxa"/>
            <w:right w:w="0" w:type="dxa"/>
          </w:tblCellMar>
        </w:tblPrEx>
        <w:trPr>
          <w:trHeight w:val="274"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91A1D9">
            <w:pPr>
              <w:spacing w:line="400" w:lineRule="exact"/>
              <w:ind w:firstLine="420" w:firstLineChars="200"/>
              <w:jc w:val="left"/>
              <w:rPr>
                <w:rFonts w:hint="eastAsia" w:ascii="宋体" w:hAnsi="宋体" w:cs="宋体"/>
                <w:highlight w:val="none"/>
              </w:rPr>
            </w:pPr>
            <w:r>
              <w:rPr>
                <w:rFonts w:hint="eastAsia" w:ascii="宋体" w:hAnsi="宋体" w:cs="宋体"/>
                <w:highlight w:val="none"/>
              </w:rPr>
              <w:t>重大事故</w:t>
            </w:r>
          </w:p>
        </w:tc>
        <w:tc>
          <w:tcPr>
            <w:tcW w:w="3765" w:type="dxa"/>
            <w:tcBorders>
              <w:top w:val="single" w:color="auto" w:sz="8" w:space="0"/>
              <w:left w:val="nil"/>
              <w:bottom w:val="single" w:color="auto" w:sz="8" w:space="0"/>
              <w:right w:val="single" w:color="auto" w:sz="8" w:space="0"/>
            </w:tcBorders>
            <w:vAlign w:val="center"/>
          </w:tcPr>
          <w:p w14:paraId="68FAD394">
            <w:pPr>
              <w:spacing w:line="400" w:lineRule="exact"/>
              <w:ind w:firstLine="420" w:firstLineChars="200"/>
              <w:jc w:val="left"/>
              <w:rPr>
                <w:rFonts w:hint="eastAsia" w:ascii="宋体" w:hAnsi="宋体" w:cs="宋体"/>
                <w:highlight w:val="none"/>
              </w:rPr>
            </w:pPr>
            <w:r>
              <w:rPr>
                <w:rFonts w:hint="eastAsia" w:ascii="宋体" w:hAnsi="宋体" w:cs="宋体"/>
                <w:highlight w:val="none"/>
              </w:rPr>
              <w:t>签约合同价的2‰</w:t>
            </w:r>
          </w:p>
        </w:tc>
      </w:tr>
      <w:tr w14:paraId="632BDE23">
        <w:tblPrEx>
          <w:tblCellMar>
            <w:top w:w="0" w:type="dxa"/>
            <w:left w:w="0" w:type="dxa"/>
            <w:bottom w:w="0" w:type="dxa"/>
            <w:right w:w="0" w:type="dxa"/>
          </w:tblCellMar>
        </w:tblPrEx>
        <w:trPr>
          <w:trHeight w:val="138"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9856BB">
            <w:pPr>
              <w:spacing w:line="400" w:lineRule="exact"/>
              <w:ind w:firstLine="420" w:firstLineChars="200"/>
              <w:jc w:val="left"/>
              <w:rPr>
                <w:rFonts w:hint="eastAsia" w:ascii="宋体" w:hAnsi="宋体" w:cs="宋体"/>
                <w:highlight w:val="none"/>
              </w:rPr>
            </w:pPr>
            <w:r>
              <w:rPr>
                <w:rFonts w:hint="eastAsia" w:ascii="宋体" w:hAnsi="宋体" w:cs="宋体"/>
                <w:highlight w:val="none"/>
              </w:rPr>
              <w:t>特别重大事故</w:t>
            </w:r>
          </w:p>
        </w:tc>
        <w:tc>
          <w:tcPr>
            <w:tcW w:w="3765" w:type="dxa"/>
            <w:tcBorders>
              <w:top w:val="single" w:color="auto" w:sz="8" w:space="0"/>
              <w:left w:val="nil"/>
              <w:bottom w:val="single" w:color="auto" w:sz="8" w:space="0"/>
              <w:right w:val="single" w:color="auto" w:sz="8" w:space="0"/>
            </w:tcBorders>
            <w:vAlign w:val="center"/>
          </w:tcPr>
          <w:p w14:paraId="19441023">
            <w:pPr>
              <w:spacing w:line="400" w:lineRule="exact"/>
              <w:ind w:firstLine="420" w:firstLineChars="200"/>
              <w:jc w:val="left"/>
              <w:rPr>
                <w:rFonts w:hint="eastAsia" w:ascii="宋体" w:hAnsi="宋体" w:cs="宋体"/>
                <w:highlight w:val="none"/>
              </w:rPr>
            </w:pPr>
            <w:r>
              <w:rPr>
                <w:rFonts w:hint="eastAsia" w:ascii="宋体" w:hAnsi="宋体" w:cs="宋体"/>
                <w:highlight w:val="none"/>
              </w:rPr>
              <w:t>签约合同价的4‰</w:t>
            </w:r>
          </w:p>
        </w:tc>
      </w:tr>
    </w:tbl>
    <w:p w14:paraId="24F5D33C">
      <w:pPr>
        <w:spacing w:line="400" w:lineRule="exact"/>
        <w:ind w:firstLine="420" w:firstLineChars="200"/>
        <w:jc w:val="left"/>
        <w:rPr>
          <w:rFonts w:hint="eastAsia" w:ascii="宋体" w:hAnsi="宋体" w:cs="宋体"/>
          <w:highlight w:val="none"/>
        </w:rPr>
      </w:pPr>
      <w:r>
        <w:rPr>
          <w:rFonts w:hint="eastAsia" w:ascii="宋体" w:hAnsi="宋体" w:cs="宋体"/>
          <w:highlight w:val="none"/>
        </w:rPr>
        <w:t>（1）较大事故，是指造成3人以上10人以下死亡，或者10人以上50人以下重伤，或者1000万元以上5000万元以下直接经济损失的事故；</w:t>
      </w:r>
    </w:p>
    <w:p w14:paraId="05B57B91">
      <w:pPr>
        <w:spacing w:line="400" w:lineRule="exact"/>
        <w:ind w:firstLine="420" w:firstLineChars="200"/>
        <w:jc w:val="left"/>
        <w:rPr>
          <w:rFonts w:hint="eastAsia" w:ascii="宋体" w:hAnsi="宋体" w:cs="宋体"/>
          <w:highlight w:val="none"/>
        </w:rPr>
      </w:pPr>
      <w:r>
        <w:rPr>
          <w:rFonts w:hint="eastAsia" w:ascii="宋体" w:hAnsi="宋体" w:cs="宋体"/>
          <w:highlight w:val="none"/>
        </w:rPr>
        <w:t>（2）重大事故，是指造成10人以上30人以下死亡，或者50人以上100人以下重伤，或者5000万元以上1亿元以下直接经济损失的事故；</w:t>
      </w:r>
    </w:p>
    <w:p w14:paraId="1E522A31">
      <w:pPr>
        <w:spacing w:line="400" w:lineRule="exact"/>
        <w:ind w:firstLine="420" w:firstLineChars="200"/>
        <w:jc w:val="left"/>
        <w:rPr>
          <w:rFonts w:hint="eastAsia" w:ascii="宋体" w:hAnsi="宋体" w:cs="宋体"/>
          <w:highlight w:val="none"/>
        </w:rPr>
      </w:pPr>
      <w:r>
        <w:rPr>
          <w:rFonts w:hint="eastAsia" w:ascii="宋体" w:hAnsi="宋体" w:cs="宋体"/>
          <w:highlight w:val="none"/>
        </w:rPr>
        <w:t>（3）特别重大事故，是指造成30人以上死亡，或者100人以上重伤（包括急性工业中毒，下同），或者1亿元以上直接经济损失的事故；</w:t>
      </w:r>
    </w:p>
    <w:p w14:paraId="51295C56">
      <w:pPr>
        <w:spacing w:line="400" w:lineRule="exact"/>
        <w:ind w:firstLine="420" w:firstLineChars="200"/>
        <w:jc w:val="left"/>
        <w:rPr>
          <w:rFonts w:hint="eastAsia" w:ascii="宋体" w:hAnsi="宋体" w:cs="宋体"/>
          <w:highlight w:val="none"/>
        </w:rPr>
      </w:pPr>
      <w:r>
        <w:rPr>
          <w:rFonts w:hint="eastAsia" w:ascii="宋体" w:hAnsi="宋体" w:cs="宋体"/>
          <w:highlight w:val="none"/>
        </w:rPr>
        <w:t>（4）所称的“以上”包括本数，所称的“以下”不包括本数。</w:t>
      </w:r>
    </w:p>
    <w:p w14:paraId="3AC83479">
      <w:pPr>
        <w:spacing w:line="400" w:lineRule="exact"/>
        <w:ind w:firstLine="420" w:firstLineChars="200"/>
        <w:jc w:val="left"/>
        <w:rPr>
          <w:rFonts w:hint="eastAsia" w:ascii="宋体" w:hAnsi="宋体" w:cs="宋体"/>
          <w:highlight w:val="none"/>
        </w:rPr>
      </w:pPr>
      <w:r>
        <w:rPr>
          <w:rFonts w:hint="eastAsia" w:ascii="宋体" w:hAnsi="宋体" w:cs="宋体"/>
          <w:highlight w:val="none"/>
        </w:rPr>
        <w:t>（5）如整个施工过程未发生以上安全事故，则给予承包人建安费总额的1‰的安全奖励。</w:t>
      </w:r>
    </w:p>
    <w:p w14:paraId="2D91C8A5">
      <w:pPr>
        <w:spacing w:line="400" w:lineRule="exact"/>
        <w:ind w:firstLine="420" w:firstLineChars="200"/>
        <w:jc w:val="left"/>
        <w:rPr>
          <w:rFonts w:hint="eastAsia" w:ascii="宋体" w:hAnsi="宋体" w:cs="宋体"/>
          <w:highlight w:val="none"/>
        </w:rPr>
      </w:pPr>
      <w:r>
        <w:rPr>
          <w:rFonts w:hint="eastAsia" w:ascii="宋体" w:hAnsi="宋体" w:cs="宋体"/>
          <w:highlight w:val="none"/>
        </w:rPr>
        <w:t xml:space="preserve">发包人委托的监理公司负责对承包人的安全业绩进行考核。每次合同支付前，承包人提交自我安全业绩评估报告，然后交发包人委托的监理公司评价。发包人委托的监理公司在签署评价意见后，将作为合同支付依据之一，同时也作为是否可接受承包人再次参加发包人项目投标的依据之一。 </w:t>
      </w:r>
    </w:p>
    <w:p w14:paraId="4CCB2EBE">
      <w:pPr>
        <w:spacing w:line="400" w:lineRule="exact"/>
        <w:ind w:firstLine="420" w:firstLineChars="200"/>
        <w:rPr>
          <w:rFonts w:hint="eastAsia" w:ascii="宋体" w:hAnsi="宋体" w:cs="宋体"/>
          <w:highlight w:val="none"/>
        </w:rPr>
      </w:pPr>
      <w:bookmarkStart w:id="984" w:name="_Toc532375717"/>
      <w:bookmarkStart w:id="985" w:name="_Toc247431442"/>
      <w:bookmarkStart w:id="986" w:name="_Toc247418282"/>
      <w:bookmarkStart w:id="987" w:name="_Toc239510308"/>
      <w:r>
        <w:rPr>
          <w:rFonts w:hint="eastAsia" w:ascii="宋体" w:hAnsi="宋体" w:cs="宋体"/>
          <w:highlight w:val="none"/>
        </w:rPr>
        <w:t>十七、协议条款的修订</w:t>
      </w:r>
      <w:bookmarkEnd w:id="984"/>
      <w:bookmarkEnd w:id="985"/>
      <w:bookmarkEnd w:id="986"/>
      <w:bookmarkEnd w:id="987"/>
    </w:p>
    <w:p w14:paraId="29CD0FD5">
      <w:pPr>
        <w:spacing w:line="400" w:lineRule="exact"/>
        <w:ind w:firstLine="420" w:firstLineChars="200"/>
        <w:jc w:val="left"/>
        <w:rPr>
          <w:rFonts w:hint="eastAsia" w:ascii="宋体" w:hAnsi="宋体" w:cs="宋体"/>
          <w:highlight w:val="none"/>
        </w:rPr>
      </w:pPr>
      <w:r>
        <w:rPr>
          <w:rFonts w:hint="eastAsia" w:ascii="宋体" w:hAnsi="宋体" w:cs="宋体"/>
          <w:highlight w:val="none"/>
        </w:rPr>
        <w:t>在项目实施过程中，经双方友好协商，本协议的有关条款也可做出相应的修改。</w:t>
      </w:r>
    </w:p>
    <w:p w14:paraId="3AE52BEE">
      <w:pPr>
        <w:spacing w:line="400" w:lineRule="exact"/>
        <w:ind w:firstLine="420" w:firstLineChars="200"/>
        <w:jc w:val="left"/>
        <w:rPr>
          <w:rFonts w:hint="eastAsia" w:ascii="宋体" w:hAnsi="宋体" w:cs="宋体"/>
          <w:highlight w:val="none"/>
        </w:rPr>
      </w:pPr>
      <w:r>
        <w:rPr>
          <w:rFonts w:hint="eastAsia" w:ascii="宋体" w:hAnsi="宋体" w:cs="宋体"/>
          <w:highlight w:val="none"/>
        </w:rPr>
        <w:t>本工程安全管理协议，由发包人、承包人双方在施工承包合同签订后7天内共同签署，作为施工合同附件。</w:t>
      </w:r>
    </w:p>
    <w:p w14:paraId="04D3233B">
      <w:pPr>
        <w:spacing w:line="400" w:lineRule="exact"/>
        <w:ind w:firstLine="1680" w:firstLineChars="800"/>
        <w:jc w:val="left"/>
        <w:rPr>
          <w:rFonts w:hint="eastAsia" w:ascii="宋体" w:hAnsi="宋体" w:cs="宋体"/>
          <w:highlight w:val="none"/>
        </w:rPr>
      </w:pPr>
      <w:r>
        <w:rPr>
          <w:rFonts w:hint="eastAsia" w:ascii="宋体" w:hAnsi="宋体" w:cs="宋体"/>
          <w:highlight w:val="none"/>
        </w:rPr>
        <w:t>（此页无正文）</w:t>
      </w:r>
    </w:p>
    <w:p w14:paraId="32FB32C6">
      <w:pPr>
        <w:spacing w:line="400" w:lineRule="exact"/>
        <w:ind w:firstLine="1680" w:firstLineChars="800"/>
        <w:jc w:val="left"/>
        <w:rPr>
          <w:rFonts w:hint="eastAsia" w:ascii="宋体" w:hAnsi="宋体" w:cs="宋体"/>
          <w:highlight w:val="none"/>
        </w:rPr>
      </w:pPr>
    </w:p>
    <w:p w14:paraId="69D7B370">
      <w:pPr>
        <w:spacing w:line="400" w:lineRule="exact"/>
        <w:ind w:firstLine="1680" w:firstLineChars="800"/>
        <w:jc w:val="left"/>
        <w:rPr>
          <w:rFonts w:hint="eastAsia" w:ascii="宋体" w:hAnsi="宋体" w:cs="宋体"/>
          <w:highlight w:val="none"/>
        </w:rPr>
      </w:pPr>
    </w:p>
    <w:p w14:paraId="130BC3E8">
      <w:pPr>
        <w:spacing w:line="400" w:lineRule="exact"/>
        <w:ind w:firstLine="1680" w:firstLineChars="800"/>
        <w:jc w:val="left"/>
        <w:rPr>
          <w:rFonts w:hint="eastAsia" w:ascii="宋体" w:hAnsi="宋体" w:cs="宋体"/>
          <w:highlight w:val="none"/>
        </w:rPr>
      </w:pPr>
    </w:p>
    <w:p w14:paraId="45674431">
      <w:pPr>
        <w:spacing w:line="400" w:lineRule="exact"/>
        <w:ind w:firstLine="1680" w:firstLineChars="800"/>
        <w:jc w:val="left"/>
        <w:rPr>
          <w:rFonts w:hint="eastAsia" w:ascii="宋体" w:hAnsi="宋体" w:cs="宋体"/>
          <w:highlight w:val="none"/>
        </w:rPr>
      </w:pPr>
    </w:p>
    <w:p w14:paraId="25AFEC63">
      <w:pPr>
        <w:spacing w:line="400" w:lineRule="exact"/>
        <w:ind w:firstLine="1680" w:firstLineChars="800"/>
        <w:jc w:val="left"/>
        <w:rPr>
          <w:rFonts w:hint="eastAsia" w:ascii="宋体" w:hAnsi="宋体" w:cs="宋体"/>
          <w:highlight w:val="none"/>
        </w:rPr>
      </w:pPr>
    </w:p>
    <w:p w14:paraId="690C4A9C">
      <w:pPr>
        <w:spacing w:line="400" w:lineRule="exact"/>
        <w:ind w:firstLine="420" w:firstLineChars="200"/>
        <w:jc w:val="left"/>
        <w:rPr>
          <w:rFonts w:hint="eastAsia" w:ascii="宋体" w:hAnsi="宋体" w:cs="宋体"/>
          <w:highlight w:val="none"/>
        </w:rPr>
      </w:pPr>
    </w:p>
    <w:p w14:paraId="179728CD">
      <w:pPr>
        <w:spacing w:line="400" w:lineRule="exact"/>
        <w:ind w:firstLine="420" w:firstLineChars="200"/>
        <w:jc w:val="left"/>
        <w:rPr>
          <w:rFonts w:hint="eastAsia" w:ascii="宋体" w:hAnsi="宋体" w:cs="宋体"/>
          <w:highlight w:val="none"/>
        </w:rPr>
      </w:pPr>
      <w:r>
        <w:rPr>
          <w:rFonts w:hint="eastAsia" w:ascii="宋体" w:hAnsi="宋体" w:cs="宋体"/>
          <w:highlight w:val="none"/>
        </w:rPr>
        <w:t>发 包 人：  (公章)                     承 包 人：  (公章)</w:t>
      </w:r>
    </w:p>
    <w:p w14:paraId="1D050A0E">
      <w:pPr>
        <w:spacing w:line="400" w:lineRule="exact"/>
        <w:jc w:val="left"/>
        <w:rPr>
          <w:rFonts w:hint="eastAsia" w:ascii="宋体" w:hAnsi="宋体" w:cs="宋体"/>
          <w:highlight w:val="none"/>
        </w:rPr>
      </w:pPr>
      <w:r>
        <w:rPr>
          <w:rFonts w:hint="eastAsia" w:ascii="宋体" w:hAnsi="宋体" w:cs="宋体"/>
          <w:highlight w:val="none"/>
        </w:rPr>
        <w:t xml:space="preserve">                             </w:t>
      </w:r>
    </w:p>
    <w:p w14:paraId="655F7CCC">
      <w:pPr>
        <w:spacing w:line="400" w:lineRule="exact"/>
        <w:ind w:firstLine="420" w:firstLineChars="200"/>
        <w:jc w:val="left"/>
        <w:rPr>
          <w:rFonts w:hint="eastAsia" w:ascii="宋体" w:hAnsi="宋体" w:cs="宋体"/>
          <w:highlight w:val="none"/>
        </w:rPr>
      </w:pPr>
      <w:r>
        <w:rPr>
          <w:rFonts w:hint="eastAsia" w:ascii="宋体" w:hAnsi="宋体" w:cs="宋体"/>
          <w:highlight w:val="none"/>
        </w:rPr>
        <w:t>法定代表人（签字）：                 法定代表人（签字）：</w:t>
      </w:r>
    </w:p>
    <w:p w14:paraId="1B43836A">
      <w:pPr>
        <w:spacing w:line="400" w:lineRule="exact"/>
        <w:ind w:firstLine="420" w:firstLineChars="200"/>
        <w:jc w:val="left"/>
        <w:rPr>
          <w:rFonts w:hint="eastAsia" w:ascii="宋体" w:hAnsi="宋体" w:cs="宋体"/>
          <w:highlight w:val="none"/>
        </w:rPr>
      </w:pPr>
      <w:r>
        <w:rPr>
          <w:rFonts w:hint="eastAsia" w:ascii="宋体" w:hAnsi="宋体" w:cs="宋体"/>
          <w:highlight w:val="none"/>
        </w:rPr>
        <w:t xml:space="preserve">                    </w:t>
      </w:r>
    </w:p>
    <w:p w14:paraId="0815432B">
      <w:pPr>
        <w:spacing w:line="400" w:lineRule="exact"/>
        <w:ind w:firstLine="420" w:firstLineChars="200"/>
        <w:jc w:val="left"/>
        <w:rPr>
          <w:rFonts w:hint="eastAsia" w:ascii="宋体" w:hAnsi="宋体" w:cs="宋体"/>
          <w:highlight w:val="none"/>
        </w:rPr>
      </w:pPr>
      <w:r>
        <w:rPr>
          <w:rFonts w:hint="eastAsia" w:ascii="宋体" w:hAnsi="宋体" w:cs="宋体"/>
          <w:highlight w:val="none"/>
        </w:rPr>
        <w:t>委托代理人（签字）：                 委托代理人（签字）：</w:t>
      </w:r>
    </w:p>
    <w:p w14:paraId="32BE6AF0">
      <w:pPr>
        <w:spacing w:line="400" w:lineRule="exact"/>
        <w:ind w:firstLine="420" w:firstLineChars="200"/>
        <w:jc w:val="left"/>
        <w:rPr>
          <w:rFonts w:hint="eastAsia" w:ascii="宋体" w:hAnsi="宋体" w:cs="宋体"/>
          <w:highlight w:val="none"/>
        </w:rPr>
      </w:pPr>
    </w:p>
    <w:p w14:paraId="4E195A5E">
      <w:pPr>
        <w:spacing w:line="400" w:lineRule="exact"/>
        <w:ind w:firstLine="420" w:firstLineChars="200"/>
        <w:jc w:val="left"/>
        <w:rPr>
          <w:rFonts w:hint="eastAsia" w:ascii="宋体" w:hAnsi="宋体" w:cs="宋体"/>
          <w:highlight w:val="none"/>
        </w:rPr>
      </w:pPr>
      <w:r>
        <w:rPr>
          <w:rFonts w:hint="eastAsia" w:ascii="宋体" w:hAnsi="宋体" w:cs="宋体"/>
          <w:highlight w:val="none"/>
        </w:rPr>
        <w:t>经 办 人：                             经 办 人：</w:t>
      </w:r>
    </w:p>
    <w:p w14:paraId="3DACB88B">
      <w:pPr>
        <w:spacing w:line="400" w:lineRule="exact"/>
        <w:ind w:firstLine="420" w:firstLineChars="200"/>
        <w:jc w:val="left"/>
        <w:rPr>
          <w:rFonts w:hint="eastAsia" w:ascii="宋体" w:hAnsi="宋体" w:cs="宋体"/>
          <w:highlight w:val="none"/>
        </w:rPr>
      </w:pPr>
      <w:r>
        <w:rPr>
          <w:rFonts w:hint="eastAsia" w:ascii="宋体" w:hAnsi="宋体" w:cs="宋体"/>
          <w:highlight w:val="none"/>
        </w:rPr>
        <w:t xml:space="preserve">  </w:t>
      </w:r>
    </w:p>
    <w:p w14:paraId="263071A8">
      <w:pPr>
        <w:spacing w:line="400" w:lineRule="exact"/>
        <w:ind w:firstLine="420" w:firstLineChars="200"/>
        <w:jc w:val="left"/>
        <w:rPr>
          <w:rFonts w:hint="eastAsia" w:ascii="宋体" w:hAnsi="宋体" w:cs="宋体"/>
          <w:highlight w:val="none"/>
        </w:rPr>
      </w:pPr>
      <w:r>
        <w:rPr>
          <w:rFonts w:hint="eastAsia" w:ascii="宋体" w:hAnsi="宋体" w:cs="宋体"/>
          <w:highlight w:val="none"/>
        </w:rPr>
        <w:t>地  址：                                地  址：</w:t>
      </w:r>
    </w:p>
    <w:p w14:paraId="2B85069C">
      <w:pPr>
        <w:tabs>
          <w:tab w:val="left" w:pos="5883"/>
        </w:tabs>
        <w:spacing w:line="440" w:lineRule="exact"/>
        <w:rPr>
          <w:rFonts w:hint="eastAsia" w:ascii="宋体" w:hAnsi="宋体" w:cs="宋体"/>
          <w:sz w:val="24"/>
          <w:highlight w:val="none"/>
        </w:rPr>
      </w:pPr>
      <w:r>
        <w:rPr>
          <w:rFonts w:hint="eastAsia" w:ascii="宋体" w:hAnsi="宋体" w:cs="宋体"/>
          <w:sz w:val="24"/>
          <w:highlight w:val="none"/>
        </w:rPr>
        <w:tab/>
      </w:r>
    </w:p>
    <w:p w14:paraId="295B5A93">
      <w:pPr>
        <w:rPr>
          <w:rFonts w:hint="eastAsia" w:ascii="宋体" w:hAnsi="宋体" w:cs="宋体"/>
          <w:sz w:val="44"/>
          <w:szCs w:val="44"/>
          <w:highlight w:val="none"/>
        </w:rPr>
      </w:pPr>
      <w:bookmarkStart w:id="988" w:name="_Toc5116"/>
      <w:r>
        <w:rPr>
          <w:rFonts w:hint="eastAsia" w:ascii="宋体" w:hAnsi="宋体" w:cs="宋体"/>
          <w:sz w:val="44"/>
          <w:szCs w:val="44"/>
          <w:highlight w:val="none"/>
        </w:rPr>
        <w:br w:type="page"/>
      </w:r>
    </w:p>
    <w:p w14:paraId="30AE9351">
      <w:pPr>
        <w:pStyle w:val="3"/>
        <w:jc w:val="center"/>
        <w:rPr>
          <w:rFonts w:hint="eastAsia" w:ascii="宋体" w:hAnsi="宋体" w:eastAsia="宋体" w:cs="宋体"/>
          <w:spacing w:val="0"/>
          <w:w w:val="100"/>
          <w:sz w:val="44"/>
          <w:szCs w:val="44"/>
          <w:highlight w:val="none"/>
        </w:rPr>
      </w:pPr>
      <w:r>
        <w:rPr>
          <w:rFonts w:hint="eastAsia" w:ascii="宋体" w:hAnsi="宋体" w:eastAsia="宋体" w:cs="宋体"/>
          <w:spacing w:val="0"/>
          <w:w w:val="100"/>
          <w:sz w:val="44"/>
          <w:szCs w:val="44"/>
          <w:highlight w:val="none"/>
        </w:rPr>
        <w:t>第五章  工程量清单</w:t>
      </w:r>
      <w:bookmarkEnd w:id="458"/>
      <w:bookmarkEnd w:id="459"/>
      <w:bookmarkEnd w:id="988"/>
    </w:p>
    <w:p w14:paraId="34566311">
      <w:pPr>
        <w:spacing w:line="440" w:lineRule="exact"/>
        <w:rPr>
          <w:rFonts w:hint="eastAsia" w:ascii="宋体" w:hAnsi="宋体" w:cs="宋体"/>
          <w:b/>
          <w:kern w:val="0"/>
          <w:highlight w:val="none"/>
        </w:rPr>
      </w:pPr>
      <w:bookmarkStart w:id="989" w:name="_Toc27566"/>
      <w:bookmarkStart w:id="990" w:name="_Toc10697"/>
      <w:bookmarkStart w:id="991" w:name="_Toc18276"/>
      <w:bookmarkStart w:id="992" w:name="_Toc22990073"/>
      <w:bookmarkStart w:id="993" w:name="_Toc22375652"/>
    </w:p>
    <w:p w14:paraId="71235871">
      <w:pPr>
        <w:spacing w:line="440" w:lineRule="exact"/>
        <w:jc w:val="center"/>
        <w:rPr>
          <w:rFonts w:hint="eastAsia" w:ascii="宋体" w:hAnsi="宋体" w:cs="宋体"/>
          <w:b/>
          <w:kern w:val="0"/>
          <w:highlight w:val="none"/>
        </w:rPr>
      </w:pPr>
      <w:r>
        <w:rPr>
          <w:rFonts w:hint="eastAsia" w:ascii="宋体" w:hAnsi="宋体" w:cs="宋体"/>
          <w:b/>
          <w:kern w:val="0"/>
          <w:highlight w:val="none"/>
        </w:rPr>
        <w:t>同本比选文件同时发布。</w:t>
      </w:r>
      <w:bookmarkEnd w:id="989"/>
      <w:bookmarkEnd w:id="990"/>
      <w:bookmarkEnd w:id="991"/>
      <w:bookmarkEnd w:id="992"/>
      <w:bookmarkEnd w:id="993"/>
    </w:p>
    <w:p w14:paraId="7404DC03">
      <w:pPr>
        <w:spacing w:line="440" w:lineRule="exact"/>
        <w:rPr>
          <w:rFonts w:hint="eastAsia" w:ascii="宋体" w:hAnsi="宋体" w:cs="宋体"/>
          <w:b/>
          <w:kern w:val="0"/>
          <w:highlight w:val="none"/>
        </w:rPr>
      </w:pPr>
      <w:r>
        <w:rPr>
          <w:rFonts w:hint="eastAsia" w:ascii="宋体" w:hAnsi="宋体" w:cs="宋体"/>
          <w:b/>
          <w:kern w:val="0"/>
          <w:highlight w:val="none"/>
        </w:rPr>
        <w:br w:type="page"/>
      </w:r>
    </w:p>
    <w:p w14:paraId="79794DC1">
      <w:pPr>
        <w:autoSpaceDE w:val="0"/>
        <w:autoSpaceDN w:val="0"/>
        <w:adjustRightInd w:val="0"/>
        <w:snapToGrid w:val="0"/>
        <w:spacing w:line="360" w:lineRule="auto"/>
        <w:rPr>
          <w:rFonts w:hint="eastAsia" w:ascii="宋体" w:hAnsi="宋体" w:cs="宋体"/>
          <w:kern w:val="0"/>
          <w:sz w:val="32"/>
          <w:szCs w:val="32"/>
          <w:highlight w:val="none"/>
        </w:rPr>
      </w:pPr>
      <w:bookmarkStart w:id="994" w:name="_Toc492994393"/>
      <w:r>
        <w:rPr>
          <w:rFonts w:hint="eastAsia" w:ascii="宋体" w:hAnsi="宋体" w:cs="宋体"/>
          <w:b/>
          <w:kern w:val="0"/>
          <w:highlight w:val="none"/>
        </w:rPr>
        <w:t xml:space="preserve">  </w:t>
      </w:r>
      <w:bookmarkEnd w:id="994"/>
    </w:p>
    <w:p w14:paraId="3DA8F041">
      <w:pPr>
        <w:pStyle w:val="3"/>
        <w:jc w:val="center"/>
        <w:rPr>
          <w:rFonts w:hint="eastAsia" w:ascii="宋体" w:hAnsi="宋体" w:eastAsia="宋体" w:cs="宋体"/>
          <w:spacing w:val="0"/>
          <w:w w:val="100"/>
          <w:sz w:val="44"/>
          <w:szCs w:val="44"/>
          <w:highlight w:val="none"/>
        </w:rPr>
      </w:pPr>
      <w:bookmarkStart w:id="995" w:name="_Toc22375653"/>
      <w:bookmarkStart w:id="996" w:name="_Toc22990074"/>
      <w:bookmarkStart w:id="997" w:name="_Toc31973"/>
      <w:r>
        <w:rPr>
          <w:rFonts w:hint="eastAsia" w:ascii="宋体" w:hAnsi="宋体" w:eastAsia="宋体" w:cs="宋体"/>
          <w:spacing w:val="0"/>
          <w:w w:val="100"/>
          <w:sz w:val="44"/>
          <w:szCs w:val="44"/>
          <w:highlight w:val="none"/>
        </w:rPr>
        <w:t>第六章 比选申请文件格式</w:t>
      </w:r>
      <w:bookmarkEnd w:id="995"/>
      <w:bookmarkEnd w:id="996"/>
      <w:bookmarkEnd w:id="997"/>
    </w:p>
    <w:p w14:paraId="1515D34B">
      <w:pPr>
        <w:tabs>
          <w:tab w:val="left" w:pos="2580"/>
          <w:tab w:val="left" w:pos="5940"/>
        </w:tabs>
        <w:autoSpaceDE w:val="0"/>
        <w:autoSpaceDN w:val="0"/>
        <w:adjustRightInd w:val="0"/>
        <w:snapToGrid w:val="0"/>
        <w:spacing w:line="360" w:lineRule="auto"/>
        <w:ind w:firstLine="2940"/>
        <w:jc w:val="left"/>
        <w:rPr>
          <w:rFonts w:hint="eastAsia" w:ascii="宋体" w:hAnsi="宋体" w:cs="宋体"/>
          <w:kern w:val="0"/>
          <w:sz w:val="28"/>
          <w:szCs w:val="28"/>
          <w:highlight w:val="none"/>
        </w:rPr>
      </w:pPr>
    </w:p>
    <w:p w14:paraId="0157AA62">
      <w:pPr>
        <w:tabs>
          <w:tab w:val="left" w:pos="2580"/>
          <w:tab w:val="left" w:pos="5940"/>
        </w:tabs>
        <w:autoSpaceDE w:val="0"/>
        <w:autoSpaceDN w:val="0"/>
        <w:adjustRightInd w:val="0"/>
        <w:snapToGrid w:val="0"/>
        <w:spacing w:line="360" w:lineRule="auto"/>
        <w:ind w:firstLine="2940"/>
        <w:jc w:val="left"/>
        <w:rPr>
          <w:rFonts w:hint="eastAsia" w:ascii="宋体" w:hAnsi="宋体" w:cs="宋体"/>
          <w:kern w:val="0"/>
          <w:sz w:val="28"/>
          <w:szCs w:val="28"/>
          <w:highlight w:val="none"/>
        </w:rPr>
      </w:pPr>
    </w:p>
    <w:p w14:paraId="1B3025AE">
      <w:pPr>
        <w:tabs>
          <w:tab w:val="left" w:pos="2580"/>
          <w:tab w:val="left" w:pos="5940"/>
        </w:tabs>
        <w:autoSpaceDE w:val="0"/>
        <w:autoSpaceDN w:val="0"/>
        <w:adjustRightInd w:val="0"/>
        <w:snapToGrid w:val="0"/>
        <w:spacing w:line="360" w:lineRule="auto"/>
        <w:ind w:firstLine="2940"/>
        <w:jc w:val="left"/>
        <w:rPr>
          <w:rFonts w:hint="eastAsia" w:ascii="宋体" w:hAnsi="宋体" w:cs="宋体"/>
          <w:kern w:val="0"/>
          <w:sz w:val="28"/>
          <w:szCs w:val="28"/>
          <w:highlight w:val="none"/>
        </w:rPr>
      </w:pPr>
      <w:r>
        <w:rPr>
          <w:rFonts w:hint="eastAsia" w:ascii="宋体" w:hAnsi="宋体" w:cs="宋体"/>
          <w:kern w:val="0"/>
          <w:sz w:val="28"/>
          <w:szCs w:val="28"/>
          <w:highlight w:val="none"/>
        </w:rPr>
        <w:br w:type="page"/>
      </w:r>
    </w:p>
    <w:p w14:paraId="212240E8">
      <w:pPr>
        <w:tabs>
          <w:tab w:val="left" w:pos="2980"/>
          <w:tab w:val="left" w:pos="5940"/>
        </w:tabs>
        <w:autoSpaceDE w:val="0"/>
        <w:autoSpaceDN w:val="0"/>
        <w:adjustRightInd w:val="0"/>
        <w:snapToGrid w:val="0"/>
        <w:spacing w:line="360" w:lineRule="auto"/>
        <w:jc w:val="center"/>
        <w:rPr>
          <w:rFonts w:hint="eastAsia" w:ascii="宋体" w:hAnsi="宋体" w:cs="宋体"/>
          <w:b/>
          <w:kern w:val="0"/>
          <w:sz w:val="28"/>
          <w:szCs w:val="28"/>
          <w:highlight w:val="none"/>
        </w:rPr>
      </w:pPr>
      <w:r>
        <w:rPr>
          <w:rFonts w:hint="eastAsia" w:ascii="宋体" w:hAnsi="宋体" w:cs="宋体"/>
          <w:b/>
          <w:w w:val="99"/>
          <w:kern w:val="0"/>
          <w:sz w:val="28"/>
          <w:szCs w:val="28"/>
          <w:highlight w:val="none"/>
        </w:rPr>
        <w:t>（项目名称</w:t>
      </w:r>
      <w:r>
        <w:rPr>
          <w:rFonts w:hint="eastAsia" w:ascii="宋体" w:hAnsi="宋体" w:cs="宋体"/>
          <w:b/>
          <w:spacing w:val="1"/>
          <w:w w:val="99"/>
          <w:kern w:val="0"/>
          <w:sz w:val="28"/>
          <w:szCs w:val="28"/>
          <w:highlight w:val="none"/>
        </w:rPr>
        <w:t>）</w:t>
      </w:r>
      <w:r>
        <w:rPr>
          <w:rFonts w:hint="eastAsia" w:ascii="宋体" w:hAnsi="宋体" w:cs="宋体"/>
          <w:b/>
          <w:w w:val="99"/>
          <w:kern w:val="0"/>
          <w:sz w:val="28"/>
          <w:szCs w:val="28"/>
          <w:highlight w:val="none"/>
        </w:rPr>
        <w:t>竞争性比选</w:t>
      </w:r>
    </w:p>
    <w:p w14:paraId="3A20C834">
      <w:pPr>
        <w:tabs>
          <w:tab w:val="left" w:pos="3600"/>
          <w:tab w:val="left" w:pos="4480"/>
          <w:tab w:val="left" w:pos="5360"/>
        </w:tabs>
        <w:autoSpaceDE w:val="0"/>
        <w:autoSpaceDN w:val="0"/>
        <w:adjustRightInd w:val="0"/>
        <w:snapToGrid w:val="0"/>
        <w:spacing w:line="360" w:lineRule="auto"/>
        <w:jc w:val="left"/>
        <w:rPr>
          <w:rFonts w:hint="eastAsia" w:ascii="宋体" w:hAnsi="宋体" w:cs="宋体"/>
          <w:kern w:val="0"/>
          <w:sz w:val="44"/>
          <w:szCs w:val="44"/>
          <w:highlight w:val="none"/>
        </w:rPr>
      </w:pPr>
      <w:r>
        <w:rPr>
          <w:rFonts w:hint="eastAsia" w:ascii="宋体" w:hAnsi="宋体" w:cs="宋体"/>
          <w:kern w:val="0"/>
          <w:sz w:val="44"/>
          <w:szCs w:val="44"/>
          <w:highlight w:val="none"/>
        </w:rPr>
        <w:t xml:space="preserve">          </w:t>
      </w:r>
    </w:p>
    <w:p w14:paraId="16AD52C4">
      <w:pPr>
        <w:tabs>
          <w:tab w:val="left" w:pos="3600"/>
          <w:tab w:val="left" w:pos="4480"/>
          <w:tab w:val="left" w:pos="5360"/>
        </w:tabs>
        <w:autoSpaceDE w:val="0"/>
        <w:autoSpaceDN w:val="0"/>
        <w:adjustRightInd w:val="0"/>
        <w:snapToGrid w:val="0"/>
        <w:spacing w:line="360" w:lineRule="auto"/>
        <w:jc w:val="left"/>
        <w:rPr>
          <w:rFonts w:hint="eastAsia" w:ascii="宋体" w:hAnsi="宋体" w:cs="宋体"/>
          <w:kern w:val="0"/>
          <w:sz w:val="44"/>
          <w:szCs w:val="44"/>
          <w:highlight w:val="none"/>
        </w:rPr>
      </w:pPr>
    </w:p>
    <w:p w14:paraId="124CD929">
      <w:pPr>
        <w:tabs>
          <w:tab w:val="left" w:pos="3600"/>
          <w:tab w:val="left" w:pos="4480"/>
          <w:tab w:val="left" w:pos="5360"/>
        </w:tabs>
        <w:autoSpaceDE w:val="0"/>
        <w:autoSpaceDN w:val="0"/>
        <w:adjustRightInd w:val="0"/>
        <w:snapToGrid w:val="0"/>
        <w:spacing w:line="360" w:lineRule="auto"/>
        <w:jc w:val="left"/>
        <w:rPr>
          <w:rFonts w:hint="eastAsia" w:ascii="宋体" w:hAnsi="宋体" w:cs="宋体"/>
          <w:kern w:val="0"/>
          <w:sz w:val="44"/>
          <w:szCs w:val="44"/>
          <w:highlight w:val="none"/>
        </w:rPr>
      </w:pPr>
    </w:p>
    <w:p w14:paraId="2933B6F6">
      <w:pPr>
        <w:tabs>
          <w:tab w:val="left" w:pos="3600"/>
          <w:tab w:val="left" w:pos="4480"/>
          <w:tab w:val="left" w:pos="5360"/>
        </w:tabs>
        <w:autoSpaceDE w:val="0"/>
        <w:autoSpaceDN w:val="0"/>
        <w:adjustRightInd w:val="0"/>
        <w:snapToGrid w:val="0"/>
        <w:spacing w:line="360" w:lineRule="auto"/>
        <w:jc w:val="left"/>
        <w:rPr>
          <w:rFonts w:hint="eastAsia" w:ascii="宋体" w:hAnsi="宋体" w:cs="宋体"/>
          <w:kern w:val="0"/>
          <w:sz w:val="44"/>
          <w:szCs w:val="44"/>
          <w:highlight w:val="none"/>
        </w:rPr>
      </w:pPr>
    </w:p>
    <w:p w14:paraId="3FFED6A1">
      <w:pPr>
        <w:tabs>
          <w:tab w:val="left" w:pos="3600"/>
          <w:tab w:val="left" w:pos="4480"/>
          <w:tab w:val="left" w:pos="5360"/>
        </w:tabs>
        <w:autoSpaceDE w:val="0"/>
        <w:autoSpaceDN w:val="0"/>
        <w:adjustRightInd w:val="0"/>
        <w:snapToGrid w:val="0"/>
        <w:spacing w:line="360" w:lineRule="auto"/>
        <w:jc w:val="center"/>
        <w:rPr>
          <w:rFonts w:hint="eastAsia" w:ascii="宋体" w:hAnsi="宋体" w:cs="宋体"/>
          <w:b/>
          <w:kern w:val="0"/>
          <w:sz w:val="84"/>
          <w:szCs w:val="84"/>
          <w:highlight w:val="none"/>
        </w:rPr>
      </w:pPr>
      <w:r>
        <w:rPr>
          <w:rFonts w:hint="eastAsia" w:ascii="宋体" w:hAnsi="宋体" w:cs="宋体"/>
          <w:b/>
          <w:kern w:val="0"/>
          <w:sz w:val="84"/>
          <w:szCs w:val="84"/>
          <w:highlight w:val="none"/>
        </w:rPr>
        <w:t>比 选 申 请 文 件</w:t>
      </w:r>
    </w:p>
    <w:p w14:paraId="2E7CC178">
      <w:pPr>
        <w:autoSpaceDE w:val="0"/>
        <w:autoSpaceDN w:val="0"/>
        <w:adjustRightInd w:val="0"/>
        <w:snapToGrid w:val="0"/>
        <w:spacing w:line="360" w:lineRule="auto"/>
        <w:jc w:val="left"/>
        <w:rPr>
          <w:rFonts w:hint="eastAsia" w:ascii="宋体" w:hAnsi="宋体" w:cs="宋体"/>
          <w:kern w:val="0"/>
          <w:sz w:val="16"/>
          <w:szCs w:val="16"/>
          <w:highlight w:val="none"/>
        </w:rPr>
      </w:pPr>
    </w:p>
    <w:p w14:paraId="0316F06A">
      <w:pPr>
        <w:autoSpaceDE w:val="0"/>
        <w:autoSpaceDN w:val="0"/>
        <w:adjustRightInd w:val="0"/>
        <w:snapToGrid w:val="0"/>
        <w:spacing w:line="360" w:lineRule="auto"/>
        <w:jc w:val="center"/>
        <w:rPr>
          <w:rFonts w:hint="eastAsia" w:ascii="宋体" w:hAnsi="宋体" w:cs="宋体"/>
          <w:b/>
          <w:kern w:val="0"/>
          <w:sz w:val="36"/>
          <w:szCs w:val="36"/>
          <w:highlight w:val="none"/>
        </w:rPr>
      </w:pPr>
      <w:r>
        <w:rPr>
          <w:rFonts w:hint="eastAsia" w:ascii="宋体" w:hAnsi="宋体" w:cs="宋体"/>
          <w:b/>
          <w:kern w:val="0"/>
          <w:sz w:val="36"/>
          <w:szCs w:val="36"/>
          <w:highlight w:val="none"/>
        </w:rPr>
        <w:t>比选申请文件部分</w:t>
      </w:r>
    </w:p>
    <w:p w14:paraId="2211C17D">
      <w:pPr>
        <w:autoSpaceDE w:val="0"/>
        <w:autoSpaceDN w:val="0"/>
        <w:adjustRightInd w:val="0"/>
        <w:snapToGrid w:val="0"/>
        <w:spacing w:line="360" w:lineRule="auto"/>
        <w:jc w:val="left"/>
        <w:rPr>
          <w:rFonts w:hint="eastAsia" w:ascii="宋体" w:hAnsi="宋体" w:cs="宋体"/>
          <w:b/>
          <w:kern w:val="0"/>
          <w:sz w:val="20"/>
          <w:szCs w:val="20"/>
          <w:highlight w:val="none"/>
        </w:rPr>
      </w:pPr>
    </w:p>
    <w:p w14:paraId="1E38ADFC">
      <w:pPr>
        <w:autoSpaceDE w:val="0"/>
        <w:autoSpaceDN w:val="0"/>
        <w:adjustRightInd w:val="0"/>
        <w:snapToGrid w:val="0"/>
        <w:spacing w:line="360" w:lineRule="auto"/>
        <w:jc w:val="left"/>
        <w:rPr>
          <w:rFonts w:hint="eastAsia" w:ascii="宋体" w:hAnsi="宋体" w:cs="宋体"/>
          <w:b/>
          <w:kern w:val="0"/>
          <w:sz w:val="20"/>
          <w:szCs w:val="20"/>
          <w:highlight w:val="none"/>
        </w:rPr>
      </w:pPr>
    </w:p>
    <w:p w14:paraId="7F77514B">
      <w:pPr>
        <w:autoSpaceDE w:val="0"/>
        <w:autoSpaceDN w:val="0"/>
        <w:adjustRightInd w:val="0"/>
        <w:snapToGrid w:val="0"/>
        <w:spacing w:line="360" w:lineRule="auto"/>
        <w:jc w:val="left"/>
        <w:rPr>
          <w:rFonts w:hint="eastAsia" w:ascii="宋体" w:hAnsi="宋体" w:cs="宋体"/>
          <w:b/>
          <w:kern w:val="0"/>
          <w:sz w:val="20"/>
          <w:szCs w:val="20"/>
          <w:highlight w:val="none"/>
        </w:rPr>
      </w:pPr>
    </w:p>
    <w:p w14:paraId="1F76A5A8">
      <w:pPr>
        <w:autoSpaceDE w:val="0"/>
        <w:autoSpaceDN w:val="0"/>
        <w:adjustRightInd w:val="0"/>
        <w:snapToGrid w:val="0"/>
        <w:spacing w:line="360" w:lineRule="auto"/>
        <w:jc w:val="left"/>
        <w:rPr>
          <w:rFonts w:hint="eastAsia" w:ascii="宋体" w:hAnsi="宋体" w:cs="宋体"/>
          <w:b/>
          <w:kern w:val="0"/>
          <w:sz w:val="20"/>
          <w:szCs w:val="20"/>
          <w:highlight w:val="none"/>
        </w:rPr>
      </w:pPr>
    </w:p>
    <w:p w14:paraId="25BDD7CE">
      <w:pPr>
        <w:autoSpaceDE w:val="0"/>
        <w:autoSpaceDN w:val="0"/>
        <w:adjustRightInd w:val="0"/>
        <w:snapToGrid w:val="0"/>
        <w:spacing w:line="360" w:lineRule="auto"/>
        <w:jc w:val="left"/>
        <w:rPr>
          <w:rFonts w:hint="eastAsia" w:ascii="宋体" w:hAnsi="宋体" w:cs="宋体"/>
          <w:b/>
          <w:kern w:val="0"/>
          <w:sz w:val="20"/>
          <w:szCs w:val="20"/>
          <w:highlight w:val="none"/>
        </w:rPr>
      </w:pPr>
    </w:p>
    <w:p w14:paraId="7F0CAF08">
      <w:pPr>
        <w:autoSpaceDE w:val="0"/>
        <w:autoSpaceDN w:val="0"/>
        <w:adjustRightInd w:val="0"/>
        <w:snapToGrid w:val="0"/>
        <w:spacing w:line="360" w:lineRule="auto"/>
        <w:jc w:val="left"/>
        <w:rPr>
          <w:rFonts w:hint="eastAsia" w:ascii="宋体" w:hAnsi="宋体" w:cs="宋体"/>
          <w:b/>
          <w:kern w:val="0"/>
          <w:sz w:val="20"/>
          <w:szCs w:val="20"/>
          <w:highlight w:val="none"/>
        </w:rPr>
      </w:pPr>
    </w:p>
    <w:p w14:paraId="24A3C4C3">
      <w:pPr>
        <w:autoSpaceDE w:val="0"/>
        <w:autoSpaceDN w:val="0"/>
        <w:adjustRightInd w:val="0"/>
        <w:snapToGrid w:val="0"/>
        <w:spacing w:line="360" w:lineRule="auto"/>
        <w:jc w:val="left"/>
        <w:rPr>
          <w:rFonts w:hint="eastAsia" w:ascii="宋体" w:hAnsi="宋体" w:cs="宋体"/>
          <w:b/>
          <w:kern w:val="0"/>
          <w:sz w:val="20"/>
          <w:szCs w:val="20"/>
          <w:highlight w:val="none"/>
        </w:rPr>
      </w:pPr>
    </w:p>
    <w:p w14:paraId="39C0343F">
      <w:pPr>
        <w:autoSpaceDE w:val="0"/>
        <w:autoSpaceDN w:val="0"/>
        <w:adjustRightInd w:val="0"/>
        <w:snapToGrid w:val="0"/>
        <w:spacing w:line="360" w:lineRule="auto"/>
        <w:jc w:val="left"/>
        <w:rPr>
          <w:rFonts w:hint="eastAsia" w:ascii="宋体" w:hAnsi="宋体" w:cs="宋体"/>
          <w:b/>
          <w:kern w:val="0"/>
          <w:sz w:val="20"/>
          <w:szCs w:val="20"/>
          <w:highlight w:val="none"/>
        </w:rPr>
      </w:pPr>
    </w:p>
    <w:p w14:paraId="1DA132B3">
      <w:pPr>
        <w:autoSpaceDE w:val="0"/>
        <w:autoSpaceDN w:val="0"/>
        <w:adjustRightInd w:val="0"/>
        <w:snapToGrid w:val="0"/>
        <w:spacing w:line="360" w:lineRule="auto"/>
        <w:jc w:val="left"/>
        <w:rPr>
          <w:rFonts w:hint="eastAsia" w:ascii="宋体" w:hAnsi="宋体" w:cs="宋体"/>
          <w:b/>
          <w:kern w:val="0"/>
          <w:sz w:val="20"/>
          <w:szCs w:val="20"/>
          <w:highlight w:val="none"/>
        </w:rPr>
      </w:pPr>
    </w:p>
    <w:p w14:paraId="4C22C063">
      <w:pPr>
        <w:autoSpaceDE w:val="0"/>
        <w:autoSpaceDN w:val="0"/>
        <w:adjustRightInd w:val="0"/>
        <w:snapToGrid w:val="0"/>
        <w:spacing w:line="360" w:lineRule="auto"/>
        <w:jc w:val="left"/>
        <w:rPr>
          <w:rFonts w:hint="eastAsia" w:ascii="宋体" w:hAnsi="宋体" w:cs="宋体"/>
          <w:b/>
          <w:kern w:val="0"/>
          <w:sz w:val="20"/>
          <w:szCs w:val="20"/>
          <w:highlight w:val="none"/>
        </w:rPr>
      </w:pPr>
    </w:p>
    <w:p w14:paraId="6C3B7B1E">
      <w:pPr>
        <w:autoSpaceDE w:val="0"/>
        <w:autoSpaceDN w:val="0"/>
        <w:adjustRightInd w:val="0"/>
        <w:snapToGrid w:val="0"/>
        <w:spacing w:line="360" w:lineRule="auto"/>
        <w:jc w:val="left"/>
        <w:rPr>
          <w:rFonts w:hint="eastAsia" w:ascii="宋体" w:hAnsi="宋体" w:cs="宋体"/>
          <w:b/>
          <w:kern w:val="0"/>
          <w:sz w:val="20"/>
          <w:szCs w:val="20"/>
          <w:highlight w:val="none"/>
        </w:rPr>
      </w:pPr>
    </w:p>
    <w:p w14:paraId="40EF0FFB">
      <w:pPr>
        <w:autoSpaceDE w:val="0"/>
        <w:autoSpaceDN w:val="0"/>
        <w:adjustRightInd w:val="0"/>
        <w:snapToGrid w:val="0"/>
        <w:spacing w:line="360" w:lineRule="auto"/>
        <w:jc w:val="left"/>
        <w:rPr>
          <w:rFonts w:hint="eastAsia" w:ascii="宋体" w:hAnsi="宋体" w:cs="宋体"/>
          <w:b/>
          <w:kern w:val="0"/>
          <w:sz w:val="20"/>
          <w:szCs w:val="20"/>
          <w:highlight w:val="none"/>
        </w:rPr>
      </w:pPr>
    </w:p>
    <w:p w14:paraId="2E44E12F">
      <w:pPr>
        <w:tabs>
          <w:tab w:val="left" w:pos="6080"/>
          <w:tab w:val="left" w:pos="6640"/>
        </w:tabs>
        <w:autoSpaceDE w:val="0"/>
        <w:autoSpaceDN w:val="0"/>
        <w:adjustRightInd w:val="0"/>
        <w:snapToGrid w:val="0"/>
        <w:spacing w:line="360" w:lineRule="auto"/>
        <w:jc w:val="center"/>
        <w:rPr>
          <w:rFonts w:hint="eastAsia" w:ascii="宋体" w:hAnsi="宋体" w:cs="宋体"/>
          <w:b/>
          <w:w w:val="99"/>
          <w:kern w:val="0"/>
          <w:sz w:val="28"/>
          <w:szCs w:val="28"/>
          <w:highlight w:val="none"/>
        </w:rPr>
      </w:pPr>
      <w:r>
        <w:rPr>
          <w:rFonts w:hint="eastAsia" w:ascii="宋体" w:hAnsi="宋体" w:cs="宋体"/>
          <w:b/>
          <w:w w:val="99"/>
          <w:kern w:val="0"/>
          <w:sz w:val="28"/>
          <w:szCs w:val="28"/>
          <w:highlight w:val="none"/>
        </w:rPr>
        <w:t>比选申请人</w:t>
      </w:r>
      <w:r>
        <w:rPr>
          <w:rFonts w:hint="eastAsia" w:ascii="宋体" w:hAnsi="宋体" w:cs="宋体"/>
          <w:b/>
          <w:spacing w:val="1"/>
          <w:w w:val="99"/>
          <w:kern w:val="0"/>
          <w:sz w:val="28"/>
          <w:szCs w:val="28"/>
          <w:highlight w:val="none"/>
        </w:rPr>
        <w:t>：</w:t>
      </w:r>
      <w:r>
        <w:rPr>
          <w:rFonts w:hint="eastAsia" w:ascii="宋体" w:hAnsi="宋体" w:cs="宋体"/>
          <w:b/>
          <w:w w:val="198"/>
          <w:kern w:val="0"/>
          <w:sz w:val="28"/>
          <w:szCs w:val="28"/>
          <w:highlight w:val="none"/>
          <w:u w:val="single"/>
        </w:rPr>
        <w:t xml:space="preserve"> 　　　　 　　</w:t>
      </w:r>
      <w:r>
        <w:rPr>
          <w:rFonts w:hint="eastAsia" w:ascii="宋体" w:hAnsi="宋体" w:cs="宋体"/>
          <w:b/>
          <w:w w:val="99"/>
          <w:kern w:val="0"/>
          <w:sz w:val="28"/>
          <w:szCs w:val="28"/>
          <w:highlight w:val="none"/>
        </w:rPr>
        <w:t>（盖单位公章）</w:t>
      </w:r>
    </w:p>
    <w:p w14:paraId="237F891D">
      <w:pPr>
        <w:tabs>
          <w:tab w:val="left" w:pos="6080"/>
          <w:tab w:val="left" w:pos="6640"/>
        </w:tabs>
        <w:autoSpaceDE w:val="0"/>
        <w:autoSpaceDN w:val="0"/>
        <w:adjustRightInd w:val="0"/>
        <w:snapToGrid w:val="0"/>
        <w:spacing w:line="360" w:lineRule="auto"/>
        <w:ind w:firstLine="1062" w:firstLineChars="382"/>
        <w:rPr>
          <w:rFonts w:hint="eastAsia" w:ascii="宋体" w:hAnsi="宋体" w:cs="宋体"/>
          <w:b/>
          <w:kern w:val="0"/>
          <w:sz w:val="28"/>
          <w:szCs w:val="28"/>
          <w:highlight w:val="none"/>
        </w:rPr>
      </w:pPr>
      <w:r>
        <w:rPr>
          <w:rFonts w:hint="eastAsia" w:ascii="宋体" w:hAnsi="宋体" w:cs="宋体"/>
          <w:b/>
          <w:w w:val="99"/>
          <w:kern w:val="0"/>
          <w:sz w:val="28"/>
          <w:szCs w:val="28"/>
          <w:highlight w:val="none"/>
        </w:rPr>
        <w:t>法定代表人或其委托代理人：</w:t>
      </w:r>
      <w:r>
        <w:rPr>
          <w:rFonts w:hint="eastAsia" w:ascii="宋体" w:hAnsi="宋体" w:cs="宋体"/>
          <w:b/>
          <w:w w:val="198"/>
          <w:kern w:val="0"/>
          <w:sz w:val="28"/>
          <w:szCs w:val="28"/>
          <w:highlight w:val="none"/>
          <w:u w:val="single"/>
        </w:rPr>
        <w:t xml:space="preserve"> 　　 　</w:t>
      </w:r>
      <w:r>
        <w:rPr>
          <w:rFonts w:hint="eastAsia" w:ascii="宋体" w:hAnsi="宋体" w:cs="宋体"/>
          <w:b/>
          <w:w w:val="99"/>
          <w:kern w:val="0"/>
          <w:sz w:val="28"/>
          <w:szCs w:val="28"/>
          <w:highlight w:val="none"/>
        </w:rPr>
        <w:t>（签字）</w:t>
      </w:r>
    </w:p>
    <w:p w14:paraId="6EBBEA7C">
      <w:pPr>
        <w:tabs>
          <w:tab w:val="left" w:pos="3280"/>
          <w:tab w:val="left" w:pos="4680"/>
          <w:tab w:val="left" w:pos="6080"/>
        </w:tabs>
        <w:autoSpaceDE w:val="0"/>
        <w:autoSpaceDN w:val="0"/>
        <w:adjustRightInd w:val="0"/>
        <w:snapToGrid w:val="0"/>
        <w:spacing w:line="360" w:lineRule="auto"/>
        <w:jc w:val="center"/>
        <w:rPr>
          <w:rFonts w:hint="eastAsia" w:ascii="宋体" w:hAnsi="宋体" w:cs="宋体"/>
          <w:b/>
          <w:kern w:val="0"/>
          <w:sz w:val="28"/>
          <w:szCs w:val="28"/>
          <w:highlight w:val="none"/>
        </w:rPr>
      </w:pPr>
      <w:r>
        <w:rPr>
          <w:rFonts w:hint="eastAsia" w:ascii="宋体" w:hAnsi="宋体" w:cs="宋体"/>
          <w:b/>
          <w:w w:val="99"/>
          <w:kern w:val="0"/>
          <w:sz w:val="28"/>
          <w:szCs w:val="28"/>
          <w:highlight w:val="none"/>
          <w:u w:val="single"/>
        </w:rPr>
        <w:t xml:space="preserve">     　</w:t>
      </w:r>
      <w:r>
        <w:rPr>
          <w:rFonts w:hint="eastAsia" w:ascii="宋体" w:hAnsi="宋体" w:cs="宋体"/>
          <w:b/>
          <w:w w:val="99"/>
          <w:kern w:val="0"/>
          <w:sz w:val="28"/>
          <w:szCs w:val="28"/>
          <w:highlight w:val="none"/>
        </w:rPr>
        <w:t>年</w:t>
      </w:r>
      <w:r>
        <w:rPr>
          <w:rFonts w:hint="eastAsia" w:ascii="宋体" w:hAnsi="宋体" w:cs="宋体"/>
          <w:b/>
          <w:w w:val="198"/>
          <w:kern w:val="0"/>
          <w:sz w:val="28"/>
          <w:szCs w:val="28"/>
          <w:highlight w:val="none"/>
          <w:u w:val="single"/>
        </w:rPr>
        <w:t xml:space="preserve">  </w:t>
      </w:r>
      <w:r>
        <w:rPr>
          <w:rFonts w:hint="eastAsia" w:ascii="宋体" w:hAnsi="宋体" w:cs="宋体"/>
          <w:b/>
          <w:w w:val="99"/>
          <w:kern w:val="0"/>
          <w:sz w:val="28"/>
          <w:szCs w:val="28"/>
          <w:highlight w:val="none"/>
        </w:rPr>
        <w:t>月</w:t>
      </w:r>
      <w:r>
        <w:rPr>
          <w:rFonts w:hint="eastAsia" w:ascii="宋体" w:hAnsi="宋体" w:cs="宋体"/>
          <w:b/>
          <w:w w:val="198"/>
          <w:kern w:val="0"/>
          <w:sz w:val="28"/>
          <w:szCs w:val="28"/>
          <w:highlight w:val="none"/>
          <w:u w:val="single"/>
        </w:rPr>
        <w:t xml:space="preserve">  </w:t>
      </w:r>
      <w:r>
        <w:rPr>
          <w:rFonts w:hint="eastAsia" w:ascii="宋体" w:hAnsi="宋体" w:cs="宋体"/>
          <w:b/>
          <w:w w:val="99"/>
          <w:kern w:val="0"/>
          <w:sz w:val="28"/>
          <w:szCs w:val="28"/>
          <w:highlight w:val="none"/>
        </w:rPr>
        <w:t>日</w:t>
      </w:r>
    </w:p>
    <w:p w14:paraId="3A1F85CB">
      <w:pPr>
        <w:autoSpaceDE w:val="0"/>
        <w:autoSpaceDN w:val="0"/>
        <w:adjustRightInd w:val="0"/>
        <w:snapToGrid w:val="0"/>
        <w:spacing w:line="360" w:lineRule="auto"/>
        <w:jc w:val="left"/>
        <w:rPr>
          <w:rFonts w:hint="eastAsia" w:ascii="宋体" w:hAnsi="宋体" w:cs="宋体"/>
          <w:kern w:val="0"/>
          <w:highlight w:val="none"/>
        </w:rPr>
      </w:pPr>
      <w:r>
        <w:rPr>
          <w:rFonts w:hint="eastAsia" w:ascii="宋体" w:hAnsi="宋体" w:cs="宋体"/>
          <w:kern w:val="0"/>
          <w:sz w:val="24"/>
          <w:highlight w:val="none"/>
        </w:rPr>
        <w:br w:type="page"/>
      </w:r>
    </w:p>
    <w:p w14:paraId="665C8234">
      <w:pPr>
        <w:autoSpaceDE w:val="0"/>
        <w:autoSpaceDN w:val="0"/>
        <w:adjustRightInd w:val="0"/>
        <w:snapToGrid w:val="0"/>
        <w:spacing w:line="360" w:lineRule="auto"/>
        <w:jc w:val="center"/>
        <w:rPr>
          <w:rFonts w:hint="eastAsia" w:ascii="宋体" w:hAnsi="宋体" w:cs="宋体"/>
          <w:b/>
          <w:kern w:val="0"/>
          <w:highlight w:val="none"/>
        </w:rPr>
      </w:pPr>
      <w:r>
        <w:rPr>
          <w:rFonts w:hint="eastAsia" w:ascii="宋体" w:hAnsi="宋体" w:cs="宋体"/>
          <w:b/>
          <w:kern w:val="0"/>
          <w:highlight w:val="none"/>
        </w:rPr>
        <w:t>目     录</w:t>
      </w:r>
    </w:p>
    <w:p w14:paraId="05FBED58">
      <w:pPr>
        <w:autoSpaceDE w:val="0"/>
        <w:autoSpaceDN w:val="0"/>
        <w:adjustRightInd w:val="0"/>
        <w:snapToGrid w:val="0"/>
        <w:spacing w:line="360" w:lineRule="auto"/>
        <w:jc w:val="left"/>
        <w:rPr>
          <w:rFonts w:hint="eastAsia" w:ascii="宋体" w:hAnsi="宋体" w:cs="宋体"/>
          <w:kern w:val="0"/>
          <w:highlight w:val="none"/>
        </w:rPr>
      </w:pPr>
    </w:p>
    <w:p w14:paraId="2CCD0463">
      <w:pPr>
        <w:numPr>
          <w:ilvl w:val="0"/>
          <w:numId w:val="2"/>
        </w:numPr>
        <w:rPr>
          <w:rFonts w:hint="eastAsia" w:ascii="宋体" w:hAnsi="宋体" w:cs="宋体"/>
          <w:highlight w:val="none"/>
        </w:rPr>
      </w:pPr>
      <w:r>
        <w:rPr>
          <w:rFonts w:hint="eastAsia" w:ascii="宋体" w:hAnsi="宋体" w:cs="宋体"/>
          <w:highlight w:val="none"/>
        </w:rPr>
        <w:t>比选申请人承诺函（投标函）</w:t>
      </w:r>
    </w:p>
    <w:p w14:paraId="502E2560">
      <w:pPr>
        <w:numPr>
          <w:ilvl w:val="0"/>
          <w:numId w:val="2"/>
        </w:numPr>
        <w:rPr>
          <w:rFonts w:hint="eastAsia" w:ascii="宋体" w:hAnsi="宋体" w:cs="宋体"/>
          <w:highlight w:val="none"/>
        </w:rPr>
      </w:pPr>
      <w:r>
        <w:rPr>
          <w:rFonts w:hint="eastAsia" w:ascii="宋体" w:hAnsi="宋体" w:cs="宋体"/>
          <w:highlight w:val="none"/>
        </w:rPr>
        <w:t>法定代表人身份证复印件（盖鲜章）或法定代表人授权委托书</w:t>
      </w:r>
    </w:p>
    <w:p w14:paraId="155CC4CB">
      <w:pPr>
        <w:numPr>
          <w:ilvl w:val="0"/>
          <w:numId w:val="2"/>
        </w:numPr>
        <w:rPr>
          <w:rFonts w:hint="eastAsia" w:ascii="宋体" w:hAnsi="宋体" w:cs="宋体"/>
          <w:highlight w:val="none"/>
        </w:rPr>
      </w:pPr>
      <w:r>
        <w:rPr>
          <w:rFonts w:hint="eastAsia" w:ascii="宋体" w:hAnsi="宋体" w:cs="宋体"/>
          <w:highlight w:val="none"/>
        </w:rPr>
        <w:t>比选申请人基本情况表</w:t>
      </w:r>
    </w:p>
    <w:p w14:paraId="0EC5DFC1">
      <w:pPr>
        <w:numPr>
          <w:ilvl w:val="0"/>
          <w:numId w:val="2"/>
        </w:numPr>
        <w:rPr>
          <w:rFonts w:hint="eastAsia" w:ascii="宋体" w:hAnsi="宋体" w:cs="宋体"/>
          <w:highlight w:val="none"/>
        </w:rPr>
      </w:pPr>
      <w:r>
        <w:rPr>
          <w:rFonts w:hint="eastAsia" w:ascii="宋体" w:hAnsi="宋体" w:cs="宋体"/>
          <w:highlight w:val="none"/>
        </w:rPr>
        <w:t>经济部分</w:t>
      </w:r>
    </w:p>
    <w:p w14:paraId="5825AA9B">
      <w:pPr>
        <w:numPr>
          <w:ilvl w:val="0"/>
          <w:numId w:val="2"/>
        </w:numPr>
        <w:rPr>
          <w:rFonts w:hint="eastAsia" w:ascii="宋体" w:hAnsi="宋体" w:cs="宋体"/>
          <w:highlight w:val="none"/>
        </w:rPr>
      </w:pPr>
      <w:r>
        <w:rPr>
          <w:rFonts w:hint="eastAsia" w:ascii="宋体" w:hAnsi="宋体" w:cs="宋体"/>
          <w:highlight w:val="none"/>
        </w:rPr>
        <w:t>技术部分</w:t>
      </w:r>
    </w:p>
    <w:p w14:paraId="3B0AC783">
      <w:pPr>
        <w:numPr>
          <w:ilvl w:val="0"/>
          <w:numId w:val="2"/>
        </w:numPr>
        <w:rPr>
          <w:rFonts w:hint="eastAsia" w:ascii="宋体" w:hAnsi="宋体" w:cs="宋体"/>
          <w:highlight w:val="none"/>
        </w:rPr>
      </w:pPr>
      <w:r>
        <w:rPr>
          <w:rFonts w:hint="eastAsia" w:ascii="宋体" w:hAnsi="宋体" w:cs="宋体"/>
          <w:highlight w:val="none"/>
          <w:lang w:val="en-US" w:eastAsia="zh-CN"/>
        </w:rPr>
        <w:t>其他资料</w:t>
      </w:r>
    </w:p>
    <w:p w14:paraId="380EDEB1">
      <w:pPr>
        <w:rPr>
          <w:rFonts w:hint="eastAsia" w:ascii="宋体" w:hAnsi="宋体" w:cs="宋体"/>
          <w:sz w:val="28"/>
          <w:highlight w:val="none"/>
        </w:rPr>
      </w:pPr>
      <w:bookmarkStart w:id="998" w:name="_Toc304992630"/>
      <w:bookmarkStart w:id="999" w:name="_Toc22990076"/>
      <w:bookmarkStart w:id="1000" w:name="_Toc492994396"/>
      <w:bookmarkStart w:id="1001" w:name="_Toc15991"/>
      <w:bookmarkStart w:id="1002" w:name="_Toc22375655"/>
      <w:bookmarkStart w:id="1003" w:name="_Toc492644444"/>
      <w:r>
        <w:rPr>
          <w:rFonts w:hint="eastAsia" w:ascii="宋体" w:hAnsi="宋体" w:cs="宋体"/>
          <w:sz w:val="28"/>
          <w:highlight w:val="none"/>
        </w:rPr>
        <w:br w:type="page"/>
      </w:r>
    </w:p>
    <w:p w14:paraId="2D81F2BC">
      <w:pPr>
        <w:pStyle w:val="4"/>
        <w:jc w:val="center"/>
        <w:rPr>
          <w:rFonts w:hint="eastAsia" w:ascii="宋体" w:hAnsi="宋体" w:eastAsia="宋体" w:cs="宋体"/>
          <w:sz w:val="28"/>
          <w:highlight w:val="none"/>
        </w:rPr>
      </w:pPr>
      <w:r>
        <w:rPr>
          <w:rFonts w:hint="eastAsia" w:ascii="宋体" w:hAnsi="宋体" w:eastAsia="宋体" w:cs="宋体"/>
          <w:sz w:val="28"/>
          <w:highlight w:val="none"/>
        </w:rPr>
        <w:t>（一）</w:t>
      </w:r>
      <w:r>
        <w:rPr>
          <w:rFonts w:hint="eastAsia" w:ascii="宋体" w:hAnsi="宋体" w:eastAsia="宋体" w:cs="宋体"/>
          <w:highlight w:val="none"/>
        </w:rPr>
        <w:t>比选申请人承诺函</w:t>
      </w:r>
      <w:bookmarkEnd w:id="998"/>
      <w:bookmarkEnd w:id="999"/>
      <w:bookmarkEnd w:id="1000"/>
      <w:bookmarkEnd w:id="1001"/>
      <w:bookmarkEnd w:id="1002"/>
      <w:bookmarkEnd w:id="1003"/>
      <w:r>
        <w:rPr>
          <w:rFonts w:hint="eastAsia" w:ascii="宋体" w:hAnsi="宋体" w:eastAsia="宋体" w:cs="宋体"/>
          <w:highlight w:val="none"/>
        </w:rPr>
        <w:t>（投标函）</w:t>
      </w:r>
    </w:p>
    <w:p w14:paraId="6D49E63E">
      <w:pPr>
        <w:autoSpaceDE w:val="0"/>
        <w:autoSpaceDN w:val="0"/>
        <w:adjustRightInd w:val="0"/>
        <w:spacing w:line="200" w:lineRule="exact"/>
        <w:jc w:val="left"/>
        <w:rPr>
          <w:rFonts w:hint="eastAsia" w:ascii="宋体" w:hAnsi="宋体" w:cs="宋体"/>
          <w:kern w:val="0"/>
          <w:sz w:val="20"/>
          <w:szCs w:val="20"/>
          <w:highlight w:val="none"/>
        </w:rPr>
      </w:pPr>
    </w:p>
    <w:p w14:paraId="4712D175">
      <w:pPr>
        <w:autoSpaceDE w:val="0"/>
        <w:autoSpaceDN w:val="0"/>
        <w:adjustRightInd w:val="0"/>
        <w:spacing w:line="200" w:lineRule="exact"/>
        <w:jc w:val="left"/>
        <w:rPr>
          <w:rFonts w:hint="eastAsia" w:ascii="宋体" w:hAnsi="宋体" w:cs="宋体"/>
          <w:kern w:val="0"/>
          <w:sz w:val="20"/>
          <w:szCs w:val="20"/>
          <w:highlight w:val="none"/>
        </w:rPr>
      </w:pPr>
    </w:p>
    <w:p w14:paraId="37FA55F0">
      <w:pPr>
        <w:autoSpaceDE w:val="0"/>
        <w:autoSpaceDN w:val="0"/>
        <w:adjustRightInd w:val="0"/>
        <w:spacing w:before="19" w:line="220" w:lineRule="exact"/>
        <w:jc w:val="left"/>
        <w:rPr>
          <w:rFonts w:hint="eastAsia" w:ascii="宋体" w:hAnsi="宋体" w:cs="宋体"/>
          <w:snapToGrid w:val="0"/>
          <w:kern w:val="0"/>
          <w:sz w:val="22"/>
          <w:szCs w:val="22"/>
          <w:highlight w:val="none"/>
        </w:rPr>
      </w:pPr>
    </w:p>
    <w:p w14:paraId="19BFA943">
      <w:pPr>
        <w:tabs>
          <w:tab w:val="left" w:pos="2640"/>
        </w:tabs>
        <w:autoSpaceDE w:val="0"/>
        <w:autoSpaceDN w:val="0"/>
        <w:adjustRightInd w:val="0"/>
        <w:spacing w:line="220" w:lineRule="exact"/>
        <w:ind w:left="120" w:right="-20"/>
        <w:jc w:val="left"/>
        <w:rPr>
          <w:rFonts w:hint="eastAsia" w:ascii="宋体" w:hAnsi="宋体" w:cs="宋体"/>
          <w:snapToGrid w:val="0"/>
          <w:kern w:val="0"/>
          <w:highlight w:val="none"/>
        </w:rPr>
      </w:pP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（比选人名称）：</w:t>
      </w:r>
    </w:p>
    <w:p w14:paraId="68CD3758">
      <w:pPr>
        <w:autoSpaceDE w:val="0"/>
        <w:autoSpaceDN w:val="0"/>
        <w:adjustRightInd w:val="0"/>
        <w:spacing w:before="15" w:line="140" w:lineRule="exact"/>
        <w:jc w:val="left"/>
        <w:rPr>
          <w:rFonts w:hint="eastAsia" w:ascii="宋体" w:hAnsi="宋体" w:cs="宋体"/>
          <w:snapToGrid w:val="0"/>
          <w:kern w:val="0"/>
          <w:sz w:val="14"/>
          <w:szCs w:val="14"/>
          <w:highlight w:val="none"/>
        </w:rPr>
      </w:pPr>
    </w:p>
    <w:p w14:paraId="23D11A2A">
      <w:pPr>
        <w:autoSpaceDE w:val="0"/>
        <w:autoSpaceDN w:val="0"/>
        <w:adjustRightInd w:val="0"/>
        <w:spacing w:line="200" w:lineRule="exact"/>
        <w:jc w:val="left"/>
        <w:rPr>
          <w:rFonts w:hint="eastAsia" w:ascii="宋体" w:hAnsi="宋体" w:cs="宋体"/>
          <w:snapToGrid w:val="0"/>
          <w:kern w:val="0"/>
          <w:sz w:val="20"/>
          <w:szCs w:val="20"/>
          <w:highlight w:val="none"/>
        </w:rPr>
      </w:pPr>
    </w:p>
    <w:p w14:paraId="27E58604">
      <w:pPr>
        <w:autoSpaceDE w:val="0"/>
        <w:autoSpaceDN w:val="0"/>
        <w:adjustRightInd w:val="0"/>
        <w:spacing w:line="200" w:lineRule="exact"/>
        <w:jc w:val="left"/>
        <w:rPr>
          <w:rFonts w:hint="eastAsia" w:ascii="宋体" w:hAnsi="宋体" w:cs="宋体"/>
          <w:snapToGrid w:val="0"/>
          <w:kern w:val="0"/>
          <w:sz w:val="20"/>
          <w:szCs w:val="20"/>
          <w:highlight w:val="none"/>
        </w:rPr>
      </w:pPr>
    </w:p>
    <w:p w14:paraId="2B53093E">
      <w:pPr>
        <w:tabs>
          <w:tab w:val="left" w:pos="2655"/>
          <w:tab w:val="left" w:pos="3520"/>
          <w:tab w:val="left" w:pos="4920"/>
          <w:tab w:val="left" w:pos="5715"/>
          <w:tab w:val="left" w:pos="6945"/>
          <w:tab w:val="left" w:pos="7980"/>
        </w:tabs>
        <w:autoSpaceDE w:val="0"/>
        <w:autoSpaceDN w:val="0"/>
        <w:adjustRightInd w:val="0"/>
        <w:spacing w:line="354" w:lineRule="auto"/>
        <w:ind w:left="120" w:leftChars="57" w:right="94" w:firstLine="420" w:firstLineChars="200"/>
        <w:rPr>
          <w:rFonts w:hint="eastAsia" w:ascii="宋体" w:hAnsi="宋体" w:cs="宋体"/>
          <w:snapToGrid w:val="0"/>
          <w:kern w:val="0"/>
          <w:highlight w:val="none"/>
        </w:rPr>
      </w:pPr>
      <w:r>
        <w:rPr>
          <w:rFonts w:hint="eastAsia" w:ascii="宋体" w:hAnsi="宋体" w:cs="宋体"/>
          <w:snapToGrid w:val="0"/>
          <w:kern w:val="0"/>
          <w:highlight w:val="none"/>
        </w:rPr>
        <w:t>1．我方已仔细研究了</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u w:val="single"/>
        </w:rPr>
        <w:tab/>
      </w:r>
      <w:r>
        <w:rPr>
          <w:rFonts w:hint="eastAsia" w:ascii="宋体" w:hAnsi="宋体" w:cs="宋体"/>
          <w:snapToGrid w:val="0"/>
          <w:kern w:val="0"/>
          <w:highlight w:val="none"/>
        </w:rPr>
        <w:t>（项目名称）比选文件的全部内容，愿意以人民币（大写）</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元（¥</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rPr>
        <w:t>）</w:t>
      </w:r>
      <w:r>
        <w:rPr>
          <w:rFonts w:hint="eastAsia" w:ascii="宋体" w:hAnsi="宋体" w:cs="宋体"/>
          <w:snapToGrid w:val="0"/>
          <w:kern w:val="0"/>
          <w:highlight w:val="none"/>
          <w:lang w:val="en-US" w:eastAsia="zh-CN"/>
        </w:rPr>
        <w:t>作为我方报价</w:t>
      </w:r>
      <w:r>
        <w:rPr>
          <w:rFonts w:hint="eastAsia" w:ascii="宋体" w:hAnsi="宋体" w:cs="宋体"/>
          <w:snapToGrid w:val="0"/>
          <w:kern w:val="0"/>
          <w:highlight w:val="none"/>
          <w:lang w:eastAsia="zh-CN"/>
        </w:rPr>
        <w:t>，</w:t>
      </w:r>
      <w:r>
        <w:rPr>
          <w:rFonts w:hint="eastAsia" w:ascii="宋体" w:hAnsi="宋体" w:cs="宋体"/>
          <w:snapToGrid w:val="0"/>
          <w:kern w:val="0"/>
          <w:highlight w:val="none"/>
        </w:rPr>
        <w:t xml:space="preserve">授权委托人为 </w:t>
      </w:r>
      <w:r>
        <w:rPr>
          <w:rFonts w:hint="eastAsia" w:ascii="宋体" w:hAnsi="宋体" w:cs="宋体"/>
          <w:sz w:val="24"/>
          <w:highlight w:val="none"/>
          <w:u w:val="single"/>
        </w:rPr>
        <w:t xml:space="preserve">             </w:t>
      </w:r>
      <w:r>
        <w:rPr>
          <w:rFonts w:hint="eastAsia" w:ascii="宋体" w:hAnsi="宋体" w:cs="宋体"/>
          <w:sz w:val="24"/>
          <w:highlight w:val="none"/>
        </w:rPr>
        <w:t>，</w:t>
      </w:r>
      <w:r>
        <w:rPr>
          <w:rFonts w:hint="eastAsia" w:ascii="宋体" w:hAnsi="宋体" w:cs="宋体"/>
          <w:snapToGrid w:val="0"/>
          <w:kern w:val="0"/>
          <w:highlight w:val="none"/>
        </w:rPr>
        <w:t>工期</w:t>
      </w:r>
      <w:r>
        <w:rPr>
          <w:rFonts w:hint="eastAsia" w:ascii="宋体" w:hAnsi="宋体" w:cs="宋体"/>
          <w:snapToGrid w:val="0"/>
          <w:kern w:val="0"/>
          <w:highlight w:val="none"/>
          <w:lang w:eastAsia="zh-CN"/>
        </w:rPr>
        <w:t>：</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，质量要求</w:t>
      </w:r>
      <w:r>
        <w:rPr>
          <w:rFonts w:hint="eastAsia" w:ascii="宋体" w:hAnsi="宋体" w:cs="宋体"/>
          <w:snapToGrid w:val="0"/>
          <w:kern w:val="0"/>
          <w:highlight w:val="none"/>
          <w:u w:val="single"/>
        </w:rPr>
        <w:tab/>
      </w:r>
      <w:r>
        <w:rPr>
          <w:rFonts w:hint="eastAsia" w:ascii="宋体" w:hAnsi="宋体" w:cs="宋体"/>
          <w:snapToGrid w:val="0"/>
          <w:kern w:val="0"/>
          <w:highlight w:val="none"/>
          <w:u w:val="single"/>
        </w:rPr>
        <w:tab/>
      </w:r>
      <w:r>
        <w:rPr>
          <w:rFonts w:hint="eastAsia" w:ascii="宋体" w:hAnsi="宋体" w:cs="宋体"/>
          <w:snapToGrid w:val="0"/>
          <w:kern w:val="0"/>
          <w:highlight w:val="none"/>
        </w:rPr>
        <w:t>。</w:t>
      </w:r>
    </w:p>
    <w:p w14:paraId="2B96556F">
      <w:pPr>
        <w:autoSpaceDE w:val="0"/>
        <w:autoSpaceDN w:val="0"/>
        <w:adjustRightInd w:val="0"/>
        <w:spacing w:before="15"/>
        <w:ind w:left="540" w:right="-20"/>
        <w:jc w:val="left"/>
        <w:rPr>
          <w:rFonts w:hint="eastAsia" w:ascii="宋体" w:hAnsi="宋体" w:cs="宋体"/>
          <w:snapToGrid w:val="0"/>
          <w:kern w:val="0"/>
          <w:highlight w:val="none"/>
        </w:rPr>
      </w:pPr>
      <w:r>
        <w:rPr>
          <w:rFonts w:hint="eastAsia" w:ascii="宋体" w:hAnsi="宋体" w:cs="宋体"/>
          <w:snapToGrid w:val="0"/>
          <w:kern w:val="0"/>
          <w:highlight w:val="none"/>
        </w:rPr>
        <w:t>2．我方承诺在比选</w:t>
      </w:r>
      <w:r>
        <w:rPr>
          <w:rFonts w:hint="eastAsia" w:ascii="宋体" w:hAnsi="宋体" w:cs="宋体"/>
          <w:snapToGrid w:val="0"/>
          <w:kern w:val="0"/>
          <w:highlight w:val="none"/>
          <w:lang w:val="en-US" w:eastAsia="zh-CN"/>
        </w:rPr>
        <w:t>文件规定的</w:t>
      </w:r>
      <w:r>
        <w:rPr>
          <w:rFonts w:hint="eastAsia" w:ascii="宋体" w:hAnsi="宋体" w:cs="宋体"/>
          <w:snapToGrid w:val="0"/>
          <w:kern w:val="0"/>
          <w:highlight w:val="none"/>
        </w:rPr>
        <w:t>投标有效期</w:t>
      </w:r>
      <w:r>
        <w:rPr>
          <w:rFonts w:hint="eastAsia" w:ascii="宋体" w:hAnsi="宋体" w:cs="宋体"/>
          <w:snapToGrid w:val="0"/>
          <w:kern w:val="0"/>
          <w:highlight w:val="none"/>
          <w:lang w:eastAsia="zh-CN"/>
        </w:rPr>
        <w:t>（</w:t>
      </w:r>
      <w:r>
        <w:rPr>
          <w:rFonts w:hint="eastAsia" w:ascii="宋体" w:hAnsi="宋体" w:cs="宋体"/>
          <w:snapToGrid w:val="0"/>
          <w:kern w:val="0"/>
          <w:highlight w:val="none"/>
          <w:lang w:val="en-US" w:eastAsia="zh-CN"/>
        </w:rPr>
        <w:t>90天</w:t>
      </w:r>
      <w:r>
        <w:rPr>
          <w:rFonts w:hint="eastAsia" w:ascii="宋体" w:hAnsi="宋体" w:cs="宋体"/>
          <w:snapToGrid w:val="0"/>
          <w:kern w:val="0"/>
          <w:highlight w:val="none"/>
          <w:lang w:eastAsia="zh-CN"/>
        </w:rPr>
        <w:t>）</w:t>
      </w:r>
      <w:r>
        <w:rPr>
          <w:rFonts w:hint="eastAsia" w:ascii="宋体" w:hAnsi="宋体" w:cs="宋体"/>
          <w:snapToGrid w:val="0"/>
          <w:kern w:val="0"/>
          <w:highlight w:val="none"/>
        </w:rPr>
        <w:t>内不修改、撤销比选申请文件。</w:t>
      </w:r>
    </w:p>
    <w:p w14:paraId="415848DC">
      <w:pPr>
        <w:autoSpaceDE w:val="0"/>
        <w:autoSpaceDN w:val="0"/>
        <w:adjustRightInd w:val="0"/>
        <w:spacing w:before="10" w:line="100" w:lineRule="exact"/>
        <w:jc w:val="left"/>
        <w:rPr>
          <w:rFonts w:hint="eastAsia" w:ascii="宋体" w:hAnsi="宋体" w:cs="宋体"/>
          <w:snapToGrid w:val="0"/>
          <w:kern w:val="0"/>
          <w:sz w:val="10"/>
          <w:szCs w:val="10"/>
          <w:highlight w:val="none"/>
        </w:rPr>
      </w:pPr>
    </w:p>
    <w:p w14:paraId="72EFE8F9">
      <w:pPr>
        <w:tabs>
          <w:tab w:val="left" w:pos="2730"/>
          <w:tab w:val="left" w:pos="8190"/>
        </w:tabs>
        <w:autoSpaceDE w:val="0"/>
        <w:autoSpaceDN w:val="0"/>
        <w:adjustRightInd w:val="0"/>
        <w:ind w:right="-119" w:firstLine="539" w:firstLineChars="257"/>
        <w:jc w:val="left"/>
        <w:rPr>
          <w:rFonts w:hint="eastAsia" w:ascii="宋体" w:hAnsi="宋体" w:cs="宋体"/>
          <w:snapToGrid w:val="0"/>
          <w:kern w:val="0"/>
          <w:highlight w:val="none"/>
        </w:rPr>
      </w:pPr>
      <w:r>
        <w:rPr>
          <w:rFonts w:hint="eastAsia" w:ascii="宋体" w:hAnsi="宋体" w:cs="宋体"/>
          <w:snapToGrid w:val="0"/>
          <w:kern w:val="0"/>
          <w:highlight w:val="none"/>
        </w:rPr>
        <w:t>3．随同本比选申请人承诺函提交比选保证金一份，金额为人民币（大写）</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元（¥</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 xml:space="preserve"> ）。</w:t>
      </w:r>
    </w:p>
    <w:p w14:paraId="78C99C7A">
      <w:pPr>
        <w:autoSpaceDE w:val="0"/>
        <w:autoSpaceDN w:val="0"/>
        <w:adjustRightInd w:val="0"/>
        <w:spacing w:before="11" w:line="100" w:lineRule="exact"/>
        <w:jc w:val="left"/>
        <w:rPr>
          <w:rFonts w:hint="eastAsia" w:ascii="宋体" w:hAnsi="宋体" w:cs="宋体"/>
          <w:snapToGrid w:val="0"/>
          <w:kern w:val="0"/>
          <w:sz w:val="10"/>
          <w:szCs w:val="10"/>
          <w:highlight w:val="none"/>
        </w:rPr>
      </w:pPr>
    </w:p>
    <w:p w14:paraId="6984F69E">
      <w:pPr>
        <w:autoSpaceDE w:val="0"/>
        <w:autoSpaceDN w:val="0"/>
        <w:adjustRightInd w:val="0"/>
        <w:ind w:left="540" w:right="-20"/>
        <w:jc w:val="left"/>
        <w:rPr>
          <w:rFonts w:hint="eastAsia" w:ascii="宋体" w:hAnsi="宋体" w:cs="宋体"/>
          <w:snapToGrid w:val="0"/>
          <w:kern w:val="0"/>
          <w:highlight w:val="none"/>
        </w:rPr>
      </w:pPr>
      <w:r>
        <w:rPr>
          <w:rFonts w:hint="eastAsia" w:ascii="宋体" w:hAnsi="宋体" w:cs="宋体"/>
          <w:snapToGrid w:val="0"/>
          <w:kern w:val="0"/>
          <w:highlight w:val="none"/>
        </w:rPr>
        <w:t>4．如我方中选：</w:t>
      </w:r>
    </w:p>
    <w:p w14:paraId="2CF606CF">
      <w:pPr>
        <w:autoSpaceDE w:val="0"/>
        <w:autoSpaceDN w:val="0"/>
        <w:adjustRightInd w:val="0"/>
        <w:spacing w:before="11" w:line="100" w:lineRule="exact"/>
        <w:jc w:val="left"/>
        <w:rPr>
          <w:rFonts w:hint="eastAsia" w:ascii="宋体" w:hAnsi="宋体" w:cs="宋体"/>
          <w:snapToGrid w:val="0"/>
          <w:kern w:val="0"/>
          <w:sz w:val="10"/>
          <w:szCs w:val="10"/>
          <w:highlight w:val="none"/>
        </w:rPr>
      </w:pPr>
    </w:p>
    <w:p w14:paraId="756FECE4">
      <w:pPr>
        <w:autoSpaceDE w:val="0"/>
        <w:autoSpaceDN w:val="0"/>
        <w:adjustRightInd w:val="0"/>
        <w:ind w:left="838" w:right="-80"/>
        <w:jc w:val="left"/>
        <w:rPr>
          <w:rFonts w:hint="eastAsia" w:ascii="宋体" w:hAnsi="宋体" w:cs="宋体"/>
          <w:snapToGrid w:val="0"/>
          <w:kern w:val="0"/>
          <w:highlight w:val="none"/>
        </w:rPr>
      </w:pPr>
      <w:r>
        <w:rPr>
          <w:rFonts w:hint="eastAsia" w:ascii="宋体" w:hAnsi="宋体" w:cs="宋体"/>
          <w:snapToGrid w:val="0"/>
          <w:kern w:val="0"/>
          <w:highlight w:val="none"/>
        </w:rPr>
        <w:t>（1）我方承诺在收到</w:t>
      </w:r>
      <w:r>
        <w:rPr>
          <w:rFonts w:hint="eastAsia" w:ascii="宋体" w:hAnsi="宋体" w:cs="宋体"/>
          <w:snapToGrid w:val="0"/>
          <w:kern w:val="0"/>
          <w:highlight w:val="none"/>
          <w:lang w:eastAsia="zh-CN"/>
        </w:rPr>
        <w:t>中标通知书</w:t>
      </w:r>
      <w:r>
        <w:rPr>
          <w:rFonts w:hint="eastAsia" w:ascii="宋体" w:hAnsi="宋体" w:cs="宋体"/>
          <w:snapToGrid w:val="0"/>
          <w:kern w:val="0"/>
          <w:highlight w:val="none"/>
        </w:rPr>
        <w:t>后，在</w:t>
      </w:r>
      <w:r>
        <w:rPr>
          <w:rFonts w:hint="eastAsia" w:ascii="宋体" w:hAnsi="宋体" w:cs="宋体"/>
          <w:snapToGrid w:val="0"/>
          <w:kern w:val="0"/>
          <w:highlight w:val="none"/>
          <w:lang w:eastAsia="zh-CN"/>
        </w:rPr>
        <w:t>中标通知书</w:t>
      </w:r>
      <w:r>
        <w:rPr>
          <w:rFonts w:hint="eastAsia" w:ascii="宋体" w:hAnsi="宋体" w:cs="宋体"/>
          <w:snapToGrid w:val="0"/>
          <w:kern w:val="0"/>
          <w:highlight w:val="none"/>
        </w:rPr>
        <w:t>规定的期限内与你方签订合同。</w:t>
      </w:r>
    </w:p>
    <w:p w14:paraId="61DFE1C9">
      <w:pPr>
        <w:autoSpaceDE w:val="0"/>
        <w:autoSpaceDN w:val="0"/>
        <w:adjustRightInd w:val="0"/>
        <w:spacing w:before="10" w:line="100" w:lineRule="exact"/>
        <w:jc w:val="left"/>
        <w:rPr>
          <w:rFonts w:hint="eastAsia" w:ascii="宋体" w:hAnsi="宋体" w:cs="宋体"/>
          <w:snapToGrid w:val="0"/>
          <w:kern w:val="0"/>
          <w:sz w:val="10"/>
          <w:szCs w:val="10"/>
          <w:highlight w:val="none"/>
        </w:rPr>
      </w:pPr>
    </w:p>
    <w:p w14:paraId="64E5B8B4">
      <w:pPr>
        <w:autoSpaceDE w:val="0"/>
        <w:autoSpaceDN w:val="0"/>
        <w:adjustRightInd w:val="0"/>
        <w:ind w:left="838" w:right="-20"/>
        <w:jc w:val="left"/>
        <w:rPr>
          <w:rFonts w:hint="eastAsia" w:ascii="宋体" w:hAnsi="宋体" w:cs="宋体"/>
          <w:snapToGrid w:val="0"/>
          <w:kern w:val="0"/>
          <w:highlight w:val="none"/>
        </w:rPr>
      </w:pPr>
      <w:r>
        <w:rPr>
          <w:rFonts w:hint="eastAsia" w:ascii="宋体" w:hAnsi="宋体" w:cs="宋体"/>
          <w:snapToGrid w:val="0"/>
          <w:kern w:val="0"/>
          <w:highlight w:val="none"/>
        </w:rPr>
        <w:t>（2）随同本比选申请人承诺函递交的比选申请人承诺函附录属于合同文件的组成部分。</w:t>
      </w:r>
    </w:p>
    <w:p w14:paraId="5BEBC5AE">
      <w:pPr>
        <w:autoSpaceDE w:val="0"/>
        <w:autoSpaceDN w:val="0"/>
        <w:adjustRightInd w:val="0"/>
        <w:spacing w:before="11" w:line="100" w:lineRule="exact"/>
        <w:jc w:val="left"/>
        <w:rPr>
          <w:rFonts w:hint="eastAsia" w:ascii="宋体" w:hAnsi="宋体" w:cs="宋体"/>
          <w:snapToGrid w:val="0"/>
          <w:kern w:val="0"/>
          <w:sz w:val="10"/>
          <w:szCs w:val="10"/>
          <w:highlight w:val="none"/>
        </w:rPr>
      </w:pPr>
    </w:p>
    <w:p w14:paraId="7F0B7A73">
      <w:pPr>
        <w:autoSpaceDE w:val="0"/>
        <w:autoSpaceDN w:val="0"/>
        <w:adjustRightInd w:val="0"/>
        <w:ind w:left="838" w:right="-20"/>
        <w:jc w:val="left"/>
        <w:rPr>
          <w:rFonts w:hint="eastAsia" w:ascii="宋体" w:hAnsi="宋体" w:cs="宋体"/>
          <w:snapToGrid w:val="0"/>
          <w:kern w:val="0"/>
          <w:highlight w:val="none"/>
        </w:rPr>
      </w:pPr>
      <w:r>
        <w:rPr>
          <w:rFonts w:hint="eastAsia" w:ascii="宋体" w:hAnsi="宋体" w:cs="宋体"/>
          <w:snapToGrid w:val="0"/>
          <w:kern w:val="0"/>
          <w:highlight w:val="none"/>
        </w:rPr>
        <w:t>（3）我方承诺按照比选文件规定向你方递交履约担保。</w:t>
      </w:r>
    </w:p>
    <w:p w14:paraId="76659099">
      <w:pPr>
        <w:autoSpaceDE w:val="0"/>
        <w:autoSpaceDN w:val="0"/>
        <w:adjustRightInd w:val="0"/>
        <w:spacing w:before="11" w:line="100" w:lineRule="exact"/>
        <w:jc w:val="left"/>
        <w:rPr>
          <w:rFonts w:hint="eastAsia" w:ascii="宋体" w:hAnsi="宋体" w:cs="宋体"/>
          <w:snapToGrid w:val="0"/>
          <w:kern w:val="0"/>
          <w:sz w:val="10"/>
          <w:szCs w:val="10"/>
          <w:highlight w:val="none"/>
        </w:rPr>
      </w:pPr>
    </w:p>
    <w:p w14:paraId="3169437B">
      <w:pPr>
        <w:autoSpaceDE w:val="0"/>
        <w:autoSpaceDN w:val="0"/>
        <w:adjustRightInd w:val="0"/>
        <w:ind w:left="838" w:right="-20"/>
        <w:jc w:val="left"/>
        <w:rPr>
          <w:rFonts w:hint="eastAsia" w:ascii="宋体" w:hAnsi="宋体" w:cs="宋体"/>
          <w:snapToGrid w:val="0"/>
          <w:kern w:val="0"/>
          <w:highlight w:val="none"/>
        </w:rPr>
      </w:pPr>
      <w:r>
        <w:rPr>
          <w:rFonts w:hint="eastAsia" w:ascii="宋体" w:hAnsi="宋体" w:cs="宋体"/>
          <w:snapToGrid w:val="0"/>
          <w:kern w:val="0"/>
          <w:highlight w:val="none"/>
        </w:rPr>
        <w:t>（4）我方承诺在合同约定的期限内完成并移交全部合同工程。</w:t>
      </w:r>
    </w:p>
    <w:p w14:paraId="2E4E8FF0">
      <w:pPr>
        <w:autoSpaceDE w:val="0"/>
        <w:autoSpaceDN w:val="0"/>
        <w:adjustRightInd w:val="0"/>
        <w:spacing w:before="10" w:line="100" w:lineRule="exact"/>
        <w:jc w:val="left"/>
        <w:rPr>
          <w:rFonts w:hint="eastAsia" w:ascii="宋体" w:hAnsi="宋体" w:cs="宋体"/>
          <w:snapToGrid w:val="0"/>
          <w:kern w:val="0"/>
          <w:sz w:val="10"/>
          <w:szCs w:val="10"/>
          <w:highlight w:val="none"/>
        </w:rPr>
      </w:pPr>
    </w:p>
    <w:p w14:paraId="16F4C441">
      <w:pPr>
        <w:autoSpaceDE w:val="0"/>
        <w:autoSpaceDN w:val="0"/>
        <w:adjustRightInd w:val="0"/>
        <w:spacing w:line="354" w:lineRule="auto"/>
        <w:ind w:left="120" w:right="-9" w:firstLine="420"/>
        <w:jc w:val="left"/>
        <w:rPr>
          <w:rFonts w:hint="eastAsia" w:ascii="宋体" w:hAnsi="宋体" w:cs="宋体"/>
          <w:snapToGrid w:val="0"/>
          <w:kern w:val="0"/>
          <w:highlight w:val="none"/>
        </w:rPr>
      </w:pPr>
      <w:r>
        <w:rPr>
          <w:rFonts w:hint="eastAsia" w:ascii="宋体" w:hAnsi="宋体" w:cs="宋体"/>
          <w:snapToGrid w:val="0"/>
          <w:kern w:val="0"/>
          <w:highlight w:val="none"/>
        </w:rPr>
        <w:t>5．我方在此声明，所递交的比选申请文件及有关资料内容完整、真实和准确。</w:t>
      </w:r>
    </w:p>
    <w:p w14:paraId="4719B1D4">
      <w:pPr>
        <w:tabs>
          <w:tab w:val="left" w:pos="4940"/>
        </w:tabs>
        <w:autoSpaceDE w:val="0"/>
        <w:autoSpaceDN w:val="0"/>
        <w:adjustRightInd w:val="0"/>
        <w:ind w:left="540" w:right="-20"/>
        <w:jc w:val="left"/>
        <w:rPr>
          <w:rFonts w:hint="eastAsia" w:ascii="宋体" w:hAnsi="宋体" w:cs="宋体"/>
          <w:snapToGrid w:val="0"/>
          <w:kern w:val="0"/>
          <w:highlight w:val="none"/>
        </w:rPr>
      </w:pPr>
      <w:r>
        <w:rPr>
          <w:rFonts w:hint="eastAsia" w:ascii="宋体" w:hAnsi="宋体" w:cs="宋体"/>
          <w:snapToGrid w:val="0"/>
          <w:kern w:val="0"/>
          <w:highlight w:val="none"/>
        </w:rPr>
        <w:t>6．</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（其他补充说明）。</w:t>
      </w:r>
    </w:p>
    <w:p w14:paraId="3FC7DF0B">
      <w:pPr>
        <w:tabs>
          <w:tab w:val="left" w:pos="7140"/>
          <w:tab w:val="left" w:pos="7560"/>
          <w:tab w:val="left" w:pos="8300"/>
        </w:tabs>
        <w:autoSpaceDE w:val="0"/>
        <w:autoSpaceDN w:val="0"/>
        <w:adjustRightInd w:val="0"/>
        <w:spacing w:line="370" w:lineRule="auto"/>
        <w:ind w:right="210" w:firstLine="1984" w:firstLineChars="945"/>
        <w:rPr>
          <w:rFonts w:hint="eastAsia" w:ascii="宋体" w:hAnsi="宋体" w:cs="宋体"/>
          <w:snapToGrid w:val="0"/>
          <w:kern w:val="0"/>
          <w:highlight w:val="none"/>
        </w:rPr>
      </w:pPr>
    </w:p>
    <w:p w14:paraId="71C47858">
      <w:pPr>
        <w:tabs>
          <w:tab w:val="left" w:pos="7140"/>
          <w:tab w:val="left" w:pos="7560"/>
          <w:tab w:val="left" w:pos="8300"/>
        </w:tabs>
        <w:autoSpaceDE w:val="0"/>
        <w:autoSpaceDN w:val="0"/>
        <w:adjustRightInd w:val="0"/>
        <w:spacing w:line="370" w:lineRule="auto"/>
        <w:ind w:right="210" w:firstLine="2835" w:firstLineChars="1350"/>
        <w:rPr>
          <w:rFonts w:hint="eastAsia" w:ascii="宋体" w:hAnsi="宋体" w:cs="宋体"/>
          <w:snapToGrid w:val="0"/>
          <w:kern w:val="0"/>
          <w:highlight w:val="none"/>
        </w:rPr>
      </w:pPr>
    </w:p>
    <w:p w14:paraId="1949AF86">
      <w:pPr>
        <w:tabs>
          <w:tab w:val="left" w:pos="7140"/>
          <w:tab w:val="left" w:pos="7560"/>
          <w:tab w:val="left" w:pos="8300"/>
        </w:tabs>
        <w:autoSpaceDE w:val="0"/>
        <w:autoSpaceDN w:val="0"/>
        <w:adjustRightInd w:val="0"/>
        <w:spacing w:line="370" w:lineRule="auto"/>
        <w:ind w:right="210" w:firstLine="1984" w:firstLineChars="945"/>
        <w:rPr>
          <w:rFonts w:hint="eastAsia" w:ascii="宋体" w:hAnsi="宋体" w:cs="宋体"/>
          <w:snapToGrid w:val="0"/>
          <w:kern w:val="0"/>
          <w:highlight w:val="none"/>
        </w:rPr>
      </w:pPr>
      <w:r>
        <w:rPr>
          <w:rFonts w:hint="eastAsia" w:ascii="宋体" w:hAnsi="宋体" w:cs="宋体"/>
          <w:snapToGrid w:val="0"/>
          <w:kern w:val="0"/>
          <w:highlight w:val="none"/>
        </w:rPr>
        <w:t>比选申请人：</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 xml:space="preserve">（盖单位公章） </w:t>
      </w:r>
    </w:p>
    <w:p w14:paraId="3ADF5C5B">
      <w:pPr>
        <w:tabs>
          <w:tab w:val="left" w:pos="7140"/>
          <w:tab w:val="left" w:pos="7560"/>
          <w:tab w:val="left" w:pos="8300"/>
        </w:tabs>
        <w:autoSpaceDE w:val="0"/>
        <w:autoSpaceDN w:val="0"/>
        <w:adjustRightInd w:val="0"/>
        <w:spacing w:line="370" w:lineRule="auto"/>
        <w:ind w:right="210" w:firstLine="1995" w:firstLineChars="950"/>
        <w:rPr>
          <w:rFonts w:hint="eastAsia" w:ascii="宋体" w:hAnsi="宋体" w:cs="宋体"/>
          <w:snapToGrid w:val="0"/>
          <w:kern w:val="0"/>
          <w:highlight w:val="none"/>
        </w:rPr>
      </w:pPr>
      <w:r>
        <w:rPr>
          <w:rFonts w:hint="eastAsia" w:ascii="宋体" w:hAnsi="宋体" w:cs="宋体"/>
          <w:snapToGrid w:val="0"/>
          <w:kern w:val="0"/>
          <w:highlight w:val="none"/>
        </w:rPr>
        <w:t>法定代表人和其委托代理人：</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 xml:space="preserve">（签字） </w:t>
      </w:r>
    </w:p>
    <w:p w14:paraId="25E6DD23">
      <w:pPr>
        <w:tabs>
          <w:tab w:val="left" w:pos="7035"/>
          <w:tab w:val="left" w:pos="7560"/>
          <w:tab w:val="left" w:pos="8300"/>
        </w:tabs>
        <w:autoSpaceDE w:val="0"/>
        <w:autoSpaceDN w:val="0"/>
        <w:adjustRightInd w:val="0"/>
        <w:spacing w:line="370" w:lineRule="auto"/>
        <w:ind w:right="210" w:firstLine="1984" w:firstLineChars="945"/>
        <w:rPr>
          <w:rFonts w:hint="eastAsia" w:ascii="宋体" w:hAnsi="宋体" w:cs="宋体"/>
          <w:snapToGrid w:val="0"/>
          <w:kern w:val="0"/>
          <w:highlight w:val="none"/>
        </w:rPr>
      </w:pPr>
      <w:r>
        <w:rPr>
          <w:rFonts w:hint="eastAsia" w:ascii="宋体" w:hAnsi="宋体" w:cs="宋体"/>
          <w:snapToGrid w:val="0"/>
          <w:kern w:val="0"/>
          <w:highlight w:val="none"/>
        </w:rPr>
        <w:t>地址：</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p>
    <w:p w14:paraId="24BE4588">
      <w:pPr>
        <w:tabs>
          <w:tab w:val="left" w:pos="8300"/>
        </w:tabs>
        <w:autoSpaceDE w:val="0"/>
        <w:autoSpaceDN w:val="0"/>
        <w:adjustRightInd w:val="0"/>
        <w:spacing w:before="1"/>
        <w:ind w:left="1985" w:right="-20"/>
        <w:jc w:val="left"/>
        <w:rPr>
          <w:rFonts w:hint="eastAsia" w:ascii="宋体" w:hAnsi="宋体" w:cs="宋体"/>
          <w:snapToGrid w:val="0"/>
          <w:kern w:val="0"/>
          <w:highlight w:val="none"/>
        </w:rPr>
      </w:pPr>
      <w:r>
        <w:rPr>
          <w:rFonts w:hint="eastAsia" w:ascii="宋体" w:hAnsi="宋体" w:cs="宋体"/>
          <w:snapToGrid w:val="0"/>
          <w:kern w:val="0"/>
          <w:highlight w:val="none"/>
        </w:rPr>
        <w:t>网址：</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　　　　　　　　　　　　　　　　　　　　</w:t>
      </w:r>
    </w:p>
    <w:p w14:paraId="327E46A0">
      <w:pPr>
        <w:autoSpaceDE w:val="0"/>
        <w:autoSpaceDN w:val="0"/>
        <w:adjustRightInd w:val="0"/>
        <w:spacing w:before="14" w:line="200" w:lineRule="exact"/>
        <w:jc w:val="left"/>
        <w:rPr>
          <w:rFonts w:hint="eastAsia" w:ascii="宋体" w:hAnsi="宋体" w:cs="宋体"/>
          <w:snapToGrid w:val="0"/>
          <w:kern w:val="0"/>
          <w:sz w:val="20"/>
          <w:szCs w:val="20"/>
          <w:highlight w:val="none"/>
        </w:rPr>
      </w:pPr>
    </w:p>
    <w:p w14:paraId="31684842">
      <w:pPr>
        <w:tabs>
          <w:tab w:val="left" w:pos="8300"/>
        </w:tabs>
        <w:autoSpaceDE w:val="0"/>
        <w:autoSpaceDN w:val="0"/>
        <w:adjustRightInd w:val="0"/>
        <w:spacing w:line="220" w:lineRule="exact"/>
        <w:ind w:left="1985" w:right="-20"/>
        <w:jc w:val="left"/>
        <w:rPr>
          <w:rFonts w:hint="eastAsia" w:ascii="宋体" w:hAnsi="宋体" w:cs="宋体"/>
          <w:snapToGrid w:val="0"/>
          <w:kern w:val="0"/>
          <w:highlight w:val="none"/>
        </w:rPr>
      </w:pPr>
      <w:r>
        <w:rPr>
          <w:rFonts w:hint="eastAsia" w:ascii="宋体" w:hAnsi="宋体" w:cs="宋体"/>
          <w:snapToGrid w:val="0"/>
          <w:kern w:val="0"/>
          <w:highlight w:val="none"/>
        </w:rPr>
        <w:t>电话：</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　　　　　　　　　　　　　　　　　　　　</w:t>
      </w:r>
    </w:p>
    <w:p w14:paraId="08A8E78B">
      <w:pPr>
        <w:autoSpaceDE w:val="0"/>
        <w:autoSpaceDN w:val="0"/>
        <w:adjustRightInd w:val="0"/>
        <w:spacing w:before="13" w:line="200" w:lineRule="exact"/>
        <w:jc w:val="left"/>
        <w:rPr>
          <w:rFonts w:hint="eastAsia" w:ascii="宋体" w:hAnsi="宋体" w:cs="宋体"/>
          <w:snapToGrid w:val="0"/>
          <w:kern w:val="0"/>
          <w:sz w:val="20"/>
          <w:szCs w:val="20"/>
          <w:highlight w:val="none"/>
        </w:rPr>
      </w:pPr>
    </w:p>
    <w:p w14:paraId="52C7719F">
      <w:pPr>
        <w:tabs>
          <w:tab w:val="left" w:pos="8300"/>
        </w:tabs>
        <w:autoSpaceDE w:val="0"/>
        <w:autoSpaceDN w:val="0"/>
        <w:adjustRightInd w:val="0"/>
        <w:spacing w:line="220" w:lineRule="exact"/>
        <w:ind w:left="1985" w:right="-20"/>
        <w:jc w:val="left"/>
        <w:rPr>
          <w:rFonts w:hint="eastAsia" w:ascii="宋体" w:hAnsi="宋体" w:cs="宋体"/>
          <w:snapToGrid w:val="0"/>
          <w:kern w:val="0"/>
          <w:highlight w:val="none"/>
        </w:rPr>
      </w:pPr>
      <w:r>
        <w:rPr>
          <w:rFonts w:hint="eastAsia" w:ascii="宋体" w:hAnsi="宋体" w:cs="宋体"/>
          <w:snapToGrid w:val="0"/>
          <w:kern w:val="0"/>
          <w:highlight w:val="none"/>
        </w:rPr>
        <w:t>传真：</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　　　　　　　　　　　　　　　　　　　　</w:t>
      </w:r>
    </w:p>
    <w:p w14:paraId="485ECE75">
      <w:pPr>
        <w:tabs>
          <w:tab w:val="left" w:pos="8300"/>
        </w:tabs>
        <w:autoSpaceDE w:val="0"/>
        <w:autoSpaceDN w:val="0"/>
        <w:adjustRightInd w:val="0"/>
        <w:spacing w:line="220" w:lineRule="exact"/>
        <w:ind w:left="3796" w:right="-20"/>
        <w:jc w:val="left"/>
        <w:rPr>
          <w:rFonts w:hint="eastAsia" w:ascii="宋体" w:hAnsi="宋体" w:cs="宋体"/>
          <w:snapToGrid w:val="0"/>
          <w:kern w:val="0"/>
          <w:highlight w:val="none"/>
        </w:rPr>
      </w:pPr>
    </w:p>
    <w:p w14:paraId="78233558">
      <w:pPr>
        <w:tabs>
          <w:tab w:val="left" w:pos="8300"/>
        </w:tabs>
        <w:autoSpaceDE w:val="0"/>
        <w:autoSpaceDN w:val="0"/>
        <w:adjustRightInd w:val="0"/>
        <w:spacing w:line="220" w:lineRule="exact"/>
        <w:ind w:left="1985" w:right="-20"/>
        <w:jc w:val="left"/>
        <w:rPr>
          <w:rFonts w:hint="eastAsia" w:ascii="宋体" w:hAnsi="宋体" w:cs="宋体"/>
          <w:snapToGrid w:val="0"/>
          <w:kern w:val="0"/>
          <w:sz w:val="20"/>
          <w:szCs w:val="20"/>
          <w:highlight w:val="none"/>
        </w:rPr>
      </w:pPr>
      <w:r>
        <w:rPr>
          <w:rFonts w:hint="eastAsia" w:ascii="宋体" w:hAnsi="宋体" w:cs="宋体"/>
          <w:snapToGrid w:val="0"/>
          <w:kern w:val="0"/>
          <w:highlight w:val="none"/>
        </w:rPr>
        <w:t>邮政编码：</w:t>
      </w:r>
      <w:r>
        <w:rPr>
          <w:rFonts w:hint="eastAsia" w:ascii="宋体" w:hAnsi="宋体" w:cs="宋体"/>
          <w:snapToGrid w:val="0"/>
          <w:w w:val="200"/>
          <w:kern w:val="0"/>
          <w:highlight w:val="none"/>
          <w:u w:val="single"/>
        </w:rPr>
        <w:t xml:space="preserve"> 　　　　　　　　　</w:t>
      </w:r>
    </w:p>
    <w:p w14:paraId="79C25ECF">
      <w:pPr>
        <w:autoSpaceDE w:val="0"/>
        <w:autoSpaceDN w:val="0"/>
        <w:adjustRightInd w:val="0"/>
        <w:spacing w:line="200" w:lineRule="exact"/>
        <w:jc w:val="left"/>
        <w:rPr>
          <w:rFonts w:hint="eastAsia" w:ascii="宋体" w:hAnsi="宋体" w:cs="宋体"/>
          <w:snapToGrid w:val="0"/>
          <w:kern w:val="0"/>
          <w:sz w:val="20"/>
          <w:szCs w:val="20"/>
          <w:highlight w:val="none"/>
        </w:rPr>
      </w:pPr>
    </w:p>
    <w:p w14:paraId="30BC367E">
      <w:pPr>
        <w:autoSpaceDE w:val="0"/>
        <w:autoSpaceDN w:val="0"/>
        <w:adjustRightInd w:val="0"/>
        <w:spacing w:before="14" w:line="240" w:lineRule="exact"/>
        <w:jc w:val="left"/>
        <w:rPr>
          <w:rFonts w:hint="eastAsia" w:ascii="宋体" w:hAnsi="宋体" w:cs="宋体"/>
          <w:snapToGrid w:val="0"/>
          <w:kern w:val="0"/>
          <w:sz w:val="24"/>
          <w:highlight w:val="none"/>
        </w:rPr>
      </w:pPr>
    </w:p>
    <w:p w14:paraId="3F834D06">
      <w:pPr>
        <w:tabs>
          <w:tab w:val="left" w:pos="6000"/>
          <w:tab w:val="left" w:pos="7040"/>
          <w:tab w:val="left" w:pos="8100"/>
        </w:tabs>
        <w:autoSpaceDE w:val="0"/>
        <w:autoSpaceDN w:val="0"/>
        <w:adjustRightInd w:val="0"/>
        <w:spacing w:line="220" w:lineRule="exact"/>
        <w:ind w:right="-20" w:firstLine="4924" w:firstLineChars="2345"/>
        <w:jc w:val="left"/>
        <w:rPr>
          <w:rFonts w:hint="eastAsia" w:ascii="宋体" w:hAnsi="宋体" w:cs="宋体"/>
          <w:snapToGrid w:val="0"/>
          <w:kern w:val="0"/>
          <w:highlight w:val="none"/>
        </w:rPr>
      </w:pP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年</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rPr>
        <w:t>月</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rPr>
        <w:t>日</w:t>
      </w:r>
    </w:p>
    <w:p w14:paraId="2B2EC36F">
      <w:pPr>
        <w:rPr>
          <w:rFonts w:hint="eastAsia" w:ascii="宋体" w:hAnsi="宋体" w:cs="宋体"/>
          <w:snapToGrid w:val="0"/>
          <w:w w:val="99"/>
          <w:highlight w:val="none"/>
        </w:rPr>
      </w:pPr>
    </w:p>
    <w:p w14:paraId="3C0C5483">
      <w:pPr>
        <w:rPr>
          <w:rFonts w:hint="eastAsia" w:ascii="宋体" w:hAnsi="宋体" w:cs="宋体"/>
          <w:highlight w:val="none"/>
        </w:rPr>
      </w:pPr>
      <w:bookmarkStart w:id="1004" w:name="_Toc57820649"/>
      <w:bookmarkStart w:id="1005" w:name="_Toc509218855"/>
      <w:bookmarkStart w:id="1006" w:name="_Toc534185832"/>
      <w:r>
        <w:rPr>
          <w:rFonts w:hint="eastAsia" w:ascii="宋体" w:hAnsi="宋体" w:cs="宋体"/>
          <w:highlight w:val="none"/>
        </w:rPr>
        <w:br w:type="page"/>
      </w:r>
    </w:p>
    <w:p w14:paraId="4013019A">
      <w:pPr>
        <w:pStyle w:val="5"/>
        <w:rPr>
          <w:rFonts w:hint="eastAsia" w:ascii="宋体" w:hAnsi="宋体" w:eastAsia="宋体" w:cs="宋体"/>
          <w:b w:val="0"/>
          <w:highlight w:val="none"/>
        </w:rPr>
      </w:pPr>
      <w:r>
        <w:rPr>
          <w:rFonts w:hint="eastAsia" w:ascii="宋体" w:hAnsi="宋体" w:eastAsia="宋体" w:cs="宋体"/>
          <w:b w:val="0"/>
          <w:highlight w:val="none"/>
        </w:rPr>
        <w:t>投标函附录</w:t>
      </w:r>
      <w:bookmarkEnd w:id="1004"/>
      <w:bookmarkEnd w:id="1005"/>
      <w:bookmarkEnd w:id="1006"/>
    </w:p>
    <w:p w14:paraId="34314CE2">
      <w:pPr>
        <w:rPr>
          <w:rFonts w:hint="eastAsia" w:ascii="宋体" w:hAnsi="宋体" w:cs="宋体"/>
          <w:highlight w:val="none"/>
        </w:rPr>
      </w:pPr>
    </w:p>
    <w:tbl>
      <w:tblPr>
        <w:tblStyle w:val="44"/>
        <w:tblW w:w="8299"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720"/>
        <w:gridCol w:w="2582"/>
        <w:gridCol w:w="2987"/>
        <w:gridCol w:w="2010"/>
      </w:tblGrid>
      <w:tr w14:paraId="2AB71E7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jc w:val="center"/>
        </w:trPr>
        <w:tc>
          <w:tcPr>
            <w:tcW w:w="720" w:type="dxa"/>
            <w:vAlign w:val="center"/>
          </w:tcPr>
          <w:p w14:paraId="625F4F12">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序号</w:t>
            </w:r>
          </w:p>
        </w:tc>
        <w:tc>
          <w:tcPr>
            <w:tcW w:w="2582" w:type="dxa"/>
            <w:vAlign w:val="center"/>
          </w:tcPr>
          <w:p w14:paraId="7D693EA0">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条款名称</w:t>
            </w:r>
          </w:p>
        </w:tc>
        <w:tc>
          <w:tcPr>
            <w:tcW w:w="2987" w:type="dxa"/>
            <w:vAlign w:val="center"/>
          </w:tcPr>
          <w:p w14:paraId="49947F34">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约定内容</w:t>
            </w:r>
          </w:p>
        </w:tc>
        <w:tc>
          <w:tcPr>
            <w:tcW w:w="2010" w:type="dxa"/>
            <w:vAlign w:val="center"/>
          </w:tcPr>
          <w:p w14:paraId="60E0CA20">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备注</w:t>
            </w:r>
          </w:p>
        </w:tc>
      </w:tr>
      <w:tr w14:paraId="6ECD7E7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48" w:hRule="exact"/>
          <w:jc w:val="center"/>
        </w:trPr>
        <w:tc>
          <w:tcPr>
            <w:tcW w:w="720" w:type="dxa"/>
            <w:vAlign w:val="center"/>
          </w:tcPr>
          <w:p w14:paraId="4E18AA33">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1</w:t>
            </w:r>
          </w:p>
        </w:tc>
        <w:tc>
          <w:tcPr>
            <w:tcW w:w="2582" w:type="dxa"/>
            <w:vAlign w:val="center"/>
          </w:tcPr>
          <w:p w14:paraId="234640BE">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工期</w:t>
            </w:r>
          </w:p>
        </w:tc>
        <w:tc>
          <w:tcPr>
            <w:tcW w:w="2987" w:type="dxa"/>
            <w:vAlign w:val="center"/>
          </w:tcPr>
          <w:p w14:paraId="592E872C">
            <w:pPr>
              <w:tabs>
                <w:tab w:val="left" w:pos="1560"/>
              </w:tabs>
              <w:autoSpaceDE w:val="0"/>
              <w:autoSpaceDN w:val="0"/>
              <w:adjustRightInd w:val="0"/>
              <w:jc w:val="center"/>
              <w:rPr>
                <w:rFonts w:hint="eastAsia" w:ascii="宋体" w:hAnsi="宋体" w:eastAsia="宋体" w:cs="宋体"/>
                <w:snapToGrid w:val="0"/>
                <w:kern w:val="0"/>
                <w:highlight w:val="none"/>
                <w:lang w:val="en-US" w:eastAsia="zh-CN"/>
              </w:rPr>
            </w:pPr>
            <w:r>
              <w:rPr>
                <w:rFonts w:hint="eastAsia" w:ascii="宋体" w:hAnsi="宋体" w:eastAsia="宋体" w:cs="宋体"/>
                <w:snapToGrid w:val="0"/>
                <w:sz w:val="21"/>
                <w:szCs w:val="21"/>
                <w:highlight w:val="none"/>
                <w:lang w:val="en-US" w:eastAsia="zh-CN"/>
              </w:rPr>
              <w:t>2025年8月18日前完成制作安装，并通过比选人验收</w:t>
            </w:r>
            <w:r>
              <w:rPr>
                <w:rFonts w:hint="eastAsia" w:ascii="宋体" w:hAnsi="宋体" w:eastAsia="宋体" w:cs="宋体"/>
                <w:snapToGrid w:val="0"/>
                <w:sz w:val="21"/>
                <w:szCs w:val="21"/>
                <w:highlight w:val="none"/>
              </w:rPr>
              <w:t>。</w:t>
            </w:r>
          </w:p>
        </w:tc>
        <w:tc>
          <w:tcPr>
            <w:tcW w:w="2010" w:type="dxa"/>
            <w:vAlign w:val="center"/>
          </w:tcPr>
          <w:p w14:paraId="69048E21">
            <w:pPr>
              <w:autoSpaceDE w:val="0"/>
              <w:autoSpaceDN w:val="0"/>
              <w:adjustRightInd w:val="0"/>
              <w:jc w:val="center"/>
              <w:rPr>
                <w:rFonts w:hint="eastAsia" w:ascii="宋体" w:hAnsi="宋体" w:cs="宋体"/>
                <w:snapToGrid w:val="0"/>
                <w:kern w:val="0"/>
                <w:highlight w:val="none"/>
              </w:rPr>
            </w:pPr>
          </w:p>
        </w:tc>
      </w:tr>
      <w:tr w14:paraId="20070C9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jc w:val="center"/>
        </w:trPr>
        <w:tc>
          <w:tcPr>
            <w:tcW w:w="720" w:type="dxa"/>
            <w:vAlign w:val="center"/>
          </w:tcPr>
          <w:p w14:paraId="5C78E249">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2</w:t>
            </w:r>
          </w:p>
        </w:tc>
        <w:tc>
          <w:tcPr>
            <w:tcW w:w="2582" w:type="dxa"/>
            <w:vAlign w:val="center"/>
          </w:tcPr>
          <w:p w14:paraId="248DE290">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分包</w:t>
            </w:r>
          </w:p>
        </w:tc>
        <w:tc>
          <w:tcPr>
            <w:tcW w:w="2987" w:type="dxa"/>
            <w:vAlign w:val="center"/>
          </w:tcPr>
          <w:p w14:paraId="72397232">
            <w:pPr>
              <w:autoSpaceDE w:val="0"/>
              <w:autoSpaceDN w:val="0"/>
              <w:adjustRightInd w:val="0"/>
              <w:jc w:val="center"/>
              <w:rPr>
                <w:rFonts w:hint="eastAsia" w:ascii="宋体" w:hAnsi="宋体" w:eastAsia="宋体" w:cs="宋体"/>
                <w:snapToGrid w:val="0"/>
                <w:kern w:val="0"/>
                <w:highlight w:val="none"/>
                <w:lang w:val="en-US" w:eastAsia="zh-CN"/>
              </w:rPr>
            </w:pPr>
            <w:r>
              <w:rPr>
                <w:rFonts w:hint="eastAsia" w:ascii="宋体" w:hAnsi="宋体" w:cs="宋体"/>
                <w:snapToGrid w:val="0"/>
                <w:kern w:val="0"/>
                <w:highlight w:val="none"/>
                <w:lang w:val="en-US" w:eastAsia="zh-CN"/>
              </w:rPr>
              <w:t>不允许</w:t>
            </w:r>
          </w:p>
        </w:tc>
        <w:tc>
          <w:tcPr>
            <w:tcW w:w="2010" w:type="dxa"/>
            <w:vAlign w:val="center"/>
          </w:tcPr>
          <w:p w14:paraId="20DED7BC">
            <w:pPr>
              <w:autoSpaceDE w:val="0"/>
              <w:autoSpaceDN w:val="0"/>
              <w:adjustRightInd w:val="0"/>
              <w:jc w:val="center"/>
              <w:rPr>
                <w:rFonts w:hint="eastAsia" w:ascii="宋体" w:hAnsi="宋体" w:cs="宋体"/>
                <w:snapToGrid w:val="0"/>
                <w:kern w:val="0"/>
                <w:highlight w:val="none"/>
              </w:rPr>
            </w:pPr>
          </w:p>
        </w:tc>
      </w:tr>
      <w:tr w14:paraId="2BA1BA1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09" w:hRule="exact"/>
          <w:jc w:val="center"/>
        </w:trPr>
        <w:tc>
          <w:tcPr>
            <w:tcW w:w="720" w:type="dxa"/>
            <w:vAlign w:val="center"/>
          </w:tcPr>
          <w:p w14:paraId="497B70D2">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3</w:t>
            </w:r>
          </w:p>
        </w:tc>
        <w:tc>
          <w:tcPr>
            <w:tcW w:w="2582" w:type="dxa"/>
            <w:vAlign w:val="center"/>
          </w:tcPr>
          <w:p w14:paraId="1FA41251">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工程质量</w:t>
            </w:r>
          </w:p>
        </w:tc>
        <w:tc>
          <w:tcPr>
            <w:tcW w:w="2987" w:type="dxa"/>
            <w:shd w:val="clear" w:color="auto" w:fill="auto"/>
            <w:vAlign w:val="center"/>
          </w:tcPr>
          <w:p w14:paraId="745F61B9">
            <w:pPr>
              <w:snapToGrid w:val="0"/>
              <w:spacing w:line="360" w:lineRule="auto"/>
              <w:rPr>
                <w:rFonts w:hint="eastAsia" w:ascii="宋体" w:hAnsi="宋体" w:eastAsia="宋体" w:cs="宋体"/>
                <w:kern w:val="2"/>
                <w:sz w:val="21"/>
                <w:szCs w:val="21"/>
                <w:highlight w:val="none"/>
                <w:lang w:val="en-US" w:eastAsia="zh-CN" w:bidi="ar-SA"/>
              </w:rPr>
            </w:pPr>
            <w:r>
              <w:rPr>
                <w:rFonts w:hint="eastAsia" w:ascii="宋体" w:hAnsi="宋体" w:cs="宋体"/>
                <w:highlight w:val="none"/>
              </w:rPr>
              <w:t>达到国家现行有关质量验收规范要求。</w:t>
            </w:r>
          </w:p>
        </w:tc>
        <w:tc>
          <w:tcPr>
            <w:tcW w:w="2010" w:type="dxa"/>
            <w:vAlign w:val="center"/>
          </w:tcPr>
          <w:p w14:paraId="0A34EE2C">
            <w:pPr>
              <w:autoSpaceDE w:val="0"/>
              <w:autoSpaceDN w:val="0"/>
              <w:adjustRightInd w:val="0"/>
              <w:jc w:val="center"/>
              <w:rPr>
                <w:rFonts w:hint="eastAsia" w:ascii="宋体" w:hAnsi="宋体" w:cs="宋体"/>
                <w:snapToGrid w:val="0"/>
                <w:kern w:val="0"/>
                <w:highlight w:val="none"/>
              </w:rPr>
            </w:pPr>
          </w:p>
        </w:tc>
      </w:tr>
      <w:tr w14:paraId="492B00B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jc w:val="center"/>
        </w:trPr>
        <w:tc>
          <w:tcPr>
            <w:tcW w:w="720" w:type="dxa"/>
            <w:vAlign w:val="center"/>
          </w:tcPr>
          <w:p w14:paraId="39BDF7BA">
            <w:pPr>
              <w:tabs>
                <w:tab w:val="left" w:pos="2051"/>
              </w:tabs>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5</w:t>
            </w:r>
          </w:p>
        </w:tc>
        <w:tc>
          <w:tcPr>
            <w:tcW w:w="2582" w:type="dxa"/>
            <w:vAlign w:val="center"/>
          </w:tcPr>
          <w:p w14:paraId="47D56B31">
            <w:pPr>
              <w:tabs>
                <w:tab w:val="left" w:pos="2051"/>
              </w:tabs>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缺陷责任期</w:t>
            </w:r>
          </w:p>
        </w:tc>
        <w:tc>
          <w:tcPr>
            <w:tcW w:w="2987" w:type="dxa"/>
            <w:vAlign w:val="center"/>
          </w:tcPr>
          <w:p w14:paraId="617E21B9">
            <w:pPr>
              <w:tabs>
                <w:tab w:val="left" w:pos="2051"/>
              </w:tabs>
              <w:autoSpaceDE w:val="0"/>
              <w:autoSpaceDN w:val="0"/>
              <w:adjustRightInd w:val="0"/>
              <w:jc w:val="center"/>
              <w:rPr>
                <w:rFonts w:hint="default" w:ascii="宋体" w:hAnsi="宋体" w:eastAsia="宋体" w:cs="宋体"/>
                <w:snapToGrid w:val="0"/>
                <w:kern w:val="0"/>
                <w:highlight w:val="none"/>
                <w:lang w:val="en-US" w:eastAsia="zh-CN"/>
              </w:rPr>
            </w:pPr>
            <w:r>
              <w:rPr>
                <w:rFonts w:hint="eastAsia" w:ascii="宋体" w:hAnsi="宋体" w:cs="宋体"/>
                <w:snapToGrid w:val="0"/>
                <w:kern w:val="0"/>
                <w:highlight w:val="none"/>
                <w:lang w:val="en-US" w:eastAsia="zh-CN"/>
              </w:rPr>
              <w:t>12个月</w:t>
            </w:r>
          </w:p>
        </w:tc>
        <w:tc>
          <w:tcPr>
            <w:tcW w:w="2010" w:type="dxa"/>
            <w:vAlign w:val="center"/>
          </w:tcPr>
          <w:p w14:paraId="3EE097C4">
            <w:pPr>
              <w:autoSpaceDE w:val="0"/>
              <w:autoSpaceDN w:val="0"/>
              <w:adjustRightInd w:val="0"/>
              <w:jc w:val="center"/>
              <w:rPr>
                <w:rFonts w:hint="eastAsia" w:ascii="宋体" w:hAnsi="宋体" w:cs="宋体"/>
                <w:snapToGrid w:val="0"/>
                <w:kern w:val="0"/>
                <w:highlight w:val="none"/>
              </w:rPr>
            </w:pPr>
          </w:p>
        </w:tc>
      </w:tr>
    </w:tbl>
    <w:p w14:paraId="096C5B44">
      <w:pPr>
        <w:spacing w:line="360" w:lineRule="auto"/>
        <w:rPr>
          <w:rFonts w:hint="eastAsia" w:ascii="宋体" w:hAnsi="宋体" w:cs="宋体"/>
          <w:snapToGrid w:val="0"/>
          <w:w w:val="99"/>
          <w:highlight w:val="none"/>
        </w:rPr>
      </w:pPr>
    </w:p>
    <w:p w14:paraId="1EB1B0B9">
      <w:pPr>
        <w:spacing w:line="360" w:lineRule="auto"/>
        <w:rPr>
          <w:rFonts w:hint="eastAsia" w:ascii="宋体" w:hAnsi="宋体" w:cs="宋体"/>
          <w:snapToGrid w:val="0"/>
          <w:kern w:val="0"/>
          <w:sz w:val="32"/>
          <w:szCs w:val="32"/>
          <w:highlight w:val="none"/>
        </w:rPr>
      </w:pPr>
    </w:p>
    <w:p w14:paraId="21D56381">
      <w:pPr>
        <w:spacing w:line="360" w:lineRule="auto"/>
        <w:rPr>
          <w:rFonts w:hint="eastAsia" w:ascii="宋体" w:hAnsi="宋体" w:cs="宋体"/>
          <w:snapToGrid w:val="0"/>
          <w:highlight w:val="none"/>
        </w:rPr>
      </w:pPr>
    </w:p>
    <w:p w14:paraId="12570B7B">
      <w:pPr>
        <w:tabs>
          <w:tab w:val="left" w:pos="7140"/>
          <w:tab w:val="left" w:pos="7560"/>
          <w:tab w:val="left" w:pos="8300"/>
        </w:tabs>
        <w:autoSpaceDE w:val="0"/>
        <w:autoSpaceDN w:val="0"/>
        <w:adjustRightInd w:val="0"/>
        <w:spacing w:line="360" w:lineRule="auto"/>
        <w:ind w:right="210" w:firstLine="2396" w:firstLineChars="1141"/>
        <w:rPr>
          <w:rFonts w:hint="eastAsia" w:ascii="宋体" w:hAnsi="宋体" w:cs="宋体"/>
          <w:snapToGrid w:val="0"/>
          <w:kern w:val="0"/>
          <w:highlight w:val="none"/>
        </w:rPr>
      </w:pPr>
      <w:r>
        <w:rPr>
          <w:rFonts w:hint="eastAsia" w:ascii="宋体" w:hAnsi="宋体" w:cs="宋体"/>
          <w:snapToGrid w:val="0"/>
          <w:kern w:val="0"/>
          <w:highlight w:val="none"/>
        </w:rPr>
        <w:t>比 选 申 请  人：</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 xml:space="preserve">（盖单位法人章） </w:t>
      </w:r>
    </w:p>
    <w:p w14:paraId="30602954">
      <w:pPr>
        <w:tabs>
          <w:tab w:val="left" w:pos="7140"/>
          <w:tab w:val="left" w:pos="7560"/>
          <w:tab w:val="left" w:pos="8300"/>
        </w:tabs>
        <w:autoSpaceDE w:val="0"/>
        <w:autoSpaceDN w:val="0"/>
        <w:adjustRightInd w:val="0"/>
        <w:spacing w:line="360" w:lineRule="auto"/>
        <w:ind w:right="210" w:firstLine="1984" w:firstLineChars="945"/>
        <w:rPr>
          <w:rFonts w:hint="eastAsia" w:ascii="宋体" w:hAnsi="宋体" w:cs="宋体"/>
          <w:snapToGrid w:val="0"/>
          <w:kern w:val="0"/>
          <w:highlight w:val="none"/>
        </w:rPr>
      </w:pPr>
      <w:r>
        <w:rPr>
          <w:rFonts w:hint="eastAsia" w:ascii="宋体" w:hAnsi="宋体" w:cs="宋体"/>
          <w:snapToGrid w:val="0"/>
          <w:kern w:val="0"/>
          <w:highlight w:val="none"/>
        </w:rPr>
        <w:t xml:space="preserve">   </w:t>
      </w:r>
    </w:p>
    <w:p w14:paraId="741E4578">
      <w:pPr>
        <w:tabs>
          <w:tab w:val="left" w:pos="7140"/>
          <w:tab w:val="left" w:pos="7560"/>
          <w:tab w:val="left" w:pos="8300"/>
        </w:tabs>
        <w:autoSpaceDE w:val="0"/>
        <w:autoSpaceDN w:val="0"/>
        <w:adjustRightInd w:val="0"/>
        <w:spacing w:line="360" w:lineRule="auto"/>
        <w:ind w:right="210" w:firstLine="2415" w:firstLineChars="1150"/>
        <w:rPr>
          <w:rFonts w:hint="eastAsia" w:ascii="宋体" w:hAnsi="宋体" w:cs="宋体"/>
          <w:snapToGrid w:val="0"/>
          <w:kern w:val="0"/>
          <w:highlight w:val="none"/>
        </w:rPr>
      </w:pPr>
      <w:r>
        <w:rPr>
          <w:rFonts w:hint="eastAsia" w:ascii="宋体" w:hAnsi="宋体" w:cs="宋体"/>
          <w:snapToGrid w:val="0"/>
          <w:kern w:val="0"/>
          <w:highlight w:val="none"/>
        </w:rPr>
        <w:t>法定代表人或其委托代理人：</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 xml:space="preserve">（签名或盖章） </w:t>
      </w:r>
    </w:p>
    <w:p w14:paraId="485BF126">
      <w:pPr>
        <w:tabs>
          <w:tab w:val="left" w:pos="7140"/>
          <w:tab w:val="left" w:pos="7560"/>
          <w:tab w:val="left" w:pos="8300"/>
        </w:tabs>
        <w:autoSpaceDE w:val="0"/>
        <w:autoSpaceDN w:val="0"/>
        <w:adjustRightInd w:val="0"/>
        <w:spacing w:line="360" w:lineRule="auto"/>
        <w:ind w:right="210" w:firstLine="1995" w:firstLineChars="950"/>
        <w:rPr>
          <w:rFonts w:hint="eastAsia" w:ascii="宋体" w:hAnsi="宋体" w:cs="宋体"/>
          <w:snapToGrid w:val="0"/>
          <w:kern w:val="0"/>
          <w:highlight w:val="none"/>
        </w:rPr>
      </w:pPr>
    </w:p>
    <w:p w14:paraId="0A3F0FA8">
      <w:pPr>
        <w:pStyle w:val="63"/>
        <w:rPr>
          <w:rFonts w:hint="eastAsia" w:ascii="宋体" w:hAnsi="宋体" w:cs="宋体"/>
          <w:highlight w:val="none"/>
        </w:rPr>
      </w:pPr>
      <w:r>
        <w:rPr>
          <w:rFonts w:hint="eastAsia" w:ascii="宋体" w:hAnsi="宋体" w:cs="宋体"/>
          <w:snapToGrid w:val="0"/>
          <w:highlight w:val="none"/>
        </w:rPr>
        <w:br w:type="page"/>
      </w:r>
    </w:p>
    <w:p w14:paraId="30485322">
      <w:pPr>
        <w:rPr>
          <w:rFonts w:hint="eastAsia" w:ascii="宋体" w:hAnsi="宋体" w:cs="宋体"/>
          <w:highlight w:val="none"/>
        </w:rPr>
      </w:pPr>
    </w:p>
    <w:p w14:paraId="61AA148B">
      <w:pPr>
        <w:rPr>
          <w:rFonts w:hint="eastAsia" w:ascii="宋体" w:hAnsi="宋体" w:cs="宋体"/>
          <w:highlight w:val="none"/>
        </w:rPr>
      </w:pPr>
    </w:p>
    <w:p w14:paraId="54E3067D">
      <w:pPr>
        <w:rPr>
          <w:rFonts w:hint="eastAsia" w:ascii="宋体" w:hAnsi="宋体" w:cs="宋体"/>
          <w:highlight w:val="none"/>
        </w:rPr>
      </w:pPr>
    </w:p>
    <w:p w14:paraId="247CDC21">
      <w:pPr>
        <w:pStyle w:val="4"/>
        <w:jc w:val="center"/>
        <w:rPr>
          <w:rFonts w:hint="eastAsia" w:ascii="宋体" w:hAnsi="宋体" w:eastAsia="宋体" w:cs="宋体"/>
          <w:highlight w:val="none"/>
        </w:rPr>
      </w:pPr>
      <w:bookmarkStart w:id="1007" w:name="_Toc492644447"/>
      <w:bookmarkStart w:id="1008" w:name="_Toc22375656"/>
      <w:bookmarkStart w:id="1009" w:name="_Toc492994399"/>
      <w:bookmarkStart w:id="1010" w:name="_Toc8126"/>
      <w:bookmarkStart w:id="1011" w:name="_Toc304992633"/>
      <w:bookmarkStart w:id="1012" w:name="_Toc22990077"/>
      <w:r>
        <w:rPr>
          <w:rFonts w:hint="eastAsia" w:ascii="宋体" w:hAnsi="宋体" w:eastAsia="宋体" w:cs="宋体"/>
          <w:sz w:val="28"/>
          <w:highlight w:val="none"/>
        </w:rPr>
        <w:t>（二） 法定代表人身份证明及法定代表人授权委托书</w:t>
      </w:r>
      <w:bookmarkEnd w:id="1007"/>
      <w:bookmarkEnd w:id="1008"/>
      <w:bookmarkEnd w:id="1009"/>
      <w:bookmarkEnd w:id="1010"/>
      <w:bookmarkEnd w:id="1011"/>
      <w:bookmarkEnd w:id="1012"/>
    </w:p>
    <w:p w14:paraId="651594FC">
      <w:pPr>
        <w:jc w:val="center"/>
        <w:rPr>
          <w:rFonts w:hint="eastAsia" w:ascii="宋体" w:hAnsi="宋体" w:cs="宋体"/>
          <w:b/>
          <w:sz w:val="28"/>
          <w:highlight w:val="none"/>
        </w:rPr>
      </w:pPr>
    </w:p>
    <w:p w14:paraId="08016DD4">
      <w:pPr>
        <w:jc w:val="center"/>
        <w:rPr>
          <w:rFonts w:hint="eastAsia" w:ascii="宋体" w:hAnsi="宋体" w:cs="宋体"/>
          <w:b/>
          <w:kern w:val="0"/>
          <w:sz w:val="28"/>
          <w:szCs w:val="28"/>
          <w:highlight w:val="none"/>
        </w:rPr>
      </w:pPr>
      <w:r>
        <w:rPr>
          <w:rFonts w:hint="eastAsia" w:ascii="宋体" w:hAnsi="宋体" w:cs="宋体"/>
          <w:b/>
          <w:kern w:val="0"/>
          <w:sz w:val="28"/>
          <w:szCs w:val="28"/>
          <w:highlight w:val="none"/>
        </w:rPr>
        <w:t>法定代表人身份证明</w:t>
      </w:r>
    </w:p>
    <w:p w14:paraId="39DF0F2B">
      <w:pPr>
        <w:ind w:left="765"/>
        <w:rPr>
          <w:rFonts w:hint="eastAsia" w:ascii="宋体" w:hAnsi="宋体" w:cs="宋体"/>
          <w:b/>
          <w:kern w:val="0"/>
          <w:sz w:val="28"/>
          <w:szCs w:val="28"/>
          <w:highlight w:val="none"/>
        </w:rPr>
      </w:pPr>
    </w:p>
    <w:p w14:paraId="3D55C474">
      <w:pPr>
        <w:ind w:left="765"/>
        <w:rPr>
          <w:rFonts w:hint="eastAsia" w:ascii="宋体" w:hAnsi="宋体" w:cs="宋体"/>
          <w:highlight w:val="none"/>
        </w:rPr>
      </w:pPr>
    </w:p>
    <w:p w14:paraId="1E5E7C32">
      <w:pPr>
        <w:ind w:left="765"/>
        <w:rPr>
          <w:rFonts w:hint="eastAsia" w:ascii="宋体" w:hAnsi="宋体" w:cs="宋体"/>
          <w:highlight w:val="none"/>
        </w:rPr>
      </w:pPr>
    </w:p>
    <w:p w14:paraId="29CF4CC7">
      <w:pPr>
        <w:tabs>
          <w:tab w:val="left" w:pos="5565"/>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比选申请人名称：</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10C13421">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5EF9948D">
      <w:pPr>
        <w:tabs>
          <w:tab w:val="left" w:pos="5475"/>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单位性质：</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27C4D8C4">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45BC8E20">
      <w:pPr>
        <w:tabs>
          <w:tab w:val="left" w:pos="5475"/>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地址：</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6DA540EE">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77B8EC75">
      <w:pPr>
        <w:tabs>
          <w:tab w:val="left" w:pos="2520"/>
          <w:tab w:val="left" w:pos="3836"/>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成立时间：</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xml:space="preserve"> </w:t>
      </w:r>
      <w:r>
        <w:rPr>
          <w:rFonts w:hint="eastAsia" w:ascii="宋体" w:hAnsi="宋体" w:cs="宋体"/>
          <w:spacing w:val="-1"/>
          <w:kern w:val="0"/>
          <w:highlight w:val="none"/>
        </w:rPr>
        <w:t>年</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u w:val="single"/>
        </w:rPr>
        <w:t xml:space="preserve"> </w:t>
      </w:r>
      <w:r>
        <w:rPr>
          <w:rFonts w:hint="eastAsia" w:ascii="宋体" w:hAnsi="宋体" w:cs="宋体"/>
          <w:kern w:val="0"/>
          <w:highlight w:val="none"/>
        </w:rPr>
        <w:t xml:space="preserve"> </w:t>
      </w:r>
      <w:r>
        <w:rPr>
          <w:rFonts w:hint="eastAsia" w:ascii="宋体" w:hAnsi="宋体" w:cs="宋体"/>
          <w:spacing w:val="-1"/>
          <w:kern w:val="0"/>
          <w:highlight w:val="none"/>
        </w:rPr>
        <w:t>月</w:t>
      </w:r>
      <w:r>
        <w:rPr>
          <w:rFonts w:hint="eastAsia" w:ascii="宋体" w:hAnsi="宋体" w:cs="宋体"/>
          <w:w w:val="200"/>
          <w:kern w:val="0"/>
          <w:highlight w:val="none"/>
          <w:u w:val="single"/>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日</w:t>
      </w:r>
    </w:p>
    <w:p w14:paraId="0C544A67">
      <w:pPr>
        <w:autoSpaceDE w:val="0"/>
        <w:autoSpaceDN w:val="0"/>
        <w:adjustRightInd w:val="0"/>
        <w:snapToGrid w:val="0"/>
        <w:spacing w:line="360" w:lineRule="auto"/>
        <w:ind w:firstLine="186" w:firstLineChars="186"/>
        <w:jc w:val="left"/>
        <w:rPr>
          <w:rFonts w:hint="eastAsia" w:ascii="宋体" w:hAnsi="宋体" w:cs="宋体"/>
          <w:kern w:val="0"/>
          <w:sz w:val="10"/>
          <w:szCs w:val="10"/>
          <w:highlight w:val="none"/>
        </w:rPr>
      </w:pPr>
    </w:p>
    <w:p w14:paraId="18B71BAD">
      <w:pPr>
        <w:tabs>
          <w:tab w:val="left" w:pos="5475"/>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经营期限：</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43AD6F8C">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6F9D346F">
      <w:pPr>
        <w:tabs>
          <w:tab w:val="left" w:pos="1580"/>
          <w:tab w:val="left" w:pos="3260"/>
          <w:tab w:val="left" w:pos="4840"/>
          <w:tab w:val="left" w:pos="6300"/>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姓名：</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xml:space="preserve"> 性别</w:t>
      </w:r>
      <w:r>
        <w:rPr>
          <w:rFonts w:hint="eastAsia" w:ascii="宋体" w:hAnsi="宋体" w:cs="宋体"/>
          <w:spacing w:val="-1"/>
          <w:kern w:val="0"/>
          <w:highlight w:val="none"/>
        </w:rPr>
        <w:t>：</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xml:space="preserve"> </w:t>
      </w:r>
      <w:r>
        <w:rPr>
          <w:rFonts w:hint="eastAsia" w:ascii="宋体" w:hAnsi="宋体" w:cs="宋体"/>
          <w:spacing w:val="-1"/>
          <w:kern w:val="0"/>
          <w:highlight w:val="none"/>
        </w:rPr>
        <w:t>年</w:t>
      </w:r>
      <w:r>
        <w:rPr>
          <w:rFonts w:hint="eastAsia" w:ascii="宋体" w:hAnsi="宋体" w:cs="宋体"/>
          <w:kern w:val="0"/>
          <w:highlight w:val="none"/>
        </w:rPr>
        <w:t>龄：</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职务：</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7CF179B6">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56D730D4">
      <w:pPr>
        <w:tabs>
          <w:tab w:val="left" w:pos="3360"/>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系</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xml:space="preserve"> （比选申请人名称）的法定代表人。</w:t>
      </w:r>
    </w:p>
    <w:p w14:paraId="18791CA5">
      <w:pPr>
        <w:autoSpaceDE w:val="0"/>
        <w:autoSpaceDN w:val="0"/>
        <w:adjustRightInd w:val="0"/>
        <w:snapToGrid w:val="0"/>
        <w:spacing w:line="360" w:lineRule="auto"/>
        <w:ind w:firstLine="186" w:firstLineChars="186"/>
        <w:jc w:val="left"/>
        <w:rPr>
          <w:rFonts w:hint="eastAsia" w:ascii="宋体" w:hAnsi="宋体" w:cs="宋体"/>
          <w:kern w:val="0"/>
          <w:sz w:val="10"/>
          <w:szCs w:val="10"/>
          <w:highlight w:val="none"/>
        </w:rPr>
      </w:pPr>
    </w:p>
    <w:p w14:paraId="794CA16E">
      <w:pPr>
        <w:autoSpaceDE w:val="0"/>
        <w:autoSpaceDN w:val="0"/>
        <w:adjustRightInd w:val="0"/>
        <w:snapToGrid w:val="0"/>
        <w:spacing w:line="360" w:lineRule="auto"/>
        <w:ind w:firstLine="810" w:firstLineChars="386"/>
        <w:jc w:val="left"/>
        <w:rPr>
          <w:rFonts w:hint="eastAsia" w:ascii="宋体" w:hAnsi="宋体" w:cs="宋体"/>
          <w:kern w:val="0"/>
          <w:highlight w:val="none"/>
        </w:rPr>
      </w:pPr>
      <w:r>
        <w:rPr>
          <w:rFonts w:hint="eastAsia" w:ascii="宋体" w:hAnsi="宋体" w:cs="宋体"/>
          <w:kern w:val="0"/>
          <w:highlight w:val="none"/>
        </w:rPr>
        <w:t>特此证明。</w:t>
      </w:r>
    </w:p>
    <w:p w14:paraId="0BDA01B5">
      <w:pPr>
        <w:autoSpaceDE w:val="0"/>
        <w:autoSpaceDN w:val="0"/>
        <w:adjustRightInd w:val="0"/>
        <w:snapToGrid w:val="0"/>
        <w:spacing w:line="360" w:lineRule="auto"/>
        <w:jc w:val="left"/>
        <w:rPr>
          <w:rFonts w:hint="eastAsia" w:ascii="宋体" w:hAnsi="宋体" w:cs="宋体"/>
          <w:kern w:val="0"/>
          <w:sz w:val="18"/>
          <w:szCs w:val="18"/>
          <w:highlight w:val="none"/>
        </w:rPr>
      </w:pPr>
    </w:p>
    <w:p w14:paraId="45804343">
      <w:pPr>
        <w:autoSpaceDE w:val="0"/>
        <w:autoSpaceDN w:val="0"/>
        <w:adjustRightInd w:val="0"/>
        <w:snapToGrid w:val="0"/>
        <w:spacing w:line="360" w:lineRule="auto"/>
        <w:jc w:val="left"/>
        <w:rPr>
          <w:rFonts w:hint="eastAsia" w:ascii="宋体" w:hAnsi="宋体" w:cs="宋体"/>
          <w:kern w:val="0"/>
          <w:sz w:val="20"/>
          <w:szCs w:val="20"/>
          <w:highlight w:val="none"/>
        </w:rPr>
      </w:pPr>
    </w:p>
    <w:p w14:paraId="64A13841">
      <w:pPr>
        <w:autoSpaceDE w:val="0"/>
        <w:autoSpaceDN w:val="0"/>
        <w:adjustRightInd w:val="0"/>
        <w:snapToGrid w:val="0"/>
        <w:spacing w:line="360" w:lineRule="auto"/>
        <w:jc w:val="left"/>
        <w:rPr>
          <w:rFonts w:hint="eastAsia" w:ascii="宋体" w:hAnsi="宋体" w:cs="宋体"/>
          <w:kern w:val="0"/>
          <w:sz w:val="20"/>
          <w:szCs w:val="20"/>
          <w:highlight w:val="none"/>
        </w:rPr>
      </w:pPr>
    </w:p>
    <w:p w14:paraId="17F80A6E">
      <w:pPr>
        <w:autoSpaceDE w:val="0"/>
        <w:autoSpaceDN w:val="0"/>
        <w:adjustRightInd w:val="0"/>
        <w:snapToGrid w:val="0"/>
        <w:spacing w:line="360" w:lineRule="auto"/>
        <w:jc w:val="left"/>
        <w:rPr>
          <w:rFonts w:hint="eastAsia" w:ascii="宋体" w:hAnsi="宋体" w:cs="宋体"/>
          <w:kern w:val="0"/>
          <w:sz w:val="20"/>
          <w:szCs w:val="20"/>
          <w:highlight w:val="none"/>
        </w:rPr>
      </w:pPr>
    </w:p>
    <w:p w14:paraId="21B4D842">
      <w:pPr>
        <w:autoSpaceDE w:val="0"/>
        <w:autoSpaceDN w:val="0"/>
        <w:adjustRightInd w:val="0"/>
        <w:snapToGrid w:val="0"/>
        <w:spacing w:line="360" w:lineRule="auto"/>
        <w:jc w:val="left"/>
        <w:rPr>
          <w:rFonts w:hint="eastAsia" w:ascii="宋体" w:hAnsi="宋体" w:cs="宋体"/>
          <w:kern w:val="0"/>
          <w:sz w:val="20"/>
          <w:szCs w:val="20"/>
          <w:highlight w:val="none"/>
        </w:rPr>
      </w:pPr>
    </w:p>
    <w:p w14:paraId="31D91B98">
      <w:pPr>
        <w:tabs>
          <w:tab w:val="left" w:pos="5460"/>
        </w:tabs>
        <w:autoSpaceDE w:val="0"/>
        <w:autoSpaceDN w:val="0"/>
        <w:adjustRightInd w:val="0"/>
        <w:snapToGrid w:val="0"/>
        <w:spacing w:line="360" w:lineRule="auto"/>
        <w:ind w:firstLine="2100"/>
        <w:jc w:val="left"/>
        <w:rPr>
          <w:rFonts w:hint="eastAsia" w:ascii="宋体" w:hAnsi="宋体" w:cs="宋体"/>
          <w:kern w:val="0"/>
          <w:highlight w:val="none"/>
        </w:rPr>
      </w:pPr>
      <w:r>
        <w:rPr>
          <w:rFonts w:hint="eastAsia" w:ascii="宋体" w:hAnsi="宋体" w:cs="宋体"/>
          <w:kern w:val="0"/>
          <w:highlight w:val="none"/>
        </w:rPr>
        <w:t>比选申请人：</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spacing w:val="-1"/>
          <w:kern w:val="0"/>
          <w:highlight w:val="none"/>
        </w:rPr>
        <w:t>（</w:t>
      </w:r>
      <w:r>
        <w:rPr>
          <w:rFonts w:hint="eastAsia" w:ascii="宋体" w:hAnsi="宋体" w:cs="宋体"/>
          <w:kern w:val="0"/>
          <w:highlight w:val="none"/>
        </w:rPr>
        <w:t>盖单位章）</w:t>
      </w:r>
    </w:p>
    <w:p w14:paraId="710451DC">
      <w:pPr>
        <w:autoSpaceDE w:val="0"/>
        <w:autoSpaceDN w:val="0"/>
        <w:adjustRightInd w:val="0"/>
        <w:snapToGrid w:val="0"/>
        <w:spacing w:line="360" w:lineRule="auto"/>
        <w:jc w:val="left"/>
        <w:rPr>
          <w:rFonts w:hint="eastAsia" w:ascii="宋体" w:hAnsi="宋体" w:cs="宋体"/>
          <w:kern w:val="0"/>
          <w:sz w:val="20"/>
          <w:szCs w:val="20"/>
          <w:highlight w:val="none"/>
        </w:rPr>
      </w:pPr>
    </w:p>
    <w:p w14:paraId="4DC5553D">
      <w:pPr>
        <w:tabs>
          <w:tab w:val="left" w:pos="4935"/>
          <w:tab w:val="left" w:pos="5460"/>
          <w:tab w:val="left" w:pos="6400"/>
        </w:tabs>
        <w:autoSpaceDE w:val="0"/>
        <w:autoSpaceDN w:val="0"/>
        <w:adjustRightInd w:val="0"/>
        <w:snapToGrid w:val="0"/>
        <w:spacing w:line="360" w:lineRule="auto"/>
        <w:ind w:firstLine="3780"/>
        <w:jc w:val="left"/>
        <w:rPr>
          <w:rFonts w:hint="eastAsia" w:ascii="宋体" w:hAnsi="宋体" w:cs="宋体"/>
          <w:kern w:val="0"/>
          <w:highlight w:val="none"/>
        </w:rPr>
      </w:pP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spacing w:val="-1"/>
          <w:kern w:val="0"/>
          <w:highlight w:val="none"/>
        </w:rPr>
        <w:t>年</w:t>
      </w:r>
      <w:r>
        <w:rPr>
          <w:rFonts w:hint="eastAsia" w:ascii="宋体" w:hAnsi="宋体" w:cs="宋体"/>
          <w:w w:val="200"/>
          <w:kern w:val="0"/>
          <w:highlight w:val="none"/>
          <w:u w:val="single"/>
        </w:rPr>
        <w:t xml:space="preserve">   </w:t>
      </w:r>
      <w:r>
        <w:rPr>
          <w:rFonts w:hint="eastAsia" w:ascii="宋体" w:hAnsi="宋体" w:cs="宋体"/>
          <w:kern w:val="0"/>
          <w:highlight w:val="none"/>
        </w:rPr>
        <w:t>月</w:t>
      </w:r>
      <w:r>
        <w:rPr>
          <w:rFonts w:hint="eastAsia" w:ascii="宋体" w:hAnsi="宋体" w:cs="宋体"/>
          <w:w w:val="200"/>
          <w:kern w:val="0"/>
          <w:highlight w:val="none"/>
          <w:u w:val="single"/>
        </w:rPr>
        <w:t xml:space="preserve">   </w:t>
      </w:r>
      <w:r>
        <w:rPr>
          <w:rFonts w:hint="eastAsia" w:ascii="宋体" w:hAnsi="宋体" w:cs="宋体"/>
          <w:kern w:val="0"/>
          <w:highlight w:val="none"/>
        </w:rPr>
        <w:t>日</w:t>
      </w:r>
    </w:p>
    <w:p w14:paraId="2663E9CA">
      <w:pPr>
        <w:tabs>
          <w:tab w:val="left" w:pos="5760"/>
        </w:tabs>
        <w:autoSpaceDE w:val="0"/>
        <w:autoSpaceDN w:val="0"/>
        <w:adjustRightInd w:val="0"/>
        <w:spacing w:line="300" w:lineRule="exact"/>
        <w:ind w:right="3341"/>
        <w:rPr>
          <w:rFonts w:hint="eastAsia" w:ascii="宋体" w:hAnsi="宋体" w:cs="宋体"/>
          <w:kern w:val="0"/>
          <w:highlight w:val="none"/>
        </w:rPr>
      </w:pPr>
    </w:p>
    <w:p w14:paraId="620CC20C">
      <w:pPr>
        <w:tabs>
          <w:tab w:val="left" w:pos="1680"/>
          <w:tab w:val="left" w:pos="4215"/>
          <w:tab w:val="left" w:pos="4305"/>
          <w:tab w:val="left" w:pos="8000"/>
        </w:tabs>
        <w:autoSpaceDE w:val="0"/>
        <w:autoSpaceDN w:val="0"/>
        <w:adjustRightInd w:val="0"/>
        <w:snapToGrid w:val="0"/>
        <w:spacing w:line="360" w:lineRule="auto"/>
        <w:ind w:firstLine="420"/>
        <w:jc w:val="center"/>
        <w:rPr>
          <w:rFonts w:hint="eastAsia" w:ascii="宋体" w:hAnsi="宋体" w:cs="宋体"/>
          <w:b/>
          <w:kern w:val="0"/>
          <w:sz w:val="28"/>
          <w:szCs w:val="28"/>
          <w:highlight w:val="none"/>
        </w:rPr>
      </w:pPr>
      <w:r>
        <w:rPr>
          <w:rFonts w:hint="eastAsia" w:ascii="宋体" w:hAnsi="宋体" w:cs="宋体"/>
          <w:b/>
          <w:kern w:val="0"/>
          <w:sz w:val="28"/>
          <w:szCs w:val="28"/>
          <w:highlight w:val="none"/>
        </w:rPr>
        <w:br w:type="page"/>
      </w:r>
      <w:r>
        <w:rPr>
          <w:rFonts w:hint="eastAsia" w:ascii="宋体" w:hAnsi="宋体" w:cs="宋体"/>
          <w:b/>
          <w:kern w:val="0"/>
          <w:sz w:val="28"/>
          <w:szCs w:val="28"/>
          <w:highlight w:val="none"/>
        </w:rPr>
        <w:t>法定代表人授权委托书</w:t>
      </w:r>
    </w:p>
    <w:p w14:paraId="1E7D3422">
      <w:pPr>
        <w:autoSpaceDE w:val="0"/>
        <w:autoSpaceDN w:val="0"/>
        <w:adjustRightInd w:val="0"/>
        <w:snapToGrid w:val="0"/>
        <w:spacing w:line="360" w:lineRule="auto"/>
        <w:jc w:val="left"/>
        <w:rPr>
          <w:rFonts w:hint="eastAsia" w:ascii="宋体" w:hAnsi="宋体" w:cs="宋体"/>
          <w:kern w:val="0"/>
          <w:sz w:val="12"/>
          <w:szCs w:val="12"/>
          <w:highlight w:val="none"/>
        </w:rPr>
      </w:pPr>
    </w:p>
    <w:p w14:paraId="4445B3CC">
      <w:pPr>
        <w:autoSpaceDE w:val="0"/>
        <w:autoSpaceDN w:val="0"/>
        <w:adjustRightInd w:val="0"/>
        <w:snapToGrid w:val="0"/>
        <w:spacing w:line="360" w:lineRule="auto"/>
        <w:jc w:val="left"/>
        <w:rPr>
          <w:rFonts w:hint="eastAsia" w:ascii="宋体" w:hAnsi="宋体" w:cs="宋体"/>
          <w:kern w:val="0"/>
          <w:sz w:val="20"/>
          <w:szCs w:val="20"/>
          <w:highlight w:val="none"/>
        </w:rPr>
      </w:pPr>
    </w:p>
    <w:p w14:paraId="410F82D5">
      <w:pPr>
        <w:autoSpaceDE w:val="0"/>
        <w:autoSpaceDN w:val="0"/>
        <w:adjustRightInd w:val="0"/>
        <w:snapToGrid w:val="0"/>
        <w:spacing w:line="360" w:lineRule="auto"/>
        <w:jc w:val="left"/>
        <w:rPr>
          <w:rFonts w:hint="eastAsia" w:ascii="宋体" w:hAnsi="宋体" w:cs="宋体"/>
          <w:kern w:val="0"/>
          <w:sz w:val="20"/>
          <w:szCs w:val="20"/>
          <w:highlight w:val="none"/>
        </w:rPr>
      </w:pPr>
    </w:p>
    <w:p w14:paraId="0B1B0A89">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cs="宋体"/>
          <w:kern w:val="0"/>
          <w:highlight w:val="none"/>
        </w:rPr>
      </w:pPr>
      <w:r>
        <w:rPr>
          <w:rFonts w:hint="eastAsia" w:ascii="宋体" w:hAnsi="宋体" w:cs="宋体"/>
          <w:kern w:val="0"/>
          <w:highlight w:val="none"/>
        </w:rPr>
        <w:t>本人</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（姓名）系</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w:t>
      </w:r>
      <w:r>
        <w:rPr>
          <w:rFonts w:hint="eastAsia" w:ascii="宋体" w:hAnsi="宋体" w:cs="宋体"/>
          <w:spacing w:val="-1"/>
          <w:kern w:val="0"/>
          <w:highlight w:val="none"/>
        </w:rPr>
        <w:t>比选申请人</w:t>
      </w:r>
      <w:r>
        <w:rPr>
          <w:rFonts w:hint="eastAsia" w:ascii="宋体" w:hAnsi="宋体" w:cs="宋体"/>
          <w:kern w:val="0"/>
          <w:highlight w:val="none"/>
        </w:rPr>
        <w:t>名称</w:t>
      </w:r>
      <w:r>
        <w:rPr>
          <w:rFonts w:hint="eastAsia" w:ascii="宋体" w:hAnsi="宋体" w:cs="宋体"/>
          <w:spacing w:val="1"/>
          <w:kern w:val="0"/>
          <w:highlight w:val="none"/>
        </w:rPr>
        <w:t>）</w:t>
      </w:r>
      <w:r>
        <w:rPr>
          <w:rFonts w:hint="eastAsia" w:ascii="宋体" w:hAnsi="宋体" w:cs="宋体"/>
          <w:kern w:val="0"/>
          <w:highlight w:val="none"/>
        </w:rPr>
        <w:t>的法定代</w:t>
      </w:r>
      <w:r>
        <w:rPr>
          <w:rFonts w:hint="eastAsia" w:ascii="宋体" w:hAnsi="宋体" w:cs="宋体"/>
          <w:spacing w:val="1"/>
          <w:kern w:val="0"/>
          <w:highlight w:val="none"/>
        </w:rPr>
        <w:t>表</w:t>
      </w:r>
      <w:r>
        <w:rPr>
          <w:rFonts w:hint="eastAsia" w:ascii="宋体" w:hAnsi="宋体" w:cs="宋体"/>
          <w:kern w:val="0"/>
          <w:highlight w:val="none"/>
        </w:rPr>
        <w:t>人，现委托</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（姓 名）为我方代理人。代理人根据授权，以我方名义签署、澄清、说明、补正、递交、撤回、 修改</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（项</w:t>
      </w:r>
      <w:r>
        <w:rPr>
          <w:rFonts w:hint="eastAsia" w:ascii="宋体" w:hAnsi="宋体" w:cs="宋体"/>
          <w:spacing w:val="-1"/>
          <w:kern w:val="0"/>
          <w:highlight w:val="none"/>
        </w:rPr>
        <w:t>目</w:t>
      </w:r>
      <w:r>
        <w:rPr>
          <w:rFonts w:hint="eastAsia" w:ascii="宋体" w:hAnsi="宋体" w:cs="宋体"/>
          <w:kern w:val="0"/>
          <w:highlight w:val="none"/>
        </w:rPr>
        <w:t>名称）比选申请文件、签订合同和处理有关事宜， 其法律后果由我方承担。委托</w:t>
      </w:r>
      <w:r>
        <w:rPr>
          <w:rFonts w:hint="eastAsia" w:ascii="宋体" w:hAnsi="宋体" w:cs="宋体"/>
          <w:spacing w:val="-1"/>
          <w:kern w:val="0"/>
          <w:highlight w:val="none"/>
        </w:rPr>
        <w:t>期</w:t>
      </w:r>
      <w:r>
        <w:rPr>
          <w:rFonts w:hint="eastAsia" w:ascii="宋体" w:hAnsi="宋体" w:cs="宋体"/>
          <w:kern w:val="0"/>
          <w:highlight w:val="none"/>
        </w:rPr>
        <w:t>限：</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代理人无转委托权。 附：法定代表人身份证明。</w:t>
      </w:r>
    </w:p>
    <w:p w14:paraId="276FE57D">
      <w:pPr>
        <w:autoSpaceDE w:val="0"/>
        <w:autoSpaceDN w:val="0"/>
        <w:adjustRightInd w:val="0"/>
        <w:snapToGrid w:val="0"/>
        <w:spacing w:line="360" w:lineRule="auto"/>
        <w:jc w:val="left"/>
        <w:rPr>
          <w:rFonts w:hint="eastAsia" w:ascii="宋体" w:hAnsi="宋体" w:cs="宋体"/>
          <w:kern w:val="0"/>
          <w:sz w:val="12"/>
          <w:szCs w:val="12"/>
          <w:highlight w:val="none"/>
        </w:rPr>
      </w:pPr>
    </w:p>
    <w:p w14:paraId="0AC3BD56">
      <w:pPr>
        <w:autoSpaceDE w:val="0"/>
        <w:autoSpaceDN w:val="0"/>
        <w:adjustRightInd w:val="0"/>
        <w:snapToGrid w:val="0"/>
        <w:spacing w:line="360" w:lineRule="auto"/>
        <w:jc w:val="left"/>
        <w:rPr>
          <w:rFonts w:hint="eastAsia" w:ascii="宋体" w:hAnsi="宋体" w:cs="宋体"/>
          <w:kern w:val="0"/>
          <w:sz w:val="20"/>
          <w:szCs w:val="20"/>
          <w:highlight w:val="none"/>
        </w:rPr>
      </w:pPr>
    </w:p>
    <w:p w14:paraId="12434651">
      <w:pPr>
        <w:tabs>
          <w:tab w:val="left" w:pos="4200"/>
          <w:tab w:val="left" w:pos="4620"/>
        </w:tabs>
        <w:autoSpaceDE w:val="0"/>
        <w:autoSpaceDN w:val="0"/>
        <w:adjustRightInd w:val="0"/>
        <w:snapToGrid w:val="0"/>
        <w:spacing w:line="360" w:lineRule="auto"/>
        <w:ind w:firstLine="1694"/>
        <w:jc w:val="left"/>
        <w:rPr>
          <w:rFonts w:hint="eastAsia" w:ascii="宋体" w:hAnsi="宋体" w:cs="宋体"/>
          <w:kern w:val="0"/>
          <w:highlight w:val="none"/>
        </w:rPr>
      </w:pPr>
      <w:r>
        <w:rPr>
          <w:rFonts w:hint="eastAsia" w:ascii="宋体" w:hAnsi="宋体" w:cs="宋体"/>
          <w:spacing w:val="-1"/>
          <w:kern w:val="0"/>
          <w:highlight w:val="none"/>
        </w:rPr>
        <w:t>比选申请人</w:t>
      </w:r>
      <w:r>
        <w:rPr>
          <w:rFonts w:hint="eastAsia" w:ascii="宋体" w:hAnsi="宋体" w:cs="宋体"/>
          <w:kern w:val="0"/>
          <w:highlight w:val="none"/>
        </w:rPr>
        <w:t>：</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w:t>
      </w:r>
      <w:r>
        <w:rPr>
          <w:rFonts w:hint="eastAsia" w:ascii="宋体" w:hAnsi="宋体" w:cs="宋体"/>
          <w:spacing w:val="-1"/>
          <w:kern w:val="0"/>
          <w:highlight w:val="none"/>
        </w:rPr>
        <w:t>盖</w:t>
      </w:r>
      <w:r>
        <w:rPr>
          <w:rFonts w:hint="eastAsia" w:ascii="宋体" w:hAnsi="宋体" w:cs="宋体"/>
          <w:kern w:val="0"/>
          <w:highlight w:val="none"/>
        </w:rPr>
        <w:t xml:space="preserve">单位公章） </w:t>
      </w:r>
    </w:p>
    <w:p w14:paraId="39ED3C23">
      <w:pPr>
        <w:tabs>
          <w:tab w:val="left" w:pos="6300"/>
        </w:tabs>
        <w:autoSpaceDE w:val="0"/>
        <w:autoSpaceDN w:val="0"/>
        <w:adjustRightInd w:val="0"/>
        <w:snapToGrid w:val="0"/>
        <w:spacing w:line="360" w:lineRule="auto"/>
        <w:ind w:firstLine="1680"/>
        <w:jc w:val="left"/>
        <w:rPr>
          <w:rFonts w:hint="eastAsia" w:ascii="宋体" w:hAnsi="宋体" w:cs="宋体"/>
          <w:kern w:val="0"/>
          <w:highlight w:val="none"/>
        </w:rPr>
      </w:pPr>
      <w:r>
        <w:rPr>
          <w:rFonts w:hint="eastAsia" w:ascii="宋体" w:hAnsi="宋体" w:cs="宋体"/>
          <w:kern w:val="0"/>
          <w:highlight w:val="none"/>
        </w:rPr>
        <w:t>法定代表人：</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u w:val="single"/>
        </w:rPr>
        <w:tab/>
      </w:r>
      <w:r>
        <w:rPr>
          <w:rFonts w:hint="eastAsia" w:ascii="宋体" w:hAnsi="宋体" w:cs="宋体"/>
          <w:kern w:val="0"/>
          <w:highlight w:val="none"/>
        </w:rPr>
        <w:t>（签字）</w:t>
      </w:r>
    </w:p>
    <w:p w14:paraId="5D28D2B8">
      <w:pPr>
        <w:tabs>
          <w:tab w:val="left" w:pos="5260"/>
        </w:tabs>
        <w:autoSpaceDE w:val="0"/>
        <w:autoSpaceDN w:val="0"/>
        <w:adjustRightInd w:val="0"/>
        <w:snapToGrid w:val="0"/>
        <w:spacing w:line="360" w:lineRule="auto"/>
        <w:ind w:firstLine="1680"/>
        <w:jc w:val="left"/>
        <w:rPr>
          <w:rFonts w:hint="eastAsia" w:ascii="宋体" w:hAnsi="宋体" w:cs="宋体"/>
          <w:kern w:val="0"/>
          <w:highlight w:val="none"/>
        </w:rPr>
      </w:pPr>
      <w:r>
        <w:rPr>
          <w:rFonts w:hint="eastAsia" w:ascii="宋体" w:hAnsi="宋体" w:cs="宋体"/>
          <w:kern w:val="0"/>
          <w:highlight w:val="none"/>
        </w:rPr>
        <w:t>身份证号码：</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0228CC0B">
      <w:pPr>
        <w:tabs>
          <w:tab w:val="left" w:pos="6720"/>
        </w:tabs>
        <w:autoSpaceDE w:val="0"/>
        <w:autoSpaceDN w:val="0"/>
        <w:adjustRightInd w:val="0"/>
        <w:snapToGrid w:val="0"/>
        <w:spacing w:line="360" w:lineRule="auto"/>
        <w:ind w:firstLine="1680"/>
        <w:jc w:val="left"/>
        <w:rPr>
          <w:rFonts w:hint="eastAsia" w:ascii="宋体" w:hAnsi="宋体" w:cs="宋体"/>
          <w:kern w:val="0"/>
          <w:highlight w:val="none"/>
        </w:rPr>
      </w:pPr>
      <w:r>
        <w:rPr>
          <w:rFonts w:hint="eastAsia" w:ascii="宋体" w:hAnsi="宋体" w:cs="宋体"/>
          <w:kern w:val="0"/>
          <w:highlight w:val="none"/>
        </w:rPr>
        <w:t>委托代理人：</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（签</w:t>
      </w:r>
      <w:r>
        <w:rPr>
          <w:rFonts w:hint="eastAsia" w:ascii="宋体" w:hAnsi="宋体" w:cs="宋体"/>
          <w:spacing w:val="-1"/>
          <w:kern w:val="0"/>
          <w:highlight w:val="none"/>
        </w:rPr>
        <w:t>字</w:t>
      </w:r>
      <w:r>
        <w:rPr>
          <w:rFonts w:hint="eastAsia" w:ascii="宋体" w:hAnsi="宋体" w:cs="宋体"/>
          <w:kern w:val="0"/>
          <w:highlight w:val="none"/>
        </w:rPr>
        <w:t>）</w:t>
      </w:r>
    </w:p>
    <w:p w14:paraId="72286463">
      <w:pPr>
        <w:tabs>
          <w:tab w:val="left" w:pos="6825"/>
        </w:tabs>
        <w:autoSpaceDE w:val="0"/>
        <w:autoSpaceDN w:val="0"/>
        <w:adjustRightInd w:val="0"/>
        <w:snapToGrid w:val="0"/>
        <w:spacing w:line="360" w:lineRule="auto"/>
        <w:ind w:firstLine="1680"/>
        <w:jc w:val="left"/>
        <w:rPr>
          <w:rFonts w:hint="eastAsia" w:ascii="宋体" w:hAnsi="宋体" w:cs="宋体"/>
          <w:kern w:val="0"/>
          <w:highlight w:val="none"/>
        </w:rPr>
      </w:pPr>
      <w:r>
        <w:rPr>
          <w:rFonts w:hint="eastAsia" w:ascii="宋体" w:hAnsi="宋体" w:cs="宋体"/>
          <w:kern w:val="0"/>
          <w:highlight w:val="none"/>
        </w:rPr>
        <w:t>身份证号码：</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12A0121F">
      <w:pPr>
        <w:autoSpaceDE w:val="0"/>
        <w:autoSpaceDN w:val="0"/>
        <w:adjustRightInd w:val="0"/>
        <w:snapToGrid w:val="0"/>
        <w:spacing w:line="360" w:lineRule="auto"/>
        <w:jc w:val="left"/>
        <w:rPr>
          <w:rFonts w:hint="eastAsia" w:ascii="宋体" w:hAnsi="宋体" w:cs="宋体"/>
          <w:kern w:val="0"/>
          <w:sz w:val="20"/>
          <w:szCs w:val="20"/>
          <w:highlight w:val="none"/>
        </w:rPr>
      </w:pPr>
    </w:p>
    <w:p w14:paraId="21E3E5E3">
      <w:pPr>
        <w:autoSpaceDE w:val="0"/>
        <w:autoSpaceDN w:val="0"/>
        <w:adjustRightInd w:val="0"/>
        <w:snapToGrid w:val="0"/>
        <w:spacing w:line="360" w:lineRule="auto"/>
        <w:jc w:val="left"/>
        <w:rPr>
          <w:rFonts w:hint="eastAsia" w:ascii="宋体" w:hAnsi="宋体" w:cs="宋体"/>
          <w:kern w:val="0"/>
          <w:sz w:val="20"/>
          <w:szCs w:val="20"/>
          <w:highlight w:val="none"/>
        </w:rPr>
      </w:pPr>
      <w:r>
        <w:rPr>
          <w:rFonts w:hint="eastAsia" w:ascii="宋体" w:hAnsi="宋体" w:cs="宋体"/>
          <w:kern w:val="0"/>
          <w:highlight w:val="none"/>
          <w:u w:val="single"/>
        </w:rPr>
        <mc:AlternateContent>
          <mc:Choice Requires="wps">
            <w:drawing>
              <wp:anchor distT="0" distB="0" distL="0" distR="0" simplePos="0" relativeHeight="251659264" behindDoc="0" locked="0" layoutInCell="1" allowOverlap="1">
                <wp:simplePos x="0" y="0"/>
                <wp:positionH relativeFrom="column">
                  <wp:posOffset>2565400</wp:posOffset>
                </wp:positionH>
                <wp:positionV relativeFrom="paragraph">
                  <wp:posOffset>133985</wp:posOffset>
                </wp:positionV>
                <wp:extent cx="1976755" cy="1188720"/>
                <wp:effectExtent l="4445" t="5080" r="15240" b="10160"/>
                <wp:wrapNone/>
                <wp:docPr id="1027" name="文本框 21"/>
                <wp:cNvGraphicFramePr/>
                <a:graphic xmlns:a="http://schemas.openxmlformats.org/drawingml/2006/main">
                  <a:graphicData uri="http://schemas.microsoft.com/office/word/2010/wordprocessingShape">
                    <wps:wsp>
                      <wps:cNvSpPr/>
                      <wps:spPr>
                        <a:xfrm>
                          <a:off x="0" y="0"/>
                          <a:ext cx="1976755" cy="1188720"/>
                        </a:xfrm>
                        <a:prstGeom prst="rect">
                          <a:avLst/>
                        </a:prstGeom>
                        <a:solidFill>
                          <a:srgbClr val="FFFFFF"/>
                        </a:solidFill>
                        <a:ln w="6350" cap="flat" cmpd="sng">
                          <a:solidFill>
                            <a:srgbClr val="000000"/>
                          </a:solidFill>
                          <a:prstDash val="dash"/>
                          <a:miter/>
                          <a:headEnd type="none" w="med" len="med"/>
                          <a:tailEnd type="none" w="med" len="med"/>
                        </a:ln>
                      </wps:spPr>
                      <wps:txbx>
                        <w:txbxContent>
                          <w:p w14:paraId="467A5F51">
                            <w:r>
                              <w:rPr>
                                <w:rFonts w:hint="eastAsia"/>
                              </w:rPr>
                              <w:t xml:space="preserve"> </w:t>
                            </w:r>
                          </w:p>
                          <w:p w14:paraId="5FA78821">
                            <w:pPr>
                              <w:jc w:val="center"/>
                            </w:pPr>
                            <w:r>
                              <w:rPr>
                                <w:rFonts w:hint="eastAsia"/>
                              </w:rPr>
                              <w:t>委托代理人身份证正面复印件</w:t>
                            </w:r>
                          </w:p>
                          <w:p w14:paraId="391E54CC">
                            <w:pPr>
                              <w:jc w:val="center"/>
                            </w:pPr>
                          </w:p>
                          <w:p w14:paraId="5BA7E4C8"/>
                          <w:p w14:paraId="5300C238"/>
                          <w:p w14:paraId="5F27B7F5"/>
                        </w:txbxContent>
                      </wps:txbx>
                      <wps:bodyPr vert="horz" wrap="square" anchor="t" upright="1"/>
                    </wps:wsp>
                  </a:graphicData>
                </a:graphic>
              </wp:anchor>
            </w:drawing>
          </mc:Choice>
          <mc:Fallback>
            <w:pict>
              <v:rect id="文本框 21" o:spid="_x0000_s1026" o:spt="1" style="position:absolute;left:0pt;margin-left:202pt;margin-top:10.55pt;height:93.6pt;width:155.65pt;z-index:251659264;mso-width-relative:page;mso-height-relative:page;" fillcolor="#FFFFFF" filled="t" stroked="t" coordsize="21600,21600" o:gfxdata="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kq&#10;6afXAAAACgEAAA8AAAAAAAAAAQAgAAAAIgAAAGRycy9kb3ducmV2LnhtbFBLAQIUABQAAAAIAIdO&#10;4kARCOT4JAIAAFUEAAAOAAAAAAAAAAEAIAAAACYBAABkcnMvZTJvRG9jLnhtbFBLBQYAAAAABgAG&#10;AFkBAAC8BQAAAAA=&#10;">
                <v:fill on="t" focussize="0,0"/>
                <v:stroke weight="0.5pt" color="#000000" joinstyle="miter" dashstyle="dash"/>
                <v:imagedata o:title=""/>
                <o:lock v:ext="edit" aspectratio="f"/>
                <v:textbox>
                  <w:txbxContent>
                    <w:p w14:paraId="467A5F51">
                      <w:r>
                        <w:rPr>
                          <w:rFonts w:hint="eastAsia"/>
                        </w:rPr>
                        <w:t xml:space="preserve"> </w:t>
                      </w:r>
                    </w:p>
                    <w:p w14:paraId="5FA78821">
                      <w:pPr>
                        <w:jc w:val="center"/>
                      </w:pPr>
                      <w:r>
                        <w:rPr>
                          <w:rFonts w:hint="eastAsia"/>
                        </w:rPr>
                        <w:t>委托代理人身份证正面复印件</w:t>
                      </w:r>
                    </w:p>
                    <w:p w14:paraId="391E54CC">
                      <w:pPr>
                        <w:jc w:val="center"/>
                      </w:pPr>
                    </w:p>
                    <w:p w14:paraId="5BA7E4C8"/>
                    <w:p w14:paraId="5300C238"/>
                    <w:p w14:paraId="5F27B7F5"/>
                  </w:txbxContent>
                </v:textbox>
              </v:rect>
            </w:pict>
          </mc:Fallback>
        </mc:AlternateContent>
      </w:r>
      <w:r>
        <w:rPr>
          <w:rFonts w:hint="eastAsia" w:ascii="宋体" w:hAnsi="宋体" w:cs="宋体"/>
          <w:kern w:val="0"/>
          <w:sz w:val="20"/>
          <w:szCs w:val="20"/>
          <w:highlight w:val="none"/>
        </w:rPr>
        <mc:AlternateContent>
          <mc:Choice Requires="wps">
            <w:drawing>
              <wp:anchor distT="0" distB="0" distL="0" distR="0" simplePos="0" relativeHeight="251660288" behindDoc="0" locked="0" layoutInCell="1" allowOverlap="1">
                <wp:simplePos x="0" y="0"/>
                <wp:positionH relativeFrom="column">
                  <wp:posOffset>342900</wp:posOffset>
                </wp:positionH>
                <wp:positionV relativeFrom="paragraph">
                  <wp:posOffset>133985</wp:posOffset>
                </wp:positionV>
                <wp:extent cx="1943100" cy="1188720"/>
                <wp:effectExtent l="4445" t="5080" r="18415" b="10160"/>
                <wp:wrapNone/>
                <wp:docPr id="1028" name="文本框 18"/>
                <wp:cNvGraphicFramePr/>
                <a:graphic xmlns:a="http://schemas.openxmlformats.org/drawingml/2006/main">
                  <a:graphicData uri="http://schemas.microsoft.com/office/word/2010/wordprocessingShape">
                    <wps:wsp>
                      <wps:cNvSpPr/>
                      <wps:spPr>
                        <a:xfrm>
                          <a:off x="0" y="0"/>
                          <a:ext cx="1943100" cy="1188720"/>
                        </a:xfrm>
                        <a:prstGeom prst="rect">
                          <a:avLst/>
                        </a:prstGeom>
                        <a:solidFill>
                          <a:srgbClr val="FFFFFF"/>
                        </a:solidFill>
                        <a:ln w="6350" cap="flat" cmpd="sng">
                          <a:solidFill>
                            <a:srgbClr val="000000"/>
                          </a:solidFill>
                          <a:prstDash val="dash"/>
                          <a:miter/>
                          <a:headEnd type="none" w="med" len="med"/>
                          <a:tailEnd type="none" w="med" len="med"/>
                        </a:ln>
                      </wps:spPr>
                      <wps:txbx>
                        <w:txbxContent>
                          <w:p w14:paraId="6A3C9F1A"/>
                          <w:p w14:paraId="32B09BE9">
                            <w:pPr>
                              <w:jc w:val="center"/>
                            </w:pPr>
                            <w:r>
                              <w:rPr>
                                <w:rFonts w:hint="eastAsia"/>
                              </w:rPr>
                              <w:t>法定代表人身份证正面复印件</w:t>
                            </w:r>
                          </w:p>
                          <w:p w14:paraId="3C5A0FF6"/>
                          <w:p w14:paraId="662333CC"/>
                          <w:p w14:paraId="6F86F45F"/>
                          <w:p w14:paraId="2759C37E"/>
                        </w:txbxContent>
                      </wps:txbx>
                      <wps:bodyPr wrap="square" upright="1"/>
                    </wps:wsp>
                  </a:graphicData>
                </a:graphic>
              </wp:anchor>
            </w:drawing>
          </mc:Choice>
          <mc:Fallback>
            <w:pict>
              <v:rect id="文本框 18" o:spid="_x0000_s1026" o:spt="1" style="position:absolute;left:0pt;margin-left:27pt;margin-top:10.55pt;height:93.6pt;width:153pt;z-index:251660288;mso-width-relative:page;mso-height-relative:page;" fillcolor="#FFFFFF" filled="t" stroked="t" coordsize="21600,21600" o:gfxdata="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PpCL/WAAAACQEAAA8AAAAAAAAA&#10;AQAgAAAAIgAAAGRycy9kb3ducmV2LnhtbFBLAQIUABQAAAAIAIdO4kCsTAKWEwIAAD4EAAAOAAAA&#10;AAAAAAEAIAAAACUBAABkcnMvZTJvRG9jLnhtbFBLBQYAAAAABgAGAFkBAACqBQAAAAA=&#10;">
                <v:fill on="t" focussize="0,0"/>
                <v:stroke weight="0.5pt" color="#000000" joinstyle="miter" dashstyle="dash"/>
                <v:imagedata o:title=""/>
                <o:lock v:ext="edit" aspectratio="f"/>
                <v:textbox>
                  <w:txbxContent>
                    <w:p w14:paraId="6A3C9F1A"/>
                    <w:p w14:paraId="32B09BE9">
                      <w:pPr>
                        <w:jc w:val="center"/>
                      </w:pPr>
                      <w:r>
                        <w:rPr>
                          <w:rFonts w:hint="eastAsia"/>
                        </w:rPr>
                        <w:t>法定代表人身份证正面复印件</w:t>
                      </w:r>
                    </w:p>
                    <w:p w14:paraId="3C5A0FF6"/>
                    <w:p w14:paraId="662333CC"/>
                    <w:p w14:paraId="6F86F45F"/>
                    <w:p w14:paraId="2759C37E"/>
                  </w:txbxContent>
                </v:textbox>
              </v:rect>
            </w:pict>
          </mc:Fallback>
        </mc:AlternateContent>
      </w:r>
    </w:p>
    <w:p w14:paraId="3EF6F8E7">
      <w:pPr>
        <w:autoSpaceDE w:val="0"/>
        <w:autoSpaceDN w:val="0"/>
        <w:adjustRightInd w:val="0"/>
        <w:snapToGrid w:val="0"/>
        <w:spacing w:line="360" w:lineRule="auto"/>
        <w:jc w:val="left"/>
        <w:rPr>
          <w:rFonts w:hint="eastAsia" w:ascii="宋体" w:hAnsi="宋体" w:cs="宋体"/>
          <w:kern w:val="0"/>
          <w:sz w:val="20"/>
          <w:szCs w:val="20"/>
          <w:highlight w:val="none"/>
        </w:rPr>
      </w:pPr>
    </w:p>
    <w:p w14:paraId="23B77BAE">
      <w:pPr>
        <w:autoSpaceDE w:val="0"/>
        <w:autoSpaceDN w:val="0"/>
        <w:adjustRightInd w:val="0"/>
        <w:snapToGrid w:val="0"/>
        <w:spacing w:line="360" w:lineRule="auto"/>
        <w:jc w:val="left"/>
        <w:rPr>
          <w:rFonts w:hint="eastAsia" w:ascii="宋体" w:hAnsi="宋体" w:cs="宋体"/>
          <w:kern w:val="0"/>
          <w:sz w:val="28"/>
          <w:szCs w:val="28"/>
          <w:highlight w:val="none"/>
        </w:rPr>
      </w:pPr>
    </w:p>
    <w:p w14:paraId="511079CF">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p>
    <w:p w14:paraId="001DCB80">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p>
    <w:p w14:paraId="1214A40D">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r>
        <w:rPr>
          <w:rFonts w:hint="eastAsia" w:ascii="宋体" w:hAnsi="宋体" w:cs="宋体"/>
          <w:kern w:val="0"/>
          <w:sz w:val="20"/>
          <w:szCs w:val="20"/>
          <w:highlight w:val="none"/>
        </w:rPr>
        <mc:AlternateContent>
          <mc:Choice Requires="wps">
            <w:drawing>
              <wp:anchor distT="0" distB="0" distL="0" distR="0" simplePos="0" relativeHeight="251660288" behindDoc="0" locked="0" layoutInCell="1" allowOverlap="1">
                <wp:simplePos x="0" y="0"/>
                <wp:positionH relativeFrom="column">
                  <wp:posOffset>389890</wp:posOffset>
                </wp:positionH>
                <wp:positionV relativeFrom="paragraph">
                  <wp:posOffset>250825</wp:posOffset>
                </wp:positionV>
                <wp:extent cx="1943100" cy="1188720"/>
                <wp:effectExtent l="4445" t="5080" r="18415" b="10160"/>
                <wp:wrapNone/>
                <wp:docPr id="1029" name="文本框 18"/>
                <wp:cNvGraphicFramePr/>
                <a:graphic xmlns:a="http://schemas.openxmlformats.org/drawingml/2006/main">
                  <a:graphicData uri="http://schemas.microsoft.com/office/word/2010/wordprocessingShape">
                    <wps:wsp>
                      <wps:cNvSpPr/>
                      <wps:spPr>
                        <a:xfrm>
                          <a:off x="0" y="0"/>
                          <a:ext cx="1943100" cy="1188720"/>
                        </a:xfrm>
                        <a:prstGeom prst="rect">
                          <a:avLst/>
                        </a:prstGeom>
                        <a:solidFill>
                          <a:srgbClr val="FFFFFF"/>
                        </a:solidFill>
                        <a:ln w="6350" cap="flat" cmpd="sng">
                          <a:solidFill>
                            <a:srgbClr val="000000"/>
                          </a:solidFill>
                          <a:prstDash val="dash"/>
                          <a:miter/>
                          <a:headEnd type="none" w="med" len="med"/>
                          <a:tailEnd type="none" w="med" len="med"/>
                        </a:ln>
                      </wps:spPr>
                      <wps:txbx>
                        <w:txbxContent>
                          <w:p w14:paraId="5293A612"/>
                          <w:p w14:paraId="0556D1FD">
                            <w:pPr>
                              <w:jc w:val="center"/>
                            </w:pPr>
                            <w:r>
                              <w:rPr>
                                <w:rFonts w:hint="eastAsia"/>
                              </w:rPr>
                              <w:t>法定代表人身份证背面复印件</w:t>
                            </w:r>
                          </w:p>
                          <w:p w14:paraId="6EC29B64"/>
                          <w:p w14:paraId="3AD04C48"/>
                          <w:p w14:paraId="640B30DC"/>
                          <w:p w14:paraId="1C5E456F"/>
                        </w:txbxContent>
                      </wps:txbx>
                      <wps:bodyPr wrap="square" upright="1"/>
                    </wps:wsp>
                  </a:graphicData>
                </a:graphic>
              </wp:anchor>
            </w:drawing>
          </mc:Choice>
          <mc:Fallback>
            <w:pict>
              <v:rect id="文本框 18" o:spid="_x0000_s1026" o:spt="1" style="position:absolute;left:0pt;margin-left:30.7pt;margin-top:19.75pt;height:93.6pt;width:153pt;z-index:251660288;mso-width-relative:page;mso-height-relative:page;" fillcolor="#FFFFFF" filled="t" stroked="t" coordsize="21600,21600" o:gfxdata="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LGIy9cAAAAJAQAADwAAAAAA&#10;AAABACAAAAAiAAAAZHJzL2Rvd25yZXYueG1sUEsBAhQAFAAAAAgAh07iQGBLIuEUAgAAPgQAAA4A&#10;AAAAAAAAAQAgAAAAJgEAAGRycy9lMm9Eb2MueG1sUEsFBgAAAAAGAAYAWQEAAKwFAAAAAA==&#10;">
                <v:fill on="t" focussize="0,0"/>
                <v:stroke weight="0.5pt" color="#000000" joinstyle="miter" dashstyle="dash"/>
                <v:imagedata o:title=""/>
                <o:lock v:ext="edit" aspectratio="f"/>
                <v:textbox>
                  <w:txbxContent>
                    <w:p w14:paraId="5293A612"/>
                    <w:p w14:paraId="0556D1FD">
                      <w:pPr>
                        <w:jc w:val="center"/>
                      </w:pPr>
                      <w:r>
                        <w:rPr>
                          <w:rFonts w:hint="eastAsia"/>
                        </w:rPr>
                        <w:t>法定代表人身份证背面复印件</w:t>
                      </w:r>
                    </w:p>
                    <w:p w14:paraId="6EC29B64"/>
                    <w:p w14:paraId="3AD04C48"/>
                    <w:p w14:paraId="640B30DC"/>
                    <w:p w14:paraId="1C5E456F"/>
                  </w:txbxContent>
                </v:textbox>
              </v:rect>
            </w:pict>
          </mc:Fallback>
        </mc:AlternateContent>
      </w:r>
    </w:p>
    <w:p w14:paraId="3CE64331">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r>
        <w:rPr>
          <w:rFonts w:hint="eastAsia" w:ascii="宋体" w:hAnsi="宋体" w:cs="宋体"/>
          <w:kern w:val="0"/>
          <w:sz w:val="20"/>
          <w:szCs w:val="20"/>
          <w:highlight w:val="none"/>
        </w:rPr>
        <mc:AlternateContent>
          <mc:Choice Requires="wps">
            <w:drawing>
              <wp:anchor distT="0" distB="0" distL="0" distR="0" simplePos="0" relativeHeight="251661312" behindDoc="0" locked="0" layoutInCell="1" allowOverlap="1">
                <wp:simplePos x="0" y="0"/>
                <wp:positionH relativeFrom="column">
                  <wp:posOffset>2527300</wp:posOffset>
                </wp:positionH>
                <wp:positionV relativeFrom="paragraph">
                  <wp:posOffset>1270</wp:posOffset>
                </wp:positionV>
                <wp:extent cx="1995805" cy="1188720"/>
                <wp:effectExtent l="5080" t="5080" r="10795" b="10160"/>
                <wp:wrapNone/>
                <wp:docPr id="1030" name="文本框 18"/>
                <wp:cNvGraphicFramePr/>
                <a:graphic xmlns:a="http://schemas.openxmlformats.org/drawingml/2006/main">
                  <a:graphicData uri="http://schemas.microsoft.com/office/word/2010/wordprocessingShape">
                    <wps:wsp>
                      <wps:cNvSpPr/>
                      <wps:spPr>
                        <a:xfrm>
                          <a:off x="0" y="0"/>
                          <a:ext cx="1995805" cy="1188720"/>
                        </a:xfrm>
                        <a:prstGeom prst="rect">
                          <a:avLst/>
                        </a:prstGeom>
                        <a:solidFill>
                          <a:srgbClr val="FFFFFF"/>
                        </a:solidFill>
                        <a:ln w="6350" cap="flat" cmpd="sng">
                          <a:solidFill>
                            <a:srgbClr val="000000"/>
                          </a:solidFill>
                          <a:prstDash val="dash"/>
                          <a:miter/>
                          <a:headEnd type="none" w="med" len="med"/>
                          <a:tailEnd type="none" w="med" len="med"/>
                        </a:ln>
                      </wps:spPr>
                      <wps:txbx>
                        <w:txbxContent>
                          <w:p w14:paraId="2D5A6AA0"/>
                          <w:p w14:paraId="00B93659">
                            <w:pPr>
                              <w:jc w:val="center"/>
                            </w:pPr>
                            <w:r>
                              <w:rPr>
                                <w:rFonts w:hint="eastAsia"/>
                              </w:rPr>
                              <w:t>委托代理人身份证背面复印件</w:t>
                            </w:r>
                          </w:p>
                          <w:p w14:paraId="5C66ACFA"/>
                          <w:p w14:paraId="6A06D8F2"/>
                          <w:p w14:paraId="23BDB753"/>
                          <w:p w14:paraId="402EA4D9"/>
                        </w:txbxContent>
                      </wps:txbx>
                      <wps:bodyPr vert="horz" wrap="square" anchor="t" upright="1"/>
                    </wps:wsp>
                  </a:graphicData>
                </a:graphic>
              </wp:anchor>
            </w:drawing>
          </mc:Choice>
          <mc:Fallback>
            <w:pict>
              <v:rect id="文本框 18" o:spid="_x0000_s1026" o:spt="1" style="position:absolute;left:0pt;margin-left:199pt;margin-top:0.1pt;height:93.6pt;width:157.15pt;z-index:251661312;mso-width-relative:page;mso-height-relative:page;" fillcolor="#FFFFFF" filled="t" stroked="t" coordsize="21600,21600" o:gfxdata="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wN&#10;X0fWAAAACAEAAA8AAAAAAAAAAQAgAAAAIgAAAGRycy9kb3ducmV2LnhtbFBLAQIUABQAAAAIAIdO&#10;4kDWTv0sJQIAAFUEAAAOAAAAAAAAAAEAIAAAACUBAABkcnMvZTJvRG9jLnhtbFBLBQYAAAAABgAG&#10;AFkBAAC8BQAAAAA=&#10;">
                <v:fill on="t" focussize="0,0"/>
                <v:stroke weight="0.5pt" color="#000000" joinstyle="miter" dashstyle="dash"/>
                <v:imagedata o:title=""/>
                <o:lock v:ext="edit" aspectratio="f"/>
                <v:textbox>
                  <w:txbxContent>
                    <w:p w14:paraId="2D5A6AA0"/>
                    <w:p w14:paraId="00B93659">
                      <w:pPr>
                        <w:jc w:val="center"/>
                      </w:pPr>
                      <w:r>
                        <w:rPr>
                          <w:rFonts w:hint="eastAsia"/>
                        </w:rPr>
                        <w:t>委托代理人身份证背面复印件</w:t>
                      </w:r>
                    </w:p>
                    <w:p w14:paraId="5C66ACFA"/>
                    <w:p w14:paraId="6A06D8F2"/>
                    <w:p w14:paraId="23BDB753"/>
                    <w:p w14:paraId="402EA4D9"/>
                  </w:txbxContent>
                </v:textbox>
              </v:rect>
            </w:pict>
          </mc:Fallback>
        </mc:AlternateContent>
      </w:r>
    </w:p>
    <w:p w14:paraId="68AC870C">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p>
    <w:p w14:paraId="3DC5B804">
      <w:pPr>
        <w:pStyle w:val="16"/>
        <w:rPr>
          <w:rFonts w:hint="eastAsia" w:ascii="宋体" w:hAnsi="宋体" w:cs="宋体"/>
          <w:w w:val="200"/>
          <w:highlight w:val="none"/>
          <w:u w:val="single"/>
        </w:rPr>
      </w:pPr>
    </w:p>
    <w:p w14:paraId="6531576E">
      <w:pPr>
        <w:pStyle w:val="94"/>
        <w:rPr>
          <w:rFonts w:hint="eastAsia" w:ascii="宋体" w:hAnsi="宋体" w:cs="宋体"/>
          <w:w w:val="200"/>
          <w:highlight w:val="none"/>
          <w:u w:val="single"/>
        </w:rPr>
      </w:pPr>
    </w:p>
    <w:p w14:paraId="30F3F8F8">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kern w:val="0"/>
          <w:highlight w:val="none"/>
        </w:rPr>
      </w:pP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年</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月</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日</w:t>
      </w:r>
    </w:p>
    <w:p w14:paraId="1AA30C0D">
      <w:pPr>
        <w:autoSpaceDE w:val="0"/>
        <w:autoSpaceDN w:val="0"/>
        <w:adjustRightInd w:val="0"/>
        <w:snapToGrid w:val="0"/>
        <w:spacing w:line="360" w:lineRule="auto"/>
        <w:jc w:val="left"/>
        <w:rPr>
          <w:rFonts w:hint="eastAsia" w:ascii="宋体" w:hAnsi="宋体" w:cs="宋体"/>
          <w:kern w:val="0"/>
          <w:highlight w:val="none"/>
        </w:rPr>
      </w:pPr>
    </w:p>
    <w:p w14:paraId="7C120CE9">
      <w:pPr>
        <w:autoSpaceDE w:val="0"/>
        <w:autoSpaceDN w:val="0"/>
        <w:adjustRightInd w:val="0"/>
        <w:snapToGrid w:val="0"/>
        <w:spacing w:line="360" w:lineRule="auto"/>
        <w:jc w:val="left"/>
        <w:rPr>
          <w:rFonts w:hint="eastAsia" w:ascii="宋体" w:hAnsi="宋体" w:cs="宋体"/>
          <w:b/>
          <w:bCs/>
          <w:kern w:val="0"/>
          <w:highlight w:val="none"/>
        </w:rPr>
      </w:pPr>
      <w:r>
        <w:rPr>
          <w:rFonts w:hint="eastAsia" w:ascii="宋体" w:hAnsi="宋体" w:cs="宋体"/>
          <w:kern w:val="0"/>
          <w:highlight w:val="none"/>
        </w:rPr>
        <w:t>注：</w:t>
      </w:r>
      <w:r>
        <w:rPr>
          <w:rFonts w:hint="eastAsia" w:ascii="宋体" w:hAnsi="宋体" w:cs="宋体"/>
          <w:b/>
          <w:bCs/>
          <w:kern w:val="0"/>
          <w:highlight w:val="none"/>
        </w:rPr>
        <w:t>1、法定代表人参加</w:t>
      </w:r>
      <w:r>
        <w:rPr>
          <w:rFonts w:hint="eastAsia" w:ascii="宋体" w:hAnsi="宋体" w:cs="宋体"/>
          <w:b/>
          <w:bCs/>
          <w:kern w:val="0"/>
          <w:highlight w:val="none"/>
          <w:lang w:eastAsia="zh-CN"/>
        </w:rPr>
        <w:t>比选活动</w:t>
      </w:r>
      <w:r>
        <w:rPr>
          <w:rFonts w:hint="eastAsia" w:ascii="宋体" w:hAnsi="宋体" w:cs="宋体"/>
          <w:b/>
          <w:bCs/>
          <w:kern w:val="0"/>
          <w:highlight w:val="none"/>
        </w:rPr>
        <w:t>并签署文件的不需要授权委托书，只需提供法定代表人身份复印件；非法定代表人参加</w:t>
      </w:r>
      <w:r>
        <w:rPr>
          <w:rFonts w:hint="eastAsia" w:ascii="宋体" w:hAnsi="宋体" w:cs="宋体"/>
          <w:b/>
          <w:bCs/>
          <w:kern w:val="0"/>
          <w:highlight w:val="none"/>
          <w:lang w:eastAsia="zh-CN"/>
        </w:rPr>
        <w:t>比选活动</w:t>
      </w:r>
      <w:r>
        <w:rPr>
          <w:rFonts w:hint="eastAsia" w:ascii="宋体" w:hAnsi="宋体" w:cs="宋体"/>
          <w:b/>
          <w:bCs/>
          <w:kern w:val="0"/>
          <w:highlight w:val="none"/>
        </w:rPr>
        <w:t>及签署文件的除提供法定代表人身份证明外还须提供授权委托书。</w:t>
      </w:r>
    </w:p>
    <w:p w14:paraId="5B863DB4">
      <w:pPr>
        <w:tabs>
          <w:tab w:val="left" w:pos="5760"/>
        </w:tabs>
        <w:autoSpaceDE w:val="0"/>
        <w:autoSpaceDN w:val="0"/>
        <w:adjustRightInd w:val="0"/>
        <w:spacing w:line="300" w:lineRule="exact"/>
        <w:ind w:left="822" w:leftChars="253" w:right="11" w:hanging="291" w:hangingChars="138"/>
        <w:rPr>
          <w:rFonts w:hint="eastAsia" w:ascii="宋体" w:hAnsi="宋体" w:cs="宋体"/>
          <w:b/>
          <w:bCs/>
          <w:kern w:val="0"/>
          <w:highlight w:val="none"/>
        </w:rPr>
      </w:pPr>
      <w:r>
        <w:rPr>
          <w:rFonts w:hint="eastAsia" w:ascii="宋体" w:hAnsi="宋体" w:cs="宋体"/>
          <w:b/>
          <w:bCs/>
          <w:kern w:val="0"/>
          <w:highlight w:val="none"/>
        </w:rPr>
        <w:t>2、法定代表人身份证复印件及授权委托书原件装入比选申请文件一并递交。另外须准备一份在比选开标现场出具。</w:t>
      </w:r>
    </w:p>
    <w:p w14:paraId="47FA145B">
      <w:pPr>
        <w:pStyle w:val="4"/>
        <w:jc w:val="center"/>
        <w:rPr>
          <w:rFonts w:hint="eastAsia" w:ascii="宋体" w:hAnsi="宋体" w:eastAsia="宋体" w:cs="宋体"/>
          <w:sz w:val="28"/>
          <w:highlight w:val="none"/>
        </w:rPr>
      </w:pPr>
      <w:r>
        <w:rPr>
          <w:rFonts w:hint="eastAsia" w:ascii="宋体" w:hAnsi="宋体" w:eastAsia="宋体" w:cs="宋体"/>
          <w:szCs w:val="21"/>
          <w:highlight w:val="none"/>
        </w:rPr>
        <w:br w:type="page"/>
      </w:r>
      <w:bookmarkStart w:id="1013" w:name="_Toc20229"/>
      <w:bookmarkStart w:id="1014" w:name="_Toc17888"/>
      <w:bookmarkStart w:id="1015" w:name="_Toc464654572"/>
      <w:bookmarkStart w:id="1016" w:name="_Toc433285262"/>
      <w:bookmarkStart w:id="1017" w:name="_Toc22990078"/>
      <w:bookmarkStart w:id="1018" w:name="_Toc20876"/>
      <w:r>
        <w:rPr>
          <w:rFonts w:hint="eastAsia" w:ascii="宋体" w:hAnsi="宋体" w:eastAsia="宋体" w:cs="宋体"/>
          <w:sz w:val="28"/>
          <w:highlight w:val="none"/>
        </w:rPr>
        <w:t>（三）比选申请人基本情况表</w:t>
      </w:r>
      <w:bookmarkEnd w:id="1013"/>
      <w:bookmarkEnd w:id="1014"/>
      <w:bookmarkEnd w:id="1015"/>
      <w:bookmarkEnd w:id="1016"/>
      <w:bookmarkEnd w:id="1017"/>
      <w:bookmarkEnd w:id="1018"/>
    </w:p>
    <w:tbl>
      <w:tblPr>
        <w:tblStyle w:val="44"/>
        <w:tblpPr w:leftFromText="180" w:rightFromText="180" w:vertAnchor="page" w:horzAnchor="page" w:tblpX="1322" w:tblpY="2306"/>
        <w:tblW w:w="0" w:type="auto"/>
        <w:tblInd w:w="0" w:type="dxa"/>
        <w:tblLayout w:type="fixed"/>
        <w:tblCellMar>
          <w:top w:w="0" w:type="dxa"/>
          <w:left w:w="0" w:type="dxa"/>
          <w:bottom w:w="0" w:type="dxa"/>
          <w:right w:w="0" w:type="dxa"/>
        </w:tblCellMar>
      </w:tblPr>
      <w:tblGrid>
        <w:gridCol w:w="1728"/>
        <w:gridCol w:w="898"/>
        <w:gridCol w:w="951"/>
        <w:gridCol w:w="1260"/>
        <w:gridCol w:w="96"/>
        <w:gridCol w:w="1293"/>
        <w:gridCol w:w="491"/>
        <w:gridCol w:w="859"/>
        <w:gridCol w:w="1774"/>
      </w:tblGrid>
      <w:tr w14:paraId="59BB220B">
        <w:tblPrEx>
          <w:tblCellMar>
            <w:top w:w="0" w:type="dxa"/>
            <w:left w:w="0" w:type="dxa"/>
            <w:bottom w:w="0" w:type="dxa"/>
            <w:right w:w="0" w:type="dxa"/>
          </w:tblCellMar>
        </w:tblPrEx>
        <w:trPr>
          <w:trHeight w:val="789"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5FEBCB76">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比选申请人名称</w:t>
            </w:r>
          </w:p>
        </w:tc>
        <w:tc>
          <w:tcPr>
            <w:tcW w:w="7622" w:type="dxa"/>
            <w:gridSpan w:val="8"/>
            <w:tcBorders>
              <w:top w:val="single" w:color="000000" w:sz="4" w:space="0"/>
              <w:left w:val="single" w:color="000000" w:sz="4" w:space="0"/>
              <w:bottom w:val="single" w:color="000000" w:sz="4" w:space="0"/>
              <w:right w:val="single" w:color="000000" w:sz="4" w:space="0"/>
            </w:tcBorders>
            <w:vAlign w:val="center"/>
          </w:tcPr>
          <w:p w14:paraId="73E956FD">
            <w:pPr>
              <w:autoSpaceDE w:val="0"/>
              <w:autoSpaceDN w:val="0"/>
              <w:adjustRightInd w:val="0"/>
              <w:spacing w:line="360" w:lineRule="auto"/>
              <w:jc w:val="center"/>
              <w:rPr>
                <w:rFonts w:hint="eastAsia" w:ascii="宋体" w:hAnsi="宋体" w:cs="宋体"/>
                <w:highlight w:val="none"/>
              </w:rPr>
            </w:pPr>
          </w:p>
        </w:tc>
      </w:tr>
      <w:tr w14:paraId="033EBAF4">
        <w:tblPrEx>
          <w:tblCellMar>
            <w:top w:w="0" w:type="dxa"/>
            <w:left w:w="0" w:type="dxa"/>
            <w:bottom w:w="0" w:type="dxa"/>
            <w:right w:w="0" w:type="dxa"/>
          </w:tblCellMar>
        </w:tblPrEx>
        <w:trPr>
          <w:trHeight w:val="771"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7B15DCD4">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注册地址</w:t>
            </w:r>
          </w:p>
        </w:tc>
        <w:tc>
          <w:tcPr>
            <w:tcW w:w="3205" w:type="dxa"/>
            <w:gridSpan w:val="4"/>
            <w:tcBorders>
              <w:top w:val="single" w:color="000000" w:sz="4" w:space="0"/>
              <w:left w:val="single" w:color="000000" w:sz="4" w:space="0"/>
              <w:bottom w:val="single" w:color="000000" w:sz="4" w:space="0"/>
              <w:right w:val="single" w:color="000000" w:sz="4" w:space="0"/>
            </w:tcBorders>
            <w:vAlign w:val="center"/>
          </w:tcPr>
          <w:p w14:paraId="10C5B33F">
            <w:pPr>
              <w:autoSpaceDE w:val="0"/>
              <w:autoSpaceDN w:val="0"/>
              <w:adjustRightInd w:val="0"/>
              <w:spacing w:line="360" w:lineRule="auto"/>
              <w:jc w:val="center"/>
              <w:rPr>
                <w:rFonts w:hint="eastAsia" w:ascii="宋体" w:hAnsi="宋体" w:cs="宋体"/>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0B7A1FAD">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邮政编码</w:t>
            </w:r>
          </w:p>
        </w:tc>
        <w:tc>
          <w:tcPr>
            <w:tcW w:w="3124" w:type="dxa"/>
            <w:gridSpan w:val="3"/>
            <w:tcBorders>
              <w:top w:val="single" w:color="000000" w:sz="4" w:space="0"/>
              <w:left w:val="single" w:color="000000" w:sz="4" w:space="0"/>
              <w:bottom w:val="single" w:color="000000" w:sz="4" w:space="0"/>
              <w:right w:val="single" w:color="000000" w:sz="4" w:space="0"/>
            </w:tcBorders>
            <w:vAlign w:val="center"/>
          </w:tcPr>
          <w:p w14:paraId="671DF4A1">
            <w:pPr>
              <w:autoSpaceDE w:val="0"/>
              <w:autoSpaceDN w:val="0"/>
              <w:adjustRightInd w:val="0"/>
              <w:spacing w:line="360" w:lineRule="auto"/>
              <w:jc w:val="center"/>
              <w:rPr>
                <w:rFonts w:hint="eastAsia" w:ascii="宋体" w:hAnsi="宋体" w:cs="宋体"/>
                <w:highlight w:val="none"/>
              </w:rPr>
            </w:pPr>
          </w:p>
        </w:tc>
      </w:tr>
      <w:tr w14:paraId="1AFA1198">
        <w:tblPrEx>
          <w:tblCellMar>
            <w:top w:w="0" w:type="dxa"/>
            <w:left w:w="0" w:type="dxa"/>
            <w:bottom w:w="0" w:type="dxa"/>
            <w:right w:w="0" w:type="dxa"/>
          </w:tblCellMar>
        </w:tblPrEx>
        <w:trPr>
          <w:cantSplit/>
          <w:trHeight w:val="811" w:hRule="exact"/>
        </w:trPr>
        <w:tc>
          <w:tcPr>
            <w:tcW w:w="1728" w:type="dxa"/>
            <w:vMerge w:val="restart"/>
            <w:tcBorders>
              <w:top w:val="single" w:color="000000" w:sz="4" w:space="0"/>
              <w:left w:val="single" w:color="000000" w:sz="4" w:space="0"/>
              <w:bottom w:val="single" w:color="000000" w:sz="4" w:space="0"/>
              <w:right w:val="single" w:color="000000" w:sz="4" w:space="0"/>
            </w:tcBorders>
            <w:vAlign w:val="center"/>
          </w:tcPr>
          <w:p w14:paraId="1896DCCA">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联系方式</w:t>
            </w:r>
          </w:p>
        </w:tc>
        <w:tc>
          <w:tcPr>
            <w:tcW w:w="898" w:type="dxa"/>
            <w:tcBorders>
              <w:top w:val="single" w:color="000000" w:sz="4" w:space="0"/>
              <w:left w:val="single" w:color="000000" w:sz="4" w:space="0"/>
              <w:bottom w:val="single" w:color="000000" w:sz="4" w:space="0"/>
              <w:right w:val="single" w:color="000000" w:sz="4" w:space="0"/>
            </w:tcBorders>
            <w:vAlign w:val="center"/>
          </w:tcPr>
          <w:p w14:paraId="6EA0E30F">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联系人</w:t>
            </w:r>
          </w:p>
        </w:tc>
        <w:tc>
          <w:tcPr>
            <w:tcW w:w="2307" w:type="dxa"/>
            <w:gridSpan w:val="3"/>
            <w:tcBorders>
              <w:top w:val="single" w:color="000000" w:sz="4" w:space="0"/>
              <w:left w:val="single" w:color="000000" w:sz="4" w:space="0"/>
              <w:bottom w:val="single" w:color="000000" w:sz="4" w:space="0"/>
              <w:right w:val="single" w:color="000000" w:sz="4" w:space="0"/>
            </w:tcBorders>
            <w:vAlign w:val="center"/>
          </w:tcPr>
          <w:p w14:paraId="2D33B7B4">
            <w:pPr>
              <w:autoSpaceDE w:val="0"/>
              <w:autoSpaceDN w:val="0"/>
              <w:adjustRightInd w:val="0"/>
              <w:spacing w:line="360" w:lineRule="auto"/>
              <w:jc w:val="center"/>
              <w:rPr>
                <w:rFonts w:hint="eastAsia" w:ascii="宋体" w:hAnsi="宋体" w:cs="宋体"/>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341B349B">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 xml:space="preserve">电 </w:t>
            </w:r>
            <w:r>
              <w:rPr>
                <w:rFonts w:hint="eastAsia" w:ascii="宋体" w:hAnsi="宋体" w:cs="宋体"/>
                <w:spacing w:val="1"/>
                <w:highlight w:val="none"/>
              </w:rPr>
              <w:t xml:space="preserve"> </w:t>
            </w:r>
            <w:r>
              <w:rPr>
                <w:rFonts w:hint="eastAsia" w:ascii="宋体" w:hAnsi="宋体" w:cs="宋体"/>
                <w:highlight w:val="none"/>
              </w:rPr>
              <w:t>话</w:t>
            </w:r>
          </w:p>
        </w:tc>
        <w:tc>
          <w:tcPr>
            <w:tcW w:w="3124" w:type="dxa"/>
            <w:gridSpan w:val="3"/>
            <w:tcBorders>
              <w:top w:val="single" w:color="000000" w:sz="4" w:space="0"/>
              <w:left w:val="single" w:color="000000" w:sz="4" w:space="0"/>
              <w:bottom w:val="single" w:color="000000" w:sz="4" w:space="0"/>
              <w:right w:val="single" w:color="000000" w:sz="4" w:space="0"/>
            </w:tcBorders>
            <w:vAlign w:val="center"/>
          </w:tcPr>
          <w:p w14:paraId="12BDEB57">
            <w:pPr>
              <w:autoSpaceDE w:val="0"/>
              <w:autoSpaceDN w:val="0"/>
              <w:adjustRightInd w:val="0"/>
              <w:spacing w:line="360" w:lineRule="auto"/>
              <w:jc w:val="center"/>
              <w:rPr>
                <w:rFonts w:hint="eastAsia" w:ascii="宋体" w:hAnsi="宋体" w:cs="宋体"/>
                <w:highlight w:val="none"/>
              </w:rPr>
            </w:pPr>
          </w:p>
        </w:tc>
      </w:tr>
      <w:tr w14:paraId="08A0C0AD">
        <w:tblPrEx>
          <w:tblCellMar>
            <w:top w:w="0" w:type="dxa"/>
            <w:left w:w="0" w:type="dxa"/>
            <w:bottom w:w="0" w:type="dxa"/>
            <w:right w:w="0" w:type="dxa"/>
          </w:tblCellMar>
        </w:tblPrEx>
        <w:trPr>
          <w:cantSplit/>
          <w:trHeight w:val="766" w:hRule="exact"/>
        </w:trPr>
        <w:tc>
          <w:tcPr>
            <w:tcW w:w="1728" w:type="dxa"/>
            <w:vMerge w:val="continue"/>
            <w:tcBorders>
              <w:top w:val="single" w:color="000000" w:sz="4" w:space="0"/>
              <w:left w:val="single" w:color="000000" w:sz="4" w:space="0"/>
              <w:bottom w:val="single" w:color="000000" w:sz="4" w:space="0"/>
              <w:right w:val="single" w:color="000000" w:sz="4" w:space="0"/>
            </w:tcBorders>
            <w:vAlign w:val="center"/>
          </w:tcPr>
          <w:p w14:paraId="0681B569">
            <w:pPr>
              <w:autoSpaceDE w:val="0"/>
              <w:autoSpaceDN w:val="0"/>
              <w:adjustRightInd w:val="0"/>
              <w:spacing w:line="360" w:lineRule="auto"/>
              <w:jc w:val="center"/>
              <w:rPr>
                <w:rFonts w:hint="eastAsia" w:ascii="宋体" w:hAnsi="宋体" w:cs="宋体"/>
                <w:highlight w:val="none"/>
              </w:rPr>
            </w:pPr>
          </w:p>
        </w:tc>
        <w:tc>
          <w:tcPr>
            <w:tcW w:w="898" w:type="dxa"/>
            <w:tcBorders>
              <w:top w:val="single" w:color="000000" w:sz="4" w:space="0"/>
              <w:left w:val="single" w:color="000000" w:sz="4" w:space="0"/>
              <w:bottom w:val="single" w:color="000000" w:sz="4" w:space="0"/>
              <w:right w:val="single" w:color="000000" w:sz="4" w:space="0"/>
            </w:tcBorders>
            <w:vAlign w:val="center"/>
          </w:tcPr>
          <w:p w14:paraId="391931AC">
            <w:pPr>
              <w:tabs>
                <w:tab w:val="left" w:pos="540"/>
              </w:tabs>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传</w:t>
            </w:r>
            <w:r>
              <w:rPr>
                <w:rFonts w:hint="eastAsia" w:ascii="宋体" w:hAnsi="宋体" w:cs="宋体"/>
                <w:highlight w:val="none"/>
              </w:rPr>
              <w:tab/>
            </w:r>
            <w:r>
              <w:rPr>
                <w:rFonts w:hint="eastAsia" w:ascii="宋体" w:hAnsi="宋体" w:cs="宋体"/>
                <w:highlight w:val="none"/>
              </w:rPr>
              <w:t>真</w:t>
            </w:r>
          </w:p>
        </w:tc>
        <w:tc>
          <w:tcPr>
            <w:tcW w:w="2307" w:type="dxa"/>
            <w:gridSpan w:val="3"/>
            <w:tcBorders>
              <w:top w:val="single" w:color="000000" w:sz="4" w:space="0"/>
              <w:left w:val="single" w:color="000000" w:sz="4" w:space="0"/>
              <w:bottom w:val="single" w:color="000000" w:sz="4" w:space="0"/>
              <w:right w:val="single" w:color="000000" w:sz="4" w:space="0"/>
            </w:tcBorders>
            <w:vAlign w:val="center"/>
          </w:tcPr>
          <w:p w14:paraId="169353A0">
            <w:pPr>
              <w:autoSpaceDE w:val="0"/>
              <w:autoSpaceDN w:val="0"/>
              <w:adjustRightInd w:val="0"/>
              <w:spacing w:line="360" w:lineRule="auto"/>
              <w:jc w:val="center"/>
              <w:rPr>
                <w:rFonts w:hint="eastAsia" w:ascii="宋体" w:hAnsi="宋体" w:cs="宋体"/>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2CFBE72F">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 xml:space="preserve">网 </w:t>
            </w:r>
            <w:r>
              <w:rPr>
                <w:rFonts w:hint="eastAsia" w:ascii="宋体" w:hAnsi="宋体" w:cs="宋体"/>
                <w:spacing w:val="1"/>
                <w:highlight w:val="none"/>
              </w:rPr>
              <w:t xml:space="preserve"> </w:t>
            </w:r>
            <w:r>
              <w:rPr>
                <w:rFonts w:hint="eastAsia" w:ascii="宋体" w:hAnsi="宋体" w:cs="宋体"/>
                <w:highlight w:val="none"/>
              </w:rPr>
              <w:t>址</w:t>
            </w:r>
          </w:p>
        </w:tc>
        <w:tc>
          <w:tcPr>
            <w:tcW w:w="3124" w:type="dxa"/>
            <w:gridSpan w:val="3"/>
            <w:tcBorders>
              <w:top w:val="single" w:color="000000" w:sz="4" w:space="0"/>
              <w:left w:val="single" w:color="000000" w:sz="4" w:space="0"/>
              <w:bottom w:val="single" w:color="000000" w:sz="4" w:space="0"/>
              <w:right w:val="single" w:color="000000" w:sz="4" w:space="0"/>
            </w:tcBorders>
            <w:vAlign w:val="center"/>
          </w:tcPr>
          <w:p w14:paraId="56E0C98B">
            <w:pPr>
              <w:autoSpaceDE w:val="0"/>
              <w:autoSpaceDN w:val="0"/>
              <w:adjustRightInd w:val="0"/>
              <w:spacing w:line="360" w:lineRule="auto"/>
              <w:jc w:val="center"/>
              <w:rPr>
                <w:rFonts w:hint="eastAsia" w:ascii="宋体" w:hAnsi="宋体" w:cs="宋体"/>
                <w:highlight w:val="none"/>
              </w:rPr>
            </w:pPr>
          </w:p>
        </w:tc>
      </w:tr>
      <w:tr w14:paraId="305DB060">
        <w:tblPrEx>
          <w:tblCellMar>
            <w:top w:w="0" w:type="dxa"/>
            <w:left w:w="0" w:type="dxa"/>
            <w:bottom w:w="0" w:type="dxa"/>
            <w:right w:w="0" w:type="dxa"/>
          </w:tblCellMar>
        </w:tblPrEx>
        <w:trPr>
          <w:trHeight w:val="709"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1A0C64E6">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企业性质</w:t>
            </w:r>
          </w:p>
        </w:tc>
        <w:tc>
          <w:tcPr>
            <w:tcW w:w="7622" w:type="dxa"/>
            <w:gridSpan w:val="8"/>
            <w:tcBorders>
              <w:top w:val="single" w:color="000000" w:sz="4" w:space="0"/>
              <w:left w:val="single" w:color="000000" w:sz="4" w:space="0"/>
              <w:bottom w:val="single" w:color="000000" w:sz="4" w:space="0"/>
              <w:right w:val="single" w:color="000000" w:sz="4" w:space="0"/>
            </w:tcBorders>
            <w:vAlign w:val="center"/>
          </w:tcPr>
          <w:p w14:paraId="688779EF">
            <w:pPr>
              <w:autoSpaceDE w:val="0"/>
              <w:autoSpaceDN w:val="0"/>
              <w:adjustRightInd w:val="0"/>
              <w:spacing w:line="360" w:lineRule="auto"/>
              <w:jc w:val="center"/>
              <w:rPr>
                <w:rFonts w:hint="eastAsia" w:ascii="宋体" w:hAnsi="宋体" w:cs="宋体"/>
                <w:highlight w:val="none"/>
              </w:rPr>
            </w:pPr>
          </w:p>
        </w:tc>
      </w:tr>
      <w:tr w14:paraId="2F4AA2A0">
        <w:tblPrEx>
          <w:tblCellMar>
            <w:top w:w="0" w:type="dxa"/>
            <w:left w:w="0" w:type="dxa"/>
            <w:bottom w:w="0" w:type="dxa"/>
            <w:right w:w="0" w:type="dxa"/>
          </w:tblCellMar>
        </w:tblPrEx>
        <w:trPr>
          <w:trHeight w:val="730"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15441198">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法定代表人</w:t>
            </w:r>
          </w:p>
        </w:tc>
        <w:tc>
          <w:tcPr>
            <w:tcW w:w="898" w:type="dxa"/>
            <w:tcBorders>
              <w:top w:val="single" w:color="000000" w:sz="4" w:space="0"/>
              <w:left w:val="single" w:color="000000" w:sz="4" w:space="0"/>
              <w:bottom w:val="single" w:color="000000" w:sz="4" w:space="0"/>
              <w:right w:val="single" w:color="000000" w:sz="4" w:space="0"/>
            </w:tcBorders>
            <w:vAlign w:val="center"/>
          </w:tcPr>
          <w:p w14:paraId="6F63A8F7">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姓名</w:t>
            </w:r>
          </w:p>
        </w:tc>
        <w:tc>
          <w:tcPr>
            <w:tcW w:w="951" w:type="dxa"/>
            <w:tcBorders>
              <w:top w:val="single" w:color="000000" w:sz="4" w:space="0"/>
              <w:left w:val="single" w:color="000000" w:sz="4" w:space="0"/>
              <w:bottom w:val="single" w:color="000000" w:sz="4" w:space="0"/>
              <w:right w:val="single" w:color="000000" w:sz="4" w:space="0"/>
            </w:tcBorders>
            <w:vAlign w:val="center"/>
          </w:tcPr>
          <w:p w14:paraId="5D560723">
            <w:pPr>
              <w:autoSpaceDE w:val="0"/>
              <w:autoSpaceDN w:val="0"/>
              <w:adjustRightInd w:val="0"/>
              <w:spacing w:line="360" w:lineRule="auto"/>
              <w:jc w:val="center"/>
              <w:rPr>
                <w:rFonts w:hint="eastAsia" w:ascii="宋体" w:hAnsi="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85CA9D9">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技术职称</w:t>
            </w:r>
          </w:p>
        </w:tc>
        <w:tc>
          <w:tcPr>
            <w:tcW w:w="1880" w:type="dxa"/>
            <w:gridSpan w:val="3"/>
            <w:tcBorders>
              <w:top w:val="single" w:color="000000" w:sz="4" w:space="0"/>
              <w:left w:val="single" w:color="000000" w:sz="4" w:space="0"/>
              <w:bottom w:val="single" w:color="000000" w:sz="4" w:space="0"/>
              <w:right w:val="single" w:color="000000" w:sz="4" w:space="0"/>
            </w:tcBorders>
            <w:vAlign w:val="center"/>
          </w:tcPr>
          <w:p w14:paraId="25ECC565">
            <w:pPr>
              <w:autoSpaceDE w:val="0"/>
              <w:autoSpaceDN w:val="0"/>
              <w:adjustRightInd w:val="0"/>
              <w:spacing w:line="360" w:lineRule="auto"/>
              <w:jc w:val="center"/>
              <w:rPr>
                <w:rFonts w:hint="eastAsia" w:ascii="宋体" w:hAnsi="宋体" w:cs="宋体"/>
                <w:highlight w:val="none"/>
              </w:rPr>
            </w:pPr>
          </w:p>
        </w:tc>
        <w:tc>
          <w:tcPr>
            <w:tcW w:w="859" w:type="dxa"/>
            <w:tcBorders>
              <w:top w:val="single" w:color="000000" w:sz="4" w:space="0"/>
              <w:left w:val="single" w:color="000000" w:sz="4" w:space="0"/>
              <w:bottom w:val="single" w:color="000000" w:sz="4" w:space="0"/>
              <w:right w:val="single" w:color="000000" w:sz="4" w:space="0"/>
            </w:tcBorders>
            <w:vAlign w:val="center"/>
          </w:tcPr>
          <w:p w14:paraId="075D8C2F">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电话</w:t>
            </w:r>
          </w:p>
        </w:tc>
        <w:tc>
          <w:tcPr>
            <w:tcW w:w="1774" w:type="dxa"/>
            <w:tcBorders>
              <w:top w:val="single" w:color="000000" w:sz="4" w:space="0"/>
              <w:left w:val="single" w:color="000000" w:sz="4" w:space="0"/>
              <w:bottom w:val="single" w:color="000000" w:sz="4" w:space="0"/>
              <w:right w:val="single" w:color="000000" w:sz="4" w:space="0"/>
            </w:tcBorders>
            <w:vAlign w:val="center"/>
          </w:tcPr>
          <w:p w14:paraId="2AD7AE68">
            <w:pPr>
              <w:autoSpaceDE w:val="0"/>
              <w:autoSpaceDN w:val="0"/>
              <w:adjustRightInd w:val="0"/>
              <w:spacing w:line="360" w:lineRule="auto"/>
              <w:jc w:val="center"/>
              <w:rPr>
                <w:rFonts w:hint="eastAsia" w:ascii="宋体" w:hAnsi="宋体" w:cs="宋体"/>
                <w:highlight w:val="none"/>
              </w:rPr>
            </w:pPr>
          </w:p>
        </w:tc>
      </w:tr>
      <w:tr w14:paraId="6470CA51">
        <w:tblPrEx>
          <w:tblCellMar>
            <w:top w:w="0" w:type="dxa"/>
            <w:left w:w="0" w:type="dxa"/>
            <w:bottom w:w="0" w:type="dxa"/>
            <w:right w:w="0" w:type="dxa"/>
          </w:tblCellMar>
        </w:tblPrEx>
        <w:trPr>
          <w:trHeight w:val="769"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39A4A84C">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成立时间</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14:paraId="7CD93DCD">
            <w:pPr>
              <w:autoSpaceDE w:val="0"/>
              <w:autoSpaceDN w:val="0"/>
              <w:adjustRightInd w:val="0"/>
              <w:spacing w:line="360" w:lineRule="auto"/>
              <w:jc w:val="center"/>
              <w:rPr>
                <w:rFonts w:hint="eastAsia" w:ascii="宋体" w:hAnsi="宋体" w:cs="宋体"/>
                <w:highlight w:val="none"/>
              </w:rPr>
            </w:pPr>
          </w:p>
        </w:tc>
        <w:tc>
          <w:tcPr>
            <w:tcW w:w="5773" w:type="dxa"/>
            <w:gridSpan w:val="6"/>
            <w:tcBorders>
              <w:top w:val="single" w:color="000000" w:sz="4" w:space="0"/>
              <w:left w:val="single" w:color="000000" w:sz="4" w:space="0"/>
              <w:bottom w:val="single" w:color="auto" w:sz="4" w:space="0"/>
              <w:right w:val="single" w:color="000000" w:sz="4" w:space="0"/>
            </w:tcBorders>
            <w:vAlign w:val="center"/>
          </w:tcPr>
          <w:p w14:paraId="3524EBA4">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员工总人数：</w:t>
            </w:r>
          </w:p>
        </w:tc>
      </w:tr>
      <w:tr w14:paraId="2AAB2D14">
        <w:tblPrEx>
          <w:tblCellMar>
            <w:top w:w="0" w:type="dxa"/>
            <w:left w:w="0" w:type="dxa"/>
            <w:bottom w:w="0" w:type="dxa"/>
            <w:right w:w="0" w:type="dxa"/>
          </w:tblCellMar>
        </w:tblPrEx>
        <w:trPr>
          <w:cantSplit/>
          <w:trHeight w:val="768"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090F0D57">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营业执照号</w:t>
            </w:r>
          </w:p>
        </w:tc>
        <w:tc>
          <w:tcPr>
            <w:tcW w:w="7622" w:type="dxa"/>
            <w:gridSpan w:val="8"/>
            <w:tcBorders>
              <w:top w:val="single" w:color="000000" w:sz="4" w:space="0"/>
              <w:left w:val="single" w:color="000000" w:sz="4" w:space="0"/>
              <w:bottom w:val="single" w:color="000000" w:sz="4" w:space="0"/>
              <w:right w:val="single" w:color="auto" w:sz="4" w:space="0"/>
            </w:tcBorders>
            <w:vAlign w:val="center"/>
          </w:tcPr>
          <w:p w14:paraId="7257BAEE">
            <w:pPr>
              <w:autoSpaceDE w:val="0"/>
              <w:autoSpaceDN w:val="0"/>
              <w:adjustRightInd w:val="0"/>
              <w:spacing w:line="360" w:lineRule="auto"/>
              <w:jc w:val="center"/>
              <w:rPr>
                <w:rFonts w:hint="eastAsia" w:ascii="宋体" w:hAnsi="宋体" w:cs="宋体"/>
                <w:highlight w:val="none"/>
              </w:rPr>
            </w:pPr>
          </w:p>
        </w:tc>
      </w:tr>
      <w:tr w14:paraId="3BB237A1">
        <w:tblPrEx>
          <w:tblCellMar>
            <w:top w:w="0" w:type="dxa"/>
            <w:left w:w="0" w:type="dxa"/>
            <w:bottom w:w="0" w:type="dxa"/>
            <w:right w:w="0" w:type="dxa"/>
          </w:tblCellMar>
        </w:tblPrEx>
        <w:trPr>
          <w:cantSplit/>
          <w:trHeight w:val="792"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03ED3269">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注册资金</w:t>
            </w:r>
          </w:p>
        </w:tc>
        <w:tc>
          <w:tcPr>
            <w:tcW w:w="7622" w:type="dxa"/>
            <w:gridSpan w:val="8"/>
            <w:tcBorders>
              <w:top w:val="single" w:color="000000" w:sz="4" w:space="0"/>
              <w:left w:val="single" w:color="000000" w:sz="4" w:space="0"/>
              <w:bottom w:val="single" w:color="000000" w:sz="4" w:space="0"/>
              <w:right w:val="single" w:color="auto" w:sz="4" w:space="0"/>
            </w:tcBorders>
            <w:vAlign w:val="center"/>
          </w:tcPr>
          <w:p w14:paraId="37867138">
            <w:pPr>
              <w:autoSpaceDE w:val="0"/>
              <w:autoSpaceDN w:val="0"/>
              <w:adjustRightInd w:val="0"/>
              <w:spacing w:line="360" w:lineRule="auto"/>
              <w:jc w:val="center"/>
              <w:rPr>
                <w:rFonts w:hint="eastAsia" w:ascii="宋体" w:hAnsi="宋体" w:cs="宋体"/>
                <w:highlight w:val="none"/>
              </w:rPr>
            </w:pPr>
          </w:p>
        </w:tc>
      </w:tr>
      <w:tr w14:paraId="52DC1169">
        <w:tblPrEx>
          <w:tblCellMar>
            <w:top w:w="0" w:type="dxa"/>
            <w:left w:w="0" w:type="dxa"/>
            <w:bottom w:w="0" w:type="dxa"/>
            <w:right w:w="0" w:type="dxa"/>
          </w:tblCellMar>
        </w:tblPrEx>
        <w:trPr>
          <w:cantSplit/>
          <w:trHeight w:val="774"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3F0CDD80">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开户银行</w:t>
            </w:r>
          </w:p>
        </w:tc>
        <w:tc>
          <w:tcPr>
            <w:tcW w:w="7622" w:type="dxa"/>
            <w:gridSpan w:val="8"/>
            <w:tcBorders>
              <w:top w:val="single" w:color="000000" w:sz="4" w:space="0"/>
              <w:left w:val="single" w:color="000000" w:sz="4" w:space="0"/>
              <w:bottom w:val="single" w:color="000000" w:sz="4" w:space="0"/>
              <w:right w:val="single" w:color="auto" w:sz="4" w:space="0"/>
            </w:tcBorders>
            <w:vAlign w:val="center"/>
          </w:tcPr>
          <w:p w14:paraId="4954BCCE">
            <w:pPr>
              <w:autoSpaceDE w:val="0"/>
              <w:autoSpaceDN w:val="0"/>
              <w:adjustRightInd w:val="0"/>
              <w:spacing w:line="360" w:lineRule="auto"/>
              <w:jc w:val="center"/>
              <w:rPr>
                <w:rFonts w:hint="eastAsia" w:ascii="宋体" w:hAnsi="宋体" w:cs="宋体"/>
                <w:highlight w:val="none"/>
              </w:rPr>
            </w:pPr>
          </w:p>
        </w:tc>
      </w:tr>
      <w:tr w14:paraId="69545B0C">
        <w:tblPrEx>
          <w:tblCellMar>
            <w:top w:w="0" w:type="dxa"/>
            <w:left w:w="0" w:type="dxa"/>
            <w:bottom w:w="0" w:type="dxa"/>
            <w:right w:w="0" w:type="dxa"/>
          </w:tblCellMar>
        </w:tblPrEx>
        <w:trPr>
          <w:cantSplit/>
          <w:trHeight w:val="615"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5F94DC88">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账号</w:t>
            </w:r>
          </w:p>
        </w:tc>
        <w:tc>
          <w:tcPr>
            <w:tcW w:w="7622" w:type="dxa"/>
            <w:gridSpan w:val="8"/>
            <w:tcBorders>
              <w:top w:val="single" w:color="000000" w:sz="4" w:space="0"/>
              <w:left w:val="single" w:color="000000" w:sz="4" w:space="0"/>
              <w:bottom w:val="single" w:color="000000" w:sz="4" w:space="0"/>
              <w:right w:val="single" w:color="auto" w:sz="4" w:space="0"/>
            </w:tcBorders>
            <w:vAlign w:val="center"/>
          </w:tcPr>
          <w:p w14:paraId="54FF8313">
            <w:pPr>
              <w:autoSpaceDE w:val="0"/>
              <w:autoSpaceDN w:val="0"/>
              <w:adjustRightInd w:val="0"/>
              <w:spacing w:line="360" w:lineRule="auto"/>
              <w:jc w:val="center"/>
              <w:rPr>
                <w:rFonts w:hint="eastAsia" w:ascii="宋体" w:hAnsi="宋体" w:cs="宋体"/>
                <w:highlight w:val="none"/>
              </w:rPr>
            </w:pPr>
          </w:p>
        </w:tc>
      </w:tr>
      <w:tr w14:paraId="67E57B26">
        <w:tblPrEx>
          <w:tblCellMar>
            <w:top w:w="0" w:type="dxa"/>
            <w:left w:w="0" w:type="dxa"/>
            <w:bottom w:w="0" w:type="dxa"/>
            <w:right w:w="0" w:type="dxa"/>
          </w:tblCellMar>
        </w:tblPrEx>
        <w:trPr>
          <w:trHeight w:val="750" w:hRule="exact"/>
        </w:trPr>
        <w:tc>
          <w:tcPr>
            <w:tcW w:w="1728" w:type="dxa"/>
            <w:tcBorders>
              <w:top w:val="single" w:color="000000" w:sz="4" w:space="0"/>
              <w:left w:val="single" w:color="000000" w:sz="4" w:space="0"/>
              <w:bottom w:val="single" w:color="auto" w:sz="4" w:space="0"/>
              <w:right w:val="single" w:color="000000" w:sz="4" w:space="0"/>
            </w:tcBorders>
            <w:vAlign w:val="center"/>
          </w:tcPr>
          <w:p w14:paraId="6435D1D2">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经营范围</w:t>
            </w:r>
          </w:p>
        </w:tc>
        <w:tc>
          <w:tcPr>
            <w:tcW w:w="7622" w:type="dxa"/>
            <w:gridSpan w:val="8"/>
            <w:tcBorders>
              <w:top w:val="single" w:color="000000" w:sz="4" w:space="0"/>
              <w:left w:val="single" w:color="000000" w:sz="4" w:space="0"/>
              <w:bottom w:val="single" w:color="auto" w:sz="4" w:space="0"/>
              <w:right w:val="single" w:color="000000" w:sz="4" w:space="0"/>
            </w:tcBorders>
            <w:vAlign w:val="center"/>
          </w:tcPr>
          <w:p w14:paraId="7FBF45CB">
            <w:pPr>
              <w:autoSpaceDE w:val="0"/>
              <w:autoSpaceDN w:val="0"/>
              <w:adjustRightInd w:val="0"/>
              <w:spacing w:line="360" w:lineRule="auto"/>
              <w:jc w:val="center"/>
              <w:rPr>
                <w:rFonts w:hint="eastAsia" w:ascii="宋体" w:hAnsi="宋体" w:cs="宋体"/>
                <w:highlight w:val="none"/>
              </w:rPr>
            </w:pPr>
          </w:p>
        </w:tc>
      </w:tr>
      <w:tr w14:paraId="26AE695F">
        <w:tblPrEx>
          <w:tblCellMar>
            <w:top w:w="0" w:type="dxa"/>
            <w:left w:w="0" w:type="dxa"/>
            <w:bottom w:w="0" w:type="dxa"/>
            <w:right w:w="0" w:type="dxa"/>
          </w:tblCellMar>
        </w:tblPrEx>
        <w:trPr>
          <w:trHeight w:val="966" w:hRule="exact"/>
        </w:trPr>
        <w:tc>
          <w:tcPr>
            <w:tcW w:w="1728" w:type="dxa"/>
            <w:tcBorders>
              <w:top w:val="single" w:color="auto" w:sz="4" w:space="0"/>
              <w:left w:val="single" w:color="000000" w:sz="4" w:space="0"/>
              <w:bottom w:val="single" w:color="000000" w:sz="4" w:space="0"/>
              <w:right w:val="single" w:color="000000" w:sz="4" w:space="0"/>
            </w:tcBorders>
            <w:vAlign w:val="center"/>
          </w:tcPr>
          <w:p w14:paraId="69B24B20">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备注</w:t>
            </w:r>
          </w:p>
        </w:tc>
        <w:tc>
          <w:tcPr>
            <w:tcW w:w="7622" w:type="dxa"/>
            <w:gridSpan w:val="8"/>
            <w:tcBorders>
              <w:top w:val="single" w:color="auto" w:sz="4" w:space="0"/>
              <w:left w:val="single" w:color="000000" w:sz="4" w:space="0"/>
              <w:bottom w:val="single" w:color="000000" w:sz="4" w:space="0"/>
              <w:right w:val="single" w:color="000000" w:sz="4" w:space="0"/>
            </w:tcBorders>
            <w:vAlign w:val="center"/>
          </w:tcPr>
          <w:p w14:paraId="77F90129">
            <w:pPr>
              <w:autoSpaceDE w:val="0"/>
              <w:autoSpaceDN w:val="0"/>
              <w:adjustRightInd w:val="0"/>
              <w:spacing w:line="360" w:lineRule="auto"/>
              <w:jc w:val="center"/>
              <w:rPr>
                <w:rFonts w:hint="eastAsia" w:ascii="宋体" w:hAnsi="宋体" w:cs="宋体"/>
                <w:highlight w:val="none"/>
              </w:rPr>
            </w:pPr>
          </w:p>
        </w:tc>
      </w:tr>
    </w:tbl>
    <w:p w14:paraId="0C0D3583">
      <w:pPr>
        <w:adjustRightInd w:val="0"/>
        <w:spacing w:line="360" w:lineRule="auto"/>
        <w:ind w:firstLine="420" w:firstLineChars="200"/>
        <w:rPr>
          <w:rFonts w:hint="eastAsia" w:ascii="宋体" w:hAnsi="宋体" w:cs="宋体"/>
          <w:highlight w:val="none"/>
        </w:rPr>
      </w:pPr>
      <w:r>
        <w:rPr>
          <w:rFonts w:hint="eastAsia" w:ascii="宋体" w:hAnsi="宋体" w:cs="宋体"/>
          <w:highlight w:val="none"/>
        </w:rPr>
        <w:t>注：应附比选申请营业执照、组织机构代码、税务登记证（若单位已办理了三证合一或一证一码的，则只需提供有效的三证合一或一证一码证书副本复印件，无需提供相关的三证）副本复印件。</w:t>
      </w:r>
    </w:p>
    <w:p w14:paraId="71CA8774">
      <w:pPr>
        <w:jc w:val="center"/>
        <w:rPr>
          <w:rFonts w:hint="eastAsia" w:ascii="宋体" w:hAnsi="宋体" w:cs="宋体"/>
          <w:sz w:val="28"/>
          <w:highlight w:val="none"/>
        </w:rPr>
      </w:pPr>
      <w:bookmarkStart w:id="1019" w:name="_Toc1267"/>
      <w:bookmarkStart w:id="1020" w:name="_Toc287620833"/>
      <w:bookmarkStart w:id="1021" w:name="_Toc287607886"/>
      <w:bookmarkStart w:id="1022" w:name="_Toc949"/>
      <w:bookmarkStart w:id="1023" w:name="_Toc433285263"/>
      <w:bookmarkStart w:id="1024" w:name="_Toc22990079"/>
      <w:bookmarkStart w:id="1025" w:name="_Toc224103514"/>
      <w:bookmarkStart w:id="1026" w:name="_Toc399504626"/>
      <w:bookmarkStart w:id="1027" w:name="_Toc464654573"/>
    </w:p>
    <w:p w14:paraId="70EDB128">
      <w:pPr>
        <w:jc w:val="center"/>
        <w:rPr>
          <w:rFonts w:hint="eastAsia" w:ascii="宋体" w:hAnsi="宋体" w:cs="宋体"/>
          <w:sz w:val="28"/>
          <w:highlight w:val="none"/>
        </w:rPr>
      </w:pPr>
    </w:p>
    <w:p w14:paraId="68AFDC5A">
      <w:pPr>
        <w:jc w:val="center"/>
        <w:rPr>
          <w:rFonts w:hint="eastAsia" w:ascii="宋体" w:hAnsi="宋体" w:cs="宋体"/>
          <w:sz w:val="28"/>
          <w:highlight w:val="none"/>
        </w:rPr>
      </w:pPr>
    </w:p>
    <w:p w14:paraId="01BB5512">
      <w:pPr>
        <w:pStyle w:val="4"/>
        <w:jc w:val="center"/>
        <w:rPr>
          <w:rFonts w:hint="eastAsia" w:ascii="宋体" w:hAnsi="宋体" w:eastAsia="宋体" w:cs="宋体"/>
          <w:sz w:val="28"/>
          <w:highlight w:val="none"/>
        </w:rPr>
      </w:pPr>
      <w:bookmarkStart w:id="1028" w:name="_Toc459"/>
      <w:r>
        <w:rPr>
          <w:rFonts w:hint="eastAsia" w:ascii="宋体" w:hAnsi="宋体" w:eastAsia="宋体" w:cs="宋体"/>
          <w:sz w:val="28"/>
          <w:highlight w:val="none"/>
        </w:rPr>
        <w:t>（四）项目管理机构</w:t>
      </w:r>
      <w:bookmarkEnd w:id="1019"/>
      <w:bookmarkEnd w:id="1020"/>
      <w:bookmarkEnd w:id="1021"/>
      <w:bookmarkEnd w:id="1022"/>
      <w:bookmarkEnd w:id="1023"/>
      <w:bookmarkEnd w:id="1024"/>
      <w:bookmarkEnd w:id="1025"/>
      <w:bookmarkEnd w:id="1026"/>
      <w:bookmarkEnd w:id="1027"/>
      <w:bookmarkEnd w:id="1028"/>
    </w:p>
    <w:p w14:paraId="0ABB449F">
      <w:pPr>
        <w:autoSpaceDE w:val="0"/>
        <w:autoSpaceDN w:val="0"/>
        <w:adjustRightInd w:val="0"/>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项目管理机构组成表</w:t>
      </w:r>
    </w:p>
    <w:tbl>
      <w:tblPr>
        <w:tblStyle w:val="44"/>
        <w:tblW w:w="9249" w:type="dxa"/>
        <w:tblInd w:w="107" w:type="dxa"/>
        <w:tblLayout w:type="fixed"/>
        <w:tblCellMar>
          <w:top w:w="0" w:type="dxa"/>
          <w:left w:w="0" w:type="dxa"/>
          <w:bottom w:w="0" w:type="dxa"/>
          <w:right w:w="0" w:type="dxa"/>
        </w:tblCellMar>
      </w:tblPr>
      <w:tblGrid>
        <w:gridCol w:w="647"/>
        <w:gridCol w:w="721"/>
        <w:gridCol w:w="719"/>
        <w:gridCol w:w="1081"/>
        <w:gridCol w:w="719"/>
        <w:gridCol w:w="721"/>
        <w:gridCol w:w="719"/>
        <w:gridCol w:w="2524"/>
        <w:gridCol w:w="1398"/>
      </w:tblGrid>
      <w:tr w14:paraId="351DBFFB">
        <w:tblPrEx>
          <w:tblCellMar>
            <w:top w:w="0" w:type="dxa"/>
            <w:left w:w="0" w:type="dxa"/>
            <w:bottom w:w="0" w:type="dxa"/>
            <w:right w:w="0" w:type="dxa"/>
          </w:tblCellMar>
        </w:tblPrEx>
        <w:trPr>
          <w:cantSplit/>
          <w:trHeight w:val="450" w:hRule="exact"/>
        </w:trPr>
        <w:tc>
          <w:tcPr>
            <w:tcW w:w="647" w:type="dxa"/>
            <w:vMerge w:val="restart"/>
            <w:tcBorders>
              <w:top w:val="single" w:color="000000" w:sz="4" w:space="0"/>
              <w:left w:val="single" w:color="000000" w:sz="4" w:space="0"/>
              <w:bottom w:val="single" w:color="000000" w:sz="4" w:space="0"/>
              <w:right w:val="single" w:color="000000" w:sz="4" w:space="0"/>
            </w:tcBorders>
            <w:vAlign w:val="center"/>
          </w:tcPr>
          <w:p w14:paraId="4D443A44">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职务</w:t>
            </w:r>
          </w:p>
        </w:tc>
        <w:tc>
          <w:tcPr>
            <w:tcW w:w="721" w:type="dxa"/>
            <w:vMerge w:val="restart"/>
            <w:tcBorders>
              <w:top w:val="single" w:color="000000" w:sz="4" w:space="0"/>
              <w:left w:val="single" w:color="000000" w:sz="4" w:space="0"/>
              <w:bottom w:val="single" w:color="000000" w:sz="4" w:space="0"/>
              <w:right w:val="single" w:color="000000" w:sz="4" w:space="0"/>
            </w:tcBorders>
            <w:vAlign w:val="center"/>
          </w:tcPr>
          <w:p w14:paraId="4D7C1D82">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姓名</w:t>
            </w:r>
          </w:p>
        </w:tc>
        <w:tc>
          <w:tcPr>
            <w:tcW w:w="719" w:type="dxa"/>
            <w:vMerge w:val="restart"/>
            <w:tcBorders>
              <w:top w:val="single" w:color="000000" w:sz="4" w:space="0"/>
              <w:left w:val="single" w:color="000000" w:sz="4" w:space="0"/>
              <w:bottom w:val="single" w:color="000000" w:sz="4" w:space="0"/>
              <w:right w:val="single" w:color="000000" w:sz="4" w:space="0"/>
            </w:tcBorders>
            <w:vAlign w:val="center"/>
          </w:tcPr>
          <w:p w14:paraId="2D84D47A">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职称</w:t>
            </w:r>
          </w:p>
        </w:tc>
        <w:tc>
          <w:tcPr>
            <w:tcW w:w="5764" w:type="dxa"/>
            <w:gridSpan w:val="5"/>
            <w:tcBorders>
              <w:top w:val="single" w:color="000000" w:sz="4" w:space="0"/>
              <w:left w:val="single" w:color="000000" w:sz="4" w:space="0"/>
              <w:bottom w:val="single" w:color="000000" w:sz="4" w:space="0"/>
              <w:right w:val="single" w:color="000000" w:sz="4" w:space="0"/>
            </w:tcBorders>
            <w:vAlign w:val="center"/>
          </w:tcPr>
          <w:p w14:paraId="5BD81466">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执业或职业资格证明</w:t>
            </w:r>
          </w:p>
        </w:tc>
        <w:tc>
          <w:tcPr>
            <w:tcW w:w="1398" w:type="dxa"/>
            <w:vMerge w:val="restart"/>
            <w:tcBorders>
              <w:top w:val="single" w:color="000000" w:sz="4" w:space="0"/>
              <w:left w:val="single" w:color="000000" w:sz="4" w:space="0"/>
              <w:right w:val="single" w:color="000000" w:sz="4" w:space="0"/>
            </w:tcBorders>
            <w:vAlign w:val="center"/>
          </w:tcPr>
          <w:p w14:paraId="0B938338">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备注</w:t>
            </w:r>
          </w:p>
        </w:tc>
      </w:tr>
      <w:tr w14:paraId="4E5FF360">
        <w:tblPrEx>
          <w:tblCellMar>
            <w:top w:w="0" w:type="dxa"/>
            <w:left w:w="0" w:type="dxa"/>
            <w:bottom w:w="0" w:type="dxa"/>
            <w:right w:w="0" w:type="dxa"/>
          </w:tblCellMar>
        </w:tblPrEx>
        <w:trPr>
          <w:cantSplit/>
          <w:trHeight w:val="957" w:hRule="exact"/>
        </w:trPr>
        <w:tc>
          <w:tcPr>
            <w:tcW w:w="647" w:type="dxa"/>
            <w:vMerge w:val="continue"/>
            <w:tcBorders>
              <w:top w:val="single" w:color="000000" w:sz="4" w:space="0"/>
              <w:left w:val="single" w:color="000000" w:sz="4" w:space="0"/>
              <w:bottom w:val="single" w:color="000000" w:sz="4" w:space="0"/>
              <w:right w:val="single" w:color="000000" w:sz="4" w:space="0"/>
            </w:tcBorders>
          </w:tcPr>
          <w:p w14:paraId="515AC258">
            <w:pPr>
              <w:autoSpaceDE w:val="0"/>
              <w:autoSpaceDN w:val="0"/>
              <w:adjustRightInd w:val="0"/>
              <w:spacing w:line="360" w:lineRule="auto"/>
              <w:rPr>
                <w:rFonts w:hint="eastAsia" w:ascii="宋体" w:hAnsi="宋体" w:cs="宋体"/>
                <w:highlight w:val="none"/>
              </w:rPr>
            </w:pPr>
          </w:p>
        </w:tc>
        <w:tc>
          <w:tcPr>
            <w:tcW w:w="721" w:type="dxa"/>
            <w:vMerge w:val="continue"/>
            <w:tcBorders>
              <w:top w:val="single" w:color="000000" w:sz="4" w:space="0"/>
              <w:left w:val="single" w:color="000000" w:sz="4" w:space="0"/>
              <w:bottom w:val="single" w:color="000000" w:sz="4" w:space="0"/>
              <w:right w:val="single" w:color="000000" w:sz="4" w:space="0"/>
            </w:tcBorders>
          </w:tcPr>
          <w:p w14:paraId="21DE92B8">
            <w:pPr>
              <w:autoSpaceDE w:val="0"/>
              <w:autoSpaceDN w:val="0"/>
              <w:adjustRightInd w:val="0"/>
              <w:spacing w:line="360" w:lineRule="auto"/>
              <w:rPr>
                <w:rFonts w:hint="eastAsia" w:ascii="宋体" w:hAnsi="宋体" w:cs="宋体"/>
                <w:highlight w:val="none"/>
              </w:rPr>
            </w:pPr>
          </w:p>
        </w:tc>
        <w:tc>
          <w:tcPr>
            <w:tcW w:w="719" w:type="dxa"/>
            <w:vMerge w:val="continue"/>
            <w:tcBorders>
              <w:top w:val="single" w:color="000000" w:sz="4" w:space="0"/>
              <w:left w:val="single" w:color="000000" w:sz="4" w:space="0"/>
              <w:bottom w:val="single" w:color="000000" w:sz="4" w:space="0"/>
              <w:right w:val="single" w:color="000000" w:sz="4" w:space="0"/>
            </w:tcBorders>
          </w:tcPr>
          <w:p w14:paraId="72AF7422">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vAlign w:val="center"/>
          </w:tcPr>
          <w:p w14:paraId="50072DA4">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证书名称</w:t>
            </w:r>
          </w:p>
        </w:tc>
        <w:tc>
          <w:tcPr>
            <w:tcW w:w="719" w:type="dxa"/>
            <w:tcBorders>
              <w:top w:val="single" w:color="000000" w:sz="4" w:space="0"/>
              <w:left w:val="single" w:color="000000" w:sz="4" w:space="0"/>
              <w:bottom w:val="single" w:color="000000" w:sz="4" w:space="0"/>
              <w:right w:val="single" w:color="000000" w:sz="4" w:space="0"/>
            </w:tcBorders>
            <w:vAlign w:val="center"/>
          </w:tcPr>
          <w:p w14:paraId="3E6EDEFE">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级别</w:t>
            </w:r>
          </w:p>
        </w:tc>
        <w:tc>
          <w:tcPr>
            <w:tcW w:w="721" w:type="dxa"/>
            <w:tcBorders>
              <w:top w:val="single" w:color="000000" w:sz="4" w:space="0"/>
              <w:left w:val="single" w:color="000000" w:sz="4" w:space="0"/>
              <w:bottom w:val="single" w:color="000000" w:sz="4" w:space="0"/>
              <w:right w:val="single" w:color="000000" w:sz="4" w:space="0"/>
            </w:tcBorders>
            <w:vAlign w:val="center"/>
          </w:tcPr>
          <w:p w14:paraId="3E6D9E20">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证号</w:t>
            </w:r>
          </w:p>
        </w:tc>
        <w:tc>
          <w:tcPr>
            <w:tcW w:w="719" w:type="dxa"/>
            <w:tcBorders>
              <w:top w:val="single" w:color="000000" w:sz="4" w:space="0"/>
              <w:left w:val="single" w:color="000000" w:sz="4" w:space="0"/>
              <w:bottom w:val="single" w:color="000000" w:sz="4" w:space="0"/>
              <w:right w:val="single" w:color="000000" w:sz="4" w:space="0"/>
            </w:tcBorders>
            <w:vAlign w:val="center"/>
          </w:tcPr>
          <w:p w14:paraId="0E580207">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专业</w:t>
            </w:r>
          </w:p>
        </w:tc>
        <w:tc>
          <w:tcPr>
            <w:tcW w:w="2524" w:type="dxa"/>
            <w:tcBorders>
              <w:top w:val="single" w:color="000000" w:sz="4" w:space="0"/>
              <w:left w:val="single" w:color="000000" w:sz="4" w:space="0"/>
              <w:bottom w:val="single" w:color="000000" w:sz="4" w:space="0"/>
              <w:right w:val="single" w:color="000000" w:sz="4" w:space="0"/>
            </w:tcBorders>
            <w:vAlign w:val="center"/>
          </w:tcPr>
          <w:p w14:paraId="61527632">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学历</w:t>
            </w:r>
          </w:p>
        </w:tc>
        <w:tc>
          <w:tcPr>
            <w:tcW w:w="1398" w:type="dxa"/>
            <w:vMerge w:val="continue"/>
            <w:tcBorders>
              <w:left w:val="single" w:color="000000" w:sz="4" w:space="0"/>
              <w:bottom w:val="single" w:color="000000" w:sz="4" w:space="0"/>
              <w:right w:val="single" w:color="000000" w:sz="4" w:space="0"/>
            </w:tcBorders>
          </w:tcPr>
          <w:p w14:paraId="338D4A16">
            <w:pPr>
              <w:autoSpaceDE w:val="0"/>
              <w:autoSpaceDN w:val="0"/>
              <w:adjustRightInd w:val="0"/>
              <w:spacing w:line="360" w:lineRule="auto"/>
              <w:rPr>
                <w:rFonts w:hint="eastAsia" w:ascii="宋体" w:hAnsi="宋体" w:cs="宋体"/>
                <w:highlight w:val="none"/>
              </w:rPr>
            </w:pPr>
          </w:p>
        </w:tc>
      </w:tr>
      <w:tr w14:paraId="452BC586">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52088B5B">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2CD707F6">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50594368">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0B7BBADC">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24BC47BD">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6618F1E1">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60424DF">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48075A93">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5D2A91E4">
            <w:pPr>
              <w:autoSpaceDE w:val="0"/>
              <w:autoSpaceDN w:val="0"/>
              <w:adjustRightInd w:val="0"/>
              <w:spacing w:line="360" w:lineRule="auto"/>
              <w:rPr>
                <w:rFonts w:hint="eastAsia" w:ascii="宋体" w:hAnsi="宋体" w:cs="宋体"/>
                <w:highlight w:val="none"/>
              </w:rPr>
            </w:pPr>
          </w:p>
        </w:tc>
      </w:tr>
      <w:tr w14:paraId="7EFB3D9F">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3B457C86">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3C6E829">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0C551AD">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1CDB192A">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1C612665">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560AA4C4">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15FD641">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04AB80C4">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42778A23">
            <w:pPr>
              <w:autoSpaceDE w:val="0"/>
              <w:autoSpaceDN w:val="0"/>
              <w:adjustRightInd w:val="0"/>
              <w:spacing w:line="360" w:lineRule="auto"/>
              <w:rPr>
                <w:rFonts w:hint="eastAsia" w:ascii="宋体" w:hAnsi="宋体" w:cs="宋体"/>
                <w:highlight w:val="none"/>
              </w:rPr>
            </w:pPr>
          </w:p>
        </w:tc>
      </w:tr>
      <w:tr w14:paraId="139BB86E">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077805F6">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228951F6">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091A0890">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46C726A6">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12279D5">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02A8BDD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1E86C1CF">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32C5F599">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6F6BBF6D">
            <w:pPr>
              <w:autoSpaceDE w:val="0"/>
              <w:autoSpaceDN w:val="0"/>
              <w:adjustRightInd w:val="0"/>
              <w:spacing w:line="360" w:lineRule="auto"/>
              <w:rPr>
                <w:rFonts w:hint="eastAsia" w:ascii="宋体" w:hAnsi="宋体" w:cs="宋体"/>
                <w:highlight w:val="none"/>
              </w:rPr>
            </w:pPr>
          </w:p>
        </w:tc>
      </w:tr>
      <w:tr w14:paraId="7B7049FD">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57FF02F1">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6D20AD1E">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199E4260">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676514B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2BD7D6DE">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125AD333">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165091E">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5C1BA993">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2C4558E6">
            <w:pPr>
              <w:autoSpaceDE w:val="0"/>
              <w:autoSpaceDN w:val="0"/>
              <w:adjustRightInd w:val="0"/>
              <w:spacing w:line="360" w:lineRule="auto"/>
              <w:rPr>
                <w:rFonts w:hint="eastAsia" w:ascii="宋体" w:hAnsi="宋体" w:cs="宋体"/>
                <w:highlight w:val="none"/>
              </w:rPr>
            </w:pPr>
          </w:p>
        </w:tc>
      </w:tr>
      <w:tr w14:paraId="363B9200">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1DD37855">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54BC0D73">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D5CD3F0">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7D3B6BE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BA6CB2A">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8CCF314">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9964AF6">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45C6B395">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72E42A66">
            <w:pPr>
              <w:autoSpaceDE w:val="0"/>
              <w:autoSpaceDN w:val="0"/>
              <w:adjustRightInd w:val="0"/>
              <w:spacing w:line="360" w:lineRule="auto"/>
              <w:rPr>
                <w:rFonts w:hint="eastAsia" w:ascii="宋体" w:hAnsi="宋体" w:cs="宋体"/>
                <w:highlight w:val="none"/>
              </w:rPr>
            </w:pPr>
          </w:p>
        </w:tc>
      </w:tr>
      <w:tr w14:paraId="6FF8FD74">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265CE916">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5566B7B9">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0A32007">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6D1094FE">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030B60E">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57C5129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E6662ED">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78EDE98C">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5A259CB0">
            <w:pPr>
              <w:autoSpaceDE w:val="0"/>
              <w:autoSpaceDN w:val="0"/>
              <w:adjustRightInd w:val="0"/>
              <w:spacing w:line="360" w:lineRule="auto"/>
              <w:rPr>
                <w:rFonts w:hint="eastAsia" w:ascii="宋体" w:hAnsi="宋体" w:cs="宋体"/>
                <w:highlight w:val="none"/>
              </w:rPr>
            </w:pPr>
          </w:p>
        </w:tc>
      </w:tr>
      <w:tr w14:paraId="5284470A">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3E202C19">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34896B7">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2CAF04D">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7E71A3B1">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8A1C8D1">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21A1DC29">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5987C964">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4945D985">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17B69524">
            <w:pPr>
              <w:autoSpaceDE w:val="0"/>
              <w:autoSpaceDN w:val="0"/>
              <w:adjustRightInd w:val="0"/>
              <w:spacing w:line="360" w:lineRule="auto"/>
              <w:rPr>
                <w:rFonts w:hint="eastAsia" w:ascii="宋体" w:hAnsi="宋体" w:cs="宋体"/>
                <w:highlight w:val="none"/>
              </w:rPr>
            </w:pPr>
          </w:p>
        </w:tc>
      </w:tr>
      <w:tr w14:paraId="79379562">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37A636FB">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E9807AF">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296BAFE0">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2346DC0C">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074909F">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42DD22EA">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8914E4A">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39753A36">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6146EE79">
            <w:pPr>
              <w:autoSpaceDE w:val="0"/>
              <w:autoSpaceDN w:val="0"/>
              <w:adjustRightInd w:val="0"/>
              <w:spacing w:line="360" w:lineRule="auto"/>
              <w:rPr>
                <w:rFonts w:hint="eastAsia" w:ascii="宋体" w:hAnsi="宋体" w:cs="宋体"/>
                <w:highlight w:val="none"/>
              </w:rPr>
            </w:pPr>
          </w:p>
        </w:tc>
      </w:tr>
      <w:tr w14:paraId="378EEA21">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646AD359">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13AFC2F">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EE984C4">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5F975068">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AF493B3">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23D325C7">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65CFE69">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6898E80B">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4D0AEF66">
            <w:pPr>
              <w:autoSpaceDE w:val="0"/>
              <w:autoSpaceDN w:val="0"/>
              <w:adjustRightInd w:val="0"/>
              <w:spacing w:line="360" w:lineRule="auto"/>
              <w:rPr>
                <w:rFonts w:hint="eastAsia" w:ascii="宋体" w:hAnsi="宋体" w:cs="宋体"/>
                <w:highlight w:val="none"/>
              </w:rPr>
            </w:pPr>
          </w:p>
        </w:tc>
      </w:tr>
      <w:tr w14:paraId="59F60956">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00B8D82C">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4E49BDD7">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E04C13C">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17762830">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2AF089FD">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68EA6C80">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0451502F">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3E7DBAD8">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7875CAE7">
            <w:pPr>
              <w:autoSpaceDE w:val="0"/>
              <w:autoSpaceDN w:val="0"/>
              <w:adjustRightInd w:val="0"/>
              <w:spacing w:line="360" w:lineRule="auto"/>
              <w:rPr>
                <w:rFonts w:hint="eastAsia" w:ascii="宋体" w:hAnsi="宋体" w:cs="宋体"/>
                <w:highlight w:val="none"/>
              </w:rPr>
            </w:pPr>
          </w:p>
        </w:tc>
      </w:tr>
      <w:tr w14:paraId="1D722143">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4ED1072D">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440D288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7D7D0ED">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3D76FBCD">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18A6A9F0">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4CD21415">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25956CD">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2863C2E7">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1638D5E3">
            <w:pPr>
              <w:autoSpaceDE w:val="0"/>
              <w:autoSpaceDN w:val="0"/>
              <w:adjustRightInd w:val="0"/>
              <w:spacing w:line="360" w:lineRule="auto"/>
              <w:rPr>
                <w:rFonts w:hint="eastAsia" w:ascii="宋体" w:hAnsi="宋体" w:cs="宋体"/>
                <w:highlight w:val="none"/>
              </w:rPr>
            </w:pPr>
          </w:p>
        </w:tc>
      </w:tr>
    </w:tbl>
    <w:p w14:paraId="472143CE">
      <w:pPr>
        <w:autoSpaceDE w:val="0"/>
        <w:autoSpaceDN w:val="0"/>
        <w:adjustRightInd w:val="0"/>
        <w:spacing w:line="360" w:lineRule="auto"/>
        <w:ind w:right="-92" w:rightChars="-44"/>
        <w:jc w:val="right"/>
        <w:rPr>
          <w:rFonts w:hint="eastAsia" w:ascii="宋体" w:hAnsi="宋体" w:cs="宋体"/>
          <w:b/>
          <w:kern w:val="0"/>
          <w:sz w:val="28"/>
          <w:szCs w:val="28"/>
          <w:highlight w:val="none"/>
        </w:rPr>
      </w:pPr>
      <w:r>
        <w:rPr>
          <w:rFonts w:hint="eastAsia" w:ascii="宋体" w:hAnsi="宋体" w:eastAsia="宋体" w:cs="宋体"/>
          <w:highlight w:val="none"/>
        </w:rPr>
        <w:br w:type="page"/>
      </w:r>
    </w:p>
    <w:p w14:paraId="599FEC08">
      <w:pPr>
        <w:autoSpaceDE w:val="0"/>
        <w:autoSpaceDN w:val="0"/>
        <w:adjustRightInd w:val="0"/>
        <w:spacing w:line="360" w:lineRule="auto"/>
        <w:ind w:right="-20"/>
        <w:jc w:val="center"/>
        <w:outlineLvl w:val="2"/>
        <w:rPr>
          <w:rFonts w:hint="eastAsia" w:ascii="宋体" w:hAnsi="宋体" w:cs="宋体"/>
          <w:b/>
          <w:kern w:val="0"/>
          <w:sz w:val="28"/>
          <w:szCs w:val="28"/>
          <w:highlight w:val="none"/>
        </w:rPr>
      </w:pPr>
      <w:bookmarkStart w:id="1029" w:name="_Toc21759"/>
      <w:r>
        <w:rPr>
          <w:rFonts w:hint="eastAsia" w:ascii="宋体" w:hAnsi="宋体" w:cs="宋体"/>
          <w:b/>
          <w:kern w:val="0"/>
          <w:sz w:val="28"/>
          <w:szCs w:val="28"/>
          <w:highlight w:val="none"/>
        </w:rPr>
        <w:t>（</w:t>
      </w:r>
      <w:r>
        <w:rPr>
          <w:rFonts w:hint="eastAsia" w:ascii="宋体" w:hAnsi="宋体" w:cs="宋体"/>
          <w:b/>
          <w:kern w:val="0"/>
          <w:sz w:val="28"/>
          <w:szCs w:val="28"/>
          <w:highlight w:val="none"/>
          <w:lang w:val="en-US" w:eastAsia="zh-CN"/>
        </w:rPr>
        <w:t>五</w:t>
      </w:r>
      <w:r>
        <w:rPr>
          <w:rFonts w:hint="eastAsia" w:ascii="宋体" w:hAnsi="宋体" w:cs="宋体"/>
          <w:b/>
          <w:kern w:val="0"/>
          <w:sz w:val="28"/>
          <w:szCs w:val="28"/>
          <w:highlight w:val="none"/>
        </w:rPr>
        <w:t>）</w:t>
      </w:r>
      <w:bookmarkEnd w:id="1029"/>
      <w:r>
        <w:rPr>
          <w:rFonts w:hint="eastAsia" w:ascii="宋体" w:hAnsi="宋体" w:cs="宋体"/>
          <w:b/>
          <w:kern w:val="0"/>
          <w:sz w:val="28"/>
          <w:szCs w:val="28"/>
          <w:highlight w:val="none"/>
        </w:rPr>
        <w:t>经济部分</w:t>
      </w:r>
    </w:p>
    <w:p w14:paraId="672EC91E">
      <w:pPr>
        <w:autoSpaceDE w:val="0"/>
        <w:autoSpaceDN w:val="0"/>
        <w:adjustRightInd w:val="0"/>
        <w:spacing w:line="360" w:lineRule="auto"/>
        <w:ind w:right="-20"/>
        <w:jc w:val="center"/>
        <w:rPr>
          <w:rFonts w:hint="eastAsia" w:ascii="宋体" w:hAnsi="宋体" w:cs="宋体"/>
          <w:highlight w:val="none"/>
        </w:rPr>
      </w:pPr>
    </w:p>
    <w:p w14:paraId="08E6786A">
      <w:pPr>
        <w:autoSpaceDE w:val="0"/>
        <w:autoSpaceDN w:val="0"/>
        <w:adjustRightInd w:val="0"/>
        <w:spacing w:line="360" w:lineRule="auto"/>
        <w:ind w:right="-20"/>
        <w:jc w:val="center"/>
        <w:rPr>
          <w:rFonts w:hint="eastAsia" w:ascii="宋体" w:hAnsi="宋体" w:cs="宋体"/>
          <w:highlight w:val="none"/>
        </w:rPr>
      </w:pPr>
      <w:r>
        <w:rPr>
          <w:rFonts w:hint="eastAsia" w:ascii="宋体" w:hAnsi="宋体" w:cs="宋体"/>
          <w:highlight w:val="none"/>
        </w:rPr>
        <w:t>后附已标价工程量清单及比选申请人自行根据比选文件自行拟定的相关内容。</w:t>
      </w:r>
    </w:p>
    <w:p w14:paraId="0CA63F4C">
      <w:pPr>
        <w:pStyle w:val="4"/>
        <w:spacing w:before="0"/>
        <w:jc w:val="center"/>
        <w:rPr>
          <w:rFonts w:hint="eastAsia" w:ascii="宋体" w:hAnsi="宋体" w:eastAsia="宋体" w:cs="宋体"/>
          <w:highlight w:val="none"/>
        </w:rPr>
      </w:pPr>
      <w:r>
        <w:rPr>
          <w:rFonts w:hint="eastAsia" w:ascii="宋体" w:hAnsi="宋体" w:eastAsia="宋体" w:cs="宋体"/>
          <w:highlight w:val="none"/>
        </w:rPr>
        <w:br w:type="page"/>
      </w:r>
      <w:bookmarkStart w:id="1030" w:name="_Toc30612"/>
      <w:r>
        <w:rPr>
          <w:rFonts w:hint="eastAsia" w:ascii="宋体" w:hAnsi="宋体" w:eastAsia="宋体" w:cs="宋体"/>
          <w:highlight w:val="none"/>
        </w:rPr>
        <w:t>（</w:t>
      </w:r>
      <w:r>
        <w:rPr>
          <w:rFonts w:hint="eastAsia" w:ascii="宋体" w:hAnsi="宋体" w:eastAsia="宋体" w:cs="宋体"/>
          <w:highlight w:val="none"/>
          <w:lang w:val="en-US" w:eastAsia="zh-CN"/>
        </w:rPr>
        <w:t>六</w:t>
      </w:r>
      <w:r>
        <w:rPr>
          <w:rFonts w:hint="eastAsia" w:ascii="宋体" w:hAnsi="宋体" w:eastAsia="宋体" w:cs="宋体"/>
          <w:highlight w:val="none"/>
        </w:rPr>
        <w:t>）技术部分</w:t>
      </w:r>
    </w:p>
    <w:p w14:paraId="60D6F058">
      <w:pPr>
        <w:pStyle w:val="4"/>
        <w:spacing w:before="0"/>
        <w:jc w:val="center"/>
        <w:rPr>
          <w:rFonts w:hint="eastAsia" w:ascii="宋体" w:hAnsi="宋体" w:eastAsia="宋体" w:cs="宋体"/>
          <w:b w:val="0"/>
          <w:highlight w:val="none"/>
        </w:rPr>
      </w:pPr>
    </w:p>
    <w:bookmarkEnd w:id="1030"/>
    <w:p w14:paraId="30CF407A">
      <w:pPr>
        <w:snapToGrid w:val="0"/>
        <w:spacing w:before="33"/>
        <w:ind w:right="1047"/>
        <w:jc w:val="center"/>
        <w:textAlignment w:val="baseline"/>
        <w:rPr>
          <w:rFonts w:hint="eastAsia" w:ascii="宋体" w:hAnsi="宋体" w:cs="宋体"/>
          <w:b/>
          <w:sz w:val="52"/>
          <w:szCs w:val="52"/>
          <w:highlight w:val="none"/>
        </w:rPr>
      </w:pPr>
      <w:bookmarkStart w:id="1031" w:name="技术文件"/>
      <w:bookmarkEnd w:id="1031"/>
      <w:bookmarkStart w:id="1032" w:name="附表一：拟投入本标段的主要施工设备表"/>
      <w:bookmarkEnd w:id="1032"/>
      <w:bookmarkStart w:id="1033" w:name="_Toc6990"/>
    </w:p>
    <w:p w14:paraId="19E9605D">
      <w:pPr>
        <w:snapToGrid w:val="0"/>
        <w:spacing w:before="33"/>
        <w:ind w:right="1047"/>
        <w:jc w:val="center"/>
        <w:textAlignment w:val="baseline"/>
        <w:rPr>
          <w:rFonts w:hint="eastAsia" w:ascii="宋体" w:hAnsi="宋体" w:cs="宋体"/>
          <w:b/>
          <w:sz w:val="52"/>
          <w:szCs w:val="52"/>
          <w:highlight w:val="none"/>
        </w:rPr>
      </w:pPr>
    </w:p>
    <w:p w14:paraId="292293AC">
      <w:pPr>
        <w:snapToGrid w:val="0"/>
        <w:spacing w:before="33"/>
        <w:ind w:right="1047"/>
        <w:jc w:val="center"/>
        <w:textAlignment w:val="baseline"/>
        <w:rPr>
          <w:rFonts w:hint="eastAsia" w:ascii="宋体" w:hAnsi="宋体" w:cs="宋体"/>
          <w:b/>
          <w:sz w:val="52"/>
          <w:szCs w:val="52"/>
          <w:highlight w:val="none"/>
        </w:rPr>
      </w:pPr>
    </w:p>
    <w:bookmarkEnd w:id="1033"/>
    <w:p w14:paraId="2E87F6B1">
      <w:pPr>
        <w:snapToGrid w:val="0"/>
        <w:spacing w:before="33"/>
        <w:jc w:val="center"/>
        <w:textAlignment w:val="baseline"/>
        <w:rPr>
          <w:rFonts w:hint="eastAsia" w:ascii="宋体" w:hAnsi="宋体" w:eastAsia="宋体" w:cs="宋体"/>
          <w:sz w:val="20"/>
          <w:highlight w:val="none"/>
          <w:lang w:eastAsia="zh-CN"/>
        </w:rPr>
      </w:pPr>
      <w:r>
        <w:rPr>
          <w:rFonts w:hint="eastAsia" w:ascii="宋体" w:hAnsi="宋体" w:cs="宋体"/>
          <w:b/>
          <w:sz w:val="52"/>
          <w:szCs w:val="52"/>
          <w:highlight w:val="none"/>
          <w:lang w:eastAsia="zh-CN"/>
        </w:rPr>
        <w:t>实施方案</w:t>
      </w:r>
    </w:p>
    <w:p w14:paraId="310FA989">
      <w:pPr>
        <w:pStyle w:val="16"/>
        <w:snapToGrid w:val="0"/>
        <w:textAlignment w:val="baseline"/>
        <w:rPr>
          <w:rFonts w:hint="eastAsia" w:ascii="宋体" w:hAnsi="宋体" w:cs="宋体"/>
          <w:b/>
          <w:sz w:val="20"/>
          <w:highlight w:val="none"/>
        </w:rPr>
      </w:pPr>
    </w:p>
    <w:p w14:paraId="476923B5">
      <w:pPr>
        <w:pStyle w:val="16"/>
        <w:snapToGrid w:val="0"/>
        <w:jc w:val="center"/>
        <w:textAlignment w:val="baseline"/>
        <w:rPr>
          <w:rFonts w:hint="eastAsia" w:ascii="宋体" w:hAnsi="宋体" w:cs="宋体"/>
          <w:b/>
          <w:sz w:val="20"/>
          <w:highlight w:val="none"/>
        </w:rPr>
      </w:pPr>
      <w:r>
        <w:rPr>
          <w:rFonts w:hint="eastAsia" w:ascii="宋体" w:hAnsi="宋体" w:cs="宋体"/>
          <w:b/>
          <w:sz w:val="20"/>
          <w:highlight w:val="none"/>
        </w:rPr>
        <w:t>（格式自拟）</w:t>
      </w:r>
    </w:p>
    <w:p w14:paraId="4907BAAD">
      <w:pPr>
        <w:bidi w:val="0"/>
        <w:rPr>
          <w:rFonts w:hint="eastAsia"/>
          <w:highlight w:val="none"/>
        </w:rPr>
      </w:pPr>
    </w:p>
    <w:p w14:paraId="68C22A29">
      <w:pPr>
        <w:bidi w:val="0"/>
        <w:rPr>
          <w:rFonts w:hint="eastAsia"/>
          <w:highlight w:val="none"/>
        </w:rPr>
      </w:pPr>
    </w:p>
    <w:p w14:paraId="0F7C7592">
      <w:pPr>
        <w:bidi w:val="0"/>
        <w:rPr>
          <w:rFonts w:hint="eastAsia"/>
          <w:highlight w:val="none"/>
        </w:rPr>
      </w:pPr>
    </w:p>
    <w:p w14:paraId="3D9DBE5A">
      <w:pPr>
        <w:bidi w:val="0"/>
        <w:rPr>
          <w:rFonts w:hint="eastAsia"/>
          <w:highlight w:val="none"/>
        </w:rPr>
      </w:pPr>
    </w:p>
    <w:p w14:paraId="28CD6846">
      <w:pPr>
        <w:bidi w:val="0"/>
        <w:rPr>
          <w:rFonts w:hint="eastAsia"/>
          <w:highlight w:val="none"/>
        </w:rPr>
      </w:pPr>
    </w:p>
    <w:p w14:paraId="5627B2BF">
      <w:pPr>
        <w:bidi w:val="0"/>
        <w:rPr>
          <w:rFonts w:hint="eastAsia"/>
          <w:highlight w:val="none"/>
        </w:rPr>
      </w:pPr>
    </w:p>
    <w:p w14:paraId="4FD541B0">
      <w:pPr>
        <w:bidi w:val="0"/>
        <w:rPr>
          <w:rFonts w:hint="eastAsia"/>
          <w:highlight w:val="none"/>
        </w:rPr>
      </w:pPr>
    </w:p>
    <w:p w14:paraId="5336C66C">
      <w:pPr>
        <w:bidi w:val="0"/>
        <w:rPr>
          <w:rFonts w:hint="eastAsia"/>
          <w:highlight w:val="none"/>
        </w:rPr>
      </w:pPr>
    </w:p>
    <w:p w14:paraId="1BFE93B5">
      <w:pPr>
        <w:bidi w:val="0"/>
        <w:rPr>
          <w:rFonts w:hint="eastAsia"/>
          <w:highlight w:val="none"/>
        </w:rPr>
      </w:pPr>
    </w:p>
    <w:p w14:paraId="751C4D0A">
      <w:pPr>
        <w:bidi w:val="0"/>
        <w:rPr>
          <w:rFonts w:hint="eastAsia"/>
          <w:highlight w:val="none"/>
        </w:rPr>
      </w:pPr>
    </w:p>
    <w:p w14:paraId="35AC13E5">
      <w:pPr>
        <w:bidi w:val="0"/>
        <w:rPr>
          <w:rFonts w:hint="eastAsia"/>
          <w:highlight w:val="none"/>
        </w:rPr>
      </w:pPr>
    </w:p>
    <w:p w14:paraId="3CC65C1B">
      <w:pPr>
        <w:tabs>
          <w:tab w:val="left" w:pos="992"/>
        </w:tabs>
        <w:bidi w:val="0"/>
        <w:jc w:val="left"/>
        <w:rPr>
          <w:rFonts w:hint="eastAsia"/>
          <w:highlight w:val="none"/>
          <w:lang w:eastAsia="zh-CN"/>
        </w:rPr>
      </w:pPr>
      <w:r>
        <w:rPr>
          <w:rFonts w:hint="eastAsia"/>
          <w:highlight w:val="none"/>
          <w:lang w:eastAsia="zh-CN"/>
        </w:rPr>
        <w:tab/>
      </w:r>
    </w:p>
    <w:p w14:paraId="2FF1C1F3">
      <w:pPr>
        <w:rPr>
          <w:rFonts w:hint="eastAsia"/>
          <w:highlight w:val="none"/>
          <w:lang w:eastAsia="zh-CN"/>
        </w:rPr>
      </w:pPr>
      <w:r>
        <w:rPr>
          <w:rFonts w:hint="eastAsia"/>
          <w:highlight w:val="none"/>
          <w:lang w:eastAsia="zh-CN"/>
        </w:rPr>
        <w:br w:type="page"/>
      </w:r>
    </w:p>
    <w:p w14:paraId="103FA0F5">
      <w:pPr>
        <w:pStyle w:val="4"/>
        <w:spacing w:before="0"/>
        <w:jc w:val="center"/>
        <w:rPr>
          <w:rFonts w:hint="default" w:ascii="宋体" w:hAnsi="宋体" w:eastAsia="宋体" w:cs="宋体"/>
          <w:highlight w:val="none"/>
          <w:lang w:val="en-US" w:eastAsia="zh-CN"/>
        </w:rPr>
      </w:pPr>
      <w:r>
        <w:rPr>
          <w:rFonts w:hint="eastAsia" w:ascii="宋体" w:hAnsi="宋体" w:eastAsia="宋体" w:cs="宋体"/>
          <w:highlight w:val="none"/>
        </w:rPr>
        <w:t>（</w:t>
      </w:r>
      <w:r>
        <w:rPr>
          <w:rFonts w:hint="eastAsia" w:ascii="宋体" w:hAnsi="宋体" w:eastAsia="宋体" w:cs="宋体"/>
          <w:highlight w:val="none"/>
          <w:lang w:val="en-US" w:eastAsia="zh-CN"/>
        </w:rPr>
        <w:t>七</w:t>
      </w:r>
      <w:r>
        <w:rPr>
          <w:rFonts w:hint="eastAsia" w:ascii="宋体" w:hAnsi="宋体" w:eastAsia="宋体" w:cs="宋体"/>
          <w:highlight w:val="none"/>
        </w:rPr>
        <w:t>）</w:t>
      </w:r>
      <w:r>
        <w:rPr>
          <w:rFonts w:hint="eastAsia" w:ascii="宋体" w:hAnsi="宋体" w:eastAsia="宋体" w:cs="宋体"/>
          <w:highlight w:val="none"/>
          <w:lang w:val="en-US" w:eastAsia="zh-CN"/>
        </w:rPr>
        <w:t>其他资料</w:t>
      </w:r>
    </w:p>
    <w:p w14:paraId="31661B50">
      <w:pPr>
        <w:tabs>
          <w:tab w:val="left" w:pos="992"/>
        </w:tabs>
        <w:bidi w:val="0"/>
        <w:jc w:val="left"/>
        <w:rPr>
          <w:rFonts w:hint="eastAsia"/>
          <w:highlight w:val="none"/>
          <w:lang w:eastAsia="zh-CN"/>
        </w:rPr>
      </w:pPr>
    </w:p>
    <w:p w14:paraId="31B734C0">
      <w:pPr>
        <w:bidi w:val="0"/>
        <w:rPr>
          <w:rFonts w:hint="eastAsia" w:ascii="Times New Roman" w:hAnsi="Times New Roman" w:eastAsia="宋体" w:cs="Times New Roman"/>
          <w:kern w:val="2"/>
          <w:sz w:val="21"/>
          <w:szCs w:val="21"/>
          <w:highlight w:val="none"/>
          <w:lang w:val="en-US" w:eastAsia="zh-CN" w:bidi="ar-SA"/>
        </w:rPr>
      </w:pPr>
    </w:p>
    <w:p w14:paraId="7421365C">
      <w:pPr>
        <w:bidi w:val="0"/>
        <w:rPr>
          <w:rFonts w:hint="eastAsia"/>
          <w:highlight w:val="none"/>
          <w:lang w:val="en-US" w:eastAsia="zh-CN"/>
        </w:rPr>
      </w:pPr>
    </w:p>
    <w:p w14:paraId="157F2EC8">
      <w:pPr>
        <w:tabs>
          <w:tab w:val="left" w:pos="467"/>
        </w:tabs>
        <w:bidi w:val="0"/>
        <w:jc w:val="left"/>
        <w:rPr>
          <w:rFonts w:hint="default"/>
          <w:highlight w:val="none"/>
          <w:lang w:val="en-US" w:eastAsia="zh-CN"/>
        </w:rPr>
        <w:sectPr>
          <w:footerReference r:id="rId4" w:type="default"/>
          <w:pgSz w:w="11906" w:h="16838"/>
          <w:pgMar w:top="1440" w:right="866" w:bottom="1440" w:left="1380" w:header="851" w:footer="992" w:gutter="0"/>
          <w:cols w:space="720" w:num="1"/>
          <w:docGrid w:type="lines" w:linePitch="312" w:charSpace="0"/>
        </w:sectPr>
      </w:pPr>
      <w:r>
        <w:rPr>
          <w:rFonts w:hint="eastAsia"/>
          <w:highlight w:val="none"/>
          <w:lang w:val="en-US" w:eastAsia="zh-CN"/>
        </w:rPr>
        <w:tab/>
      </w:r>
      <w:r>
        <w:rPr>
          <w:rFonts w:hint="eastAsia"/>
          <w:highlight w:val="none"/>
          <w:lang w:val="en-US" w:eastAsia="zh-CN"/>
        </w:rPr>
        <w:t>按比选文件要求附比选保证金缴纳凭证等其他应附的资料。</w:t>
      </w:r>
    </w:p>
    <w:p w14:paraId="6A837886">
      <w:pPr>
        <w:pStyle w:val="2"/>
        <w:numPr>
          <w:ilvl w:val="0"/>
          <w:numId w:val="0"/>
        </w:numPr>
        <w:bidi w:val="0"/>
        <w:ind w:leftChars="0"/>
        <w:jc w:val="left"/>
        <w:outlineLvl w:val="0"/>
        <w:rPr>
          <w:rFonts w:hint="eastAsia" w:ascii="仿宋" w:hAnsi="仿宋" w:eastAsia="仿宋" w:cs="仿宋"/>
          <w:b/>
          <w:bCs/>
          <w:highlight w:val="none"/>
          <w:lang w:val="zh-CN" w:eastAsia="zh-CN"/>
        </w:rPr>
      </w:pPr>
      <w:bookmarkStart w:id="1034" w:name="_Toc9307"/>
      <w:bookmarkStart w:id="1035" w:name="_Toc19074"/>
      <w:bookmarkStart w:id="1036" w:name="_Toc25245"/>
      <w:bookmarkStart w:id="1037" w:name="_Toc22132"/>
      <w:bookmarkStart w:id="1038" w:name="_Toc13208"/>
      <w:bookmarkStart w:id="1039" w:name="_Toc13721"/>
      <w:bookmarkStart w:id="1040" w:name="_Toc7657"/>
      <w:bookmarkStart w:id="1041" w:name="_Toc30892"/>
      <w:bookmarkStart w:id="1042" w:name="_Toc32513"/>
      <w:bookmarkStart w:id="1043" w:name="_Toc15359"/>
      <w:bookmarkStart w:id="1044" w:name="_Toc30676"/>
      <w:bookmarkStart w:id="1045" w:name="_Toc2957"/>
      <w:bookmarkStart w:id="1046" w:name="_Toc16415"/>
      <w:bookmarkStart w:id="1047" w:name="_Toc9153"/>
      <w:bookmarkStart w:id="1048" w:name="_Toc4180"/>
      <w:bookmarkStart w:id="1049" w:name="_Toc22703"/>
      <w:r>
        <w:rPr>
          <w:rFonts w:hint="eastAsia" w:ascii="仿宋" w:hAnsi="仿宋" w:eastAsia="仿宋" w:cs="仿宋"/>
          <w:b/>
          <w:bCs/>
          <w:highlight w:val="none"/>
          <w:lang w:val="zh-CN" w:eastAsia="zh-CN"/>
        </w:rPr>
        <w:t>附件1：</w:t>
      </w:r>
      <w:bookmarkEnd w:id="1034"/>
      <w:bookmarkEnd w:id="1035"/>
      <w:bookmarkEnd w:id="1036"/>
      <w:bookmarkEnd w:id="1037"/>
      <w:bookmarkEnd w:id="1038"/>
      <w:bookmarkEnd w:id="1039"/>
      <w:bookmarkEnd w:id="1040"/>
      <w:bookmarkEnd w:id="1041"/>
      <w:bookmarkEnd w:id="1042"/>
      <w:bookmarkEnd w:id="1043"/>
    </w:p>
    <w:p w14:paraId="3F8B37D5">
      <w:pPr>
        <w:pStyle w:val="4"/>
        <w:spacing w:line="520" w:lineRule="exact"/>
        <w:jc w:val="center"/>
        <w:outlineLvl w:val="9"/>
        <w:rPr>
          <w:rFonts w:hint="eastAsia" w:ascii="仿宋" w:hAnsi="仿宋" w:eastAsia="仿宋" w:cs="仿宋"/>
          <w:highlight w:val="none"/>
          <w:lang w:eastAsia="zh-CN"/>
        </w:rPr>
      </w:pPr>
    </w:p>
    <w:p w14:paraId="3A4AE0E2">
      <w:pPr>
        <w:pStyle w:val="4"/>
        <w:spacing w:line="520" w:lineRule="exact"/>
        <w:jc w:val="center"/>
        <w:outlineLvl w:val="0"/>
        <w:rPr>
          <w:rFonts w:hint="eastAsia" w:asciiTheme="minorEastAsia" w:hAnsiTheme="minorEastAsia" w:eastAsiaTheme="minorEastAsia" w:cstheme="minorEastAsia"/>
          <w:szCs w:val="21"/>
          <w:highlight w:val="none"/>
        </w:rPr>
      </w:pPr>
      <w:bookmarkStart w:id="1050" w:name="_Toc22731"/>
      <w:bookmarkStart w:id="1051" w:name="_Toc32405"/>
      <w:r>
        <w:rPr>
          <w:rFonts w:hint="eastAsia" w:asciiTheme="minorEastAsia" w:hAnsiTheme="minorEastAsia" w:eastAsiaTheme="minorEastAsia" w:cstheme="minorEastAsia"/>
          <w:highlight w:val="none"/>
          <w:lang w:eastAsia="zh-CN"/>
        </w:rPr>
        <w:t>比选</w:t>
      </w:r>
      <w:r>
        <w:rPr>
          <w:rFonts w:hint="eastAsia" w:asciiTheme="minorEastAsia" w:hAnsiTheme="minorEastAsia" w:eastAsiaTheme="minorEastAsia" w:cstheme="minorEastAsia"/>
          <w:highlight w:val="none"/>
        </w:rPr>
        <w:t>文件发售登记表</w:t>
      </w:r>
      <w:bookmarkEnd w:id="1044"/>
      <w:bookmarkEnd w:id="1045"/>
      <w:bookmarkEnd w:id="1046"/>
      <w:bookmarkEnd w:id="1047"/>
      <w:bookmarkEnd w:id="1048"/>
      <w:bookmarkEnd w:id="1049"/>
      <w:bookmarkEnd w:id="1050"/>
      <w:bookmarkEnd w:id="1051"/>
    </w:p>
    <w:p w14:paraId="29D066FB">
      <w:pPr>
        <w:spacing w:line="520" w:lineRule="exact"/>
        <w:rPr>
          <w:rFonts w:hint="eastAsia" w:asciiTheme="minorEastAsia" w:hAnsiTheme="minorEastAsia" w:eastAsiaTheme="minorEastAsia" w:cstheme="minorEastAsia"/>
          <w:highlight w:val="none"/>
        </w:rPr>
      </w:pPr>
    </w:p>
    <w:tbl>
      <w:tblPr>
        <w:tblStyle w:val="44"/>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2719"/>
        <w:gridCol w:w="900"/>
        <w:gridCol w:w="3121"/>
      </w:tblGrid>
      <w:tr w14:paraId="183D55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788" w:type="dxa"/>
            <w:noWrap/>
            <w:vAlign w:val="center"/>
          </w:tcPr>
          <w:p w14:paraId="3FFC9E09">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项目名称</w:t>
            </w:r>
          </w:p>
        </w:tc>
        <w:tc>
          <w:tcPr>
            <w:tcW w:w="6740" w:type="dxa"/>
            <w:gridSpan w:val="3"/>
            <w:noWrap/>
            <w:vAlign w:val="center"/>
          </w:tcPr>
          <w:p w14:paraId="27EE2A0E">
            <w:pPr>
              <w:spacing w:line="520" w:lineRule="exact"/>
              <w:jc w:val="left"/>
              <w:rPr>
                <w:rFonts w:hint="eastAsia" w:asciiTheme="minorEastAsia" w:hAnsiTheme="minorEastAsia" w:eastAsiaTheme="minorEastAsia" w:cstheme="minorEastAsia"/>
                <w:sz w:val="22"/>
                <w:szCs w:val="22"/>
                <w:highlight w:val="none"/>
              </w:rPr>
            </w:pPr>
          </w:p>
        </w:tc>
      </w:tr>
      <w:tr w14:paraId="7ADB26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788" w:type="dxa"/>
            <w:noWrap/>
            <w:vAlign w:val="center"/>
          </w:tcPr>
          <w:p w14:paraId="0B920077">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lang w:val="en-US" w:eastAsia="zh-CN"/>
              </w:rPr>
              <w:t>比选申请人</w:t>
            </w:r>
            <w:r>
              <w:rPr>
                <w:rFonts w:hint="eastAsia" w:asciiTheme="minorEastAsia" w:hAnsiTheme="minorEastAsia" w:eastAsiaTheme="minorEastAsia" w:cstheme="minorEastAsia"/>
                <w:sz w:val="22"/>
                <w:szCs w:val="22"/>
                <w:highlight w:val="none"/>
              </w:rPr>
              <w:t>名称</w:t>
            </w:r>
          </w:p>
        </w:tc>
        <w:tc>
          <w:tcPr>
            <w:tcW w:w="6740" w:type="dxa"/>
            <w:gridSpan w:val="3"/>
            <w:noWrap/>
            <w:vAlign w:val="bottom"/>
          </w:tcPr>
          <w:p w14:paraId="4199AAE6">
            <w:pPr>
              <w:spacing w:line="520" w:lineRule="exact"/>
              <w:ind w:right="600"/>
              <w:jc w:val="right"/>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w:t>
            </w:r>
            <w:r>
              <w:rPr>
                <w:rFonts w:hint="eastAsia" w:asciiTheme="minorEastAsia" w:hAnsiTheme="minorEastAsia" w:eastAsiaTheme="minorEastAsia" w:cstheme="minorEastAsia"/>
                <w:sz w:val="22"/>
                <w:szCs w:val="22"/>
                <w:highlight w:val="none"/>
                <w:lang w:val="en-US" w:eastAsia="zh-CN"/>
              </w:rPr>
              <w:t>比选申请人</w:t>
            </w:r>
            <w:r>
              <w:rPr>
                <w:rFonts w:hint="eastAsia" w:asciiTheme="minorEastAsia" w:hAnsiTheme="minorEastAsia" w:eastAsiaTheme="minorEastAsia" w:cstheme="minorEastAsia"/>
                <w:sz w:val="22"/>
                <w:szCs w:val="22"/>
                <w:highlight w:val="none"/>
              </w:rPr>
              <w:t>公章）</w:t>
            </w:r>
          </w:p>
        </w:tc>
      </w:tr>
      <w:tr w14:paraId="4703C5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788" w:type="dxa"/>
            <w:noWrap/>
            <w:vAlign w:val="center"/>
          </w:tcPr>
          <w:p w14:paraId="6A8BF190">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联系人</w:t>
            </w:r>
          </w:p>
        </w:tc>
        <w:tc>
          <w:tcPr>
            <w:tcW w:w="2719" w:type="dxa"/>
            <w:noWrap/>
            <w:vAlign w:val="center"/>
          </w:tcPr>
          <w:p w14:paraId="0EC0D3CF">
            <w:pPr>
              <w:spacing w:line="520" w:lineRule="exact"/>
              <w:jc w:val="left"/>
              <w:rPr>
                <w:rFonts w:hint="eastAsia" w:asciiTheme="minorEastAsia" w:hAnsiTheme="minorEastAsia" w:eastAsiaTheme="minorEastAsia" w:cstheme="minorEastAsia"/>
                <w:sz w:val="22"/>
                <w:szCs w:val="22"/>
                <w:highlight w:val="none"/>
              </w:rPr>
            </w:pPr>
          </w:p>
        </w:tc>
        <w:tc>
          <w:tcPr>
            <w:tcW w:w="900" w:type="dxa"/>
            <w:noWrap/>
            <w:vAlign w:val="center"/>
          </w:tcPr>
          <w:p w14:paraId="74CBA9B9">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手机</w:t>
            </w:r>
          </w:p>
        </w:tc>
        <w:tc>
          <w:tcPr>
            <w:tcW w:w="3121" w:type="dxa"/>
            <w:noWrap/>
            <w:vAlign w:val="center"/>
          </w:tcPr>
          <w:p w14:paraId="371F75BF">
            <w:pPr>
              <w:spacing w:line="520" w:lineRule="exact"/>
              <w:jc w:val="left"/>
              <w:rPr>
                <w:rFonts w:hint="eastAsia" w:asciiTheme="minorEastAsia" w:hAnsiTheme="minorEastAsia" w:eastAsiaTheme="minorEastAsia" w:cstheme="minorEastAsia"/>
                <w:sz w:val="22"/>
                <w:szCs w:val="22"/>
                <w:highlight w:val="none"/>
              </w:rPr>
            </w:pPr>
          </w:p>
        </w:tc>
      </w:tr>
      <w:tr w14:paraId="4FB85E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788" w:type="dxa"/>
            <w:noWrap/>
            <w:vAlign w:val="center"/>
          </w:tcPr>
          <w:p w14:paraId="7798A9D0">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办公电话</w:t>
            </w:r>
          </w:p>
        </w:tc>
        <w:tc>
          <w:tcPr>
            <w:tcW w:w="2719" w:type="dxa"/>
            <w:noWrap/>
            <w:vAlign w:val="center"/>
          </w:tcPr>
          <w:p w14:paraId="27705510">
            <w:pPr>
              <w:spacing w:line="520" w:lineRule="exact"/>
              <w:jc w:val="left"/>
              <w:rPr>
                <w:rFonts w:hint="eastAsia" w:asciiTheme="minorEastAsia" w:hAnsiTheme="minorEastAsia" w:eastAsiaTheme="minorEastAsia" w:cstheme="minorEastAsia"/>
                <w:sz w:val="22"/>
                <w:szCs w:val="22"/>
                <w:highlight w:val="none"/>
              </w:rPr>
            </w:pPr>
          </w:p>
        </w:tc>
        <w:tc>
          <w:tcPr>
            <w:tcW w:w="900" w:type="dxa"/>
            <w:noWrap/>
            <w:vAlign w:val="center"/>
          </w:tcPr>
          <w:p w14:paraId="3FCD4846">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传真</w:t>
            </w:r>
          </w:p>
        </w:tc>
        <w:tc>
          <w:tcPr>
            <w:tcW w:w="3121" w:type="dxa"/>
            <w:noWrap/>
            <w:vAlign w:val="center"/>
          </w:tcPr>
          <w:p w14:paraId="0BCA2820">
            <w:pPr>
              <w:spacing w:line="520" w:lineRule="exact"/>
              <w:jc w:val="left"/>
              <w:rPr>
                <w:rFonts w:hint="eastAsia" w:asciiTheme="minorEastAsia" w:hAnsiTheme="minorEastAsia" w:eastAsiaTheme="minorEastAsia" w:cstheme="minorEastAsia"/>
                <w:sz w:val="22"/>
                <w:szCs w:val="22"/>
                <w:highlight w:val="none"/>
              </w:rPr>
            </w:pPr>
          </w:p>
        </w:tc>
      </w:tr>
      <w:tr w14:paraId="45A834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788" w:type="dxa"/>
            <w:noWrap/>
            <w:vAlign w:val="center"/>
          </w:tcPr>
          <w:p w14:paraId="26DDB67B">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E-mail</w:t>
            </w:r>
          </w:p>
        </w:tc>
        <w:tc>
          <w:tcPr>
            <w:tcW w:w="6740" w:type="dxa"/>
            <w:gridSpan w:val="3"/>
            <w:noWrap/>
            <w:vAlign w:val="center"/>
          </w:tcPr>
          <w:p w14:paraId="3C433D28">
            <w:pPr>
              <w:spacing w:line="520" w:lineRule="exact"/>
              <w:jc w:val="left"/>
              <w:rPr>
                <w:rFonts w:hint="eastAsia" w:asciiTheme="minorEastAsia" w:hAnsiTheme="minorEastAsia" w:eastAsiaTheme="minorEastAsia" w:cstheme="minorEastAsia"/>
                <w:sz w:val="22"/>
                <w:szCs w:val="22"/>
                <w:highlight w:val="none"/>
              </w:rPr>
            </w:pPr>
          </w:p>
        </w:tc>
      </w:tr>
      <w:tr w14:paraId="41C766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788" w:type="dxa"/>
            <w:noWrap/>
            <w:vAlign w:val="center"/>
          </w:tcPr>
          <w:p w14:paraId="07343EF6">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单位地址</w:t>
            </w:r>
          </w:p>
        </w:tc>
        <w:tc>
          <w:tcPr>
            <w:tcW w:w="6740" w:type="dxa"/>
            <w:gridSpan w:val="3"/>
            <w:noWrap/>
            <w:vAlign w:val="center"/>
          </w:tcPr>
          <w:p w14:paraId="70AC303D">
            <w:pPr>
              <w:spacing w:line="520" w:lineRule="exact"/>
              <w:jc w:val="left"/>
              <w:rPr>
                <w:rFonts w:hint="eastAsia" w:asciiTheme="minorEastAsia" w:hAnsiTheme="minorEastAsia" w:eastAsiaTheme="minorEastAsia" w:cstheme="minorEastAsia"/>
                <w:sz w:val="22"/>
                <w:szCs w:val="22"/>
                <w:highlight w:val="none"/>
              </w:rPr>
            </w:pPr>
          </w:p>
        </w:tc>
      </w:tr>
      <w:tr w14:paraId="22702E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788" w:type="dxa"/>
            <w:noWrap/>
            <w:vAlign w:val="center"/>
          </w:tcPr>
          <w:p w14:paraId="7ADA986D">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购买时间</w:t>
            </w:r>
          </w:p>
        </w:tc>
        <w:tc>
          <w:tcPr>
            <w:tcW w:w="6740" w:type="dxa"/>
            <w:gridSpan w:val="3"/>
            <w:noWrap/>
            <w:vAlign w:val="center"/>
          </w:tcPr>
          <w:p w14:paraId="11FCDF2D">
            <w:pPr>
              <w:spacing w:line="520" w:lineRule="exact"/>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年  月  日</w:t>
            </w:r>
          </w:p>
        </w:tc>
      </w:tr>
      <w:tr w14:paraId="4F9BA7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788" w:type="dxa"/>
            <w:noWrap/>
            <w:vAlign w:val="center"/>
          </w:tcPr>
          <w:p w14:paraId="07002A38">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lang w:eastAsia="zh-CN"/>
              </w:rPr>
              <w:t>比选</w:t>
            </w:r>
            <w:r>
              <w:rPr>
                <w:rFonts w:hint="eastAsia" w:asciiTheme="minorEastAsia" w:hAnsiTheme="minorEastAsia" w:eastAsiaTheme="minorEastAsia" w:cstheme="minorEastAsia"/>
                <w:sz w:val="22"/>
                <w:szCs w:val="22"/>
                <w:highlight w:val="none"/>
              </w:rPr>
              <w:t>文件售价</w:t>
            </w:r>
          </w:p>
        </w:tc>
        <w:tc>
          <w:tcPr>
            <w:tcW w:w="6740" w:type="dxa"/>
            <w:gridSpan w:val="3"/>
            <w:noWrap/>
            <w:vAlign w:val="center"/>
          </w:tcPr>
          <w:p w14:paraId="35AE3F71">
            <w:pPr>
              <w:spacing w:line="520" w:lineRule="exact"/>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人民币：500元/份（售后不退）。</w:t>
            </w:r>
          </w:p>
        </w:tc>
      </w:tr>
      <w:tr w14:paraId="2391E3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43" w:hRule="atLeast"/>
          <w:jc w:val="center"/>
        </w:trPr>
        <w:tc>
          <w:tcPr>
            <w:tcW w:w="1788" w:type="dxa"/>
            <w:noWrap/>
            <w:vAlign w:val="center"/>
          </w:tcPr>
          <w:p w14:paraId="33AE7113">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备注</w:t>
            </w:r>
          </w:p>
        </w:tc>
        <w:tc>
          <w:tcPr>
            <w:tcW w:w="6740" w:type="dxa"/>
            <w:gridSpan w:val="3"/>
            <w:noWrap/>
            <w:vAlign w:val="center"/>
          </w:tcPr>
          <w:p w14:paraId="1F6A363F">
            <w:pPr>
              <w:kinsoku/>
              <w:wordWrap/>
              <w:overflowPunct/>
              <w:topLinePunct w:val="0"/>
              <w:autoSpaceDE/>
              <w:autoSpaceDN/>
              <w:bidi w:val="0"/>
              <w:spacing w:line="360" w:lineRule="auto"/>
              <w:ind w:left="0" w:left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bidi="ar"/>
              </w:rPr>
              <w:drawing>
                <wp:anchor distT="0" distB="0" distL="114300" distR="114300" simplePos="0" relativeHeight="251662336" behindDoc="1" locked="0" layoutInCell="1" allowOverlap="1">
                  <wp:simplePos x="0" y="0"/>
                  <wp:positionH relativeFrom="column">
                    <wp:posOffset>-50165</wp:posOffset>
                  </wp:positionH>
                  <wp:positionV relativeFrom="paragraph">
                    <wp:posOffset>-156210</wp:posOffset>
                  </wp:positionV>
                  <wp:extent cx="2106930" cy="2178685"/>
                  <wp:effectExtent l="0" t="0" r="7620" b="12065"/>
                  <wp:wrapThrough wrapText="bothSides">
                    <wp:wrapPolygon>
                      <wp:start x="0" y="0"/>
                      <wp:lineTo x="0" y="21342"/>
                      <wp:lineTo x="21483" y="21342"/>
                      <wp:lineTo x="21483" y="0"/>
                      <wp:lineTo x="0" y="0"/>
                    </wp:wrapPolygon>
                  </wp:wrapThrough>
                  <wp:docPr id="2" name="图片 2" descr="17528028307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52802830781(1)"/>
                          <pic:cNvPicPr>
                            <a:picLocks noChangeAspect="1"/>
                          </pic:cNvPicPr>
                        </pic:nvPicPr>
                        <pic:blipFill>
                          <a:blip r:embed="rId6"/>
                          <a:stretch>
                            <a:fillRect/>
                          </a:stretch>
                        </pic:blipFill>
                        <pic:spPr>
                          <a:xfrm>
                            <a:off x="0" y="0"/>
                            <a:ext cx="2106930" cy="2178685"/>
                          </a:xfrm>
                          <a:prstGeom prst="rect">
                            <a:avLst/>
                          </a:prstGeom>
                        </pic:spPr>
                      </pic:pic>
                    </a:graphicData>
                  </a:graphic>
                </wp:anchor>
              </w:drawing>
            </w:r>
            <w:r>
              <w:rPr>
                <w:rFonts w:hint="eastAsia" w:asciiTheme="minorEastAsia" w:hAnsiTheme="minorEastAsia" w:eastAsiaTheme="minorEastAsia" w:cstheme="minorEastAsia"/>
                <w:sz w:val="24"/>
                <w:szCs w:val="24"/>
                <w:highlight w:val="none"/>
                <w:lang w:bidi="ar"/>
              </w:rPr>
              <w:t>1.为方便供应商报名，可用二维码进行转账支付。</w:t>
            </w:r>
          </w:p>
          <w:p w14:paraId="3F91AEF7">
            <w:pPr>
              <w:kinsoku/>
              <w:wordWrap/>
              <w:overflowPunct/>
              <w:topLinePunct w:val="0"/>
              <w:autoSpaceDE/>
              <w:autoSpaceDN/>
              <w:bidi w:val="0"/>
              <w:spacing w:line="360" w:lineRule="auto"/>
              <w:ind w:left="0" w:left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bidi="ar"/>
              </w:rPr>
              <w:t>2.扫描二维码后的相关信息请按要求完整填写。</w:t>
            </w:r>
          </w:p>
          <w:p w14:paraId="2CC1A906">
            <w:pPr>
              <w:spacing w:line="520" w:lineRule="exact"/>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4"/>
                <w:szCs w:val="24"/>
                <w:highlight w:val="none"/>
                <w:lang w:bidi="ar"/>
              </w:rPr>
              <w:t>3.</w:t>
            </w:r>
            <w:r>
              <w:rPr>
                <w:rFonts w:hint="eastAsia" w:asciiTheme="minorEastAsia" w:hAnsiTheme="minorEastAsia" w:eastAsiaTheme="minorEastAsia" w:cstheme="minorEastAsia"/>
                <w:sz w:val="24"/>
                <w:szCs w:val="24"/>
                <w:highlight w:val="none"/>
                <w:lang w:val="en-US" w:eastAsia="zh-CN" w:bidi="ar"/>
              </w:rPr>
              <w:t>比选</w:t>
            </w:r>
            <w:r>
              <w:rPr>
                <w:rFonts w:hint="eastAsia" w:asciiTheme="minorEastAsia" w:hAnsiTheme="minorEastAsia" w:eastAsiaTheme="minorEastAsia" w:cstheme="minorEastAsia"/>
                <w:sz w:val="24"/>
                <w:szCs w:val="24"/>
                <w:highlight w:val="none"/>
                <w:lang w:bidi="ar"/>
              </w:rPr>
              <w:t>文件发售登记表盖章件可删除备注行内容。</w:t>
            </w:r>
          </w:p>
        </w:tc>
      </w:tr>
    </w:tbl>
    <w:p w14:paraId="302944DC">
      <w:pPr>
        <w:rPr>
          <w:rFonts w:hint="eastAsia"/>
          <w:highlight w:val="none"/>
        </w:rPr>
      </w:pPr>
    </w:p>
    <w:sectPr>
      <w:pgSz w:w="11906" w:h="16838"/>
      <w:pgMar w:top="1440" w:right="866"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00006FF" w:usb1="0000FCFF" w:usb2="00000001" w:usb3="00000000" w:csb0="6000019F" w:csb1="DFD70000"/>
  </w:font>
  <w:font w:name="Helvetica">
    <w:altName w:val="Arial"/>
    <w:panose1 w:val="020B0604020202020204"/>
    <w:charset w:val="00"/>
    <w:family w:val="swiss"/>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Arial"/>
    <w:panose1 w:val="020B0604020202020204"/>
    <w:charset w:val="00"/>
    <w:family w:val="roman"/>
    <w:pitch w:val="default"/>
    <w:sig w:usb0="00000000" w:usb1="00000000" w:usb2="00000000" w:usb3="00000000" w:csb0="0000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C3361">
    <w:pPr>
      <w:pStyle w:val="16"/>
      <w:spacing w:line="14" w:lineRule="auto"/>
      <w:rPr>
        <w:sz w:val="20"/>
      </w:rP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ge">
                <wp:posOffset>10095230</wp:posOffset>
              </wp:positionV>
              <wp:extent cx="166370" cy="213360"/>
              <wp:effectExtent l="0" t="0" r="0" b="0"/>
              <wp:wrapNone/>
              <wp:docPr id="4097" name="文本框 3"/>
              <wp:cNvGraphicFramePr/>
              <a:graphic xmlns:a="http://schemas.openxmlformats.org/drawingml/2006/main">
                <a:graphicData uri="http://schemas.microsoft.com/office/word/2010/wordprocessingShape">
                  <wps:wsp>
                    <wps:cNvSpPr/>
                    <wps:spPr>
                      <a:xfrm>
                        <a:off x="0" y="0"/>
                        <a:ext cx="166370" cy="213359"/>
                      </a:xfrm>
                      <a:prstGeom prst="rect">
                        <a:avLst/>
                      </a:prstGeom>
                      <a:ln>
                        <a:noFill/>
                      </a:ln>
                    </wps:spPr>
                    <wps:txbx>
                      <w:txbxContent>
                        <w:p w14:paraId="5F751D93">
                          <w:pPr>
                            <w:spacing w:before="108"/>
                            <w:ind w:left="40"/>
                            <w:jc w:val="left"/>
                            <w:rPr>
                              <w:sz w:val="18"/>
                            </w:rPr>
                          </w:pPr>
                          <w:r>
                            <w:fldChar w:fldCharType="begin"/>
                          </w:r>
                          <w:r>
                            <w:rPr>
                              <w:sz w:val="18"/>
                            </w:rPr>
                            <w:instrText xml:space="preserve"> PAGE </w:instrText>
                          </w:r>
                          <w:r>
                            <w:fldChar w:fldCharType="separate"/>
                          </w:r>
                          <w:r>
                            <w:t>12</w:t>
                          </w:r>
                          <w:r>
                            <w:fldChar w:fldCharType="end"/>
                          </w:r>
                        </w:p>
                      </w:txbxContent>
                    </wps:txbx>
                    <wps:bodyPr lIns="0" tIns="0" rIns="0" bIns="0" upright="1"/>
                  </wps:wsp>
                </a:graphicData>
              </a:graphic>
            </wp:anchor>
          </w:drawing>
        </mc:Choice>
        <mc:Fallback>
          <w:pict>
            <v:rect id="文本框 3" o:spid="_x0000_s1026" o:spt="1" style="position:absolute;left:0pt;margin-top:794.9pt;height:16.8pt;width:13.1pt;mso-position-horizontal:center;mso-position-horizontal-relative:margin;mso-position-vertical-relative:page;z-index:251661312;mso-width-relative:page;mso-height-relative:page;" filled="f" stroked="f" coordsize="21600,21600" o:gfxdata="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OfcRU2QAAAAkBAAAPAAAAAAAAAAEAIAAAACIAAABkcnMvZG93bnJldi54bWxQSwECFAAUAAAA&#10;CACHTuJAhcBYubQBAABfAwAADgAAAAAAAAABACAAAAAoAQAAZHJzL2Uyb0RvYy54bWxQSwUGAAAA&#10;AAYABgBZAQAATgUAAAAA&#10;">
              <v:fill on="f" focussize="0,0"/>
              <v:stroke on="f"/>
              <v:imagedata o:title=""/>
              <o:lock v:ext="edit" aspectratio="f"/>
              <v:textbox inset="0mm,0mm,0mm,0mm">
                <w:txbxContent>
                  <w:p w14:paraId="5F751D93">
                    <w:pPr>
                      <w:spacing w:before="108"/>
                      <w:ind w:left="40"/>
                      <w:jc w:val="left"/>
                      <w:rPr>
                        <w:sz w:val="18"/>
                      </w:rPr>
                    </w:pPr>
                    <w:r>
                      <w:fldChar w:fldCharType="begin"/>
                    </w:r>
                    <w:r>
                      <w:rPr>
                        <w:sz w:val="18"/>
                      </w:rPr>
                      <w:instrText xml:space="preserve"> PAGE </w:instrText>
                    </w:r>
                    <w:r>
                      <w:fldChar w:fldCharType="separate"/>
                    </w:r>
                    <w:r>
                      <w:t>12</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0898D">
    <w:pPr>
      <w:pStyle w:val="2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chineseCounting"/>
      <w:suff w:val="nothing"/>
      <w:lvlText w:val="（%1）"/>
      <w:lvlJc w:val="left"/>
      <w:pPr>
        <w:ind w:left="0" w:firstLine="420"/>
      </w:pPr>
      <w:rPr>
        <w:rFonts w:hint="eastAsia"/>
      </w:rPr>
    </w:lvl>
  </w:abstractNum>
  <w:abstractNum w:abstractNumId="1">
    <w:nsid w:val="00000005"/>
    <w:multiLevelType w:val="multilevel"/>
    <w:tmpl w:val="00000005"/>
    <w:lvl w:ilvl="0" w:tentative="0">
      <w:start w:val="1"/>
      <w:numFmt w:val="japaneseCounting"/>
      <w:pStyle w:val="2"/>
      <w:lvlText w:val="第%1章"/>
      <w:lvlJc w:val="left"/>
      <w:pPr>
        <w:ind w:left="4740" w:hanging="1320"/>
      </w:pPr>
      <w:rPr>
        <w:rFonts w:hint="default" w:ascii="黑体" w:cs="MingLiU"/>
      </w:rPr>
    </w:lvl>
    <w:lvl w:ilvl="1" w:tentative="0">
      <w:start w:val="1"/>
      <w:numFmt w:val="lowerLetter"/>
      <w:lvlText w:val="%2)"/>
      <w:lvlJc w:val="left"/>
      <w:pPr>
        <w:ind w:left="2475" w:hanging="420"/>
      </w:pPr>
    </w:lvl>
    <w:lvl w:ilvl="2" w:tentative="0">
      <w:start w:val="1"/>
      <w:numFmt w:val="lowerRoman"/>
      <w:lvlText w:val="%3."/>
      <w:lvlJc w:val="right"/>
      <w:pPr>
        <w:ind w:left="2895" w:hanging="420"/>
      </w:pPr>
    </w:lvl>
    <w:lvl w:ilvl="3" w:tentative="0">
      <w:start w:val="1"/>
      <w:numFmt w:val="decimal"/>
      <w:lvlText w:val="%4."/>
      <w:lvlJc w:val="left"/>
      <w:pPr>
        <w:ind w:left="3315" w:hanging="420"/>
      </w:pPr>
    </w:lvl>
    <w:lvl w:ilvl="4" w:tentative="0">
      <w:start w:val="1"/>
      <w:numFmt w:val="lowerLetter"/>
      <w:lvlText w:val="%5)"/>
      <w:lvlJc w:val="left"/>
      <w:pPr>
        <w:ind w:left="3735" w:hanging="420"/>
      </w:pPr>
    </w:lvl>
    <w:lvl w:ilvl="5" w:tentative="0">
      <w:start w:val="1"/>
      <w:numFmt w:val="lowerRoman"/>
      <w:lvlText w:val="%6."/>
      <w:lvlJc w:val="right"/>
      <w:pPr>
        <w:ind w:left="4155" w:hanging="420"/>
      </w:pPr>
    </w:lvl>
    <w:lvl w:ilvl="6" w:tentative="0">
      <w:start w:val="1"/>
      <w:numFmt w:val="decimal"/>
      <w:lvlText w:val="%7."/>
      <w:lvlJc w:val="left"/>
      <w:pPr>
        <w:ind w:left="4575" w:hanging="420"/>
      </w:pPr>
    </w:lvl>
    <w:lvl w:ilvl="7" w:tentative="0">
      <w:start w:val="1"/>
      <w:numFmt w:val="lowerLetter"/>
      <w:lvlText w:val="%8)"/>
      <w:lvlJc w:val="left"/>
      <w:pPr>
        <w:ind w:left="4995" w:hanging="420"/>
      </w:pPr>
    </w:lvl>
    <w:lvl w:ilvl="8" w:tentative="0">
      <w:start w:val="1"/>
      <w:numFmt w:val="lowerRoman"/>
      <w:lvlText w:val="%9."/>
      <w:lvlJc w:val="right"/>
      <w:pPr>
        <w:ind w:left="541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5MzljMDhmN2U0OGY3MDQ1MDYwNGJiNDMwZmZjNzcifQ=="/>
  </w:docVars>
  <w:rsids>
    <w:rsidRoot w:val="00240168"/>
    <w:rsid w:val="000545B8"/>
    <w:rsid w:val="00056535"/>
    <w:rsid w:val="000B40DE"/>
    <w:rsid w:val="00240168"/>
    <w:rsid w:val="00417514"/>
    <w:rsid w:val="00477CEC"/>
    <w:rsid w:val="004F549B"/>
    <w:rsid w:val="006754AA"/>
    <w:rsid w:val="006767B4"/>
    <w:rsid w:val="006C3C6D"/>
    <w:rsid w:val="007B1726"/>
    <w:rsid w:val="009E5869"/>
    <w:rsid w:val="00AF271C"/>
    <w:rsid w:val="00BF5D7F"/>
    <w:rsid w:val="00C3340B"/>
    <w:rsid w:val="00C72B99"/>
    <w:rsid w:val="00CC7D9E"/>
    <w:rsid w:val="00E30FAC"/>
    <w:rsid w:val="00FD48E1"/>
    <w:rsid w:val="01887E67"/>
    <w:rsid w:val="02F50C20"/>
    <w:rsid w:val="02FF1A1D"/>
    <w:rsid w:val="04C37617"/>
    <w:rsid w:val="05085AFC"/>
    <w:rsid w:val="056C605C"/>
    <w:rsid w:val="06A74829"/>
    <w:rsid w:val="06F04422"/>
    <w:rsid w:val="07713778"/>
    <w:rsid w:val="08634CE7"/>
    <w:rsid w:val="09676FE6"/>
    <w:rsid w:val="0A3E36F7"/>
    <w:rsid w:val="0AB063A2"/>
    <w:rsid w:val="0B7543B6"/>
    <w:rsid w:val="0B972056"/>
    <w:rsid w:val="0D083DF0"/>
    <w:rsid w:val="0D2766C4"/>
    <w:rsid w:val="0D2B1D93"/>
    <w:rsid w:val="0DA27AF9"/>
    <w:rsid w:val="0DA64A4A"/>
    <w:rsid w:val="0E3966AF"/>
    <w:rsid w:val="0F7F6343"/>
    <w:rsid w:val="10392996"/>
    <w:rsid w:val="107F43C2"/>
    <w:rsid w:val="121C256F"/>
    <w:rsid w:val="124F43AA"/>
    <w:rsid w:val="1262753D"/>
    <w:rsid w:val="12D361AC"/>
    <w:rsid w:val="14B571DF"/>
    <w:rsid w:val="154C1AA4"/>
    <w:rsid w:val="15A00DC2"/>
    <w:rsid w:val="15AD5A79"/>
    <w:rsid w:val="15E943C5"/>
    <w:rsid w:val="17802479"/>
    <w:rsid w:val="17F653D7"/>
    <w:rsid w:val="1923518E"/>
    <w:rsid w:val="197A300B"/>
    <w:rsid w:val="19BD63E6"/>
    <w:rsid w:val="19E716B5"/>
    <w:rsid w:val="1B1738D4"/>
    <w:rsid w:val="1B2D4F13"/>
    <w:rsid w:val="1B5A1A13"/>
    <w:rsid w:val="1B67181D"/>
    <w:rsid w:val="1B7D05E2"/>
    <w:rsid w:val="1CC7132A"/>
    <w:rsid w:val="1CFE4712"/>
    <w:rsid w:val="1D6F18DA"/>
    <w:rsid w:val="1DC046F7"/>
    <w:rsid w:val="1F1076B6"/>
    <w:rsid w:val="2085139A"/>
    <w:rsid w:val="20BF27AE"/>
    <w:rsid w:val="228C128A"/>
    <w:rsid w:val="22EF6849"/>
    <w:rsid w:val="239B0E1A"/>
    <w:rsid w:val="23E86623"/>
    <w:rsid w:val="23EB66B8"/>
    <w:rsid w:val="23FC1798"/>
    <w:rsid w:val="2443398C"/>
    <w:rsid w:val="25270153"/>
    <w:rsid w:val="25531BD7"/>
    <w:rsid w:val="25DD6FD7"/>
    <w:rsid w:val="27345D06"/>
    <w:rsid w:val="27B47F3B"/>
    <w:rsid w:val="28A075FF"/>
    <w:rsid w:val="28FC7981"/>
    <w:rsid w:val="29B80978"/>
    <w:rsid w:val="2A446D64"/>
    <w:rsid w:val="2A8A63C1"/>
    <w:rsid w:val="2AAE4F4D"/>
    <w:rsid w:val="2BDE4ED3"/>
    <w:rsid w:val="2C394A01"/>
    <w:rsid w:val="2C504E98"/>
    <w:rsid w:val="2D7626DC"/>
    <w:rsid w:val="2D940DB4"/>
    <w:rsid w:val="2DAA2E48"/>
    <w:rsid w:val="2DF126AA"/>
    <w:rsid w:val="2E4E6B30"/>
    <w:rsid w:val="2E743C6A"/>
    <w:rsid w:val="2EB060C2"/>
    <w:rsid w:val="2EDC0025"/>
    <w:rsid w:val="2EF53AD4"/>
    <w:rsid w:val="2F5A3F62"/>
    <w:rsid w:val="30316D8E"/>
    <w:rsid w:val="303663AA"/>
    <w:rsid w:val="30405223"/>
    <w:rsid w:val="307373A7"/>
    <w:rsid w:val="31880C30"/>
    <w:rsid w:val="31EE63A6"/>
    <w:rsid w:val="320F2489"/>
    <w:rsid w:val="323A4620"/>
    <w:rsid w:val="325F733D"/>
    <w:rsid w:val="32764F2C"/>
    <w:rsid w:val="32BF0477"/>
    <w:rsid w:val="332B7ED6"/>
    <w:rsid w:val="350A5F2E"/>
    <w:rsid w:val="352B5A83"/>
    <w:rsid w:val="35F67F15"/>
    <w:rsid w:val="383C4845"/>
    <w:rsid w:val="39516A2D"/>
    <w:rsid w:val="3A105C66"/>
    <w:rsid w:val="3A352BEA"/>
    <w:rsid w:val="3B3F038A"/>
    <w:rsid w:val="3B5129DA"/>
    <w:rsid w:val="3BDE2766"/>
    <w:rsid w:val="3BF539A4"/>
    <w:rsid w:val="3D0F66A9"/>
    <w:rsid w:val="3D6A3662"/>
    <w:rsid w:val="3D9077EA"/>
    <w:rsid w:val="3E742C68"/>
    <w:rsid w:val="3FDB1AC0"/>
    <w:rsid w:val="40A41DC9"/>
    <w:rsid w:val="40C854ED"/>
    <w:rsid w:val="41685D9E"/>
    <w:rsid w:val="41951D0E"/>
    <w:rsid w:val="427C3293"/>
    <w:rsid w:val="446077EA"/>
    <w:rsid w:val="44E4041B"/>
    <w:rsid w:val="45F0527E"/>
    <w:rsid w:val="4698770F"/>
    <w:rsid w:val="46DD15C6"/>
    <w:rsid w:val="476B498D"/>
    <w:rsid w:val="47981849"/>
    <w:rsid w:val="47E96DF8"/>
    <w:rsid w:val="48256D81"/>
    <w:rsid w:val="485A1120"/>
    <w:rsid w:val="486A0C38"/>
    <w:rsid w:val="49813EF8"/>
    <w:rsid w:val="4A072117"/>
    <w:rsid w:val="4A0D23DC"/>
    <w:rsid w:val="4B3D6AD7"/>
    <w:rsid w:val="4B7F49FA"/>
    <w:rsid w:val="4BF506B8"/>
    <w:rsid w:val="4CA108F7"/>
    <w:rsid w:val="4CDD7C2A"/>
    <w:rsid w:val="4D2C4DB5"/>
    <w:rsid w:val="4D2F5C79"/>
    <w:rsid w:val="4D7579E1"/>
    <w:rsid w:val="4D834C75"/>
    <w:rsid w:val="4E473EF5"/>
    <w:rsid w:val="4E780435"/>
    <w:rsid w:val="4E8A2033"/>
    <w:rsid w:val="4F053468"/>
    <w:rsid w:val="4F075043"/>
    <w:rsid w:val="50B863D3"/>
    <w:rsid w:val="50E47924"/>
    <w:rsid w:val="514C537E"/>
    <w:rsid w:val="51540CCD"/>
    <w:rsid w:val="515D3A2F"/>
    <w:rsid w:val="530604BC"/>
    <w:rsid w:val="531D2761"/>
    <w:rsid w:val="532C6FAF"/>
    <w:rsid w:val="53356BA1"/>
    <w:rsid w:val="533F163E"/>
    <w:rsid w:val="54470F34"/>
    <w:rsid w:val="55A30CE4"/>
    <w:rsid w:val="570B7A8A"/>
    <w:rsid w:val="57464C52"/>
    <w:rsid w:val="57BB14B0"/>
    <w:rsid w:val="587375E2"/>
    <w:rsid w:val="58A5065D"/>
    <w:rsid w:val="58B5726C"/>
    <w:rsid w:val="59AC454C"/>
    <w:rsid w:val="5A2E4F81"/>
    <w:rsid w:val="5A56726E"/>
    <w:rsid w:val="5A690D4F"/>
    <w:rsid w:val="5ABD616D"/>
    <w:rsid w:val="5BD63D97"/>
    <w:rsid w:val="5BEB7F91"/>
    <w:rsid w:val="5C74054A"/>
    <w:rsid w:val="5D7F0889"/>
    <w:rsid w:val="5DA90C31"/>
    <w:rsid w:val="5DFC1EDA"/>
    <w:rsid w:val="60162AB9"/>
    <w:rsid w:val="603E0F8B"/>
    <w:rsid w:val="60821BE3"/>
    <w:rsid w:val="60891F9D"/>
    <w:rsid w:val="60917251"/>
    <w:rsid w:val="612605C1"/>
    <w:rsid w:val="615269E1"/>
    <w:rsid w:val="62782477"/>
    <w:rsid w:val="62E674A6"/>
    <w:rsid w:val="6333639E"/>
    <w:rsid w:val="63657784"/>
    <w:rsid w:val="637C5D8F"/>
    <w:rsid w:val="63E44975"/>
    <w:rsid w:val="63F41F75"/>
    <w:rsid w:val="64077E72"/>
    <w:rsid w:val="65080829"/>
    <w:rsid w:val="652E32C1"/>
    <w:rsid w:val="67191D4F"/>
    <w:rsid w:val="67955879"/>
    <w:rsid w:val="67A719BE"/>
    <w:rsid w:val="67C65A33"/>
    <w:rsid w:val="67FC655C"/>
    <w:rsid w:val="68033CE9"/>
    <w:rsid w:val="68456707"/>
    <w:rsid w:val="68AF4719"/>
    <w:rsid w:val="68B5240F"/>
    <w:rsid w:val="68DE0B5A"/>
    <w:rsid w:val="693D709C"/>
    <w:rsid w:val="6A5A4B58"/>
    <w:rsid w:val="6A9B0847"/>
    <w:rsid w:val="6AA8023C"/>
    <w:rsid w:val="6AC67AF8"/>
    <w:rsid w:val="6B315C72"/>
    <w:rsid w:val="6B9C0F33"/>
    <w:rsid w:val="6C7E0384"/>
    <w:rsid w:val="6D614296"/>
    <w:rsid w:val="6DA77FEA"/>
    <w:rsid w:val="6E131936"/>
    <w:rsid w:val="6E206A44"/>
    <w:rsid w:val="6E396833"/>
    <w:rsid w:val="6EB14E94"/>
    <w:rsid w:val="6FCB0A11"/>
    <w:rsid w:val="703D6AAE"/>
    <w:rsid w:val="705D217D"/>
    <w:rsid w:val="70800909"/>
    <w:rsid w:val="7217382B"/>
    <w:rsid w:val="72AD40DF"/>
    <w:rsid w:val="72DE3FCB"/>
    <w:rsid w:val="73AD3F4B"/>
    <w:rsid w:val="73AF3858"/>
    <w:rsid w:val="73EC53C9"/>
    <w:rsid w:val="74122000"/>
    <w:rsid w:val="752E5726"/>
    <w:rsid w:val="7577799F"/>
    <w:rsid w:val="75DD397D"/>
    <w:rsid w:val="75E261BF"/>
    <w:rsid w:val="776D5ECB"/>
    <w:rsid w:val="7791148D"/>
    <w:rsid w:val="780B4581"/>
    <w:rsid w:val="785C05A0"/>
    <w:rsid w:val="78EA354B"/>
    <w:rsid w:val="795832C4"/>
    <w:rsid w:val="79667CD8"/>
    <w:rsid w:val="799F4335"/>
    <w:rsid w:val="79CE4C1B"/>
    <w:rsid w:val="7AC0781B"/>
    <w:rsid w:val="7B7A6E08"/>
    <w:rsid w:val="7BE75B20"/>
    <w:rsid w:val="7BF2149D"/>
    <w:rsid w:val="7C887303"/>
    <w:rsid w:val="7CAB09DC"/>
    <w:rsid w:val="7D1312C2"/>
    <w:rsid w:val="7D355C9B"/>
    <w:rsid w:val="7DF77813"/>
    <w:rsid w:val="7F7508B8"/>
    <w:rsid w:val="7F887B2A"/>
    <w:rsid w:val="7F8A44D3"/>
    <w:rsid w:val="7FF079B1"/>
    <w:rsid w:val="7FF7525A"/>
    <w:rsid w:val="7FFF6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17"/>
    <w:qFormat/>
    <w:uiPriority w:val="0"/>
    <w:pPr>
      <w:numPr>
        <w:ilvl w:val="0"/>
        <w:numId w:val="1"/>
      </w:numPr>
      <w:autoSpaceDE w:val="0"/>
      <w:autoSpaceDN w:val="0"/>
      <w:adjustRightInd w:val="0"/>
      <w:snapToGrid w:val="0"/>
      <w:spacing w:line="360" w:lineRule="auto"/>
      <w:jc w:val="center"/>
      <w:outlineLvl w:val="0"/>
    </w:pPr>
    <w:rPr>
      <w:rFonts w:eastAsia="黑体"/>
      <w:sz w:val="44"/>
      <w:szCs w:val="44"/>
    </w:rPr>
  </w:style>
  <w:style w:type="paragraph" w:styleId="3">
    <w:name w:val="heading 2"/>
    <w:basedOn w:val="1"/>
    <w:next w:val="1"/>
    <w:link w:val="66"/>
    <w:qFormat/>
    <w:uiPriority w:val="0"/>
    <w:pPr>
      <w:autoSpaceDE w:val="0"/>
      <w:autoSpaceDN w:val="0"/>
      <w:adjustRightInd w:val="0"/>
      <w:snapToGrid w:val="0"/>
      <w:spacing w:line="360" w:lineRule="auto"/>
      <w:jc w:val="left"/>
      <w:outlineLvl w:val="1"/>
    </w:pPr>
    <w:rPr>
      <w:rFonts w:ascii="仿宋_GB2312" w:eastAsia="仿宋_GB2312"/>
      <w:b/>
      <w:spacing w:val="1"/>
      <w:w w:val="99"/>
      <w:kern w:val="0"/>
      <w:sz w:val="28"/>
      <w:szCs w:val="32"/>
    </w:rPr>
  </w:style>
  <w:style w:type="paragraph" w:styleId="4">
    <w:name w:val="heading 3"/>
    <w:basedOn w:val="1"/>
    <w:next w:val="1"/>
    <w:link w:val="67"/>
    <w:qFormat/>
    <w:uiPriority w:val="9"/>
    <w:pPr>
      <w:autoSpaceDE w:val="0"/>
      <w:autoSpaceDN w:val="0"/>
      <w:adjustRightInd w:val="0"/>
      <w:spacing w:before="16"/>
      <w:jc w:val="left"/>
      <w:outlineLvl w:val="2"/>
    </w:pPr>
    <w:rPr>
      <w:rFonts w:ascii="仿宋_GB2312" w:eastAsia="仿宋_GB2312"/>
      <w:b/>
      <w:kern w:val="0"/>
      <w:sz w:val="24"/>
      <w:szCs w:val="28"/>
    </w:rPr>
  </w:style>
  <w:style w:type="paragraph" w:styleId="5">
    <w:name w:val="heading 4"/>
    <w:basedOn w:val="1"/>
    <w:next w:val="1"/>
    <w:link w:val="68"/>
    <w:qFormat/>
    <w:uiPriority w:val="0"/>
    <w:pPr>
      <w:jc w:val="center"/>
      <w:outlineLvl w:val="3"/>
    </w:pPr>
    <w:rPr>
      <w:rFonts w:ascii="仿宋_GB2312" w:eastAsia="仿宋_GB2312"/>
      <w:b/>
      <w:kern w:val="0"/>
      <w:sz w:val="24"/>
      <w:szCs w:val="28"/>
    </w:rPr>
  </w:style>
  <w:style w:type="paragraph" w:styleId="6">
    <w:name w:val="heading 5"/>
    <w:basedOn w:val="1"/>
    <w:next w:val="1"/>
    <w:link w:val="69"/>
    <w:qFormat/>
    <w:uiPriority w:val="0"/>
    <w:pPr>
      <w:widowControl/>
      <w:spacing w:before="100" w:beforeAutospacing="1" w:after="100" w:afterAutospacing="1"/>
      <w:jc w:val="left"/>
      <w:outlineLvl w:val="4"/>
    </w:pPr>
    <w:rPr>
      <w:rFonts w:ascii="宋体" w:hAnsi="宋体" w:cs="宋体"/>
      <w:b/>
      <w:bCs/>
      <w:kern w:val="0"/>
      <w:sz w:val="20"/>
      <w:szCs w:val="20"/>
    </w:rPr>
  </w:style>
  <w:style w:type="paragraph" w:styleId="7">
    <w:name w:val="heading 6"/>
    <w:basedOn w:val="8"/>
    <w:next w:val="1"/>
    <w:link w:val="70"/>
    <w:qFormat/>
    <w:uiPriority w:val="0"/>
    <w:pPr>
      <w:keepNext/>
      <w:keepLines/>
      <w:adjustRightInd w:val="0"/>
      <w:spacing w:line="480" w:lineRule="atLeast"/>
      <w:ind w:firstLine="200" w:firstLineChars="200"/>
      <w:outlineLvl w:val="5"/>
    </w:pPr>
    <w:rPr>
      <w:rFonts w:ascii="Calibri" w:hAnsi="Arial" w:eastAsia="仿宋_GB2312"/>
      <w:kern w:val="0"/>
      <w:sz w:val="30"/>
    </w:rPr>
  </w:style>
  <w:style w:type="paragraph" w:styleId="9">
    <w:name w:val="heading 7"/>
    <w:basedOn w:val="1"/>
    <w:next w:val="1"/>
    <w:link w:val="71"/>
    <w:qFormat/>
    <w:uiPriority w:val="99"/>
    <w:pPr>
      <w:keepNext/>
      <w:keepLines/>
      <w:adjustRightInd w:val="0"/>
      <w:spacing w:line="480" w:lineRule="atLeast"/>
      <w:ind w:left="1425" w:leftChars="175" w:hanging="900" w:hangingChars="300"/>
      <w:outlineLvl w:val="6"/>
    </w:pPr>
    <w:rPr>
      <w:rFonts w:ascii="Calibri" w:hAnsi="Calibri" w:eastAsia="仿宋_GB2312"/>
      <w:kern w:val="0"/>
      <w:sz w:val="30"/>
      <w:szCs w:val="20"/>
    </w:rPr>
  </w:style>
  <w:style w:type="paragraph" w:styleId="10">
    <w:name w:val="heading 8"/>
    <w:basedOn w:val="1"/>
    <w:next w:val="1"/>
    <w:link w:val="72"/>
    <w:qFormat/>
    <w:uiPriority w:val="99"/>
    <w:pPr>
      <w:adjustRightInd w:val="0"/>
      <w:spacing w:line="480" w:lineRule="atLeast"/>
      <w:ind w:left="2232" w:leftChars="450" w:hanging="882" w:hangingChars="294"/>
      <w:outlineLvl w:val="7"/>
    </w:pPr>
    <w:rPr>
      <w:rFonts w:ascii="Calibri" w:hAnsi="Arial" w:eastAsia="仿宋_GB2312"/>
      <w:kern w:val="0"/>
      <w:sz w:val="30"/>
      <w:szCs w:val="20"/>
    </w:rPr>
  </w:style>
  <w:style w:type="paragraph" w:styleId="11">
    <w:name w:val="heading 9"/>
    <w:basedOn w:val="1"/>
    <w:next w:val="1"/>
    <w:link w:val="73"/>
    <w:qFormat/>
    <w:uiPriority w:val="99"/>
    <w:pPr>
      <w:keepNext/>
      <w:keepLines/>
      <w:adjustRightInd w:val="0"/>
      <w:spacing w:line="480" w:lineRule="atLeast"/>
      <w:ind w:left="2979" w:leftChars="715" w:hanging="834" w:hangingChars="278"/>
      <w:outlineLvl w:val="8"/>
    </w:pPr>
    <w:rPr>
      <w:rFonts w:ascii="Calibri" w:hAnsi="Calibri" w:eastAsia="仿宋_GB2312"/>
      <w:kern w:val="0"/>
      <w:sz w:val="30"/>
      <w:szCs w:val="20"/>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8">
    <w:name w:val="Normal Indent"/>
    <w:basedOn w:val="1"/>
    <w:qFormat/>
    <w:uiPriority w:val="99"/>
    <w:pPr>
      <w:ind w:firstLine="420"/>
    </w:pPr>
    <w:rPr>
      <w:szCs w:val="20"/>
    </w:rPr>
  </w:style>
  <w:style w:type="paragraph" w:styleId="12">
    <w:name w:val="toc 7"/>
    <w:basedOn w:val="1"/>
    <w:next w:val="1"/>
    <w:qFormat/>
    <w:uiPriority w:val="39"/>
    <w:pPr>
      <w:ind w:left="1260"/>
      <w:jc w:val="left"/>
    </w:pPr>
    <w:rPr>
      <w:rFonts w:ascii="Calibri" w:hAnsi="Calibri"/>
      <w:sz w:val="18"/>
      <w:szCs w:val="18"/>
    </w:rPr>
  </w:style>
  <w:style w:type="paragraph" w:styleId="13">
    <w:name w:val="Document Map"/>
    <w:basedOn w:val="1"/>
    <w:link w:val="74"/>
    <w:qFormat/>
    <w:uiPriority w:val="0"/>
    <w:rPr>
      <w:rFonts w:ascii="宋体" w:hAnsi="Calibri"/>
      <w:sz w:val="18"/>
      <w:szCs w:val="18"/>
    </w:rPr>
  </w:style>
  <w:style w:type="paragraph" w:styleId="14">
    <w:name w:val="annotation text"/>
    <w:basedOn w:val="1"/>
    <w:link w:val="75"/>
    <w:qFormat/>
    <w:uiPriority w:val="0"/>
    <w:pPr>
      <w:adjustRightInd w:val="0"/>
      <w:spacing w:line="360" w:lineRule="atLeast"/>
      <w:jc w:val="left"/>
      <w:textAlignment w:val="baseline"/>
    </w:pPr>
    <w:rPr>
      <w:kern w:val="0"/>
      <w:sz w:val="24"/>
      <w:szCs w:val="20"/>
    </w:rPr>
  </w:style>
  <w:style w:type="paragraph" w:styleId="15">
    <w:name w:val="Body Text 3"/>
    <w:basedOn w:val="1"/>
    <w:link w:val="76"/>
    <w:qFormat/>
    <w:uiPriority w:val="0"/>
    <w:pPr>
      <w:autoSpaceDE w:val="0"/>
      <w:autoSpaceDN w:val="0"/>
      <w:adjustRightInd w:val="0"/>
      <w:snapToGrid w:val="0"/>
      <w:spacing w:line="360" w:lineRule="auto"/>
      <w:ind w:right="-20"/>
      <w:jc w:val="center"/>
    </w:pPr>
    <w:rPr>
      <w:rFonts w:ascii="宋体" w:hAnsi="宋体"/>
      <w:b/>
      <w:bCs/>
      <w:kern w:val="0"/>
      <w:sz w:val="36"/>
      <w:szCs w:val="44"/>
    </w:rPr>
  </w:style>
  <w:style w:type="paragraph" w:styleId="16">
    <w:name w:val="Body Text"/>
    <w:basedOn w:val="1"/>
    <w:next w:val="1"/>
    <w:link w:val="64"/>
    <w:qFormat/>
    <w:uiPriority w:val="99"/>
    <w:rPr>
      <w:kern w:val="0"/>
      <w:sz w:val="26"/>
      <w:szCs w:val="24"/>
    </w:rPr>
  </w:style>
  <w:style w:type="paragraph" w:styleId="17">
    <w:name w:val="Body Text Indent"/>
    <w:basedOn w:val="1"/>
    <w:link w:val="77"/>
    <w:qFormat/>
    <w:uiPriority w:val="0"/>
    <w:pPr>
      <w:spacing w:line="360" w:lineRule="auto"/>
      <w:ind w:firstLine="560" w:firstLineChars="200"/>
    </w:pPr>
    <w:rPr>
      <w:rFonts w:ascii="黑体" w:hAnsi="宋体" w:eastAsia="黑体"/>
      <w:color w:val="000000"/>
      <w:kern w:val="0"/>
      <w:sz w:val="28"/>
      <w:szCs w:val="32"/>
    </w:rPr>
  </w:style>
  <w:style w:type="paragraph" w:styleId="18">
    <w:name w:val="Block Text"/>
    <w:basedOn w:val="1"/>
    <w:qFormat/>
    <w:uiPriority w:val="99"/>
    <w:pPr>
      <w:autoSpaceDE w:val="0"/>
      <w:autoSpaceDN w:val="0"/>
      <w:adjustRightInd w:val="0"/>
      <w:spacing w:line="1270" w:lineRule="exact"/>
      <w:ind w:left="2160" w:right="-20" w:hanging="2160" w:hangingChars="300"/>
      <w:jc w:val="left"/>
    </w:pPr>
    <w:rPr>
      <w:rFonts w:eastAsia="仿宋_GB2312"/>
      <w:sz w:val="72"/>
    </w:rPr>
  </w:style>
  <w:style w:type="paragraph" w:styleId="19">
    <w:name w:val="index 4"/>
    <w:basedOn w:val="1"/>
    <w:next w:val="1"/>
    <w:qFormat/>
    <w:uiPriority w:val="99"/>
    <w:pPr>
      <w:ind w:left="600" w:leftChars="600"/>
    </w:pPr>
    <w:rPr>
      <w:rFonts w:ascii="Calibri" w:hAnsi="Calibri"/>
      <w:szCs w:val="24"/>
    </w:rPr>
  </w:style>
  <w:style w:type="paragraph" w:styleId="20">
    <w:name w:val="toc 5"/>
    <w:basedOn w:val="1"/>
    <w:next w:val="1"/>
    <w:qFormat/>
    <w:uiPriority w:val="39"/>
    <w:pPr>
      <w:ind w:left="840"/>
      <w:jc w:val="left"/>
    </w:pPr>
    <w:rPr>
      <w:rFonts w:ascii="Calibri" w:hAnsi="Calibri"/>
      <w:sz w:val="18"/>
      <w:szCs w:val="18"/>
    </w:rPr>
  </w:style>
  <w:style w:type="paragraph" w:styleId="21">
    <w:name w:val="toc 3"/>
    <w:basedOn w:val="1"/>
    <w:next w:val="1"/>
    <w:qFormat/>
    <w:uiPriority w:val="39"/>
    <w:pPr>
      <w:ind w:left="420"/>
      <w:jc w:val="left"/>
    </w:pPr>
    <w:rPr>
      <w:rFonts w:ascii="Calibri" w:hAnsi="Calibri" w:eastAsia="仿宋_GB2312"/>
      <w:iCs/>
      <w:szCs w:val="20"/>
    </w:rPr>
  </w:style>
  <w:style w:type="paragraph" w:styleId="22">
    <w:name w:val="Plain Text"/>
    <w:basedOn w:val="1"/>
    <w:link w:val="78"/>
    <w:qFormat/>
    <w:uiPriority w:val="0"/>
    <w:rPr>
      <w:rFonts w:ascii="宋体" w:hAnsi="Courier New"/>
      <w:kern w:val="0"/>
      <w:sz w:val="28"/>
      <w:szCs w:val="28"/>
    </w:rPr>
  </w:style>
  <w:style w:type="paragraph" w:styleId="23">
    <w:name w:val="toc 8"/>
    <w:basedOn w:val="1"/>
    <w:next w:val="1"/>
    <w:qFormat/>
    <w:uiPriority w:val="39"/>
    <w:pPr>
      <w:ind w:left="1470"/>
      <w:jc w:val="left"/>
    </w:pPr>
    <w:rPr>
      <w:rFonts w:ascii="Calibri" w:hAnsi="Calibri"/>
      <w:sz w:val="18"/>
      <w:szCs w:val="18"/>
    </w:rPr>
  </w:style>
  <w:style w:type="paragraph" w:styleId="24">
    <w:name w:val="Date"/>
    <w:basedOn w:val="1"/>
    <w:next w:val="1"/>
    <w:link w:val="79"/>
    <w:qFormat/>
    <w:uiPriority w:val="0"/>
    <w:pPr>
      <w:ind w:left="100" w:leftChars="2500"/>
    </w:pPr>
    <w:rPr>
      <w:szCs w:val="24"/>
    </w:rPr>
  </w:style>
  <w:style w:type="paragraph" w:styleId="25">
    <w:name w:val="Body Text Indent 2"/>
    <w:basedOn w:val="1"/>
    <w:link w:val="80"/>
    <w:qFormat/>
    <w:uiPriority w:val="0"/>
    <w:pPr>
      <w:ind w:left="1005" w:hanging="1005"/>
    </w:pPr>
    <w:rPr>
      <w:rFonts w:eastAsia="仿宋_GB2312"/>
      <w:kern w:val="0"/>
      <w:sz w:val="32"/>
      <w:szCs w:val="20"/>
    </w:rPr>
  </w:style>
  <w:style w:type="paragraph" w:styleId="26">
    <w:name w:val="endnote text"/>
    <w:basedOn w:val="1"/>
    <w:link w:val="81"/>
    <w:qFormat/>
    <w:uiPriority w:val="99"/>
    <w:pPr>
      <w:widowControl/>
      <w:snapToGrid w:val="0"/>
      <w:jc w:val="left"/>
    </w:pPr>
    <w:rPr>
      <w:rFonts w:ascii="Arial" w:hAnsi="Arial" w:cs="Arial"/>
      <w:kern w:val="0"/>
      <w:sz w:val="20"/>
      <w:szCs w:val="24"/>
      <w:lang w:eastAsia="en-US"/>
    </w:rPr>
  </w:style>
  <w:style w:type="paragraph" w:styleId="27">
    <w:name w:val="Balloon Text"/>
    <w:basedOn w:val="1"/>
    <w:link w:val="82"/>
    <w:qFormat/>
    <w:uiPriority w:val="0"/>
    <w:rPr>
      <w:kern w:val="0"/>
      <w:sz w:val="18"/>
      <w:szCs w:val="18"/>
    </w:rPr>
  </w:style>
  <w:style w:type="paragraph" w:styleId="28">
    <w:name w:val="footer"/>
    <w:basedOn w:val="1"/>
    <w:link w:val="83"/>
    <w:qFormat/>
    <w:uiPriority w:val="99"/>
    <w:pPr>
      <w:tabs>
        <w:tab w:val="center" w:pos="4153"/>
        <w:tab w:val="right" w:pos="8306"/>
      </w:tabs>
      <w:snapToGrid w:val="0"/>
      <w:jc w:val="left"/>
    </w:pPr>
    <w:rPr>
      <w:rFonts w:ascii="Calibri" w:hAnsi="Calibri"/>
      <w:kern w:val="0"/>
      <w:sz w:val="18"/>
      <w:szCs w:val="18"/>
    </w:rPr>
  </w:style>
  <w:style w:type="paragraph" w:styleId="29">
    <w:name w:val="header"/>
    <w:basedOn w:val="1"/>
    <w:link w:val="84"/>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30">
    <w:name w:val="toc 1"/>
    <w:basedOn w:val="1"/>
    <w:next w:val="1"/>
    <w:qFormat/>
    <w:uiPriority w:val="39"/>
    <w:pPr>
      <w:spacing w:before="120" w:after="120"/>
      <w:jc w:val="left"/>
    </w:pPr>
    <w:rPr>
      <w:rFonts w:ascii="Calibri" w:hAnsi="Calibri" w:eastAsia="仿宋_GB2312"/>
      <w:b/>
      <w:bCs/>
      <w:caps/>
      <w:sz w:val="28"/>
      <w:szCs w:val="20"/>
    </w:rPr>
  </w:style>
  <w:style w:type="paragraph" w:styleId="31">
    <w:name w:val="toc 4"/>
    <w:basedOn w:val="1"/>
    <w:next w:val="1"/>
    <w:qFormat/>
    <w:uiPriority w:val="39"/>
    <w:pPr>
      <w:ind w:left="630"/>
      <w:jc w:val="left"/>
    </w:pPr>
    <w:rPr>
      <w:rFonts w:ascii="Calibri" w:hAnsi="Calibri"/>
      <w:sz w:val="18"/>
      <w:szCs w:val="18"/>
    </w:rPr>
  </w:style>
  <w:style w:type="paragraph" w:styleId="32">
    <w:name w:val="Subtitle"/>
    <w:basedOn w:val="1"/>
    <w:link w:val="85"/>
    <w:qFormat/>
    <w:uiPriority w:val="0"/>
    <w:pPr>
      <w:widowControl/>
      <w:jc w:val="center"/>
    </w:pPr>
    <w:rPr>
      <w:rFonts w:ascii="宋体" w:hAnsi="Courier New"/>
    </w:rPr>
  </w:style>
  <w:style w:type="paragraph" w:styleId="33">
    <w:name w:val="footnote text"/>
    <w:basedOn w:val="1"/>
    <w:link w:val="86"/>
    <w:qFormat/>
    <w:uiPriority w:val="0"/>
    <w:pPr>
      <w:snapToGrid w:val="0"/>
      <w:jc w:val="left"/>
    </w:pPr>
    <w:rPr>
      <w:kern w:val="0"/>
      <w:sz w:val="18"/>
      <w:szCs w:val="18"/>
    </w:rPr>
  </w:style>
  <w:style w:type="paragraph" w:styleId="34">
    <w:name w:val="toc 6"/>
    <w:basedOn w:val="1"/>
    <w:next w:val="1"/>
    <w:qFormat/>
    <w:uiPriority w:val="39"/>
    <w:pPr>
      <w:ind w:left="1050"/>
      <w:jc w:val="left"/>
    </w:pPr>
    <w:rPr>
      <w:rFonts w:ascii="Calibri" w:hAnsi="Calibri"/>
      <w:sz w:val="18"/>
      <w:szCs w:val="18"/>
    </w:rPr>
  </w:style>
  <w:style w:type="paragraph" w:styleId="35">
    <w:name w:val="Body Text Indent 3"/>
    <w:basedOn w:val="1"/>
    <w:link w:val="87"/>
    <w:qFormat/>
    <w:uiPriority w:val="0"/>
    <w:pPr>
      <w:spacing w:after="120"/>
      <w:ind w:left="420" w:leftChars="200"/>
    </w:pPr>
    <w:rPr>
      <w:kern w:val="0"/>
      <w:sz w:val="16"/>
      <w:szCs w:val="16"/>
    </w:rPr>
  </w:style>
  <w:style w:type="paragraph" w:styleId="36">
    <w:name w:val="toc 2"/>
    <w:basedOn w:val="1"/>
    <w:next w:val="1"/>
    <w:qFormat/>
    <w:uiPriority w:val="39"/>
    <w:pPr>
      <w:tabs>
        <w:tab w:val="right" w:leader="dot" w:pos="8609"/>
      </w:tabs>
      <w:ind w:left="210"/>
      <w:jc w:val="distribute"/>
    </w:pPr>
    <w:rPr>
      <w:rFonts w:ascii="Calibri" w:hAnsi="Calibri" w:eastAsia="仿宋_GB2312"/>
      <w:smallCaps/>
      <w:szCs w:val="20"/>
    </w:rPr>
  </w:style>
  <w:style w:type="paragraph" w:styleId="37">
    <w:name w:val="toc 9"/>
    <w:basedOn w:val="1"/>
    <w:next w:val="1"/>
    <w:qFormat/>
    <w:uiPriority w:val="39"/>
    <w:pPr>
      <w:ind w:left="1680"/>
      <w:jc w:val="left"/>
    </w:pPr>
    <w:rPr>
      <w:rFonts w:ascii="Calibri" w:hAnsi="Calibri"/>
      <w:sz w:val="18"/>
      <w:szCs w:val="18"/>
    </w:rPr>
  </w:style>
  <w:style w:type="paragraph" w:styleId="38">
    <w:name w:val="Body Text 2"/>
    <w:basedOn w:val="1"/>
    <w:link w:val="88"/>
    <w:qFormat/>
    <w:uiPriority w:val="0"/>
    <w:rPr>
      <w:i/>
      <w:iCs/>
      <w:kern w:val="0"/>
      <w:sz w:val="26"/>
      <w:szCs w:val="24"/>
    </w:rPr>
  </w:style>
  <w:style w:type="paragraph" w:styleId="39">
    <w:name w:val="HTML Preformatted"/>
    <w:basedOn w:val="1"/>
    <w:link w:val="8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sz w:val="24"/>
      <w:szCs w:val="24"/>
    </w:rPr>
  </w:style>
  <w:style w:type="paragraph" w:styleId="40">
    <w:name w:val="Normal (Web)"/>
    <w:basedOn w:val="1"/>
    <w:qFormat/>
    <w:uiPriority w:val="99"/>
    <w:pPr>
      <w:widowControl/>
      <w:spacing w:before="100" w:beforeAutospacing="1" w:after="100" w:afterAutospacing="1"/>
      <w:jc w:val="left"/>
    </w:pPr>
    <w:rPr>
      <w:kern w:val="0"/>
      <w:sz w:val="24"/>
    </w:rPr>
  </w:style>
  <w:style w:type="paragraph" w:styleId="41">
    <w:name w:val="Title"/>
    <w:basedOn w:val="1"/>
    <w:link w:val="90"/>
    <w:qFormat/>
    <w:uiPriority w:val="0"/>
    <w:pPr>
      <w:jc w:val="center"/>
    </w:pPr>
    <w:rPr>
      <w:rFonts w:ascii="Calibri" w:hAnsi="Calibri"/>
      <w:szCs w:val="24"/>
      <w:u w:val="single"/>
      <w:lang w:eastAsia="en-US"/>
    </w:rPr>
  </w:style>
  <w:style w:type="paragraph" w:styleId="42">
    <w:name w:val="annotation subject"/>
    <w:basedOn w:val="14"/>
    <w:next w:val="14"/>
    <w:link w:val="91"/>
    <w:qFormat/>
    <w:uiPriority w:val="0"/>
    <w:pPr>
      <w:adjustRightInd/>
      <w:spacing w:line="240" w:lineRule="auto"/>
      <w:textAlignment w:val="auto"/>
    </w:pPr>
    <w:rPr>
      <w:b/>
      <w:bCs/>
      <w:szCs w:val="24"/>
    </w:rPr>
  </w:style>
  <w:style w:type="paragraph" w:styleId="43">
    <w:name w:val="Body Text First Indent"/>
    <w:basedOn w:val="16"/>
    <w:link w:val="92"/>
    <w:qFormat/>
    <w:uiPriority w:val="99"/>
    <w:pPr>
      <w:adjustRightInd w:val="0"/>
      <w:spacing w:after="120" w:line="275" w:lineRule="atLeast"/>
      <w:ind w:firstLine="420"/>
      <w:textAlignment w:val="baseline"/>
    </w:pPr>
    <w:rPr>
      <w:kern w:val="2"/>
      <w:sz w:val="24"/>
      <w:szCs w:val="21"/>
    </w:r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qFormat/>
    <w:uiPriority w:val="0"/>
    <w:rPr>
      <w:b/>
      <w:bCs/>
    </w:rPr>
  </w:style>
  <w:style w:type="character" w:styleId="48">
    <w:name w:val="page number"/>
    <w:qFormat/>
    <w:uiPriority w:val="0"/>
  </w:style>
  <w:style w:type="character" w:styleId="49">
    <w:name w:val="FollowedHyperlink"/>
    <w:qFormat/>
    <w:uiPriority w:val="0"/>
    <w:rPr>
      <w:color w:val="800080"/>
      <w:u w:val="single"/>
    </w:rPr>
  </w:style>
  <w:style w:type="character" w:styleId="50">
    <w:name w:val="Emphasis"/>
    <w:qFormat/>
    <w:uiPriority w:val="0"/>
  </w:style>
  <w:style w:type="character" w:styleId="51">
    <w:name w:val="HTML Definition"/>
    <w:qFormat/>
    <w:uiPriority w:val="0"/>
    <w:rPr>
      <w:i/>
    </w:rPr>
  </w:style>
  <w:style w:type="character" w:styleId="52">
    <w:name w:val="Hyperlink"/>
    <w:qFormat/>
    <w:uiPriority w:val="99"/>
    <w:rPr>
      <w:color w:val="0000FF"/>
      <w:u w:val="single"/>
    </w:rPr>
  </w:style>
  <w:style w:type="character" w:styleId="53">
    <w:name w:val="HTML Code"/>
    <w:qFormat/>
    <w:uiPriority w:val="0"/>
    <w:rPr>
      <w:rFonts w:hint="default" w:ascii="Consolas" w:hAnsi="Consolas" w:eastAsia="Consolas" w:cs="Consolas"/>
      <w:color w:val="C7254E"/>
      <w:sz w:val="21"/>
      <w:szCs w:val="21"/>
      <w:shd w:val="clear" w:color="auto" w:fill="F9F2F4"/>
    </w:rPr>
  </w:style>
  <w:style w:type="character" w:styleId="54">
    <w:name w:val="annotation reference"/>
    <w:qFormat/>
    <w:uiPriority w:val="0"/>
    <w:rPr>
      <w:sz w:val="21"/>
      <w:szCs w:val="21"/>
    </w:rPr>
  </w:style>
  <w:style w:type="character" w:styleId="55">
    <w:name w:val="HTML Cite"/>
    <w:qFormat/>
    <w:uiPriority w:val="0"/>
  </w:style>
  <w:style w:type="character" w:styleId="56">
    <w:name w:val="footnote reference"/>
    <w:qFormat/>
    <w:uiPriority w:val="0"/>
    <w:rPr>
      <w:vertAlign w:val="superscript"/>
    </w:rPr>
  </w:style>
  <w:style w:type="character" w:styleId="57">
    <w:name w:val="HTML Keyboard"/>
    <w:qFormat/>
    <w:uiPriority w:val="0"/>
    <w:rPr>
      <w:rFonts w:hint="default" w:ascii="Consolas" w:hAnsi="Consolas" w:eastAsia="Consolas" w:cs="Consolas"/>
      <w:color w:val="FFFFFF"/>
      <w:sz w:val="21"/>
      <w:szCs w:val="21"/>
      <w:shd w:val="clear" w:color="auto" w:fill="333333"/>
    </w:rPr>
  </w:style>
  <w:style w:type="character" w:styleId="58">
    <w:name w:val="HTML Sample"/>
    <w:qFormat/>
    <w:uiPriority w:val="0"/>
    <w:rPr>
      <w:rFonts w:ascii="Consolas" w:hAnsi="Consolas" w:eastAsia="Consolas" w:cs="Consolas"/>
      <w:sz w:val="21"/>
      <w:szCs w:val="21"/>
    </w:rPr>
  </w:style>
  <w:style w:type="paragraph" w:customStyle="1" w:styleId="59">
    <w:name w:val="无间隔1"/>
    <w:basedOn w:val="1"/>
    <w:qFormat/>
    <w:uiPriority w:val="1"/>
    <w:pPr>
      <w:spacing w:line="400" w:lineRule="exact"/>
    </w:pPr>
    <w:rPr>
      <w:rFonts w:ascii="Calibri" w:hAnsi="Calibri"/>
      <w:sz w:val="24"/>
      <w:szCs w:val="22"/>
    </w:rPr>
  </w:style>
  <w:style w:type="paragraph" w:customStyle="1" w:styleId="60">
    <w:name w:val="正文1"/>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61">
    <w:name w:val="Default"/>
    <w:qFormat/>
    <w:uiPriority w:val="99"/>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customStyle="1" w:styleId="62">
    <w:name w:val="默认"/>
    <w:qFormat/>
    <w:uiPriority w:val="0"/>
    <w:rPr>
      <w:rFonts w:ascii="Helvetica" w:hAnsi="Helvetica" w:eastAsia="宋体" w:cs="Helvetica"/>
      <w:color w:val="000000"/>
      <w:sz w:val="22"/>
      <w:szCs w:val="22"/>
      <w:lang w:val="en-US" w:eastAsia="zh-CN" w:bidi="ar-SA"/>
    </w:rPr>
  </w:style>
  <w:style w:type="paragraph" w:customStyle="1" w:styleId="63">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64">
    <w:name w:val="正文文本 字符"/>
    <w:link w:val="16"/>
    <w:qFormat/>
    <w:uiPriority w:val="99"/>
    <w:rPr>
      <w:rFonts w:ascii="Times New Roman" w:hAnsi="Times New Roman" w:eastAsia="宋体" w:cs="Times New Roman"/>
      <w:sz w:val="26"/>
      <w:szCs w:val="24"/>
    </w:rPr>
  </w:style>
  <w:style w:type="character" w:customStyle="1" w:styleId="65">
    <w:name w:val="标题 1 Char"/>
    <w:qFormat/>
    <w:uiPriority w:val="0"/>
    <w:rPr>
      <w:rFonts w:ascii="Times New Roman" w:hAnsi="Times New Roman" w:eastAsia="黑体"/>
      <w:kern w:val="2"/>
      <w:sz w:val="44"/>
      <w:szCs w:val="44"/>
    </w:rPr>
  </w:style>
  <w:style w:type="character" w:customStyle="1" w:styleId="66">
    <w:name w:val="标题 2 字符"/>
    <w:link w:val="3"/>
    <w:qFormat/>
    <w:uiPriority w:val="0"/>
    <w:rPr>
      <w:rFonts w:ascii="仿宋_GB2312" w:hAnsi="Times New Roman" w:eastAsia="仿宋_GB2312" w:cs="MingLiU"/>
      <w:b/>
      <w:spacing w:val="1"/>
      <w:w w:val="99"/>
      <w:kern w:val="0"/>
      <w:sz w:val="28"/>
      <w:szCs w:val="32"/>
    </w:rPr>
  </w:style>
  <w:style w:type="character" w:customStyle="1" w:styleId="67">
    <w:name w:val="标题 3 字符1"/>
    <w:link w:val="4"/>
    <w:qFormat/>
    <w:uiPriority w:val="9"/>
    <w:rPr>
      <w:rFonts w:ascii="仿宋_GB2312" w:hAnsi="Times New Roman" w:eastAsia="仿宋_GB2312" w:cs="MingLiU"/>
      <w:b/>
      <w:kern w:val="0"/>
      <w:sz w:val="24"/>
      <w:szCs w:val="28"/>
    </w:rPr>
  </w:style>
  <w:style w:type="character" w:customStyle="1" w:styleId="68">
    <w:name w:val="标题 4 字符"/>
    <w:link w:val="5"/>
    <w:qFormat/>
    <w:uiPriority w:val="0"/>
    <w:rPr>
      <w:rFonts w:ascii="仿宋_GB2312" w:hAnsi="Times New Roman" w:eastAsia="仿宋_GB2312" w:cs="MingLiU"/>
      <w:b/>
      <w:kern w:val="0"/>
      <w:sz w:val="24"/>
      <w:szCs w:val="28"/>
    </w:rPr>
  </w:style>
  <w:style w:type="character" w:customStyle="1" w:styleId="69">
    <w:name w:val="标题 5 字符"/>
    <w:link w:val="6"/>
    <w:qFormat/>
    <w:uiPriority w:val="0"/>
    <w:rPr>
      <w:rFonts w:ascii="宋体" w:hAnsi="宋体" w:cs="宋体"/>
      <w:b/>
      <w:bCs/>
    </w:rPr>
  </w:style>
  <w:style w:type="character" w:customStyle="1" w:styleId="70">
    <w:name w:val="标题 6 字符"/>
    <w:link w:val="7"/>
    <w:qFormat/>
    <w:uiPriority w:val="0"/>
    <w:rPr>
      <w:rFonts w:hAnsi="Arial" w:eastAsia="仿宋_GB2312"/>
      <w:sz w:val="30"/>
    </w:rPr>
  </w:style>
  <w:style w:type="character" w:customStyle="1" w:styleId="71">
    <w:name w:val="标题 7 字符"/>
    <w:link w:val="9"/>
    <w:qFormat/>
    <w:uiPriority w:val="99"/>
    <w:rPr>
      <w:rFonts w:eastAsia="仿宋_GB2312"/>
      <w:sz w:val="30"/>
    </w:rPr>
  </w:style>
  <w:style w:type="character" w:customStyle="1" w:styleId="72">
    <w:name w:val="标题 8 字符"/>
    <w:link w:val="10"/>
    <w:qFormat/>
    <w:uiPriority w:val="99"/>
    <w:rPr>
      <w:rFonts w:hAnsi="Arial" w:eastAsia="仿宋_GB2312"/>
      <w:sz w:val="30"/>
    </w:rPr>
  </w:style>
  <w:style w:type="character" w:customStyle="1" w:styleId="73">
    <w:name w:val="标题 9 字符"/>
    <w:link w:val="11"/>
    <w:qFormat/>
    <w:uiPriority w:val="99"/>
    <w:rPr>
      <w:rFonts w:eastAsia="仿宋_GB2312"/>
      <w:sz w:val="30"/>
    </w:rPr>
  </w:style>
  <w:style w:type="character" w:customStyle="1" w:styleId="74">
    <w:name w:val="文档结构图 字符"/>
    <w:link w:val="13"/>
    <w:qFormat/>
    <w:uiPriority w:val="0"/>
    <w:rPr>
      <w:rFonts w:ascii="宋体"/>
      <w:kern w:val="2"/>
      <w:sz w:val="18"/>
      <w:szCs w:val="18"/>
    </w:rPr>
  </w:style>
  <w:style w:type="character" w:customStyle="1" w:styleId="75">
    <w:name w:val="批注文字 字符"/>
    <w:link w:val="14"/>
    <w:qFormat/>
    <w:uiPriority w:val="0"/>
    <w:rPr>
      <w:rFonts w:ascii="Times New Roman" w:hAnsi="Times New Roman" w:eastAsia="宋体" w:cs="Times New Roman"/>
      <w:kern w:val="0"/>
      <w:sz w:val="24"/>
      <w:szCs w:val="20"/>
    </w:rPr>
  </w:style>
  <w:style w:type="character" w:customStyle="1" w:styleId="76">
    <w:name w:val="正文文本 3 字符"/>
    <w:link w:val="15"/>
    <w:qFormat/>
    <w:uiPriority w:val="0"/>
    <w:rPr>
      <w:rFonts w:ascii="宋体" w:hAnsi="宋体"/>
      <w:b/>
      <w:bCs/>
      <w:sz w:val="36"/>
      <w:szCs w:val="44"/>
    </w:rPr>
  </w:style>
  <w:style w:type="character" w:customStyle="1" w:styleId="77">
    <w:name w:val="正文文本缩进 字符"/>
    <w:link w:val="17"/>
    <w:qFormat/>
    <w:uiPriority w:val="0"/>
    <w:rPr>
      <w:rFonts w:ascii="黑体" w:hAnsi="宋体" w:eastAsia="黑体" w:cs="Times New Roman"/>
      <w:color w:val="000000"/>
      <w:sz w:val="28"/>
      <w:szCs w:val="32"/>
    </w:rPr>
  </w:style>
  <w:style w:type="character" w:customStyle="1" w:styleId="78">
    <w:name w:val="纯文本 字符"/>
    <w:link w:val="22"/>
    <w:qFormat/>
    <w:uiPriority w:val="0"/>
    <w:rPr>
      <w:rFonts w:ascii="宋体" w:hAnsi="Courier New" w:eastAsia="宋体" w:cs="Times New Roman"/>
      <w:sz w:val="28"/>
      <w:szCs w:val="28"/>
    </w:rPr>
  </w:style>
  <w:style w:type="character" w:customStyle="1" w:styleId="79">
    <w:name w:val="日期 字符"/>
    <w:link w:val="24"/>
    <w:qFormat/>
    <w:uiPriority w:val="0"/>
    <w:rPr>
      <w:rFonts w:ascii="Times New Roman" w:hAnsi="Times New Roman"/>
      <w:kern w:val="2"/>
      <w:sz w:val="21"/>
      <w:szCs w:val="24"/>
    </w:rPr>
  </w:style>
  <w:style w:type="character" w:customStyle="1" w:styleId="80">
    <w:name w:val="正文文本缩进 2 字符"/>
    <w:link w:val="25"/>
    <w:qFormat/>
    <w:uiPriority w:val="0"/>
    <w:rPr>
      <w:rFonts w:ascii="Times New Roman" w:hAnsi="Times New Roman" w:eastAsia="仿宋_GB2312" w:cs="Times New Roman"/>
      <w:sz w:val="32"/>
      <w:szCs w:val="20"/>
    </w:rPr>
  </w:style>
  <w:style w:type="character" w:customStyle="1" w:styleId="81">
    <w:name w:val="尾注文本 字符"/>
    <w:link w:val="26"/>
    <w:qFormat/>
    <w:uiPriority w:val="99"/>
    <w:rPr>
      <w:rFonts w:ascii="Arial" w:hAnsi="Arial" w:cs="Arial"/>
      <w:szCs w:val="24"/>
      <w:lang w:eastAsia="en-US"/>
    </w:rPr>
  </w:style>
  <w:style w:type="character" w:customStyle="1" w:styleId="82">
    <w:name w:val="批注框文本 字符"/>
    <w:link w:val="27"/>
    <w:qFormat/>
    <w:uiPriority w:val="0"/>
    <w:rPr>
      <w:rFonts w:ascii="Times New Roman" w:hAnsi="Times New Roman" w:eastAsia="宋体" w:cs="Times New Roman"/>
      <w:sz w:val="18"/>
      <w:szCs w:val="18"/>
    </w:rPr>
  </w:style>
  <w:style w:type="character" w:customStyle="1" w:styleId="83">
    <w:name w:val="页脚 字符"/>
    <w:link w:val="28"/>
    <w:qFormat/>
    <w:uiPriority w:val="99"/>
    <w:rPr>
      <w:sz w:val="18"/>
      <w:szCs w:val="18"/>
    </w:rPr>
  </w:style>
  <w:style w:type="character" w:customStyle="1" w:styleId="84">
    <w:name w:val="页眉 字符"/>
    <w:link w:val="29"/>
    <w:qFormat/>
    <w:uiPriority w:val="99"/>
    <w:rPr>
      <w:sz w:val="18"/>
      <w:szCs w:val="18"/>
    </w:rPr>
  </w:style>
  <w:style w:type="character" w:customStyle="1" w:styleId="85">
    <w:name w:val="副标题 字符"/>
    <w:link w:val="32"/>
    <w:qFormat/>
    <w:uiPriority w:val="0"/>
    <w:rPr>
      <w:rFonts w:ascii="宋体" w:hAnsi="Courier New" w:cs="Courier New"/>
      <w:kern w:val="2"/>
      <w:sz w:val="21"/>
      <w:szCs w:val="21"/>
    </w:rPr>
  </w:style>
  <w:style w:type="character" w:customStyle="1" w:styleId="86">
    <w:name w:val="脚注文本 字符"/>
    <w:link w:val="33"/>
    <w:qFormat/>
    <w:uiPriority w:val="0"/>
    <w:rPr>
      <w:rFonts w:ascii="Times New Roman" w:hAnsi="Times New Roman" w:eastAsia="宋体" w:cs="Times New Roman"/>
      <w:sz w:val="18"/>
      <w:szCs w:val="18"/>
    </w:rPr>
  </w:style>
  <w:style w:type="character" w:customStyle="1" w:styleId="87">
    <w:name w:val="正文文本缩进 3 字符"/>
    <w:link w:val="35"/>
    <w:qFormat/>
    <w:uiPriority w:val="0"/>
    <w:rPr>
      <w:rFonts w:ascii="Times New Roman" w:hAnsi="Times New Roman" w:eastAsia="宋体" w:cs="Times New Roman"/>
      <w:sz w:val="16"/>
      <w:szCs w:val="16"/>
    </w:rPr>
  </w:style>
  <w:style w:type="character" w:customStyle="1" w:styleId="88">
    <w:name w:val="正文文本 2 字符"/>
    <w:link w:val="38"/>
    <w:qFormat/>
    <w:uiPriority w:val="0"/>
    <w:rPr>
      <w:rFonts w:ascii="Times New Roman" w:hAnsi="Times New Roman" w:eastAsia="宋体" w:cs="Times New Roman"/>
      <w:i/>
      <w:iCs/>
      <w:sz w:val="26"/>
      <w:szCs w:val="24"/>
    </w:rPr>
  </w:style>
  <w:style w:type="character" w:customStyle="1" w:styleId="89">
    <w:name w:val="HTML 预设格式 字符"/>
    <w:link w:val="39"/>
    <w:qFormat/>
    <w:uiPriority w:val="99"/>
    <w:rPr>
      <w:rFonts w:ascii="宋体" w:hAnsi="宋体" w:cs="宋体"/>
      <w:color w:val="000000"/>
      <w:sz w:val="24"/>
      <w:szCs w:val="24"/>
    </w:rPr>
  </w:style>
  <w:style w:type="character" w:customStyle="1" w:styleId="90">
    <w:name w:val="标题 字符"/>
    <w:link w:val="41"/>
    <w:qFormat/>
    <w:uiPriority w:val="0"/>
    <w:rPr>
      <w:rFonts w:ascii="Calibri" w:hAnsi="Calibri"/>
      <w:kern w:val="2"/>
      <w:sz w:val="21"/>
      <w:szCs w:val="24"/>
      <w:u w:val="single"/>
      <w:lang w:eastAsia="en-US"/>
    </w:rPr>
  </w:style>
  <w:style w:type="character" w:customStyle="1" w:styleId="91">
    <w:name w:val="批注主题 字符"/>
    <w:link w:val="42"/>
    <w:qFormat/>
    <w:uiPriority w:val="0"/>
    <w:rPr>
      <w:rFonts w:ascii="Times New Roman" w:hAnsi="Times New Roman" w:eastAsia="宋体" w:cs="Times New Roman"/>
      <w:b/>
      <w:bCs/>
      <w:kern w:val="0"/>
      <w:sz w:val="24"/>
      <w:szCs w:val="24"/>
    </w:rPr>
  </w:style>
  <w:style w:type="character" w:customStyle="1" w:styleId="92">
    <w:name w:val="正文文本首行缩进 字符"/>
    <w:link w:val="43"/>
    <w:qFormat/>
    <w:uiPriority w:val="99"/>
    <w:rPr>
      <w:rFonts w:ascii="Times New Roman" w:hAnsi="Times New Roman" w:eastAsia="宋体" w:cs="Times New Roman"/>
      <w:kern w:val="2"/>
      <w:sz w:val="24"/>
      <w:szCs w:val="21"/>
    </w:rPr>
  </w:style>
  <w:style w:type="paragraph" w:customStyle="1" w:styleId="93">
    <w:name w:val="正文（缩进）"/>
    <w:basedOn w:val="1"/>
    <w:qFormat/>
    <w:uiPriority w:val="0"/>
    <w:pPr>
      <w:spacing w:afterLines="50" w:line="440" w:lineRule="exact"/>
    </w:pPr>
    <w:rPr>
      <w:rFonts w:ascii="Calibri" w:hAnsi="Calibri"/>
      <w:sz w:val="24"/>
    </w:rPr>
  </w:style>
  <w:style w:type="paragraph" w:customStyle="1" w:styleId="94">
    <w:name w:val="_Style 6"/>
    <w:next w:val="1"/>
    <w:qFormat/>
    <w:uiPriority w:val="0"/>
    <w:pPr>
      <w:wordWrap w:val="0"/>
      <w:spacing w:before="200" w:after="160"/>
      <w:ind w:left="864" w:right="864"/>
      <w:jc w:val="center"/>
    </w:pPr>
    <w:rPr>
      <w:rFonts w:ascii="Times New Roman" w:hAnsi="Times New Roman" w:eastAsia="宋体" w:cs="Times New Roman"/>
      <w:i/>
      <w:sz w:val="21"/>
      <w:szCs w:val="22"/>
      <w:lang w:val="en-US" w:eastAsia="zh-CN" w:bidi="ar-SA"/>
    </w:rPr>
  </w:style>
  <w:style w:type="paragraph" w:customStyle="1" w:styleId="95">
    <w:name w:val="No Spacing_f7072647-a37a-46c1-a105-568eef4337aa"/>
    <w:basedOn w:val="1"/>
    <w:qFormat/>
    <w:uiPriority w:val="1"/>
    <w:pPr>
      <w:spacing w:line="400" w:lineRule="exact"/>
    </w:pPr>
    <w:rPr>
      <w:sz w:val="24"/>
    </w:rPr>
  </w:style>
  <w:style w:type="character" w:customStyle="1" w:styleId="96">
    <w:name w:val="after"/>
    <w:qFormat/>
    <w:uiPriority w:val="0"/>
    <w:rPr>
      <w:shd w:val="clear" w:color="auto" w:fill="FFFFFF"/>
    </w:rPr>
  </w:style>
  <w:style w:type="character" w:customStyle="1" w:styleId="97">
    <w:name w:val="nc-lang-cnt6"/>
    <w:qFormat/>
    <w:uiPriority w:val="0"/>
  </w:style>
  <w:style w:type="character" w:customStyle="1" w:styleId="98">
    <w:name w:val="副标题 Char1"/>
    <w:qFormat/>
    <w:uiPriority w:val="0"/>
    <w:rPr>
      <w:rFonts w:ascii="Cambria" w:hAnsi="Cambria" w:cs="Times New Roman"/>
      <w:b/>
      <w:bCs/>
      <w:kern w:val="28"/>
      <w:sz w:val="32"/>
      <w:szCs w:val="32"/>
    </w:rPr>
  </w:style>
  <w:style w:type="character" w:customStyle="1" w:styleId="99">
    <w:name w:val="badge28"/>
    <w:qFormat/>
    <w:uiPriority w:val="0"/>
    <w:rPr>
      <w:color w:val="128BED"/>
    </w:rPr>
  </w:style>
  <w:style w:type="character" w:customStyle="1" w:styleId="100">
    <w:name w:val="Char Char9"/>
    <w:qFormat/>
    <w:uiPriority w:val="0"/>
    <w:rPr>
      <w:rFonts w:hint="eastAsia" w:ascii="仿宋_GB2312" w:eastAsia="仿宋_GB2312" w:cs="MingLiU"/>
      <w:b/>
      <w:sz w:val="24"/>
      <w:szCs w:val="28"/>
    </w:rPr>
  </w:style>
  <w:style w:type="character" w:customStyle="1" w:styleId="101">
    <w:name w:val="Char Char91"/>
    <w:qFormat/>
    <w:uiPriority w:val="0"/>
    <w:rPr>
      <w:rFonts w:ascii="仿宋_GB2312" w:eastAsia="仿宋_GB2312" w:cs="MingLiU"/>
      <w:b/>
      <w:sz w:val="24"/>
      <w:szCs w:val="28"/>
    </w:rPr>
  </w:style>
  <w:style w:type="character" w:customStyle="1" w:styleId="102">
    <w:name w:val="标题5 Char Char"/>
    <w:link w:val="103"/>
    <w:qFormat/>
    <w:uiPriority w:val="0"/>
    <w:rPr>
      <w:rFonts w:ascii="Arial" w:hAnsi="Arial" w:cs="Arial"/>
      <w:b/>
      <w:bCs/>
      <w:sz w:val="24"/>
      <w:szCs w:val="32"/>
    </w:rPr>
  </w:style>
  <w:style w:type="paragraph" w:customStyle="1" w:styleId="103">
    <w:name w:val="标题5"/>
    <w:basedOn w:val="4"/>
    <w:link w:val="102"/>
    <w:qFormat/>
    <w:uiPriority w:val="0"/>
    <w:pPr>
      <w:keepNext/>
      <w:keepLines/>
      <w:autoSpaceDE/>
      <w:autoSpaceDN/>
      <w:adjustRightInd/>
      <w:spacing w:before="260" w:after="260" w:line="412" w:lineRule="auto"/>
      <w:jc w:val="both"/>
    </w:pPr>
    <w:rPr>
      <w:rFonts w:ascii="Arial" w:hAnsi="Arial" w:eastAsia="宋体"/>
      <w:bCs/>
      <w:szCs w:val="32"/>
    </w:rPr>
  </w:style>
  <w:style w:type="character" w:customStyle="1" w:styleId="104">
    <w:name w:val="Char Char4"/>
    <w:qFormat/>
    <w:uiPriority w:val="0"/>
    <w:rPr>
      <w:rFonts w:hint="eastAsia" w:ascii="宋体" w:hAnsi="Courier New" w:eastAsia="宋体"/>
      <w:kern w:val="2"/>
      <w:sz w:val="28"/>
      <w:szCs w:val="28"/>
    </w:rPr>
  </w:style>
  <w:style w:type="character" w:customStyle="1" w:styleId="105">
    <w:name w:val="批注主题 Char Char"/>
    <w:qFormat/>
    <w:uiPriority w:val="0"/>
  </w:style>
  <w:style w:type="character" w:customStyle="1" w:styleId="106">
    <w:name w:val="Char Char10"/>
    <w:qFormat/>
    <w:uiPriority w:val="0"/>
    <w:rPr>
      <w:rFonts w:hint="eastAsia" w:ascii="仿宋_GB2312" w:eastAsia="仿宋_GB2312" w:cs="MingLiU"/>
      <w:b/>
      <w:spacing w:val="1"/>
      <w:w w:val="99"/>
      <w:sz w:val="28"/>
      <w:szCs w:val="32"/>
    </w:rPr>
  </w:style>
  <w:style w:type="character" w:customStyle="1" w:styleId="107">
    <w:name w:val="Char Char6"/>
    <w:qFormat/>
    <w:uiPriority w:val="0"/>
    <w:rPr>
      <w:sz w:val="24"/>
    </w:rPr>
  </w:style>
  <w:style w:type="character" w:customStyle="1" w:styleId="108">
    <w:name w:val="des8"/>
    <w:qFormat/>
    <w:uiPriority w:val="0"/>
    <w:rPr>
      <w:color w:val="333333"/>
    </w:rPr>
  </w:style>
  <w:style w:type="character" w:customStyle="1" w:styleId="109">
    <w:name w:val="Char Char7"/>
    <w:qFormat/>
    <w:uiPriority w:val="0"/>
    <w:rPr>
      <w:kern w:val="2"/>
      <w:sz w:val="18"/>
      <w:szCs w:val="18"/>
    </w:rPr>
  </w:style>
  <w:style w:type="character" w:customStyle="1" w:styleId="110">
    <w:name w:val="标题4 Char Char"/>
    <w:link w:val="111"/>
    <w:qFormat/>
    <w:uiPriority w:val="0"/>
    <w:rPr>
      <w:rFonts w:ascii="Arial" w:hAnsi="Arial" w:cs="Arial"/>
      <w:b/>
      <w:bCs/>
      <w:sz w:val="24"/>
      <w:szCs w:val="32"/>
    </w:rPr>
  </w:style>
  <w:style w:type="paragraph" w:customStyle="1" w:styleId="111">
    <w:name w:val="标题4"/>
    <w:basedOn w:val="3"/>
    <w:next w:val="19"/>
    <w:link w:val="110"/>
    <w:qFormat/>
    <w:uiPriority w:val="0"/>
    <w:pPr>
      <w:keepNext/>
      <w:keepLines/>
      <w:autoSpaceDE/>
      <w:autoSpaceDN/>
      <w:adjustRightInd/>
      <w:snapToGrid/>
      <w:spacing w:before="260" w:after="260" w:line="412" w:lineRule="auto"/>
      <w:jc w:val="both"/>
    </w:pPr>
    <w:rPr>
      <w:rFonts w:ascii="Arial" w:hAnsi="Arial" w:eastAsia="宋体"/>
      <w:bCs/>
      <w:spacing w:val="0"/>
      <w:w w:val="100"/>
      <w:sz w:val="24"/>
    </w:rPr>
  </w:style>
  <w:style w:type="character" w:customStyle="1" w:styleId="112">
    <w:name w:val="Char Char Char"/>
    <w:qFormat/>
    <w:uiPriority w:val="0"/>
    <w:rPr>
      <w:rFonts w:ascii="仿宋_GB2312" w:eastAsia="仿宋_GB2312" w:cs="MingLiU"/>
      <w:b/>
      <w:spacing w:val="1"/>
      <w:w w:val="99"/>
      <w:sz w:val="28"/>
      <w:szCs w:val="32"/>
      <w:lang w:val="en-US" w:eastAsia="zh-CN" w:bidi="ar-SA"/>
    </w:rPr>
  </w:style>
  <w:style w:type="character" w:customStyle="1" w:styleId="113">
    <w:name w:val="Char Char11"/>
    <w:qFormat/>
    <w:uiPriority w:val="0"/>
    <w:rPr>
      <w:rFonts w:eastAsia="黑体"/>
      <w:kern w:val="2"/>
      <w:sz w:val="44"/>
      <w:szCs w:val="44"/>
      <w:lang w:val="en-US" w:eastAsia="zh-CN" w:bidi="ar-SA"/>
    </w:rPr>
  </w:style>
  <w:style w:type="character" w:customStyle="1" w:styleId="114">
    <w:name w:val="nc-lang-cnt1"/>
    <w:qFormat/>
    <w:uiPriority w:val="0"/>
    <w:rPr>
      <w:rtl/>
    </w:rPr>
  </w:style>
  <w:style w:type="character" w:customStyle="1" w:styleId="115">
    <w:name w:val="Char Char8"/>
    <w:qFormat/>
    <w:uiPriority w:val="0"/>
    <w:rPr>
      <w:rFonts w:ascii="仿宋_GB2312" w:eastAsia="仿宋_GB2312" w:cs="MingLiU"/>
      <w:b/>
      <w:sz w:val="24"/>
      <w:szCs w:val="28"/>
    </w:rPr>
  </w:style>
  <w:style w:type="character" w:customStyle="1" w:styleId="116">
    <w:name w:val="Char Char101"/>
    <w:qFormat/>
    <w:uiPriority w:val="0"/>
    <w:rPr>
      <w:rFonts w:ascii="仿宋_GB2312" w:eastAsia="仿宋_GB2312" w:cs="MingLiU"/>
      <w:b/>
      <w:spacing w:val="1"/>
      <w:w w:val="99"/>
      <w:sz w:val="28"/>
      <w:szCs w:val="32"/>
    </w:rPr>
  </w:style>
  <w:style w:type="character" w:customStyle="1" w:styleId="117">
    <w:name w:val="引用 字符"/>
    <w:link w:val="118"/>
    <w:qFormat/>
    <w:uiPriority w:val="99"/>
    <w:rPr>
      <w:i/>
      <w:iCs/>
      <w:color w:val="000000"/>
      <w:kern w:val="2"/>
      <w:sz w:val="21"/>
      <w:szCs w:val="22"/>
    </w:rPr>
  </w:style>
  <w:style w:type="paragraph" w:styleId="118">
    <w:name w:val="Quote"/>
    <w:basedOn w:val="1"/>
    <w:next w:val="1"/>
    <w:link w:val="117"/>
    <w:qFormat/>
    <w:uiPriority w:val="99"/>
    <w:rPr>
      <w:rFonts w:ascii="Calibri" w:hAnsi="Calibri"/>
      <w:i/>
      <w:iCs/>
      <w:color w:val="000000"/>
      <w:szCs w:val="22"/>
    </w:rPr>
  </w:style>
  <w:style w:type="character" w:customStyle="1" w:styleId="119">
    <w:name w:val="Char Char5"/>
    <w:qFormat/>
    <w:uiPriority w:val="0"/>
    <w:rPr>
      <w:kern w:val="2"/>
      <w:sz w:val="18"/>
      <w:szCs w:val="18"/>
    </w:rPr>
  </w:style>
  <w:style w:type="character" w:customStyle="1" w:styleId="120">
    <w:name w:val="引用 Char"/>
    <w:qFormat/>
    <w:uiPriority w:val="0"/>
    <w:rPr>
      <w:rFonts w:ascii="Times New Roman" w:hAnsi="Times New Roman"/>
      <w:i/>
      <w:iCs/>
      <w:color w:val="000000"/>
      <w:kern w:val="2"/>
      <w:sz w:val="21"/>
      <w:szCs w:val="21"/>
    </w:rPr>
  </w:style>
  <w:style w:type="character" w:customStyle="1" w:styleId="121">
    <w:name w:val="nc-lang-cnt4"/>
    <w:qFormat/>
    <w:uiPriority w:val="0"/>
    <w:rPr>
      <w:rtl/>
    </w:rPr>
  </w:style>
  <w:style w:type="character" w:customStyle="1" w:styleId="122">
    <w:name w:val="明显引用 Char"/>
    <w:qFormat/>
    <w:uiPriority w:val="0"/>
    <w:rPr>
      <w:rFonts w:ascii="Times New Roman" w:hAnsi="Times New Roman"/>
      <w:b/>
      <w:bCs/>
      <w:i/>
      <w:iCs/>
      <w:color w:val="4F81BD"/>
      <w:kern w:val="2"/>
      <w:sz w:val="21"/>
      <w:szCs w:val="21"/>
    </w:rPr>
  </w:style>
  <w:style w:type="character" w:customStyle="1" w:styleId="123">
    <w:name w:val="正文首行缩进 Char1"/>
    <w:qFormat/>
    <w:uiPriority w:val="99"/>
    <w:rPr>
      <w:rFonts w:ascii="Times New Roman" w:hAnsi="Times New Roman" w:eastAsia="宋体" w:cs="Times New Roman"/>
      <w:kern w:val="2"/>
      <w:sz w:val="21"/>
      <w:szCs w:val="24"/>
    </w:rPr>
  </w:style>
  <w:style w:type="character" w:customStyle="1" w:styleId="124">
    <w:name w:val="ca-141"/>
    <w:qFormat/>
    <w:uiPriority w:val="0"/>
    <w:rPr>
      <w:rFonts w:hint="eastAsia" w:ascii="仿宋_GB2312" w:hAnsi="Times New Roman" w:eastAsia="仿宋_GB2312" w:cs="Times New Roman"/>
      <w:sz w:val="21"/>
      <w:szCs w:val="21"/>
    </w:rPr>
  </w:style>
  <w:style w:type="character" w:customStyle="1" w:styleId="125">
    <w:name w:val="Char Char71"/>
    <w:qFormat/>
    <w:uiPriority w:val="0"/>
    <w:rPr>
      <w:kern w:val="2"/>
      <w:sz w:val="18"/>
      <w:szCs w:val="18"/>
    </w:rPr>
  </w:style>
  <w:style w:type="character" w:customStyle="1" w:styleId="126">
    <w:name w:val="H2 Char1"/>
    <w:qFormat/>
    <w:uiPriority w:val="0"/>
    <w:rPr>
      <w:rFonts w:ascii="Arial" w:hAnsi="Arial" w:eastAsia="黑体"/>
      <w:b/>
      <w:bCs/>
      <w:kern w:val="2"/>
      <w:sz w:val="32"/>
      <w:szCs w:val="32"/>
      <w:lang w:val="en-US" w:eastAsia="zh-CN" w:bidi="ar-SA"/>
    </w:rPr>
  </w:style>
  <w:style w:type="character" w:customStyle="1" w:styleId="127">
    <w:name w:val="Char Char2"/>
    <w:qFormat/>
    <w:uiPriority w:val="0"/>
    <w:rPr>
      <w:rFonts w:eastAsia="宋体"/>
      <w:b/>
      <w:bCs/>
      <w:kern w:val="2"/>
      <w:sz w:val="24"/>
      <w:szCs w:val="32"/>
      <w:lang w:val="en-US" w:eastAsia="zh-CN" w:bidi="ar-SA"/>
    </w:rPr>
  </w:style>
  <w:style w:type="character" w:customStyle="1" w:styleId="128">
    <w:name w:val="正文格式 Char Char"/>
    <w:link w:val="129"/>
    <w:qFormat/>
    <w:uiPriority w:val="0"/>
    <w:rPr>
      <w:rFonts w:ascii="仿宋_GB2312" w:eastAsia="仿宋_GB2312"/>
      <w:color w:val="FF0000"/>
      <w:sz w:val="24"/>
      <w:szCs w:val="24"/>
      <w:lang w:val="en-US" w:eastAsia="zh-CN" w:bidi="ar-SA"/>
    </w:rPr>
  </w:style>
  <w:style w:type="paragraph" w:customStyle="1" w:styleId="129">
    <w:name w:val="正文格式"/>
    <w:link w:val="128"/>
    <w:qFormat/>
    <w:uiPriority w:val="0"/>
    <w:pPr>
      <w:widowControl w:val="0"/>
      <w:spacing w:line="324" w:lineRule="auto"/>
      <w:ind w:left="210" w:firstLine="480" w:firstLineChars="200"/>
      <w:jc w:val="both"/>
    </w:pPr>
    <w:rPr>
      <w:rFonts w:ascii="仿宋_GB2312" w:hAnsi="Times New Roman" w:eastAsia="仿宋_GB2312" w:cs="Times New Roman"/>
      <w:color w:val="FF0000"/>
      <w:sz w:val="24"/>
      <w:szCs w:val="24"/>
      <w:lang w:val="en-US" w:eastAsia="zh-CN" w:bidi="ar-SA"/>
    </w:rPr>
  </w:style>
  <w:style w:type="character" w:customStyle="1" w:styleId="130">
    <w:name w:val="nc-lang-cnt2"/>
    <w:qFormat/>
    <w:uiPriority w:val="0"/>
  </w:style>
  <w:style w:type="character" w:customStyle="1" w:styleId="131">
    <w:name w:val="Char Char Char1"/>
    <w:qFormat/>
    <w:uiPriority w:val="0"/>
    <w:rPr>
      <w:kern w:val="2"/>
      <w:sz w:val="18"/>
      <w:szCs w:val="18"/>
    </w:rPr>
  </w:style>
  <w:style w:type="character" w:customStyle="1" w:styleId="132">
    <w:name w:val="f142"/>
    <w:qFormat/>
    <w:uiPriority w:val="0"/>
    <w:rPr>
      <w:sz w:val="23"/>
      <w:szCs w:val="23"/>
    </w:rPr>
  </w:style>
  <w:style w:type="character" w:customStyle="1" w:styleId="133">
    <w:name w:val="Char Char3"/>
    <w:qFormat/>
    <w:uiPriority w:val="0"/>
    <w:rPr>
      <w:kern w:val="2"/>
      <w:sz w:val="18"/>
      <w:szCs w:val="18"/>
    </w:rPr>
  </w:style>
  <w:style w:type="character" w:customStyle="1" w:styleId="134">
    <w:name w:val="badge22"/>
    <w:qFormat/>
    <w:uiPriority w:val="0"/>
    <w:rPr>
      <w:shd w:val="clear" w:color="auto" w:fill="FFFFFF"/>
    </w:rPr>
  </w:style>
  <w:style w:type="character" w:customStyle="1" w:styleId="135">
    <w:name w:val="badge23"/>
    <w:qFormat/>
    <w:uiPriority w:val="0"/>
    <w:rPr>
      <w:color w:val="909090"/>
      <w:sz w:val="18"/>
      <w:szCs w:val="18"/>
    </w:rPr>
  </w:style>
  <w:style w:type="character" w:customStyle="1" w:styleId="136">
    <w:name w:val="ca-18"/>
    <w:qFormat/>
    <w:uiPriority w:val="0"/>
  </w:style>
  <w:style w:type="character" w:customStyle="1" w:styleId="137">
    <w:name w:val="badge26"/>
    <w:qFormat/>
    <w:uiPriority w:val="0"/>
    <w:rPr>
      <w:color w:val="909090"/>
      <w:sz w:val="18"/>
      <w:szCs w:val="18"/>
    </w:rPr>
  </w:style>
  <w:style w:type="character" w:customStyle="1" w:styleId="138">
    <w:name w:val="Char Char1"/>
    <w:qFormat/>
    <w:uiPriority w:val="0"/>
    <w:rPr>
      <w:i/>
      <w:iCs/>
      <w:kern w:val="2"/>
      <w:sz w:val="26"/>
      <w:szCs w:val="24"/>
    </w:rPr>
  </w:style>
  <w:style w:type="character" w:customStyle="1" w:styleId="139">
    <w:name w:val="样式1 Char Char"/>
    <w:link w:val="140"/>
    <w:qFormat/>
    <w:uiPriority w:val="0"/>
    <w:rPr>
      <w:rFonts w:ascii="宋体" w:hAnsi="宋体"/>
      <w:kern w:val="2"/>
      <w:sz w:val="21"/>
      <w:szCs w:val="21"/>
    </w:rPr>
  </w:style>
  <w:style w:type="paragraph" w:customStyle="1" w:styleId="140">
    <w:name w:val="样式1"/>
    <w:basedOn w:val="1"/>
    <w:next w:val="5"/>
    <w:link w:val="139"/>
    <w:qFormat/>
    <w:uiPriority w:val="0"/>
    <w:pPr>
      <w:spacing w:line="360" w:lineRule="auto"/>
      <w:ind w:firstLine="420" w:firstLineChars="200"/>
    </w:pPr>
    <w:rPr>
      <w:rFonts w:ascii="宋体" w:hAnsi="宋体"/>
    </w:rPr>
  </w:style>
  <w:style w:type="character" w:customStyle="1" w:styleId="141">
    <w:name w:val="badge25"/>
    <w:qFormat/>
    <w:uiPriority w:val="0"/>
    <w:rPr>
      <w:shd w:val="clear" w:color="auto" w:fill="FFFFFF"/>
    </w:rPr>
  </w:style>
  <w:style w:type="character" w:customStyle="1" w:styleId="142">
    <w:name w:val="ca-51"/>
    <w:qFormat/>
    <w:uiPriority w:val="0"/>
    <w:rPr>
      <w:rFonts w:hint="eastAsia" w:ascii="宋体" w:hAnsi="宋体" w:eastAsia="宋体"/>
      <w:b/>
      <w:bCs/>
      <w:color w:val="000000"/>
      <w:spacing w:val="-20"/>
      <w:sz w:val="16"/>
      <w:szCs w:val="16"/>
    </w:rPr>
  </w:style>
  <w:style w:type="character" w:customStyle="1" w:styleId="143">
    <w:name w:val="nc-lang-cnt5"/>
    <w:qFormat/>
    <w:uiPriority w:val="0"/>
    <w:rPr>
      <w:rtl/>
    </w:rPr>
  </w:style>
  <w:style w:type="character" w:customStyle="1" w:styleId="144">
    <w:name w:val="Char Char61"/>
    <w:qFormat/>
    <w:uiPriority w:val="0"/>
    <w:rPr>
      <w:sz w:val="24"/>
    </w:rPr>
  </w:style>
  <w:style w:type="character" w:customStyle="1" w:styleId="145">
    <w:name w:val="badge24"/>
    <w:qFormat/>
    <w:uiPriority w:val="0"/>
    <w:rPr>
      <w:color w:val="128BED"/>
    </w:rPr>
  </w:style>
  <w:style w:type="character" w:customStyle="1" w:styleId="146">
    <w:name w:val="badge27"/>
    <w:qFormat/>
    <w:uiPriority w:val="0"/>
    <w:rPr>
      <w:color w:val="128BED"/>
    </w:rPr>
  </w:style>
  <w:style w:type="character" w:customStyle="1" w:styleId="147">
    <w:name w:val="delete"/>
    <w:qFormat/>
    <w:uiPriority w:val="0"/>
  </w:style>
  <w:style w:type="character" w:customStyle="1" w:styleId="148">
    <w:name w:val="nth-child(2)"/>
    <w:qFormat/>
    <w:uiPriority w:val="0"/>
  </w:style>
  <w:style w:type="character" w:customStyle="1" w:styleId="149">
    <w:name w:val="HTML 预设格式 Char"/>
    <w:qFormat/>
    <w:uiPriority w:val="99"/>
    <w:rPr>
      <w:rFonts w:ascii="Courier New" w:hAnsi="Courier New" w:cs="Courier New"/>
      <w:kern w:val="2"/>
    </w:rPr>
  </w:style>
  <w:style w:type="character" w:customStyle="1" w:styleId="150">
    <w:name w:val="edit4"/>
    <w:qFormat/>
    <w:uiPriority w:val="0"/>
  </w:style>
  <w:style w:type="character" w:customStyle="1" w:styleId="151">
    <w:name w:val="h Char"/>
    <w:qFormat/>
    <w:uiPriority w:val="0"/>
    <w:rPr>
      <w:rFonts w:eastAsia="宋体"/>
      <w:kern w:val="2"/>
      <w:sz w:val="18"/>
      <w:szCs w:val="18"/>
      <w:lang w:val="en-US" w:eastAsia="zh-CN" w:bidi="ar-SA"/>
    </w:rPr>
  </w:style>
  <w:style w:type="character" w:customStyle="1" w:styleId="152">
    <w:name w:val="Char Char21"/>
    <w:qFormat/>
    <w:uiPriority w:val="0"/>
    <w:rPr>
      <w:kern w:val="2"/>
      <w:sz w:val="26"/>
      <w:szCs w:val="24"/>
    </w:rPr>
  </w:style>
  <w:style w:type="character" w:customStyle="1" w:styleId="153">
    <w:name w:val="标题 3 字符"/>
    <w:qFormat/>
    <w:uiPriority w:val="0"/>
    <w:rPr>
      <w:rFonts w:ascii="仿宋_GB2312" w:eastAsia="仿宋_GB2312" w:cs="MingLiU"/>
      <w:b/>
      <w:sz w:val="24"/>
      <w:szCs w:val="28"/>
      <w:lang w:val="en-US" w:eastAsia="zh-CN" w:bidi="ar-SA"/>
    </w:rPr>
  </w:style>
  <w:style w:type="character" w:customStyle="1" w:styleId="154">
    <w:name w:val="nc-lang-cnt"/>
    <w:qFormat/>
    <w:uiPriority w:val="0"/>
    <w:rPr>
      <w:rtl/>
    </w:rPr>
  </w:style>
  <w:style w:type="character" w:customStyle="1" w:styleId="155">
    <w:name w:val="正文文本 3 Char1"/>
    <w:qFormat/>
    <w:uiPriority w:val="0"/>
    <w:rPr>
      <w:rFonts w:ascii="Times New Roman" w:hAnsi="Times New Roman"/>
      <w:kern w:val="2"/>
      <w:sz w:val="16"/>
      <w:szCs w:val="16"/>
    </w:rPr>
  </w:style>
  <w:style w:type="character" w:customStyle="1" w:styleId="156">
    <w:name w:val="ca-8"/>
    <w:qFormat/>
    <w:uiPriority w:val="0"/>
  </w:style>
  <w:style w:type="character" w:customStyle="1" w:styleId="157">
    <w:name w:val="明显引用 字符"/>
    <w:link w:val="158"/>
    <w:qFormat/>
    <w:uiPriority w:val="99"/>
    <w:rPr>
      <w:b/>
      <w:bCs/>
      <w:i/>
      <w:iCs/>
      <w:color w:val="4F81BD"/>
      <w:kern w:val="2"/>
      <w:sz w:val="21"/>
      <w:szCs w:val="22"/>
    </w:rPr>
  </w:style>
  <w:style w:type="paragraph" w:styleId="158">
    <w:name w:val="Intense Quote"/>
    <w:basedOn w:val="1"/>
    <w:next w:val="1"/>
    <w:link w:val="157"/>
    <w:qFormat/>
    <w:uiPriority w:val="99"/>
    <w:pPr>
      <w:pBdr>
        <w:bottom w:val="single" w:color="4F81BD" w:sz="4" w:space="4"/>
      </w:pBdr>
      <w:spacing w:before="200" w:after="280"/>
      <w:ind w:left="936" w:right="936"/>
    </w:pPr>
    <w:rPr>
      <w:rFonts w:ascii="Calibri" w:hAnsi="Calibri"/>
      <w:b/>
      <w:bCs/>
      <w:i/>
      <w:iCs/>
      <w:color w:val="4F81BD"/>
      <w:szCs w:val="22"/>
    </w:rPr>
  </w:style>
  <w:style w:type="character" w:customStyle="1" w:styleId="159">
    <w:name w:val="Char Char51"/>
    <w:qFormat/>
    <w:uiPriority w:val="0"/>
    <w:rPr>
      <w:kern w:val="2"/>
      <w:sz w:val="18"/>
      <w:szCs w:val="18"/>
    </w:rPr>
  </w:style>
  <w:style w:type="character" w:customStyle="1" w:styleId="160">
    <w:name w:val="Char Char111"/>
    <w:qFormat/>
    <w:uiPriority w:val="0"/>
    <w:rPr>
      <w:rFonts w:eastAsia="黑体"/>
      <w:kern w:val="2"/>
      <w:sz w:val="44"/>
      <w:szCs w:val="44"/>
      <w:lang w:val="en-US" w:eastAsia="zh-CN" w:bidi="ar-SA"/>
    </w:rPr>
  </w:style>
  <w:style w:type="character" w:customStyle="1" w:styleId="161">
    <w:name w:val="尾注文本 Char"/>
    <w:qFormat/>
    <w:uiPriority w:val="0"/>
    <w:rPr>
      <w:rFonts w:ascii="Times New Roman" w:hAnsi="Times New Roman"/>
      <w:kern w:val="2"/>
      <w:sz w:val="21"/>
      <w:szCs w:val="21"/>
    </w:rPr>
  </w:style>
  <w:style w:type="character" w:customStyle="1" w:styleId="162">
    <w:name w:val="Footer-Even Char"/>
    <w:qFormat/>
    <w:uiPriority w:val="0"/>
    <w:rPr>
      <w:rFonts w:eastAsia="宋体"/>
      <w:kern w:val="2"/>
      <w:sz w:val="18"/>
      <w:szCs w:val="18"/>
      <w:lang w:val="en-US" w:eastAsia="zh-CN" w:bidi="ar-SA"/>
    </w:rPr>
  </w:style>
  <w:style w:type="character" w:customStyle="1" w:styleId="163">
    <w:name w:val="nc-lang-cnt3"/>
    <w:qFormat/>
    <w:uiPriority w:val="0"/>
  </w:style>
  <w:style w:type="character" w:customStyle="1" w:styleId="164">
    <w:name w:val="Char Char81"/>
    <w:qFormat/>
    <w:uiPriority w:val="0"/>
    <w:rPr>
      <w:rFonts w:hint="eastAsia" w:ascii="仿宋_GB2312" w:eastAsia="仿宋_GB2312" w:cs="MingLiU"/>
      <w:b/>
      <w:sz w:val="24"/>
      <w:szCs w:val="28"/>
    </w:rPr>
  </w:style>
  <w:style w:type="character" w:customStyle="1" w:styleId="165">
    <w:name w:val="文档结构图 Char1"/>
    <w:qFormat/>
    <w:uiPriority w:val="0"/>
    <w:rPr>
      <w:rFonts w:ascii="宋体" w:hAnsi="Times New Roman"/>
      <w:kern w:val="2"/>
      <w:sz w:val="18"/>
      <w:szCs w:val="18"/>
    </w:rPr>
  </w:style>
  <w:style w:type="character" w:customStyle="1" w:styleId="166">
    <w:name w:val="普通文字 Char Char1"/>
    <w:qFormat/>
    <w:uiPriority w:val="0"/>
    <w:rPr>
      <w:rFonts w:ascii="宋体" w:hAnsi="Courier New" w:eastAsia="宋体"/>
      <w:kern w:val="2"/>
      <w:sz w:val="28"/>
      <w:szCs w:val="28"/>
      <w:lang w:val="en-US" w:eastAsia="zh-CN" w:bidi="ar-SA"/>
    </w:rPr>
  </w:style>
  <w:style w:type="character" w:customStyle="1" w:styleId="167">
    <w:name w:val="Char Char31"/>
    <w:qFormat/>
    <w:uiPriority w:val="0"/>
    <w:rPr>
      <w:kern w:val="2"/>
      <w:sz w:val="18"/>
      <w:szCs w:val="18"/>
    </w:rPr>
  </w:style>
  <w:style w:type="paragraph" w:customStyle="1" w:styleId="168">
    <w:name w:val="Char"/>
    <w:basedOn w:val="1"/>
    <w:qFormat/>
    <w:uiPriority w:val="99"/>
  </w:style>
  <w:style w:type="paragraph" w:customStyle="1" w:styleId="169">
    <w:name w:val="Char Char16"/>
    <w:basedOn w:val="1"/>
    <w:qFormat/>
    <w:uiPriority w:val="0"/>
    <w:rPr>
      <w:szCs w:val="20"/>
    </w:rPr>
  </w:style>
  <w:style w:type="paragraph" w:customStyle="1" w:styleId="170">
    <w:name w:val="Char Char Char Char Char Char"/>
    <w:basedOn w:val="1"/>
    <w:qFormat/>
    <w:uiPriority w:val="0"/>
  </w:style>
  <w:style w:type="paragraph" w:customStyle="1" w:styleId="171">
    <w:name w:val="Char Char6 Char Char"/>
    <w:basedOn w:val="1"/>
    <w:qFormat/>
    <w:uiPriority w:val="0"/>
    <w:rPr>
      <w:szCs w:val="20"/>
    </w:rPr>
  </w:style>
  <w:style w:type="paragraph" w:customStyle="1" w:styleId="172">
    <w:name w:val="正文文本缩进2"/>
    <w:basedOn w:val="1"/>
    <w:qFormat/>
    <w:uiPriority w:val="0"/>
    <w:pPr>
      <w:spacing w:after="120"/>
      <w:ind w:left="420" w:leftChars="200"/>
    </w:pPr>
    <w:rPr>
      <w:rFonts w:ascii="Calibri" w:hAnsi="Calibri"/>
      <w:szCs w:val="20"/>
    </w:rPr>
  </w:style>
  <w:style w:type="paragraph" w:customStyle="1" w:styleId="173">
    <w:name w:val="Char Char Char Char Char Char Char"/>
    <w:basedOn w:val="1"/>
    <w:qFormat/>
    <w:uiPriority w:val="0"/>
    <w:pPr>
      <w:widowControl/>
      <w:spacing w:after="160" w:line="360" w:lineRule="auto"/>
      <w:ind w:firstLine="200" w:firstLineChars="200"/>
      <w:jc w:val="left"/>
    </w:pPr>
    <w:rPr>
      <w:rFonts w:ascii="Verdana" w:hAnsi="Verdana" w:eastAsia="黑体"/>
      <w:kern w:val="0"/>
      <w:szCs w:val="20"/>
      <w:lang w:eastAsia="en-US"/>
    </w:rPr>
  </w:style>
  <w:style w:type="paragraph" w:customStyle="1" w:styleId="174">
    <w:name w:val="_Style 7"/>
    <w:basedOn w:val="1"/>
    <w:next w:val="22"/>
    <w:qFormat/>
    <w:uiPriority w:val="0"/>
    <w:rPr>
      <w:rFonts w:ascii="宋体" w:hAnsi="Courier New"/>
      <w:szCs w:val="20"/>
    </w:rPr>
  </w:style>
  <w:style w:type="paragraph" w:customStyle="1" w:styleId="175">
    <w:name w:val="样式 标题 2 + Times New Roman 四号 非加粗 段前: 5 磅 段后: 0 磅 行距: 固定值 20..."/>
    <w:basedOn w:val="3"/>
    <w:qFormat/>
    <w:uiPriority w:val="99"/>
    <w:pPr>
      <w:keepNext/>
      <w:keepLines/>
      <w:autoSpaceDE/>
      <w:autoSpaceDN/>
      <w:adjustRightInd/>
      <w:snapToGrid/>
      <w:spacing w:before="100" w:line="400" w:lineRule="exact"/>
      <w:jc w:val="both"/>
    </w:pPr>
    <w:rPr>
      <w:rFonts w:ascii="Times New Roman" w:eastAsia="黑体" w:cs="宋体"/>
      <w:b w:val="0"/>
      <w:spacing w:val="0"/>
      <w:w w:val="100"/>
      <w:kern w:val="2"/>
      <w:szCs w:val="20"/>
    </w:rPr>
  </w:style>
  <w:style w:type="paragraph" w:customStyle="1" w:styleId="176">
    <w:name w:val="Char1"/>
    <w:basedOn w:val="1"/>
    <w:qFormat/>
    <w:uiPriority w:val="0"/>
    <w:rPr>
      <w:rFonts w:ascii="Tahoma" w:hAnsi="Tahoma"/>
      <w:sz w:val="24"/>
      <w:szCs w:val="20"/>
    </w:rPr>
  </w:style>
  <w:style w:type="paragraph" w:customStyle="1" w:styleId="177">
    <w:name w:val="Char1 Char Char Char"/>
    <w:basedOn w:val="1"/>
    <w:qFormat/>
    <w:uiPriority w:val="0"/>
    <w:pPr>
      <w:widowControl/>
      <w:spacing w:after="160" w:line="240" w:lineRule="exact"/>
      <w:jc w:val="left"/>
    </w:pPr>
    <w:rPr>
      <w:rFonts w:ascii="Verdana" w:hAnsi="Verdana" w:eastAsia="仿宋_GB2312"/>
      <w:kern w:val="0"/>
      <w:sz w:val="30"/>
      <w:szCs w:val="30"/>
      <w:lang w:eastAsia="en-US"/>
    </w:rPr>
  </w:style>
  <w:style w:type="paragraph" w:customStyle="1" w:styleId="178">
    <w:name w:val="Char Char Char1 Char Char Char Char Char Char Char Char Char Char Char Char Char Char Char Char"/>
    <w:basedOn w:val="1"/>
    <w:qFormat/>
    <w:uiPriority w:val="0"/>
    <w:pPr>
      <w:snapToGrid w:val="0"/>
      <w:spacing w:line="360" w:lineRule="auto"/>
      <w:ind w:firstLine="200" w:firstLineChars="200"/>
    </w:pPr>
    <w:rPr>
      <w:rFonts w:eastAsia="仿宋_GB2312"/>
      <w:sz w:val="24"/>
    </w:rPr>
  </w:style>
  <w:style w:type="paragraph" w:customStyle="1" w:styleId="179">
    <w:name w:val="Char3"/>
    <w:basedOn w:val="1"/>
    <w:qFormat/>
    <w:uiPriority w:val="0"/>
    <w:rPr>
      <w:sz w:val="28"/>
      <w:szCs w:val="20"/>
    </w:rPr>
  </w:style>
  <w:style w:type="paragraph" w:customStyle="1" w:styleId="180">
    <w:name w:val="默认段落字体 Para Char Char Char Char"/>
    <w:basedOn w:val="1"/>
    <w:qFormat/>
    <w:uiPriority w:val="0"/>
  </w:style>
  <w:style w:type="paragraph" w:customStyle="1" w:styleId="181">
    <w:name w:val="_Style 176"/>
    <w:basedOn w:val="2"/>
    <w:next w:val="1"/>
    <w:qFormat/>
    <w:uiPriority w:val="99"/>
    <w:pPr>
      <w:keepNext/>
      <w:keepLines/>
      <w:widowControl/>
      <w:numPr>
        <w:numId w:val="0"/>
      </w:numPr>
      <w:autoSpaceDE/>
      <w:autoSpaceDN/>
      <w:adjustRightInd/>
      <w:snapToGrid/>
      <w:spacing w:before="480" w:line="276" w:lineRule="auto"/>
      <w:jc w:val="left"/>
      <w:outlineLvl w:val="9"/>
    </w:pPr>
    <w:rPr>
      <w:rFonts w:ascii="Cambria" w:hAnsi="Cambria" w:eastAsia="宋体"/>
      <w:b/>
      <w:bCs/>
      <w:color w:val="365F91"/>
      <w:kern w:val="0"/>
      <w:sz w:val="28"/>
      <w:szCs w:val="28"/>
    </w:rPr>
  </w:style>
  <w:style w:type="paragraph" w:customStyle="1" w:styleId="182">
    <w:name w:val="3 Char Char Char Char Char Char Char Char Char3 Char Char Char Char Char Char Char Char Char Char"/>
    <w:basedOn w:val="1"/>
    <w:qFormat/>
    <w:uiPriority w:val="0"/>
    <w:pPr>
      <w:snapToGrid w:val="0"/>
      <w:spacing w:line="360" w:lineRule="auto"/>
      <w:ind w:firstLine="200" w:firstLineChars="200"/>
    </w:pPr>
    <w:rPr>
      <w:rFonts w:eastAsia="仿宋_GB2312"/>
      <w:sz w:val="24"/>
    </w:rPr>
  </w:style>
  <w:style w:type="paragraph" w:customStyle="1" w:styleId="183">
    <w:name w:val="Char Char Char Char Char Char Char Char Char"/>
    <w:basedOn w:val="1"/>
    <w:qFormat/>
    <w:uiPriority w:val="0"/>
  </w:style>
  <w:style w:type="paragraph" w:customStyle="1" w:styleId="184">
    <w:name w:val="p16"/>
    <w:basedOn w:val="1"/>
    <w:qFormat/>
    <w:uiPriority w:val="99"/>
    <w:pPr>
      <w:widowControl/>
    </w:pPr>
    <w:rPr>
      <w:kern w:val="0"/>
    </w:rPr>
  </w:style>
  <w:style w:type="paragraph" w:customStyle="1" w:styleId="185">
    <w:name w:val="Char Char Char Char"/>
    <w:basedOn w:val="1"/>
    <w:qFormat/>
    <w:uiPriority w:val="0"/>
    <w:pPr>
      <w:jc w:val="center"/>
    </w:pPr>
    <w:rPr>
      <w:rFonts w:ascii="仿宋_GB2312" w:eastAsia="仿宋_GB2312"/>
      <w:b/>
      <w:sz w:val="32"/>
      <w:szCs w:val="32"/>
    </w:rPr>
  </w:style>
  <w:style w:type="paragraph" w:customStyle="1" w:styleId="186">
    <w:name w:val="样式2"/>
    <w:basedOn w:val="3"/>
    <w:qFormat/>
    <w:uiPriority w:val="0"/>
    <w:pPr>
      <w:keepNext/>
      <w:keepLines/>
      <w:snapToGrid/>
      <w:spacing w:before="260" w:after="260" w:line="300" w:lineRule="exact"/>
      <w:ind w:left="220" w:right="-20"/>
      <w:jc w:val="center"/>
    </w:pPr>
    <w:rPr>
      <w:rFonts w:ascii="宋体" w:hAnsi="宋体"/>
      <w:bCs/>
      <w:spacing w:val="0"/>
    </w:rPr>
  </w:style>
  <w:style w:type="paragraph" w:customStyle="1" w:styleId="187">
    <w:name w:val="样式3"/>
    <w:basedOn w:val="4"/>
    <w:qFormat/>
    <w:uiPriority w:val="0"/>
    <w:pPr>
      <w:keepNext/>
      <w:keepLines/>
      <w:spacing w:before="0" w:line="360" w:lineRule="auto"/>
      <w:ind w:left="119" w:right="-23"/>
    </w:pPr>
    <w:rPr>
      <w:rFonts w:ascii="宋体" w:hAnsi="宋体"/>
      <w:kern w:val="2"/>
      <w:szCs w:val="20"/>
    </w:rPr>
  </w:style>
  <w:style w:type="paragraph" w:customStyle="1" w:styleId="188">
    <w:name w:val="pa-34"/>
    <w:basedOn w:val="1"/>
    <w:qFormat/>
    <w:uiPriority w:val="99"/>
    <w:pPr>
      <w:widowControl/>
      <w:spacing w:line="360" w:lineRule="atLeast"/>
      <w:ind w:firstLine="420"/>
      <w:jc w:val="left"/>
    </w:pPr>
    <w:rPr>
      <w:rFonts w:ascii="宋体" w:hAnsi="宋体" w:cs="宋体"/>
      <w:kern w:val="0"/>
      <w:sz w:val="24"/>
    </w:rPr>
  </w:style>
  <w:style w:type="paragraph" w:customStyle="1" w:styleId="189">
    <w:name w:val="默认段落字体 Para Char Char Char Char Char Char Char Char Char Char Char Char Char"/>
    <w:basedOn w:val="1"/>
    <w:qFormat/>
    <w:uiPriority w:val="0"/>
    <w:rPr>
      <w:szCs w:val="20"/>
    </w:rPr>
  </w:style>
  <w:style w:type="paragraph" w:customStyle="1" w:styleId="190">
    <w:name w:val="WPSOffice手动目录 1"/>
    <w:qFormat/>
    <w:uiPriority w:val="0"/>
    <w:rPr>
      <w:rFonts w:ascii="Times New Roman" w:hAnsi="Times New Roman" w:eastAsia="宋体" w:cs="Times New Roman"/>
      <w:lang w:val="en-US" w:eastAsia="zh-CN" w:bidi="ar-SA"/>
    </w:rPr>
  </w:style>
  <w:style w:type="paragraph" w:customStyle="1" w:styleId="191">
    <w:name w:val="样式 标题 3 + (中文) 黑体 小四 非加粗 段前: 7.8 磅 段后: 0 磅 行距: 固定值 20 磅"/>
    <w:basedOn w:val="4"/>
    <w:qFormat/>
    <w:uiPriority w:val="99"/>
    <w:pPr>
      <w:keepNext/>
      <w:keepLines/>
      <w:autoSpaceDE/>
      <w:autoSpaceDN/>
      <w:adjustRightInd/>
      <w:spacing w:before="0" w:line="400" w:lineRule="exact"/>
      <w:jc w:val="both"/>
    </w:pPr>
    <w:rPr>
      <w:rFonts w:ascii="Times New Roman" w:eastAsia="黑体" w:cs="宋体"/>
      <w:b w:val="0"/>
      <w:kern w:val="2"/>
      <w:szCs w:val="20"/>
    </w:rPr>
  </w:style>
  <w:style w:type="paragraph" w:customStyle="1" w:styleId="192">
    <w:name w:val="Char Char18"/>
    <w:basedOn w:val="1"/>
    <w:qFormat/>
    <w:uiPriority w:val="0"/>
  </w:style>
  <w:style w:type="paragraph" w:customStyle="1" w:styleId="193">
    <w:name w:val="BT3"/>
    <w:basedOn w:val="4"/>
    <w:qFormat/>
    <w:uiPriority w:val="0"/>
    <w:pPr>
      <w:keepNext/>
      <w:keepLines/>
      <w:autoSpaceDE/>
      <w:autoSpaceDN/>
      <w:snapToGrid w:val="0"/>
      <w:spacing w:before="260" w:after="260" w:line="440" w:lineRule="exact"/>
      <w:jc w:val="both"/>
    </w:pPr>
    <w:rPr>
      <w:rFonts w:hAnsi="宋体"/>
      <w:kern w:val="2"/>
      <w:sz w:val="28"/>
    </w:rPr>
  </w:style>
  <w:style w:type="paragraph" w:customStyle="1" w:styleId="194">
    <w:name w:val="3"/>
    <w:basedOn w:val="1"/>
    <w:qFormat/>
    <w:uiPriority w:val="0"/>
    <w:pPr>
      <w:widowControl/>
      <w:adjustRightInd w:val="0"/>
      <w:snapToGrid w:val="0"/>
      <w:spacing w:line="360" w:lineRule="auto"/>
      <w:ind w:firstLine="200" w:firstLineChars="200"/>
      <w:jc w:val="left"/>
    </w:pPr>
    <w:rPr>
      <w:rFonts w:ascii="Tahoma" w:hAnsi="Tahoma" w:cs="Tahoma"/>
      <w:kern w:val="0"/>
      <w:sz w:val="20"/>
      <w:szCs w:val="20"/>
      <w:lang w:eastAsia="en-US"/>
    </w:rPr>
  </w:style>
  <w:style w:type="paragraph" w:customStyle="1" w:styleId="195">
    <w:name w:val="1"/>
    <w:basedOn w:val="1"/>
    <w:next w:val="16"/>
    <w:qFormat/>
    <w:uiPriority w:val="99"/>
    <w:pPr>
      <w:spacing w:after="120"/>
    </w:pPr>
  </w:style>
  <w:style w:type="paragraph" w:styleId="196">
    <w:name w:val="List Paragraph"/>
    <w:basedOn w:val="1"/>
    <w:qFormat/>
    <w:uiPriority w:val="99"/>
    <w:pPr>
      <w:ind w:firstLine="420" w:firstLineChars="200"/>
    </w:pPr>
    <w:rPr>
      <w:sz w:val="28"/>
      <w:szCs w:val="28"/>
    </w:rPr>
  </w:style>
  <w:style w:type="paragraph" w:customStyle="1" w:styleId="197">
    <w:name w:val="Char Char Char Char Char Char Char Char Char Char Char Char Char Char Char Char"/>
    <w:basedOn w:val="13"/>
    <w:qFormat/>
    <w:uiPriority w:val="0"/>
    <w:pPr>
      <w:shd w:val="clear" w:color="auto" w:fill="000080"/>
      <w:spacing w:line="360" w:lineRule="auto"/>
      <w:ind w:firstLine="200" w:firstLineChars="200"/>
    </w:pPr>
    <w:rPr>
      <w:rFonts w:ascii="Tahoma" w:hAnsi="Tahoma"/>
      <w:sz w:val="24"/>
      <w:szCs w:val="24"/>
    </w:rPr>
  </w:style>
  <w:style w:type="paragraph" w:customStyle="1" w:styleId="198">
    <w:name w:val="招标正文"/>
    <w:basedOn w:val="1"/>
    <w:qFormat/>
    <w:uiPriority w:val="99"/>
    <w:pPr>
      <w:spacing w:line="480" w:lineRule="exact"/>
    </w:pPr>
    <w:rPr>
      <w:rFonts w:ascii="宋体" w:hAnsi="Calibri"/>
      <w:color w:val="000000"/>
    </w:rPr>
  </w:style>
  <w:style w:type="paragraph" w:customStyle="1" w:styleId="199">
    <w:name w:val="Char Char29 Char Char Char Char Char Char"/>
    <w:basedOn w:val="1"/>
    <w:qFormat/>
    <w:uiPriority w:val="0"/>
    <w:pPr>
      <w:spacing w:before="156" w:beforeLines="50" w:after="156" w:afterLines="50"/>
    </w:pPr>
  </w:style>
  <w:style w:type="paragraph" w:customStyle="1" w:styleId="200">
    <w:name w:val="正  文"/>
    <w:basedOn w:val="1"/>
    <w:qFormat/>
    <w:uiPriority w:val="0"/>
    <w:pPr>
      <w:spacing w:line="360" w:lineRule="auto"/>
      <w:ind w:firstLine="200" w:firstLineChars="200"/>
    </w:pPr>
    <w:rPr>
      <w:rFonts w:ascii="宋体" w:hAnsi="Calibri"/>
      <w:sz w:val="24"/>
    </w:rPr>
  </w:style>
  <w:style w:type="paragraph" w:customStyle="1" w:styleId="201">
    <w:name w:val="正文 A"/>
    <w:basedOn w:val="1"/>
    <w:qFormat/>
    <w:uiPriority w:val="0"/>
    <w:rPr>
      <w:rFonts w:ascii="Arial Unicode MS" w:hAnsi="Arial Unicode MS" w:eastAsia="Arial Unicode MS" w:cs="Arial Unicode MS"/>
      <w:color w:val="000000"/>
      <w:u w:color="000000"/>
    </w:rPr>
  </w:style>
  <w:style w:type="paragraph" w:customStyle="1" w:styleId="202">
    <w:name w:val="_Style 198"/>
    <w:qFormat/>
    <w:uiPriority w:val="0"/>
    <w:rPr>
      <w:rFonts w:ascii="Times New Roman" w:hAnsi="Times New Roman" w:eastAsia="宋体" w:cs="Times New Roman"/>
      <w:kern w:val="2"/>
      <w:sz w:val="21"/>
      <w:szCs w:val="24"/>
      <w:lang w:val="en-US" w:eastAsia="zh-CN" w:bidi="ar-SA"/>
    </w:rPr>
  </w:style>
  <w:style w:type="paragraph" w:customStyle="1" w:styleId="203">
    <w:name w:val="Blockquote"/>
    <w:basedOn w:val="1"/>
    <w:qFormat/>
    <w:uiPriority w:val="99"/>
    <w:pPr>
      <w:autoSpaceDE w:val="0"/>
      <w:autoSpaceDN w:val="0"/>
      <w:adjustRightInd w:val="0"/>
      <w:spacing w:before="100" w:after="100"/>
      <w:ind w:left="360" w:right="360"/>
      <w:jc w:val="left"/>
    </w:pPr>
    <w:rPr>
      <w:kern w:val="0"/>
      <w:sz w:val="24"/>
      <w:szCs w:val="20"/>
    </w:rPr>
  </w:style>
  <w:style w:type="paragraph" w:customStyle="1" w:styleId="204">
    <w:name w:val="表格文字"/>
    <w:basedOn w:val="1"/>
    <w:qFormat/>
    <w:uiPriority w:val="99"/>
    <w:pPr>
      <w:adjustRightInd w:val="0"/>
      <w:spacing w:line="420" w:lineRule="atLeast"/>
      <w:jc w:val="left"/>
      <w:textAlignment w:val="baseline"/>
    </w:pPr>
    <w:rPr>
      <w:kern w:val="0"/>
      <w:szCs w:val="20"/>
    </w:rPr>
  </w:style>
  <w:style w:type="paragraph" w:customStyle="1" w:styleId="205">
    <w:name w:val="Char Char Char Char Char Char Char Char Char1"/>
    <w:basedOn w:val="1"/>
    <w:qFormat/>
    <w:uiPriority w:val="0"/>
  </w:style>
  <w:style w:type="paragraph" w:customStyle="1" w:styleId="206">
    <w:name w:val="Char Char12"/>
    <w:basedOn w:val="1"/>
    <w:qFormat/>
    <w:uiPriority w:val="0"/>
    <w:pPr>
      <w:spacing w:before="156" w:beforeLines="50" w:after="156" w:afterLines="50"/>
    </w:pPr>
    <w:rPr>
      <w:rFonts w:ascii="Tahoma" w:hAnsi="Tahoma"/>
      <w:sz w:val="24"/>
      <w:szCs w:val="20"/>
    </w:rPr>
  </w:style>
  <w:style w:type="paragraph" w:customStyle="1" w:styleId="207">
    <w:name w:val="reader-word-layer"/>
    <w:basedOn w:val="1"/>
    <w:qFormat/>
    <w:uiPriority w:val="99"/>
    <w:pPr>
      <w:widowControl/>
      <w:spacing w:before="100" w:beforeAutospacing="1" w:after="100" w:afterAutospacing="1"/>
      <w:jc w:val="left"/>
    </w:pPr>
    <w:rPr>
      <w:rFonts w:ascii="宋体" w:hAnsi="宋体" w:cs="宋体"/>
      <w:kern w:val="0"/>
      <w:sz w:val="24"/>
    </w:rPr>
  </w:style>
  <w:style w:type="paragraph" w:customStyle="1" w:styleId="208">
    <w:name w:val="Char Char1 Char Char Char Char Char Char Char"/>
    <w:basedOn w:val="1"/>
    <w:qFormat/>
    <w:uiPriority w:val="99"/>
    <w:pPr>
      <w:pageBreakBefore/>
    </w:pPr>
    <w:rPr>
      <w:rFonts w:ascii="宋体" w:eastAsia="仿宋_GB2312" w:cs="宋体"/>
      <w:sz w:val="28"/>
      <w:szCs w:val="28"/>
    </w:rPr>
  </w:style>
  <w:style w:type="paragraph" w:customStyle="1" w:styleId="209">
    <w:name w:val="Char Char16 Char Char"/>
    <w:basedOn w:val="1"/>
    <w:qFormat/>
    <w:uiPriority w:val="0"/>
  </w:style>
  <w:style w:type="paragraph" w:customStyle="1" w:styleId="210">
    <w:name w:val="Char9"/>
    <w:basedOn w:val="13"/>
    <w:qFormat/>
    <w:uiPriority w:val="0"/>
    <w:pPr>
      <w:shd w:val="clear" w:color="auto" w:fill="000080"/>
      <w:spacing w:line="360" w:lineRule="auto"/>
      <w:ind w:firstLine="200" w:firstLineChars="200"/>
    </w:pPr>
    <w:rPr>
      <w:rFonts w:ascii="Tahoma" w:hAnsi="Tahoma"/>
      <w:sz w:val="24"/>
      <w:szCs w:val="24"/>
    </w:rPr>
  </w:style>
  <w:style w:type="paragraph" w:customStyle="1" w:styleId="211">
    <w:name w:val="表"/>
    <w:basedOn w:val="1"/>
    <w:qFormat/>
    <w:uiPriority w:val="0"/>
    <w:pPr>
      <w:snapToGrid w:val="0"/>
      <w:spacing w:line="360" w:lineRule="auto"/>
      <w:ind w:firstLine="422" w:firstLineChars="200"/>
      <w:jc w:val="left"/>
    </w:pPr>
    <w:rPr>
      <w:rFonts w:ascii="宋体" w:cs="Arial Unicode MS"/>
      <w:b/>
    </w:rPr>
  </w:style>
  <w:style w:type="paragraph" w:customStyle="1" w:styleId="212">
    <w:name w:val="正文缩进1"/>
    <w:basedOn w:val="1"/>
    <w:qFormat/>
    <w:uiPriority w:val="0"/>
    <w:pPr>
      <w:ind w:firstLine="420" w:firstLineChars="200"/>
    </w:pPr>
    <w:rPr>
      <w:rFonts w:ascii="Calibri" w:hAnsi="Calibri"/>
    </w:rPr>
  </w:style>
  <w:style w:type="paragraph" w:customStyle="1" w:styleId="213">
    <w:name w:val="3（条）正文标题"/>
    <w:basedOn w:val="60"/>
    <w:qFormat/>
    <w:uiPriority w:val="0"/>
    <w:pPr>
      <w:spacing w:line="360" w:lineRule="auto"/>
    </w:pPr>
  </w:style>
  <w:style w:type="paragraph" w:customStyle="1" w:styleId="214">
    <w:name w:val="正文文本1"/>
    <w:basedOn w:val="60"/>
    <w:next w:val="63"/>
    <w:qFormat/>
    <w:uiPriority w:val="0"/>
    <w:pPr>
      <w:spacing w:after="120"/>
    </w:pPr>
    <w:rPr>
      <w:rFonts w:ascii="Times New Roman" w:hAnsi="Times New Roman"/>
      <w:kern w:val="0"/>
      <w:sz w:val="20"/>
    </w:rPr>
  </w:style>
  <w:style w:type="character" w:customStyle="1" w:styleId="215">
    <w:name w:val="NormalCharacter"/>
    <w:qFormat/>
    <w:uiPriority w:val="0"/>
    <w:rPr>
      <w:szCs w:val="24"/>
    </w:rPr>
  </w:style>
  <w:style w:type="paragraph" w:customStyle="1" w:styleId="216">
    <w:name w:val="Table Paragraph"/>
    <w:basedOn w:val="1"/>
    <w:qFormat/>
    <w:uiPriority w:val="1"/>
  </w:style>
  <w:style w:type="character" w:customStyle="1" w:styleId="217">
    <w:name w:val="标题 1 字符"/>
    <w:link w:val="2"/>
    <w:qFormat/>
    <w:uiPriority w:val="0"/>
    <w:rPr>
      <w:rFonts w:eastAsia="宋体"/>
      <w:b/>
      <w:bCs/>
      <w:kern w:val="44"/>
      <w:sz w:val="44"/>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2012dnd.com</Company>
  <Pages>75</Pages>
  <Words>1398</Words>
  <Characters>1682</Characters>
  <Lines>421</Lines>
  <Paragraphs>118</Paragraphs>
  <TotalTime>4</TotalTime>
  <ScaleCrop>false</ScaleCrop>
  <LinksUpToDate>false</LinksUpToDate>
  <CharactersWithSpaces>1842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2019-11-27T06:47:00Z</dcterms:created>
  <dc:creator>Administrator</dc:creator>
  <cp:lastModifiedBy>刘方</cp:lastModifiedBy>
  <cp:lastPrinted>2022-12-23T07:36:00Z</cp:lastPrinted>
  <dcterms:modified xsi:type="dcterms:W3CDTF">2025-07-22T01:27:14Z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9F2639A0261842A19D19BFD3DB1EE807_13</vt:lpwstr>
  </property>
  <property fmtid="{D5CDD505-2E9C-101B-9397-08002B2CF9AE}" pid="4" name="KSOTemplateDocerSaveRecord">
    <vt:lpwstr>eyJoZGlkIjoiM2MxMWI0ZTIwZGZhNTU3NjBlMjQ0NWE5Mzk1MTI1YzgiLCJ1c2VySWQiOiIyNTc3Mzg4ODcifQ==</vt:lpwstr>
  </property>
</Properties>
</file>