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CF26C">
      <w:pPr>
        <w:spacing w:line="600" w:lineRule="exact"/>
        <w:jc w:val="left"/>
        <w:outlineLvl w:val="0"/>
        <w:rPr>
          <w:rFonts w:ascii="宋体" w:hAnsi="宋体" w:cs="宋体"/>
          <w:color w:val="auto"/>
        </w:rPr>
      </w:pPr>
    </w:p>
    <w:p w14:paraId="09B784E2">
      <w:pPr>
        <w:spacing w:line="1600" w:lineRule="exact"/>
        <w:jc w:val="center"/>
        <w:outlineLvl w:val="0"/>
        <w:rPr>
          <w:rFonts w:ascii="宋体" w:hAnsi="宋体" w:cs="宋体"/>
          <w:color w:val="auto"/>
          <w:sz w:val="130"/>
          <w:szCs w:val="130"/>
        </w:rPr>
      </w:pPr>
    </w:p>
    <w:p w14:paraId="237251D7">
      <w:pPr>
        <w:jc w:val="center"/>
        <w:outlineLvl w:val="0"/>
        <w:rPr>
          <w:rFonts w:ascii="宋体" w:hAnsi="宋体" w:cs="宋体"/>
          <w:color w:val="auto"/>
          <w:spacing w:val="80"/>
          <w:sz w:val="112"/>
          <w:szCs w:val="112"/>
        </w:rPr>
      </w:pPr>
      <w:bookmarkStart w:id="0" w:name="_Toc25410"/>
      <w:bookmarkStart w:id="1" w:name="_Toc28822"/>
      <w:r>
        <w:rPr>
          <w:rFonts w:hint="eastAsia" w:ascii="宋体" w:hAnsi="宋体" w:cs="宋体"/>
          <w:color w:val="auto"/>
          <w:spacing w:val="80"/>
          <w:sz w:val="112"/>
          <w:szCs w:val="112"/>
        </w:rPr>
        <w:t>竞争性比选文件</w:t>
      </w:r>
      <w:bookmarkEnd w:id="0"/>
      <w:bookmarkEnd w:id="1"/>
    </w:p>
    <w:p w14:paraId="56FAAB85">
      <w:pPr>
        <w:snapToGrid w:val="0"/>
        <w:jc w:val="center"/>
        <w:rPr>
          <w:rFonts w:ascii="仿宋" w:hAnsi="仿宋" w:eastAsia="仿宋" w:cs="仿宋"/>
          <w:color w:val="auto"/>
          <w:sz w:val="52"/>
          <w:szCs w:val="52"/>
        </w:rPr>
      </w:pPr>
    </w:p>
    <w:p w14:paraId="7C6B9B92">
      <w:pPr>
        <w:snapToGrid w:val="0"/>
        <w:jc w:val="center"/>
        <w:rPr>
          <w:rFonts w:ascii="仿宋" w:hAnsi="仿宋" w:eastAsia="仿宋" w:cs="仿宋"/>
          <w:color w:val="auto"/>
          <w:sz w:val="52"/>
          <w:szCs w:val="52"/>
        </w:rPr>
      </w:pPr>
    </w:p>
    <w:p w14:paraId="2BDB6EFB">
      <w:pPr>
        <w:snapToGrid w:val="0"/>
        <w:jc w:val="center"/>
        <w:rPr>
          <w:rFonts w:ascii="宋体" w:hAnsi="宋体" w:cs="宋体"/>
          <w:color w:val="auto"/>
          <w:sz w:val="52"/>
          <w:szCs w:val="52"/>
        </w:rPr>
      </w:pPr>
      <w:r>
        <w:rPr>
          <w:rFonts w:hint="eastAsia" w:ascii="宋体" w:hAnsi="宋体" w:cs="宋体"/>
          <w:color w:val="auto"/>
          <w:sz w:val="52"/>
          <w:szCs w:val="52"/>
        </w:rPr>
        <w:t>（综合评分法）</w:t>
      </w:r>
    </w:p>
    <w:p w14:paraId="11B0097E">
      <w:pPr>
        <w:pStyle w:val="7"/>
        <w:spacing w:line="500" w:lineRule="exact"/>
        <w:ind w:left="0"/>
        <w:jc w:val="left"/>
        <w:rPr>
          <w:rFonts w:ascii="宋体" w:hAnsi="宋体" w:cs="宋体"/>
          <w:color w:val="auto"/>
          <w:sz w:val="32"/>
        </w:rPr>
      </w:pPr>
    </w:p>
    <w:p w14:paraId="3A4F8473">
      <w:pPr>
        <w:pStyle w:val="7"/>
        <w:spacing w:line="500" w:lineRule="exact"/>
        <w:ind w:left="0"/>
        <w:jc w:val="center"/>
        <w:rPr>
          <w:rFonts w:ascii="宋体" w:hAnsi="宋体" w:cs="宋体"/>
          <w:color w:val="auto"/>
          <w:sz w:val="32"/>
        </w:rPr>
      </w:pPr>
    </w:p>
    <w:p w14:paraId="4F4922EE">
      <w:pPr>
        <w:spacing w:line="500" w:lineRule="exact"/>
        <w:ind w:firstLine="2340" w:firstLineChars="650"/>
        <w:jc w:val="left"/>
        <w:outlineLvl w:val="0"/>
        <w:rPr>
          <w:rFonts w:ascii="宋体" w:hAnsi="宋体" w:cs="宋体"/>
          <w:color w:val="auto"/>
          <w:sz w:val="36"/>
          <w:szCs w:val="36"/>
        </w:rPr>
      </w:pPr>
    </w:p>
    <w:p w14:paraId="08B8D6A4">
      <w:pPr>
        <w:spacing w:line="500" w:lineRule="exact"/>
        <w:jc w:val="center"/>
        <w:outlineLvl w:val="0"/>
        <w:rPr>
          <w:rFonts w:ascii="宋体" w:hAnsi="宋体" w:cs="宋体"/>
          <w:b/>
          <w:bCs/>
          <w:color w:val="auto"/>
          <w:sz w:val="36"/>
          <w:szCs w:val="36"/>
        </w:rPr>
      </w:pPr>
      <w:r>
        <w:rPr>
          <w:rFonts w:hint="eastAsia" w:ascii="宋体" w:hAnsi="宋体" w:cs="宋体"/>
          <w:b/>
          <w:bCs/>
          <w:color w:val="auto"/>
          <w:sz w:val="36"/>
          <w:szCs w:val="36"/>
        </w:rPr>
        <w:t>项目名称：</w:t>
      </w:r>
      <w:r>
        <w:rPr>
          <w:rFonts w:hint="eastAsia" w:ascii="宋体" w:hAnsi="宋体" w:cs="宋体"/>
          <w:b/>
          <w:bCs/>
          <w:color w:val="auto"/>
          <w:sz w:val="36"/>
          <w:szCs w:val="36"/>
          <w:u w:val="single"/>
        </w:rPr>
        <w:t>2025年一般工业固废污泥处置项目</w:t>
      </w:r>
    </w:p>
    <w:p w14:paraId="1B163A4C">
      <w:pPr>
        <w:pStyle w:val="7"/>
        <w:spacing w:line="500" w:lineRule="exact"/>
        <w:ind w:left="0"/>
        <w:rPr>
          <w:rFonts w:ascii="宋体" w:hAnsi="宋体" w:cs="宋体"/>
          <w:color w:val="auto"/>
          <w:sz w:val="32"/>
        </w:rPr>
      </w:pPr>
    </w:p>
    <w:p w14:paraId="4D979B80">
      <w:pPr>
        <w:spacing w:line="500" w:lineRule="exact"/>
        <w:jc w:val="center"/>
        <w:rPr>
          <w:rFonts w:ascii="宋体" w:hAnsi="宋体" w:cs="宋体"/>
          <w:color w:val="auto"/>
          <w:sz w:val="36"/>
          <w:szCs w:val="36"/>
        </w:rPr>
      </w:pPr>
    </w:p>
    <w:p w14:paraId="6D344627">
      <w:pPr>
        <w:pStyle w:val="6"/>
        <w:rPr>
          <w:rFonts w:ascii="宋体" w:hAnsi="宋体" w:eastAsia="宋体" w:cs="宋体"/>
          <w:color w:val="auto"/>
        </w:rPr>
      </w:pPr>
    </w:p>
    <w:p w14:paraId="24853F02">
      <w:pPr>
        <w:spacing w:line="500" w:lineRule="exact"/>
        <w:jc w:val="center"/>
        <w:rPr>
          <w:rFonts w:ascii="宋体" w:hAnsi="宋体" w:cs="宋体"/>
          <w:color w:val="auto"/>
          <w:sz w:val="36"/>
          <w:szCs w:val="36"/>
        </w:rPr>
      </w:pPr>
    </w:p>
    <w:p w14:paraId="4A930661">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采购人：凯发新泉高阳污水处理（重庆）有限公司</w:t>
      </w:r>
    </w:p>
    <w:p w14:paraId="7C98410D">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 xml:space="preserve">            </w:t>
      </w:r>
    </w:p>
    <w:p w14:paraId="2888CACC">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采购代理机构：柴盛科技（重庆）有限公司</w:t>
      </w:r>
    </w:p>
    <w:p w14:paraId="0D449006">
      <w:pPr>
        <w:snapToGrid w:val="0"/>
        <w:spacing w:line="500" w:lineRule="exact"/>
        <w:jc w:val="center"/>
        <w:rPr>
          <w:rFonts w:ascii="宋体" w:hAnsi="宋体" w:cs="宋体"/>
          <w:color w:val="auto"/>
          <w:sz w:val="36"/>
          <w:szCs w:val="36"/>
        </w:rPr>
      </w:pPr>
    </w:p>
    <w:p w14:paraId="6AC98E5A">
      <w:pPr>
        <w:snapToGrid w:val="0"/>
        <w:spacing w:line="500" w:lineRule="exact"/>
        <w:jc w:val="center"/>
        <w:rPr>
          <w:rFonts w:ascii="宋体" w:hAnsi="宋体" w:cs="宋体"/>
          <w:color w:val="auto"/>
          <w:sz w:val="36"/>
          <w:szCs w:val="36"/>
        </w:rPr>
      </w:pPr>
      <w:r>
        <w:rPr>
          <w:rFonts w:hint="eastAsia" w:ascii="宋体" w:hAnsi="宋体" w:cs="宋体"/>
          <w:color w:val="auto"/>
          <w:sz w:val="36"/>
          <w:szCs w:val="36"/>
        </w:rPr>
        <w:t>二0二五年</w:t>
      </w:r>
      <w:r>
        <w:rPr>
          <w:rFonts w:hint="eastAsia" w:ascii="宋体" w:hAnsi="宋体" w:cs="宋体"/>
          <w:color w:val="auto"/>
          <w:sz w:val="36"/>
          <w:szCs w:val="36"/>
          <w:lang w:val="en-US" w:eastAsia="zh-CN"/>
        </w:rPr>
        <w:t>七</w:t>
      </w:r>
      <w:r>
        <w:rPr>
          <w:rFonts w:hint="eastAsia" w:ascii="宋体" w:hAnsi="宋体" w:cs="宋体"/>
          <w:color w:val="auto"/>
          <w:sz w:val="36"/>
          <w:szCs w:val="36"/>
        </w:rPr>
        <w:t>月</w:t>
      </w:r>
    </w:p>
    <w:p w14:paraId="1A63A8BF">
      <w:pPr>
        <w:snapToGrid w:val="0"/>
        <w:spacing w:line="500" w:lineRule="exact"/>
        <w:rPr>
          <w:rFonts w:ascii="宋体" w:hAnsi="宋体" w:cs="宋体"/>
          <w:color w:val="auto"/>
          <w:sz w:val="44"/>
        </w:rPr>
        <w:sectPr>
          <w:headerReference r:id="rId4" w:type="first"/>
          <w:footerReference r:id="rId5" w:type="default"/>
          <w:headerReference r:id="rId3" w:type="even"/>
          <w:footerReference r:id="rId6" w:type="even"/>
          <w:pgSz w:w="11907" w:h="16840"/>
          <w:pgMar w:top="1134" w:right="1191" w:bottom="1134" w:left="1304" w:header="964" w:footer="992" w:gutter="0"/>
          <w:pgNumType w:start="1"/>
          <w:cols w:space="720" w:num="1"/>
          <w:titlePg/>
          <w:docGrid w:linePitch="312" w:charSpace="0"/>
        </w:sectPr>
      </w:pPr>
    </w:p>
    <w:p w14:paraId="1C36992A">
      <w:pPr>
        <w:snapToGrid w:val="0"/>
        <w:spacing w:line="500" w:lineRule="exact"/>
        <w:jc w:val="center"/>
        <w:rPr>
          <w:rFonts w:ascii="宋体" w:hAnsi="宋体" w:cs="宋体"/>
          <w:color w:val="auto"/>
          <w:sz w:val="44"/>
        </w:rPr>
      </w:pPr>
      <w:r>
        <w:rPr>
          <w:rFonts w:hint="eastAsia" w:ascii="宋体" w:hAnsi="宋体" w:cs="宋体"/>
          <w:color w:val="auto"/>
          <w:sz w:val="44"/>
        </w:rPr>
        <w:t>目  录</w:t>
      </w:r>
    </w:p>
    <w:p w14:paraId="3B6556DB">
      <w:pPr>
        <w:pStyle w:val="13"/>
        <w:spacing w:line="480" w:lineRule="auto"/>
        <w:ind w:firstLine="211"/>
        <w:rPr>
          <w:rFonts w:ascii="宋体" w:hAnsi="宋体" w:cs="宋体"/>
          <w:b w:val="0"/>
          <w:color w:val="auto"/>
          <w:sz w:val="21"/>
          <w:szCs w:val="22"/>
        </w:rPr>
      </w:pP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TOC \o "1-2" \h \z </w:instrText>
      </w:r>
      <w:r>
        <w:rPr>
          <w:rFonts w:hint="eastAsia" w:ascii="宋体" w:hAnsi="宋体" w:cs="宋体"/>
          <w:color w:val="auto"/>
          <w:sz w:val="21"/>
          <w:szCs w:val="21"/>
        </w:rPr>
        <w:fldChar w:fldCharType="separate"/>
      </w:r>
      <w:r>
        <w:rPr>
          <w:color w:val="auto"/>
        </w:rPr>
        <w:fldChar w:fldCharType="begin"/>
      </w:r>
      <w:r>
        <w:rPr>
          <w:color w:val="auto"/>
        </w:rPr>
        <w:instrText xml:space="preserve"> HYPERLINK \l "_Toc106030371" </w:instrText>
      </w:r>
      <w:r>
        <w:rPr>
          <w:color w:val="auto"/>
        </w:rPr>
        <w:fldChar w:fldCharType="separate"/>
      </w:r>
      <w:r>
        <w:rPr>
          <w:rStyle w:val="22"/>
          <w:rFonts w:hint="eastAsia" w:ascii="宋体" w:hAnsi="宋体" w:cs="宋体"/>
          <w:color w:val="auto"/>
        </w:rPr>
        <w:t>第一篇投标邀请书</w:t>
      </w:r>
      <w:r>
        <w:rPr>
          <w:rFonts w:hint="eastAsia" w:ascii="宋体" w:hAnsi="宋体" w:cs="宋体"/>
          <w:color w:val="auto"/>
        </w:rPr>
        <w:tab/>
      </w:r>
      <w:r>
        <w:rPr>
          <w:rFonts w:hint="eastAsia" w:ascii="宋体" w:hAnsi="宋体" w:cs="宋体"/>
          <w:color w:val="auto"/>
        </w:rPr>
        <w:t>...........</w:t>
      </w:r>
      <w:r>
        <w:rPr>
          <w:rFonts w:hint="eastAsia" w:ascii="宋体" w:hAnsi="宋体" w:cs="宋体"/>
          <w:color w:val="auto"/>
        </w:rPr>
        <w:fldChar w:fldCharType="begin"/>
      </w:r>
      <w:r>
        <w:rPr>
          <w:rFonts w:hint="eastAsia" w:ascii="宋体" w:hAnsi="宋体" w:cs="宋体"/>
          <w:color w:val="auto"/>
        </w:rPr>
        <w:instrText xml:space="preserve"> PAGEREF _Toc106030371 \h </w:instrText>
      </w:r>
      <w:r>
        <w:rPr>
          <w:rFonts w:hint="eastAsia" w:ascii="宋体" w:hAnsi="宋体" w:cs="宋体"/>
          <w:color w:val="auto"/>
        </w:rPr>
        <w:fldChar w:fldCharType="separate"/>
      </w:r>
      <w:r>
        <w:rPr>
          <w:rFonts w:hint="eastAsia" w:ascii="宋体" w:hAnsi="宋体" w:cs="宋体"/>
          <w:color w:val="auto"/>
        </w:rPr>
        <w:t>- 2 -</w:t>
      </w:r>
      <w:r>
        <w:rPr>
          <w:rFonts w:hint="eastAsia" w:ascii="宋体" w:hAnsi="宋体" w:cs="宋体"/>
          <w:color w:val="auto"/>
        </w:rPr>
        <w:fldChar w:fldCharType="end"/>
      </w:r>
      <w:r>
        <w:rPr>
          <w:rFonts w:hint="eastAsia" w:ascii="宋体" w:hAnsi="宋体" w:cs="宋体"/>
          <w:color w:val="auto"/>
        </w:rPr>
        <w:fldChar w:fldCharType="end"/>
      </w:r>
    </w:p>
    <w:p w14:paraId="674BF470">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"_Toc106030380" </w:instrText>
      </w:r>
      <w:r>
        <w:rPr>
          <w:color w:val="auto"/>
        </w:rPr>
        <w:fldChar w:fldCharType="separate"/>
      </w:r>
      <w:r>
        <w:rPr>
          <w:rStyle w:val="22"/>
          <w:rFonts w:hint="eastAsia" w:ascii="宋体" w:hAnsi="宋体" w:cs="宋体"/>
          <w:color w:val="auto"/>
        </w:rPr>
        <w:t>第二篇项目服务需求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_Toc106030380 \h </w:instrText>
      </w:r>
      <w:r>
        <w:rPr>
          <w:rFonts w:hint="eastAsia" w:ascii="宋体" w:hAnsi="宋体" w:cs="宋体"/>
          <w:color w:val="auto"/>
        </w:rPr>
        <w:fldChar w:fldCharType="separate"/>
      </w:r>
      <w:r>
        <w:rPr>
          <w:rFonts w:hint="eastAsia" w:ascii="宋体" w:hAnsi="宋体" w:cs="宋体"/>
          <w:color w:val="auto"/>
        </w:rPr>
        <w:t>- 7 -</w:t>
      </w:r>
      <w:r>
        <w:rPr>
          <w:rFonts w:hint="eastAsia" w:ascii="宋体" w:hAnsi="宋体" w:cs="宋体"/>
          <w:color w:val="auto"/>
        </w:rPr>
        <w:fldChar w:fldCharType="end"/>
      </w:r>
      <w:r>
        <w:rPr>
          <w:rFonts w:hint="eastAsia" w:ascii="宋体" w:hAnsi="宋体" w:cs="宋体"/>
          <w:color w:val="auto"/>
        </w:rPr>
        <w:fldChar w:fldCharType="end"/>
      </w:r>
    </w:p>
    <w:p w14:paraId="718734A4">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"_Toc106030384" </w:instrText>
      </w:r>
      <w:r>
        <w:rPr>
          <w:color w:val="auto"/>
        </w:rPr>
        <w:fldChar w:fldCharType="separate"/>
      </w:r>
      <w:r>
        <w:rPr>
          <w:rStyle w:val="22"/>
          <w:rFonts w:hint="eastAsia" w:ascii="宋体" w:hAnsi="宋体" w:cs="宋体"/>
          <w:color w:val="auto"/>
        </w:rPr>
        <w:t>第三篇项目商务需求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_Toc106030384 \h </w:instrText>
      </w:r>
      <w:r>
        <w:rPr>
          <w:rFonts w:hint="eastAsia" w:ascii="宋体" w:hAnsi="宋体" w:cs="宋体"/>
          <w:color w:val="auto"/>
        </w:rPr>
        <w:fldChar w:fldCharType="separate"/>
      </w:r>
      <w:r>
        <w:rPr>
          <w:rFonts w:hint="eastAsia" w:ascii="宋体" w:hAnsi="宋体" w:cs="宋体"/>
          <w:color w:val="auto"/>
        </w:rPr>
        <w:t>- 8 -</w:t>
      </w:r>
      <w:r>
        <w:rPr>
          <w:rFonts w:hint="eastAsia" w:ascii="宋体" w:hAnsi="宋体" w:cs="宋体"/>
          <w:color w:val="auto"/>
        </w:rPr>
        <w:fldChar w:fldCharType="end"/>
      </w:r>
      <w:r>
        <w:rPr>
          <w:rFonts w:hint="eastAsia" w:ascii="宋体" w:hAnsi="宋体" w:cs="宋体"/>
          <w:color w:val="auto"/>
        </w:rPr>
        <w:fldChar w:fldCharType="end"/>
      </w:r>
    </w:p>
    <w:p w14:paraId="370CF405">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"_Toc106030393" </w:instrText>
      </w:r>
      <w:r>
        <w:rPr>
          <w:color w:val="auto"/>
        </w:rPr>
        <w:fldChar w:fldCharType="separate"/>
      </w:r>
      <w:r>
        <w:rPr>
          <w:rStyle w:val="22"/>
          <w:rFonts w:hint="eastAsia" w:ascii="宋体" w:hAnsi="宋体" w:cs="宋体"/>
          <w:color w:val="auto"/>
        </w:rPr>
        <w:t>第四篇资格审查及评标办法</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_Toc106030393 \h </w:instrText>
      </w:r>
      <w:r>
        <w:rPr>
          <w:rFonts w:hint="eastAsia" w:ascii="宋体" w:hAnsi="宋体" w:cs="宋体"/>
          <w:color w:val="auto"/>
        </w:rPr>
        <w:fldChar w:fldCharType="separate"/>
      </w:r>
      <w:r>
        <w:rPr>
          <w:rFonts w:hint="eastAsia" w:ascii="宋体" w:hAnsi="宋体" w:cs="宋体"/>
          <w:color w:val="auto"/>
        </w:rPr>
        <w:t>- 10 -</w:t>
      </w:r>
      <w:r>
        <w:rPr>
          <w:rFonts w:hint="eastAsia" w:ascii="宋体" w:hAnsi="宋体" w:cs="宋体"/>
          <w:color w:val="auto"/>
        </w:rPr>
        <w:fldChar w:fldCharType="end"/>
      </w:r>
      <w:r>
        <w:rPr>
          <w:rFonts w:hint="eastAsia" w:ascii="宋体" w:hAnsi="宋体" w:cs="宋体"/>
          <w:color w:val="auto"/>
        </w:rPr>
        <w:fldChar w:fldCharType="end"/>
      </w:r>
    </w:p>
    <w:p w14:paraId="1AB987A0">
      <w:pPr>
        <w:pStyle w:val="13"/>
        <w:spacing w:line="480" w:lineRule="auto"/>
        <w:ind w:firstLine="281"/>
        <w:rPr>
          <w:rFonts w:ascii="宋体" w:hAnsi="宋体" w:cs="宋体"/>
          <w:color w:val="auto"/>
          <w:sz w:val="21"/>
          <w:szCs w:val="22"/>
        </w:rPr>
      </w:pPr>
      <w:r>
        <w:rPr>
          <w:color w:val="auto"/>
        </w:rPr>
        <w:fldChar w:fldCharType="begin"/>
      </w:r>
      <w:r>
        <w:rPr>
          <w:color w:val="auto"/>
        </w:rPr>
        <w:instrText xml:space="preserve"> HYPERLINK \l "_Toc106030399" </w:instrText>
      </w:r>
      <w:r>
        <w:rPr>
          <w:color w:val="auto"/>
        </w:rPr>
        <w:fldChar w:fldCharType="separate"/>
      </w:r>
      <w:r>
        <w:rPr>
          <w:rStyle w:val="22"/>
          <w:rFonts w:hint="eastAsia" w:ascii="宋体" w:hAnsi="宋体" w:cs="宋体"/>
          <w:color w:val="auto"/>
        </w:rPr>
        <w:t>第五篇投标人须知</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_Toc106030399 \h </w:instrText>
      </w:r>
      <w:r>
        <w:rPr>
          <w:rFonts w:hint="eastAsia" w:ascii="宋体" w:hAnsi="宋体" w:cs="宋体"/>
          <w:color w:val="auto"/>
        </w:rPr>
        <w:fldChar w:fldCharType="separate"/>
      </w:r>
      <w:r>
        <w:rPr>
          <w:rFonts w:hint="eastAsia" w:ascii="宋体" w:hAnsi="宋体" w:cs="宋体"/>
          <w:color w:val="auto"/>
        </w:rPr>
        <w:t>- 14 -</w:t>
      </w:r>
      <w:r>
        <w:rPr>
          <w:rFonts w:hint="eastAsia" w:ascii="宋体" w:hAnsi="宋体" w:cs="宋体"/>
          <w:color w:val="auto"/>
        </w:rPr>
        <w:fldChar w:fldCharType="end"/>
      </w:r>
      <w:r>
        <w:rPr>
          <w:rFonts w:hint="eastAsia" w:ascii="宋体" w:hAnsi="宋体" w:cs="宋体"/>
          <w:color w:val="auto"/>
        </w:rPr>
        <w:fldChar w:fldCharType="end"/>
      </w:r>
    </w:p>
    <w:p w14:paraId="7009F9DB">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"_Toc106030413" </w:instrText>
      </w:r>
      <w:r>
        <w:rPr>
          <w:color w:val="auto"/>
        </w:rPr>
        <w:fldChar w:fldCharType="separate"/>
      </w:r>
      <w:r>
        <w:rPr>
          <w:rStyle w:val="22"/>
          <w:rFonts w:hint="eastAsia" w:ascii="宋体" w:hAnsi="宋体" w:cs="宋体"/>
          <w:color w:val="auto"/>
        </w:rPr>
        <w:t>第六篇合同主要条款和格式合同（样本）</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_Toc106030413 \h </w:instrText>
      </w:r>
      <w:r>
        <w:rPr>
          <w:rFonts w:hint="eastAsia" w:ascii="宋体" w:hAnsi="宋体" w:cs="宋体"/>
          <w:color w:val="auto"/>
        </w:rPr>
        <w:fldChar w:fldCharType="separate"/>
      </w:r>
      <w:r>
        <w:rPr>
          <w:rFonts w:hint="eastAsia" w:ascii="宋体" w:hAnsi="宋体" w:cs="宋体"/>
          <w:color w:val="auto"/>
        </w:rPr>
        <w:t>- 19 -</w:t>
      </w:r>
      <w:r>
        <w:rPr>
          <w:rFonts w:hint="eastAsia" w:ascii="宋体" w:hAnsi="宋体" w:cs="宋体"/>
          <w:color w:val="auto"/>
        </w:rPr>
        <w:fldChar w:fldCharType="end"/>
      </w:r>
      <w:r>
        <w:rPr>
          <w:rFonts w:hint="eastAsia" w:ascii="宋体" w:hAnsi="宋体" w:cs="宋体"/>
          <w:color w:val="auto"/>
        </w:rPr>
        <w:fldChar w:fldCharType="end"/>
      </w:r>
    </w:p>
    <w:p w14:paraId="5E4CFC6D">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"_Toc106030416" </w:instrText>
      </w:r>
      <w:r>
        <w:rPr>
          <w:color w:val="auto"/>
        </w:rPr>
        <w:fldChar w:fldCharType="separate"/>
      </w:r>
      <w:r>
        <w:rPr>
          <w:rStyle w:val="22"/>
          <w:rFonts w:hint="eastAsia" w:ascii="宋体" w:hAnsi="宋体" w:cs="宋体"/>
          <w:color w:val="auto"/>
        </w:rPr>
        <w:t>第七篇投标文件格式</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_Toc106030416 \h </w:instrText>
      </w:r>
      <w:r>
        <w:rPr>
          <w:rFonts w:hint="eastAsia" w:ascii="宋体" w:hAnsi="宋体" w:cs="宋体"/>
          <w:color w:val="auto"/>
        </w:rPr>
        <w:fldChar w:fldCharType="separate"/>
      </w:r>
      <w:r>
        <w:rPr>
          <w:rFonts w:hint="eastAsia" w:ascii="宋体" w:hAnsi="宋体" w:cs="宋体"/>
          <w:color w:val="auto"/>
        </w:rPr>
        <w:t>- 20 -</w:t>
      </w:r>
      <w:r>
        <w:rPr>
          <w:rFonts w:hint="eastAsia" w:ascii="宋体" w:hAnsi="宋体" w:cs="宋体"/>
          <w:color w:val="auto"/>
        </w:rPr>
        <w:fldChar w:fldCharType="end"/>
      </w:r>
      <w:r>
        <w:rPr>
          <w:rFonts w:hint="eastAsia" w:ascii="宋体" w:hAnsi="宋体" w:cs="宋体"/>
          <w:color w:val="auto"/>
        </w:rPr>
        <w:fldChar w:fldCharType="end"/>
      </w:r>
    </w:p>
    <w:p w14:paraId="7524A32E">
      <w:pPr>
        <w:pStyle w:val="13"/>
        <w:spacing w:line="480" w:lineRule="auto"/>
        <w:ind w:firstLine="0" w:firstLineChars="0"/>
        <w:rPr>
          <w:rFonts w:ascii="宋体" w:hAnsi="宋体" w:cs="宋体"/>
          <w:color w:val="auto"/>
          <w:sz w:val="32"/>
        </w:rPr>
        <w:sectPr>
          <w:footerReference r:id="rId7" w:type="default"/>
          <w:pgSz w:w="11907" w:h="16840"/>
          <w:pgMar w:top="1134" w:right="1191" w:bottom="1134" w:left="1304" w:header="964" w:footer="992" w:gutter="0"/>
          <w:pgNumType w:fmt="numberInDash" w:start="1"/>
          <w:cols w:space="720" w:num="1"/>
          <w:docGrid w:linePitch="312" w:charSpace="0"/>
        </w:sectPr>
      </w:pPr>
      <w:r>
        <w:rPr>
          <w:rFonts w:hint="eastAsia" w:ascii="宋体" w:hAnsi="宋体" w:cs="宋体"/>
          <w:color w:val="auto"/>
          <w:sz w:val="21"/>
          <w:szCs w:val="21"/>
        </w:rPr>
        <w:fldChar w:fldCharType="end"/>
      </w:r>
    </w:p>
    <w:p w14:paraId="022C9D81">
      <w:pPr>
        <w:pStyle w:val="2"/>
        <w:spacing w:beforeLines="0" w:afterLines="0" w:line="360" w:lineRule="auto"/>
        <w:rPr>
          <w:rFonts w:ascii="宋体" w:hAnsi="宋体" w:eastAsia="宋体" w:cs="宋体"/>
          <w:b/>
          <w:color w:val="auto"/>
        </w:rPr>
      </w:pPr>
      <w:bookmarkStart w:id="2" w:name="_Toc2977"/>
      <w:bookmarkStart w:id="3" w:name="_Toc75793495"/>
      <w:bookmarkStart w:id="4" w:name="_Toc5284"/>
      <w:bookmarkStart w:id="5" w:name="_Toc5896"/>
      <w:bookmarkStart w:id="6" w:name="_Toc21631"/>
      <w:bookmarkStart w:id="7" w:name="_Toc21693"/>
      <w:bookmarkStart w:id="8" w:name="_Toc31300"/>
      <w:bookmarkStart w:id="9" w:name="_Toc14366"/>
      <w:bookmarkStart w:id="10" w:name="_Toc16178"/>
      <w:bookmarkStart w:id="11" w:name="_Toc21468"/>
      <w:bookmarkStart w:id="12" w:name="_Toc1386"/>
      <w:bookmarkStart w:id="13" w:name="_Toc25832"/>
      <w:bookmarkStart w:id="14" w:name="_Toc6967"/>
      <w:bookmarkStart w:id="15" w:name="_Toc4502"/>
      <w:bookmarkStart w:id="16" w:name="_Toc19468"/>
      <w:bookmarkStart w:id="17" w:name="_Toc106030371"/>
      <w:r>
        <w:rPr>
          <w:rFonts w:hint="eastAsia" w:ascii="宋体" w:hAnsi="宋体" w:eastAsia="宋体" w:cs="宋体"/>
          <w:b/>
          <w:color w:val="auto"/>
        </w:rPr>
        <w:t>第一篇 投标邀请书</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4E7A3B75">
      <w:pPr>
        <w:spacing w:line="500" w:lineRule="exact"/>
        <w:ind w:firstLine="480" w:firstLineChars="200"/>
        <w:jc w:val="left"/>
        <w:outlineLvl w:val="0"/>
        <w:rPr>
          <w:rFonts w:ascii="宋体" w:hAnsi="宋体" w:cs="宋体"/>
          <w:color w:val="auto"/>
          <w:sz w:val="24"/>
          <w:szCs w:val="24"/>
        </w:rPr>
      </w:pPr>
      <w:r>
        <w:rPr>
          <w:rFonts w:hint="eastAsia" w:ascii="宋体" w:hAnsi="宋体" w:cs="宋体"/>
          <w:color w:val="auto"/>
          <w:sz w:val="24"/>
          <w:szCs w:val="24"/>
          <w:u w:val="single"/>
        </w:rPr>
        <w:t>柴盛科技（重庆）有限公司</w:t>
      </w:r>
      <w:r>
        <w:rPr>
          <w:rFonts w:hint="eastAsia" w:ascii="宋体" w:hAnsi="宋体" w:cs="宋体"/>
          <w:color w:val="auto"/>
          <w:sz w:val="24"/>
          <w:szCs w:val="24"/>
        </w:rPr>
        <w:t>（以下简称：采购代理机构）受</w:t>
      </w:r>
      <w:r>
        <w:rPr>
          <w:rFonts w:hint="eastAsia" w:ascii="宋体" w:hAnsi="宋体" w:cs="宋体"/>
          <w:color w:val="auto"/>
          <w:sz w:val="24"/>
          <w:szCs w:val="24"/>
          <w:u w:val="single"/>
        </w:rPr>
        <w:t>凯发新泉高阳污水处理（重庆）有限公司</w:t>
      </w:r>
      <w:r>
        <w:rPr>
          <w:rFonts w:hint="eastAsia" w:ascii="宋体" w:hAnsi="宋体" w:cs="宋体"/>
          <w:color w:val="auto"/>
          <w:sz w:val="24"/>
          <w:szCs w:val="24"/>
        </w:rPr>
        <w:t>（以下简称：采购人）的委托，对</w:t>
      </w:r>
      <w:r>
        <w:rPr>
          <w:rFonts w:hint="eastAsia" w:ascii="宋体" w:hAnsi="宋体" w:cs="宋体"/>
          <w:color w:val="auto"/>
          <w:sz w:val="24"/>
          <w:szCs w:val="24"/>
          <w:u w:val="single"/>
        </w:rPr>
        <w:t>2025年一般工业固废污泥处置项目</w:t>
      </w:r>
      <w:r>
        <w:rPr>
          <w:rFonts w:hint="eastAsia" w:ascii="宋体" w:hAnsi="宋体" w:cs="宋体"/>
          <w:color w:val="auto"/>
          <w:sz w:val="24"/>
          <w:szCs w:val="24"/>
        </w:rPr>
        <w:t>进行公开招标，欢迎有资格的投标人参加投标。</w:t>
      </w:r>
    </w:p>
    <w:p w14:paraId="05FBCE27">
      <w:pPr>
        <w:pStyle w:val="3"/>
        <w:spacing w:line="400" w:lineRule="exact"/>
        <w:ind w:firstLine="482" w:firstLineChars="200"/>
        <w:rPr>
          <w:rFonts w:cs="宋体"/>
          <w:b/>
          <w:color w:val="auto"/>
          <w:sz w:val="24"/>
        </w:rPr>
      </w:pPr>
      <w:bookmarkStart w:id="18" w:name="_Toc398"/>
      <w:bookmarkStart w:id="19" w:name="_Toc8806"/>
      <w:bookmarkStart w:id="20" w:name="_Toc9774"/>
      <w:bookmarkStart w:id="21" w:name="_Toc11858"/>
      <w:bookmarkStart w:id="22" w:name="_Toc19082"/>
      <w:bookmarkStart w:id="23" w:name="_Toc19648"/>
      <w:bookmarkStart w:id="24" w:name="_Toc75793496"/>
      <w:bookmarkStart w:id="25" w:name="_Toc10092"/>
      <w:bookmarkStart w:id="26" w:name="_Toc2284"/>
      <w:bookmarkStart w:id="27" w:name="_Toc14081"/>
      <w:bookmarkStart w:id="28" w:name="_Toc25391"/>
      <w:bookmarkStart w:id="29" w:name="_Toc9233"/>
      <w:bookmarkStart w:id="30" w:name="_Toc19219"/>
      <w:bookmarkStart w:id="31" w:name="_Toc106030372"/>
      <w:bookmarkStart w:id="32" w:name="_Toc16810"/>
      <w:bookmarkStart w:id="33" w:name="_Toc27035"/>
      <w:r>
        <w:rPr>
          <w:rFonts w:hint="eastAsia" w:cs="宋体"/>
          <w:b/>
          <w:color w:val="auto"/>
          <w:sz w:val="24"/>
        </w:rPr>
        <w:t>一、招标项目内容</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463"/>
        <w:gridCol w:w="1645"/>
        <w:gridCol w:w="1032"/>
        <w:gridCol w:w="2494"/>
      </w:tblGrid>
      <w:tr w14:paraId="5C57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5" w:type="dxa"/>
            <w:noWrap/>
            <w:vAlign w:val="center"/>
          </w:tcPr>
          <w:p w14:paraId="05915530">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名称</w:t>
            </w:r>
          </w:p>
        </w:tc>
        <w:tc>
          <w:tcPr>
            <w:tcW w:w="1463" w:type="dxa"/>
            <w:noWrap/>
            <w:vAlign w:val="center"/>
          </w:tcPr>
          <w:p w14:paraId="65E7B651">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最高综合单价限价</w:t>
            </w:r>
          </w:p>
          <w:p w14:paraId="4A3AD0E0">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（元/吨）</w:t>
            </w:r>
          </w:p>
        </w:tc>
        <w:tc>
          <w:tcPr>
            <w:tcW w:w="1645" w:type="dxa"/>
            <w:noWrap/>
            <w:vAlign w:val="center"/>
          </w:tcPr>
          <w:p w14:paraId="6D9431D9">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投标保证金</w:t>
            </w:r>
          </w:p>
          <w:p w14:paraId="28ADCE85">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（万元）</w:t>
            </w:r>
          </w:p>
        </w:tc>
        <w:tc>
          <w:tcPr>
            <w:tcW w:w="1032" w:type="dxa"/>
            <w:noWrap/>
            <w:vAlign w:val="center"/>
          </w:tcPr>
          <w:p w14:paraId="0B6F448A">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中标人数量（名）</w:t>
            </w:r>
          </w:p>
        </w:tc>
        <w:tc>
          <w:tcPr>
            <w:tcW w:w="2494" w:type="dxa"/>
            <w:noWrap/>
            <w:vAlign w:val="center"/>
          </w:tcPr>
          <w:p w14:paraId="40429A39">
            <w:pPr>
              <w:pStyle w:val="7"/>
              <w:spacing w:line="400" w:lineRule="exact"/>
              <w:ind w:left="0"/>
              <w:jc w:val="center"/>
              <w:outlineLvl w:val="0"/>
              <w:rPr>
                <w:rFonts w:ascii="宋体" w:hAnsi="宋体" w:cs="宋体"/>
                <w:b/>
                <w:bCs/>
                <w:color w:val="auto"/>
                <w:kern w:val="0"/>
                <w:sz w:val="24"/>
                <w:szCs w:val="24"/>
              </w:rPr>
            </w:pPr>
            <w:r>
              <w:rPr>
                <w:rFonts w:hint="eastAsia" w:ascii="宋体" w:hAnsi="宋体" w:cs="宋体"/>
                <w:b/>
                <w:color w:val="auto"/>
                <w:sz w:val="24"/>
                <w:szCs w:val="24"/>
              </w:rPr>
              <w:t>备注</w:t>
            </w:r>
          </w:p>
        </w:tc>
      </w:tr>
      <w:tr w14:paraId="06DC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115" w:type="dxa"/>
            <w:noWrap/>
            <w:vAlign w:val="center"/>
          </w:tcPr>
          <w:p w14:paraId="2F6F3CEA">
            <w:pPr>
              <w:pStyle w:val="4"/>
              <w:spacing w:line="240" w:lineRule="auto"/>
              <w:ind w:firstLine="0"/>
              <w:outlineLvl w:val="0"/>
              <w:rPr>
                <w:rFonts w:ascii="宋体" w:hAnsi="宋体" w:cs="宋体"/>
                <w:b/>
                <w:color w:val="auto"/>
                <w:szCs w:val="24"/>
              </w:rPr>
            </w:pPr>
            <w:r>
              <w:rPr>
                <w:rFonts w:hint="eastAsia" w:ascii="宋体" w:hAnsi="宋体" w:cs="宋体"/>
                <w:b/>
                <w:color w:val="auto"/>
                <w:szCs w:val="24"/>
              </w:rPr>
              <w:t>2025年一般工业固废污泥处置项目</w:t>
            </w:r>
          </w:p>
        </w:tc>
        <w:tc>
          <w:tcPr>
            <w:tcW w:w="1463" w:type="dxa"/>
            <w:noWrap/>
            <w:vAlign w:val="center"/>
          </w:tcPr>
          <w:p w14:paraId="1EBF6F8D">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315</w:t>
            </w:r>
          </w:p>
        </w:tc>
        <w:tc>
          <w:tcPr>
            <w:tcW w:w="1645" w:type="dxa"/>
            <w:noWrap/>
            <w:vAlign w:val="center"/>
          </w:tcPr>
          <w:p w14:paraId="3535AEC6">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1</w:t>
            </w:r>
          </w:p>
        </w:tc>
        <w:tc>
          <w:tcPr>
            <w:tcW w:w="1032" w:type="dxa"/>
            <w:noWrap/>
            <w:vAlign w:val="center"/>
          </w:tcPr>
          <w:p w14:paraId="56A8CA43">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1</w:t>
            </w:r>
          </w:p>
        </w:tc>
        <w:tc>
          <w:tcPr>
            <w:tcW w:w="2494" w:type="dxa"/>
            <w:noWrap/>
            <w:vAlign w:val="center"/>
          </w:tcPr>
          <w:p w14:paraId="78DDB0FC">
            <w:pPr>
              <w:pStyle w:val="4"/>
              <w:spacing w:line="400" w:lineRule="exact"/>
              <w:ind w:firstLine="9"/>
              <w:jc w:val="center"/>
              <w:outlineLvl w:val="0"/>
              <w:rPr>
                <w:rFonts w:ascii="宋体" w:hAnsi="宋体" w:cs="宋体"/>
                <w:b/>
                <w:color w:val="auto"/>
                <w:szCs w:val="24"/>
              </w:rPr>
            </w:pPr>
            <w:r>
              <w:rPr>
                <w:rFonts w:hint="eastAsia" w:ascii="宋体" w:hAnsi="宋体" w:cs="宋体"/>
                <w:b/>
                <w:color w:val="auto"/>
                <w:szCs w:val="24"/>
              </w:rPr>
              <w:t>服务期：1年；处置量暂定10000吨，实际结算价以合同有效期内最终处置量乘以采购成交单价为准。</w:t>
            </w:r>
          </w:p>
        </w:tc>
      </w:tr>
    </w:tbl>
    <w:p w14:paraId="2DCD1103">
      <w:pPr>
        <w:pStyle w:val="3"/>
        <w:spacing w:line="400" w:lineRule="exact"/>
        <w:ind w:firstLine="482" w:firstLineChars="200"/>
        <w:rPr>
          <w:rFonts w:cs="宋体"/>
          <w:b/>
          <w:color w:val="auto"/>
          <w:sz w:val="24"/>
        </w:rPr>
      </w:pPr>
      <w:bookmarkStart w:id="34" w:name="_Toc26507"/>
      <w:bookmarkStart w:id="35" w:name="_Toc7121"/>
      <w:bookmarkStart w:id="36" w:name="_Toc22327"/>
      <w:bookmarkStart w:id="37" w:name="_Toc75793497"/>
      <w:bookmarkStart w:id="38" w:name="_Toc26540"/>
      <w:bookmarkStart w:id="39" w:name="_Toc29240"/>
      <w:bookmarkStart w:id="40" w:name="_Toc856"/>
      <w:bookmarkStart w:id="41" w:name="_Toc12298"/>
      <w:bookmarkStart w:id="42" w:name="_Toc22549"/>
      <w:bookmarkStart w:id="43" w:name="_Toc15272"/>
      <w:bookmarkStart w:id="44" w:name="_Toc31390"/>
      <w:bookmarkStart w:id="45" w:name="_Toc26284"/>
      <w:bookmarkStart w:id="46" w:name="_Toc31180"/>
      <w:bookmarkStart w:id="47" w:name="_Toc9736"/>
      <w:bookmarkStart w:id="48" w:name="_Toc106030373"/>
      <w:bookmarkStart w:id="49" w:name="_Toc15664"/>
      <w:r>
        <w:rPr>
          <w:rFonts w:hint="eastAsia" w:cs="宋体"/>
          <w:b/>
          <w:color w:val="auto"/>
          <w:sz w:val="24"/>
        </w:rPr>
        <w:t>二、资金来源</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3C556A1D">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自筹资金。</w:t>
      </w:r>
    </w:p>
    <w:p w14:paraId="7DE27423">
      <w:pPr>
        <w:pStyle w:val="3"/>
        <w:spacing w:line="400" w:lineRule="exact"/>
        <w:ind w:firstLine="482" w:firstLineChars="200"/>
        <w:rPr>
          <w:rFonts w:cs="宋体"/>
          <w:b/>
          <w:color w:val="auto"/>
          <w:sz w:val="24"/>
        </w:rPr>
      </w:pPr>
      <w:bookmarkStart w:id="50" w:name="_Toc11835"/>
      <w:bookmarkStart w:id="51" w:name="_Toc7983"/>
      <w:bookmarkStart w:id="52" w:name="_Toc4504"/>
      <w:bookmarkStart w:id="53" w:name="_Toc75793498"/>
      <w:bookmarkStart w:id="54" w:name="_Toc29468"/>
      <w:bookmarkStart w:id="55" w:name="_Toc21210"/>
      <w:bookmarkStart w:id="56" w:name="_Toc2256"/>
      <w:bookmarkStart w:id="57" w:name="_Toc12813"/>
      <w:bookmarkStart w:id="58" w:name="_Toc20925"/>
      <w:bookmarkStart w:id="59" w:name="_Toc21668"/>
      <w:bookmarkStart w:id="60" w:name="_Toc4356"/>
      <w:bookmarkStart w:id="61" w:name="_Toc682"/>
      <w:bookmarkStart w:id="62" w:name="_Toc23472"/>
      <w:bookmarkStart w:id="63" w:name="_Toc28070"/>
      <w:bookmarkStart w:id="64" w:name="_Toc106030374"/>
      <w:bookmarkStart w:id="65" w:name="_Toc20698"/>
      <w:r>
        <w:rPr>
          <w:rFonts w:hint="eastAsia" w:cs="宋体"/>
          <w:b/>
          <w:color w:val="auto"/>
          <w:sz w:val="24"/>
        </w:rPr>
        <w:t>三、投标人资格要求</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78F66A8D">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供应商是指向采购人提供服务或者货物的法人、其他组织或者自然人。</w:t>
      </w:r>
      <w:bookmarkStart w:id="66" w:name="_Toc31918"/>
      <w:bookmarkStart w:id="67" w:name="_Toc21558_WPSOffice_Level2"/>
    </w:p>
    <w:p w14:paraId="21910FD3">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(一)基本条件</w:t>
      </w:r>
      <w:bookmarkEnd w:id="66"/>
      <w:bookmarkEnd w:id="67"/>
    </w:p>
    <w:p w14:paraId="60517C57">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1.具有独立承担民事责任的能力；</w:t>
      </w:r>
    </w:p>
    <w:p w14:paraId="7D4A32AE">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2.具有良好的商业信誉和健全的财务会计制度；</w:t>
      </w:r>
    </w:p>
    <w:p w14:paraId="6BFDCD54">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3.具有履行合同所必需的设备和专业技术能力；</w:t>
      </w:r>
    </w:p>
    <w:p w14:paraId="7623A625">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4.有依法缴纳税收和社会保障资金的良好记录；</w:t>
      </w:r>
    </w:p>
    <w:p w14:paraId="1F1DCE9D">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5.参加采购活动前三年内，在经营活动中没有重大违法记录；</w:t>
      </w:r>
    </w:p>
    <w:p w14:paraId="382EDA57">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6.法律、行政法规规定的其他条件。</w:t>
      </w:r>
    </w:p>
    <w:p w14:paraId="5EEED1DC">
      <w:pPr>
        <w:spacing w:line="400" w:lineRule="exact"/>
        <w:ind w:firstLine="480" w:firstLineChars="200"/>
        <w:rPr>
          <w:rFonts w:ascii="宋体" w:hAnsi="宋体" w:cs="宋体"/>
          <w:color w:val="auto"/>
          <w:sz w:val="24"/>
          <w:szCs w:val="24"/>
          <w:lang w:val="zh-CN"/>
        </w:rPr>
      </w:pPr>
      <w:bookmarkStart w:id="68" w:name="_Toc29541"/>
      <w:bookmarkStart w:id="69" w:name="_Toc24452_WPSOffice_Level2"/>
      <w:r>
        <w:rPr>
          <w:rFonts w:hint="eastAsia" w:ascii="宋体" w:hAnsi="宋体" w:cs="宋体"/>
          <w:color w:val="auto"/>
          <w:sz w:val="24"/>
          <w:szCs w:val="24"/>
          <w:lang w:val="zh-CN"/>
        </w:rPr>
        <w:t>（二）特定资格条件</w:t>
      </w:r>
      <w:bookmarkEnd w:id="68"/>
      <w:bookmarkEnd w:id="69"/>
    </w:p>
    <w:p w14:paraId="4D103ECC">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（1）终端处置机构需具备处置本项目固体废物（剩余污泥）的能力。</w:t>
      </w:r>
    </w:p>
    <w:p w14:paraId="28F64B27">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（2）承接本项目业务的第三方机构，至少提供二家及以上与处置本项目固体废物（剩余污泥）能力的终端处置机构签订的处置合同。</w:t>
      </w:r>
    </w:p>
    <w:p w14:paraId="6523B473">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（3）实施本项目的终端处置场所应具备环评或地方环保部门相关许可文件，并已通过验收。</w:t>
      </w:r>
    </w:p>
    <w:p w14:paraId="265E332E">
      <w:pPr>
        <w:spacing w:line="400" w:lineRule="exact"/>
        <w:ind w:firstLine="482" w:firstLineChars="200"/>
        <w:jc w:val="left"/>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rPr>
        <w:t>（4）运输车辆</w:t>
      </w:r>
      <w:r>
        <w:rPr>
          <w:rFonts w:hint="eastAsia" w:ascii="宋体" w:hAnsi="宋体" w:cs="宋体"/>
          <w:b/>
          <w:bCs/>
          <w:color w:val="auto"/>
          <w:sz w:val="24"/>
          <w:szCs w:val="24"/>
          <w:lang w:val="en-US" w:eastAsia="zh-CN"/>
        </w:rPr>
        <w:t>采用</w:t>
      </w:r>
      <w:r>
        <w:rPr>
          <w:rFonts w:hint="eastAsia" w:ascii="宋体" w:hAnsi="宋体" w:cs="宋体"/>
          <w:b/>
          <w:bCs/>
          <w:color w:val="auto"/>
          <w:sz w:val="24"/>
          <w:szCs w:val="24"/>
        </w:rPr>
        <w:t>四桥车及以下吨位车辆</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提供相应车辆证明文件。</w:t>
      </w:r>
    </w:p>
    <w:p w14:paraId="68E963A6">
      <w:pPr>
        <w:pStyle w:val="3"/>
        <w:spacing w:line="400" w:lineRule="exact"/>
        <w:ind w:firstLine="482" w:firstLineChars="200"/>
        <w:rPr>
          <w:rFonts w:cs="宋体"/>
          <w:b/>
          <w:color w:val="auto"/>
          <w:sz w:val="24"/>
        </w:rPr>
      </w:pPr>
      <w:bookmarkStart w:id="70" w:name="_Toc106030375"/>
      <w:bookmarkStart w:id="71" w:name="_Toc27442"/>
      <w:bookmarkStart w:id="72" w:name="_Toc13076"/>
      <w:bookmarkStart w:id="73" w:name="_Toc22464"/>
      <w:bookmarkStart w:id="74" w:name="_Toc1132"/>
      <w:bookmarkStart w:id="75" w:name="_Toc11987"/>
      <w:bookmarkStart w:id="76" w:name="_Toc27732"/>
      <w:bookmarkStart w:id="77" w:name="_Toc28188"/>
      <w:bookmarkStart w:id="78" w:name="_Toc8255"/>
      <w:bookmarkStart w:id="79" w:name="_Toc12680"/>
      <w:bookmarkStart w:id="80" w:name="_Toc9335"/>
      <w:bookmarkStart w:id="81" w:name="_Toc15980"/>
      <w:bookmarkStart w:id="82" w:name="_Toc75793499"/>
      <w:bookmarkStart w:id="83" w:name="_Toc11276"/>
      <w:bookmarkStart w:id="84" w:name="_Toc5414"/>
      <w:bookmarkStart w:id="85" w:name="_Toc24618"/>
      <w:r>
        <w:rPr>
          <w:rFonts w:hint="eastAsia" w:cs="宋体"/>
          <w:b/>
          <w:color w:val="auto"/>
          <w:sz w:val="24"/>
        </w:rPr>
        <w:t>四、投标、开标有关说明</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3A7ADC3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（一）投标人应通过在“行采家”平台（http://www.gec123.com）网上）登记加入“行采家采购供应商库”。</w:t>
      </w:r>
    </w:p>
    <w:p w14:paraId="51E3B2D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凡有意参加投标的投标人，请到采购代理机构领取或在“行采家”平台（http://www.gec123.com）网上下载本项目招标文件以及澄清等开标前公布的所有项目资料，无论投标人领取或下载与否，均视为已知晓所有招标内容。</w:t>
      </w:r>
    </w:p>
    <w:p w14:paraId="129ECD2A">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（三）招标文件公告期限：自采购公告发布之日起五个工作日。</w:t>
      </w:r>
    </w:p>
    <w:p w14:paraId="5E90ED64">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（四）招标文件提供期限</w:t>
      </w:r>
    </w:p>
    <w:p w14:paraId="17A158F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1.招标文件提供期限：2025年0</w:t>
      </w:r>
      <w:r>
        <w:rPr>
          <w:rFonts w:hint="eastAsia" w:ascii="宋体" w:hAnsi="宋体" w:cs="宋体"/>
          <w:color w:val="auto"/>
          <w:sz w:val="24"/>
          <w:szCs w:val="24"/>
          <w:lang w:val="en-US" w:eastAsia="zh-CN"/>
        </w:rPr>
        <w:t>7</w:t>
      </w:r>
      <w:r>
        <w:rPr>
          <w:rFonts w:hint="eastAsia" w:ascii="宋体" w:hAnsi="宋体" w:cs="宋体"/>
          <w:color w:val="auto"/>
          <w:sz w:val="24"/>
          <w:szCs w:val="24"/>
        </w:rPr>
        <w:t>月</w:t>
      </w:r>
      <w:r>
        <w:rPr>
          <w:rFonts w:hint="eastAsia" w:ascii="宋体" w:hAnsi="宋体" w:cs="宋体"/>
          <w:color w:val="auto"/>
          <w:sz w:val="24"/>
          <w:szCs w:val="24"/>
          <w:lang w:val="en-US" w:eastAsia="zh-CN"/>
        </w:rPr>
        <w:t>28</w:t>
      </w:r>
      <w:r>
        <w:rPr>
          <w:rFonts w:hint="eastAsia" w:ascii="宋体" w:hAnsi="宋体" w:cs="宋体"/>
          <w:color w:val="auto"/>
          <w:sz w:val="24"/>
          <w:szCs w:val="24"/>
        </w:rPr>
        <w:t>日至2025年0</w:t>
      </w:r>
      <w:r>
        <w:rPr>
          <w:rFonts w:hint="eastAsia" w:ascii="宋体" w:hAnsi="宋体" w:cs="宋体"/>
          <w:color w:val="auto"/>
          <w:sz w:val="24"/>
          <w:szCs w:val="24"/>
          <w:lang w:val="en-US" w:eastAsia="zh-CN"/>
        </w:rPr>
        <w:t>7</w:t>
      </w:r>
      <w:r>
        <w:rPr>
          <w:rFonts w:hint="eastAsia" w:ascii="宋体" w:hAnsi="宋体" w:cs="宋体"/>
          <w:color w:val="auto"/>
          <w:sz w:val="24"/>
          <w:szCs w:val="24"/>
        </w:rPr>
        <w:t>月</w:t>
      </w:r>
      <w:r>
        <w:rPr>
          <w:rFonts w:hint="eastAsia" w:ascii="宋体" w:hAnsi="宋体" w:cs="宋体"/>
          <w:color w:val="auto"/>
          <w:sz w:val="24"/>
          <w:szCs w:val="24"/>
          <w:lang w:val="en-US" w:eastAsia="zh-CN"/>
        </w:rPr>
        <w:t>30</w:t>
      </w:r>
      <w:r>
        <w:rPr>
          <w:rFonts w:hint="eastAsia" w:ascii="宋体" w:hAnsi="宋体" w:cs="宋体"/>
          <w:color w:val="auto"/>
          <w:sz w:val="24"/>
          <w:szCs w:val="24"/>
        </w:rPr>
        <w:t>日。</w:t>
      </w:r>
    </w:p>
    <w:p w14:paraId="3EB71AEB">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2.报名方式：</w:t>
      </w:r>
    </w:p>
    <w:p w14:paraId="6A79A7B7">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2.1现场报名方式：在招标文件提供期内，投标人到采购代理机构（重庆市渝北区红锦大道61号2栋8-3）递交《</w:t>
      </w:r>
      <w:r>
        <w:rPr>
          <w:rFonts w:hint="eastAsia" w:ascii="宋体" w:hAnsi="宋体" w:cs="宋体"/>
          <w:color w:val="auto"/>
          <w:sz w:val="24"/>
          <w:szCs w:val="24"/>
          <w:lang w:val="en-US" w:eastAsia="zh-CN"/>
        </w:rPr>
        <w:t>比选</w:t>
      </w:r>
      <w:r>
        <w:rPr>
          <w:rFonts w:hint="eastAsia" w:ascii="宋体" w:hAnsi="宋体" w:cs="宋体"/>
          <w:color w:val="auto"/>
          <w:sz w:val="24"/>
          <w:szCs w:val="24"/>
        </w:rPr>
        <w:t>文件发售登记表》（加盖供应商公章）进行报名。</w:t>
      </w:r>
    </w:p>
    <w:p w14:paraId="219AC2E6">
      <w:pPr>
        <w:spacing w:line="288"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2.2非现场报名方式：在招标文件提供期内，供应商将《</w:t>
      </w:r>
      <w:r>
        <w:rPr>
          <w:rFonts w:hint="eastAsia" w:ascii="宋体" w:hAnsi="宋体" w:cs="宋体"/>
          <w:color w:val="auto"/>
          <w:sz w:val="24"/>
          <w:szCs w:val="24"/>
          <w:lang w:val="en-US" w:eastAsia="zh-CN"/>
        </w:rPr>
        <w:t>比选</w:t>
      </w:r>
      <w:r>
        <w:rPr>
          <w:rFonts w:hint="eastAsia" w:ascii="宋体" w:hAnsi="宋体" w:cs="宋体"/>
          <w:color w:val="auto"/>
          <w:sz w:val="24"/>
          <w:szCs w:val="24"/>
        </w:rPr>
        <w:t>文件发售登记表》（加盖供应商公章）扫描发送至997186867@qq.com邮箱进行报名。</w:t>
      </w:r>
    </w:p>
    <w:p w14:paraId="5E9805F1">
      <w:pPr>
        <w:spacing w:line="288" w:lineRule="auto"/>
        <w:ind w:firstLine="482" w:firstLineChars="200"/>
        <w:rPr>
          <w:rFonts w:hint="default" w:ascii="宋体" w:hAnsi="宋体" w:eastAsia="宋体" w:cs="宋体"/>
          <w:color w:val="auto"/>
          <w:sz w:val="24"/>
          <w:szCs w:val="24"/>
          <w:lang w:val="en-US" w:eastAsia="zh-CN"/>
        </w:rPr>
      </w:pPr>
      <w:r>
        <w:rPr>
          <w:rFonts w:hint="eastAsia" w:ascii="宋体" w:hAnsi="宋体" w:cs="宋体"/>
          <w:b/>
          <w:bCs/>
          <w:color w:val="auto"/>
          <w:sz w:val="24"/>
          <w:szCs w:val="24"/>
          <w:lang w:val="en-US" w:eastAsia="zh-CN"/>
        </w:rPr>
        <w:t>3.报名截止时间为2025年7月30日北京时间18:00。</w:t>
      </w:r>
    </w:p>
    <w:p w14:paraId="18E54099">
      <w:pPr>
        <w:spacing w:line="288" w:lineRule="auto"/>
        <w:ind w:firstLine="480" w:firstLineChars="200"/>
        <w:rPr>
          <w:rFonts w:ascii="宋体" w:hAnsi="宋体" w:cs="宋体"/>
          <w:color w:val="auto"/>
          <w:sz w:val="24"/>
          <w:szCs w:val="24"/>
        </w:rPr>
      </w:pPr>
      <w:r>
        <w:rPr>
          <w:rFonts w:hint="eastAsia" w:ascii="宋体" w:hAnsi="宋体" w:cs="宋体"/>
          <w:color w:val="auto"/>
          <w:sz w:val="24"/>
          <w:szCs w:val="24"/>
        </w:rPr>
        <w:t>招标文件售价：人民币</w:t>
      </w:r>
      <w:r>
        <w:rPr>
          <w:rFonts w:hint="eastAsia" w:ascii="宋体" w:hAnsi="宋体" w:cs="宋体"/>
          <w:color w:val="auto"/>
          <w:sz w:val="24"/>
          <w:szCs w:val="24"/>
          <w:lang w:val="en-US" w:eastAsia="zh-CN"/>
        </w:rPr>
        <w:t>10</w:t>
      </w:r>
      <w:r>
        <w:rPr>
          <w:rFonts w:hint="eastAsia" w:ascii="宋体" w:hAnsi="宋体" w:cs="宋体"/>
          <w:color w:val="auto"/>
          <w:sz w:val="24"/>
          <w:szCs w:val="24"/>
        </w:rPr>
        <w:t>00元/份（售后不退）。竞标人法人或授权代表人扫发售登记表中收款二维码支付比选文件费；在招标文件提供期限内购买了招标文件的投标人，其响应文件才被接收。</w:t>
      </w:r>
    </w:p>
    <w:p w14:paraId="0A9318EA">
      <w:pPr>
        <w:spacing w:line="288"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投标人须满足以下三种要件，其投标文件才被接受：</w:t>
      </w:r>
    </w:p>
    <w:p w14:paraId="5D429077">
      <w:pPr>
        <w:spacing w:line="288"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1．在竞争性谈判文件发售期内</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现场和邮箱报名</w:t>
      </w:r>
      <w:r>
        <w:rPr>
          <w:rFonts w:hint="eastAsia" w:ascii="宋体" w:hAnsi="宋体" w:cs="宋体"/>
          <w:b/>
          <w:bCs/>
          <w:color w:val="auto"/>
          <w:sz w:val="24"/>
          <w:szCs w:val="24"/>
        </w:rPr>
        <w:t>均递交了报名文件</w:t>
      </w:r>
      <w:r>
        <w:rPr>
          <w:rFonts w:hint="eastAsia" w:ascii="宋体" w:hAnsi="宋体" w:cs="宋体"/>
          <w:b/>
          <w:bCs/>
          <w:color w:val="auto"/>
          <w:sz w:val="24"/>
          <w:szCs w:val="24"/>
          <w:lang w:eastAsia="zh-CN"/>
        </w:rPr>
        <w:t>；</w:t>
      </w:r>
    </w:p>
    <w:p w14:paraId="5A849314">
      <w:pPr>
        <w:spacing w:line="288" w:lineRule="auto"/>
        <w:ind w:firstLine="482" w:firstLineChars="200"/>
        <w:rPr>
          <w:rFonts w:hint="eastAsia" w:ascii="宋体" w:hAnsi="宋体" w:eastAsia="宋体" w:cs="宋体"/>
          <w:b/>
          <w:bCs/>
          <w:color w:val="auto"/>
          <w:sz w:val="24"/>
          <w:szCs w:val="24"/>
          <w:lang w:eastAsia="zh-CN"/>
        </w:rPr>
      </w:pPr>
      <w:r>
        <w:rPr>
          <w:rFonts w:hint="eastAsia" w:ascii="宋体" w:hAnsi="宋体" w:cs="宋体"/>
          <w:b/>
          <w:bCs/>
          <w:color w:val="auto"/>
          <w:sz w:val="24"/>
          <w:szCs w:val="24"/>
        </w:rPr>
        <w:t>2．按时递交了投标文件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纸质和线上均递交</w:t>
      </w:r>
      <w:r>
        <w:rPr>
          <w:rFonts w:hint="eastAsia" w:ascii="宋体" w:hAnsi="宋体" w:cs="宋体"/>
          <w:b/>
          <w:bCs/>
          <w:color w:val="auto"/>
          <w:sz w:val="24"/>
          <w:szCs w:val="24"/>
          <w:lang w:eastAsia="zh-CN"/>
        </w:rPr>
        <w:t>）</w:t>
      </w:r>
      <w:r>
        <w:rPr>
          <w:rFonts w:hint="eastAsia" w:ascii="宋体" w:hAnsi="宋体" w:cs="宋体"/>
          <w:b/>
          <w:bCs/>
          <w:color w:val="auto"/>
          <w:sz w:val="24"/>
          <w:szCs w:val="24"/>
        </w:rPr>
        <w:t>；</w:t>
      </w:r>
    </w:p>
    <w:p w14:paraId="24516B16">
      <w:pPr>
        <w:spacing w:line="288" w:lineRule="auto"/>
        <w:ind w:firstLine="482" w:firstLineChars="200"/>
        <w:rPr>
          <w:rFonts w:hint="eastAsia" w:ascii="宋体" w:hAnsi="宋体" w:cs="宋体"/>
          <w:b/>
          <w:bCs/>
          <w:color w:val="auto"/>
          <w:sz w:val="24"/>
          <w:szCs w:val="24"/>
        </w:rPr>
      </w:pPr>
      <w:r>
        <w:rPr>
          <w:rFonts w:hint="eastAsia" w:ascii="宋体" w:hAnsi="宋体" w:cs="宋体"/>
          <w:b/>
          <w:bCs/>
          <w:color w:val="auto"/>
          <w:sz w:val="24"/>
          <w:szCs w:val="24"/>
        </w:rPr>
        <w:t>3．缴纳了招标文件购买费。</w:t>
      </w:r>
    </w:p>
    <w:p w14:paraId="6AD78D7F">
      <w:pPr>
        <w:pStyle w:val="6"/>
        <w:spacing w:line="288" w:lineRule="auto"/>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（五）线上报价</w:t>
      </w:r>
    </w:p>
    <w:p w14:paraId="50F7BFB4">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1.线上报价时间：2025年0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:00时起至2025年</w:t>
      </w:r>
      <w:r>
        <w:rPr>
          <w:rFonts w:hint="eastAsia" w:ascii="宋体" w:hAnsi="宋体" w:eastAsia="宋体" w:cs="宋体"/>
          <w:color w:val="auto"/>
          <w:sz w:val="24"/>
          <w:szCs w:val="24"/>
          <w:lang w:val="en-US" w:eastAsia="zh-CN"/>
        </w:rPr>
        <w:t>07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0时止。</w:t>
      </w:r>
    </w:p>
    <w:p w14:paraId="036266E9">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2.线上报价要求：按本项目规定的时间在“行采家（https://www.gec123.com）”进行网上报价，并在规定的时间内上传响应文件电子文档。未在规定时间内报价和上传响应文件电子文档的供应商不具备竞标资格。</w:t>
      </w:r>
    </w:p>
    <w:p w14:paraId="4C2243ED">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备注：</w:t>
      </w:r>
    </w:p>
    <w:p w14:paraId="1F701C7C">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1.供应商线上报名、报价时须上传加盖公章后的完整有效的响应文件电子档一份（响应文件需签字盖章后扫描成一个PDF格式文件上传）。</w:t>
      </w:r>
    </w:p>
    <w:p w14:paraId="4971EDFB">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2.供应商上传的响应文件应按照“第七篇  投标文件格式”要求制作，规定签字、盖章的地方必须按规定签字、盖章，并扫描成PDF格式电子文档，未按要求制作响应文件的作无效标处理。</w:t>
      </w:r>
    </w:p>
    <w:p w14:paraId="611DAB40">
      <w:pPr>
        <w:pStyle w:val="6"/>
        <w:spacing w:line="288" w:lineRule="auto"/>
        <w:ind w:firstLine="723" w:firstLineChars="300"/>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rPr>
        <w:t>（六）线下递交</w:t>
      </w:r>
      <w:r>
        <w:rPr>
          <w:rFonts w:hint="eastAsia" w:ascii="宋体" w:hAnsi="宋体" w:eastAsia="宋体" w:cs="宋体"/>
          <w:color w:val="auto"/>
          <w:sz w:val="24"/>
          <w:szCs w:val="24"/>
        </w:rPr>
        <w:t>：密封后的纸质响应文件一份,作为评审及留档材料</w:t>
      </w:r>
      <w:r>
        <w:rPr>
          <w:rFonts w:hint="eastAsia" w:ascii="宋体" w:hAnsi="宋体" w:eastAsia="宋体" w:cs="宋体"/>
          <w:color w:val="auto"/>
          <w:sz w:val="24"/>
          <w:szCs w:val="24"/>
          <w:lang w:eastAsia="zh-CN"/>
        </w:rPr>
        <w:t>。</w:t>
      </w:r>
    </w:p>
    <w:p w14:paraId="2072C057">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1.递交地点:重庆市渝北区龙溪街道红锦大道61号2栋8-3。</w:t>
      </w:r>
    </w:p>
    <w:p w14:paraId="34B0F231">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2.递交方式:现场递交或邮寄递交或闪送递交均可，须密封完整。</w:t>
      </w:r>
    </w:p>
    <w:p w14:paraId="28B9E964">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3.注意：</w:t>
      </w:r>
      <w:r>
        <w:rPr>
          <w:rFonts w:hint="eastAsia" w:ascii="宋体" w:hAnsi="宋体" w:eastAsia="宋体" w:cs="宋体"/>
          <w:b/>
          <w:bCs/>
          <w:color w:val="auto"/>
          <w:sz w:val="24"/>
          <w:szCs w:val="24"/>
        </w:rPr>
        <w:t>线上投标文件与线下纸质文件不一致的，以线</w:t>
      </w:r>
      <w:r>
        <w:rPr>
          <w:rFonts w:hint="eastAsia" w:ascii="宋体" w:hAnsi="宋体" w:eastAsia="宋体" w:cs="宋体"/>
          <w:b/>
          <w:bCs/>
          <w:color w:val="auto"/>
          <w:sz w:val="24"/>
          <w:szCs w:val="24"/>
          <w:lang w:val="en-US" w:eastAsia="zh-CN"/>
        </w:rPr>
        <w:t>上投标</w:t>
      </w:r>
      <w:r>
        <w:rPr>
          <w:rFonts w:hint="eastAsia" w:ascii="宋体" w:hAnsi="宋体" w:eastAsia="宋体" w:cs="宋体"/>
          <w:b/>
          <w:bCs/>
          <w:color w:val="auto"/>
          <w:sz w:val="24"/>
          <w:szCs w:val="24"/>
        </w:rPr>
        <w:t>文件为准。</w:t>
      </w:r>
    </w:p>
    <w:p w14:paraId="63E17441">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4.线下响应文件递交开始时间：2025年0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 xml:space="preserve">:00。  </w:t>
      </w:r>
    </w:p>
    <w:p w14:paraId="02DBDDFF">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5.线下响应文件递交截止时间：2024年0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w:t>
      </w:r>
    </w:p>
    <w:p w14:paraId="650587BF">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6.评审时间：2025年</w:t>
      </w:r>
      <w:r>
        <w:rPr>
          <w:rFonts w:hint="eastAsia" w:ascii="宋体" w:hAnsi="宋体" w:eastAsia="宋体" w:cs="宋体"/>
          <w:color w:val="auto"/>
          <w:sz w:val="24"/>
          <w:szCs w:val="24"/>
          <w:lang w:val="en-US" w:eastAsia="zh-CN"/>
        </w:rPr>
        <w:t>08</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01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 xml:space="preserve">:00。  </w:t>
      </w:r>
    </w:p>
    <w:p w14:paraId="0E645A6C">
      <w:pPr>
        <w:pStyle w:val="6"/>
        <w:spacing w:line="288" w:lineRule="auto"/>
        <w:ind w:firstLine="720" w:firstLineChars="300"/>
        <w:rPr>
          <w:rFonts w:ascii="宋体" w:hAnsi="宋体" w:cs="宋体"/>
          <w:color w:val="auto"/>
          <w:sz w:val="24"/>
          <w:szCs w:val="24"/>
        </w:rPr>
      </w:pPr>
      <w:r>
        <w:rPr>
          <w:rFonts w:hint="eastAsia" w:ascii="宋体" w:hAnsi="宋体" w:eastAsia="宋体" w:cs="宋体"/>
          <w:color w:val="auto"/>
          <w:sz w:val="24"/>
          <w:szCs w:val="24"/>
        </w:rPr>
        <w:t>7.评审地点：采购代理机构评标室（重庆市渝北区龙溪街道红锦大道61号2栋8-3）。</w:t>
      </w:r>
    </w:p>
    <w:p w14:paraId="601D267D">
      <w:pPr>
        <w:pStyle w:val="3"/>
        <w:spacing w:line="400" w:lineRule="exact"/>
        <w:ind w:firstLine="482" w:firstLineChars="200"/>
        <w:rPr>
          <w:rFonts w:cs="宋体"/>
          <w:b/>
          <w:color w:val="auto"/>
          <w:sz w:val="24"/>
        </w:rPr>
      </w:pPr>
      <w:bookmarkStart w:id="86" w:name="_Toc3476"/>
      <w:bookmarkStart w:id="87" w:name="_Toc15717"/>
      <w:bookmarkStart w:id="88" w:name="_Toc23960"/>
      <w:bookmarkStart w:id="89" w:name="_Toc18100"/>
      <w:bookmarkStart w:id="90" w:name="_Toc12663"/>
      <w:bookmarkStart w:id="91" w:name="_Toc75793500"/>
      <w:bookmarkStart w:id="92" w:name="_Toc11844"/>
      <w:bookmarkStart w:id="93" w:name="_Toc12090"/>
      <w:bookmarkStart w:id="94" w:name="_Toc25854"/>
      <w:bookmarkStart w:id="95" w:name="_Toc30895"/>
      <w:bookmarkStart w:id="96" w:name="_Toc524"/>
      <w:bookmarkStart w:id="97" w:name="_Toc24604"/>
      <w:bookmarkStart w:id="98" w:name="_Toc22111"/>
      <w:bookmarkStart w:id="99" w:name="_Toc9290"/>
      <w:bookmarkStart w:id="100" w:name="_Toc7836"/>
      <w:bookmarkStart w:id="101" w:name="_Toc106030376"/>
      <w:r>
        <w:rPr>
          <w:rFonts w:hint="eastAsia" w:cs="宋体"/>
          <w:b/>
          <w:color w:val="auto"/>
          <w:sz w:val="24"/>
        </w:rPr>
        <w:t>五、投标保证金</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1061ABF6">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（一）投标保证金递交</w:t>
      </w:r>
    </w:p>
    <w:p w14:paraId="5F727C6E">
      <w:pPr>
        <w:spacing w:line="400" w:lineRule="exact"/>
        <w:ind w:firstLine="720" w:firstLineChars="300"/>
        <w:rPr>
          <w:rFonts w:ascii="宋体" w:hAnsi="宋体" w:cs="宋体"/>
          <w:color w:val="auto"/>
          <w:sz w:val="24"/>
          <w:szCs w:val="24"/>
        </w:rPr>
      </w:pPr>
      <w:r>
        <w:rPr>
          <w:rFonts w:hint="eastAsia" w:ascii="宋体" w:hAnsi="宋体" w:cs="宋体"/>
          <w:color w:val="auto"/>
          <w:sz w:val="24"/>
          <w:szCs w:val="24"/>
        </w:rPr>
        <w:t>1.投标保证金应以银行转账、金融机构或担保机构出具的纸质保函等形式提交。</w:t>
      </w:r>
    </w:p>
    <w:p w14:paraId="5A90FD88">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 xml:space="preserve">  2.投标人须按本项目规定的投标保证金金额和递交方式进行缴纳。</w:t>
      </w:r>
    </w:p>
    <w:p w14:paraId="3EC08DD8">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（二）银行转账保证金递交账户</w:t>
      </w:r>
    </w:p>
    <w:p w14:paraId="270695D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投标人银行转账递交投标保证金须从其公司基本账户将投标保证金汇至以下账户，投标保证金的到账截止时间2025年</w:t>
      </w:r>
      <w:r>
        <w:rPr>
          <w:rFonts w:hint="eastAsia" w:ascii="宋体" w:hAnsi="宋体" w:cs="宋体"/>
          <w:color w:val="auto"/>
          <w:sz w:val="24"/>
          <w:szCs w:val="24"/>
          <w:u w:val="single"/>
        </w:rPr>
        <w:t xml:space="preserve"> 0</w:t>
      </w:r>
      <w:r>
        <w:rPr>
          <w:rFonts w:hint="eastAsia" w:ascii="宋体" w:hAnsi="宋体" w:cs="宋体"/>
          <w:color w:val="auto"/>
          <w:sz w:val="24"/>
          <w:szCs w:val="24"/>
          <w:u w:val="single"/>
          <w:lang w:val="en-US" w:eastAsia="zh-CN"/>
        </w:rPr>
        <w:t>7</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31</w:t>
      </w:r>
      <w:r>
        <w:rPr>
          <w:rFonts w:hint="eastAsia" w:ascii="宋体" w:hAnsi="宋体" w:cs="宋体"/>
          <w:color w:val="auto"/>
          <w:sz w:val="24"/>
          <w:szCs w:val="24"/>
          <w:u w:val="single"/>
        </w:rPr>
        <w:t xml:space="preserve"> </w:t>
      </w:r>
      <w:r>
        <w:rPr>
          <w:rFonts w:hint="eastAsia" w:ascii="宋体" w:hAnsi="宋体" w:cs="宋体"/>
          <w:color w:val="auto"/>
          <w:sz w:val="24"/>
          <w:szCs w:val="24"/>
        </w:rPr>
        <w:t>日北京时间</w:t>
      </w:r>
      <w:r>
        <w:rPr>
          <w:rFonts w:hint="eastAsia" w:ascii="宋体" w:hAnsi="宋体" w:cs="宋体"/>
          <w:color w:val="auto"/>
          <w:sz w:val="24"/>
          <w:szCs w:val="24"/>
          <w:lang w:val="en-US" w:eastAsia="zh-CN"/>
        </w:rPr>
        <w:t>14</w:t>
      </w:r>
      <w:r>
        <w:rPr>
          <w:rFonts w:hint="eastAsia" w:ascii="宋体" w:hAnsi="宋体" w:cs="宋体"/>
          <w:color w:val="auto"/>
          <w:sz w:val="24"/>
          <w:szCs w:val="24"/>
        </w:rPr>
        <w:t>：00。</w:t>
      </w:r>
    </w:p>
    <w:p w14:paraId="7786D69F">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投标保证金账户：</w:t>
      </w:r>
    </w:p>
    <w:p w14:paraId="40EE7034">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开户名称：凯发新泉高阳污水处理（重庆）有限公司</w:t>
      </w:r>
    </w:p>
    <w:p w14:paraId="7894CD2A">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开户银行：中国银行重庆中什字支行</w:t>
      </w:r>
    </w:p>
    <w:p w14:paraId="3446F033">
      <w:pPr>
        <w:spacing w:line="400" w:lineRule="atLeast"/>
        <w:ind w:firstLine="482" w:firstLineChars="200"/>
        <w:rPr>
          <w:rFonts w:ascii="宋体" w:hAnsi="宋体" w:cs="宋体"/>
          <w:b/>
          <w:bCs/>
          <w:color w:val="auto"/>
          <w:sz w:val="24"/>
          <w:szCs w:val="24"/>
        </w:rPr>
      </w:pPr>
      <w:r>
        <w:rPr>
          <w:rFonts w:hint="eastAsia" w:ascii="宋体" w:hAnsi="宋体" w:cs="宋体"/>
          <w:b/>
          <w:bCs/>
          <w:color w:val="auto"/>
          <w:sz w:val="24"/>
          <w:szCs w:val="24"/>
        </w:rPr>
        <w:t>账号：1130 1599 9997</w:t>
      </w:r>
    </w:p>
    <w:p w14:paraId="7B15A8E7">
      <w:pPr>
        <w:spacing w:line="400" w:lineRule="atLeast"/>
        <w:ind w:firstLine="482" w:firstLineChars="200"/>
        <w:rPr>
          <w:rFonts w:ascii="宋体" w:hAnsi="宋体" w:cs="宋体"/>
          <w:b/>
          <w:bCs/>
          <w:color w:val="auto"/>
          <w:sz w:val="24"/>
          <w:szCs w:val="24"/>
        </w:rPr>
      </w:pPr>
      <w:r>
        <w:rPr>
          <w:rFonts w:hint="eastAsia" w:ascii="宋体" w:hAnsi="宋体" w:cs="宋体"/>
          <w:b/>
          <w:bCs/>
          <w:color w:val="auto"/>
          <w:sz w:val="24"/>
          <w:szCs w:val="24"/>
        </w:rPr>
        <w:t>注：投标人在付款凭证备注栏中注明是“2025年一般工业固废污泥处置项目投标保证金”。</w:t>
      </w:r>
    </w:p>
    <w:p w14:paraId="0680205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1.各投标人在银行转账（电汇）时，须充分考虑银行转账（电汇）的时间差风险，如同城转账、异地转账或汇款、跨行转账或电汇的时间要求。</w:t>
      </w:r>
    </w:p>
    <w:p w14:paraId="597E113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2.各投标人在递交投标保证金时，到款账户为上述指定的投标保证金专用账户，来款账户必须为本公司账户。</w:t>
      </w:r>
    </w:p>
    <w:p w14:paraId="14B59B1F">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（三）投标保证金证明材料</w:t>
      </w:r>
    </w:p>
    <w:p w14:paraId="37C22F40">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1.银行转账方式递交投标保证金的，开标前各投标投标人必须现场递交手持件【手持件包括投标保证金付款单或存款账户信息（原件备查），且付款单位必须与投标单位一致】。</w:t>
      </w:r>
    </w:p>
    <w:p w14:paraId="0AEF8EF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保函方式递交投标保证金的，开标前各投标投标人必须现场递交手持件【手持件包括保函复印件并加盖投标投标人单位鲜章（原件备查）】，投标保函应至少体现如下内容：①担保项目必须为本项目；②受益人必须为本项目采购人；③保函担保金额必须满足本项目要求；④保函生效时间必须在投标截止时间前，有效期限必须至少包含整个投标有效期；⑤保函须不可撤销且见索即付。</w:t>
      </w:r>
    </w:p>
    <w:p w14:paraId="247DC30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未按上述要求递交投标保证金证明材料的作为无效投标。</w:t>
      </w:r>
    </w:p>
    <w:p w14:paraId="76C8963A">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（四）保证金退还方式</w:t>
      </w:r>
    </w:p>
    <w:p w14:paraId="5ED45FFB">
      <w:pPr>
        <w:spacing w:line="400" w:lineRule="exact"/>
        <w:ind w:firstLine="480" w:firstLineChars="200"/>
        <w:rPr>
          <w:rFonts w:ascii="宋体" w:hAnsi="宋体" w:cs="宋体"/>
          <w:color w:val="auto"/>
          <w:sz w:val="24"/>
          <w:szCs w:val="24"/>
        </w:rPr>
      </w:pPr>
      <w:bookmarkStart w:id="102" w:name="_Toc66348538"/>
      <w:bookmarkStart w:id="103" w:name="_Toc6278"/>
      <w:bookmarkStart w:id="104" w:name="_Toc9142"/>
      <w:r>
        <w:rPr>
          <w:rFonts w:hint="eastAsia" w:ascii="宋体" w:hAnsi="宋体" w:cs="宋体"/>
          <w:color w:val="auto"/>
          <w:sz w:val="24"/>
          <w:szCs w:val="24"/>
        </w:rPr>
        <w:t>1.未中投标投标人的保证金，采取银行转账方式递交的，在中标通知书发放后，由采购人在五个工作日内按来款渠道直接退还（法律法规规定的不予退还的情形除外)。</w:t>
      </w:r>
    </w:p>
    <w:p w14:paraId="153D1E49">
      <w:pPr>
        <w:spacing w:line="400" w:lineRule="exact"/>
        <w:ind w:firstLine="480" w:firstLineChars="200"/>
        <w:rPr>
          <w:rFonts w:ascii="宋体" w:hAnsi="宋体" w:cs="宋体"/>
          <w:color w:val="auto"/>
          <w:sz w:val="24"/>
          <w:szCs w:val="24"/>
        </w:rPr>
      </w:pPr>
      <w:bookmarkStart w:id="105" w:name="_Toc30495"/>
      <w:r>
        <w:rPr>
          <w:rFonts w:hint="eastAsia" w:ascii="宋体" w:hAnsi="宋体" w:cs="宋体"/>
          <w:color w:val="auto"/>
          <w:sz w:val="24"/>
          <w:szCs w:val="24"/>
        </w:rPr>
        <w:t>2.中标人的投标保证金，采取银行转账方式递交的，在中标人与采购人签订合同后，由采购人</w:t>
      </w:r>
      <w:r>
        <w:rPr>
          <w:rFonts w:hint="eastAsia" w:ascii="宋体" w:hAnsi="宋体" w:cs="宋体"/>
          <w:color w:val="auto"/>
          <w:sz w:val="24"/>
        </w:rPr>
        <w:t>在</w:t>
      </w:r>
      <w:r>
        <w:rPr>
          <w:rFonts w:hint="eastAsia" w:ascii="宋体" w:hAnsi="宋体" w:cs="宋体"/>
          <w:color w:val="auto"/>
          <w:sz w:val="24"/>
          <w:szCs w:val="24"/>
        </w:rPr>
        <w:t>五个工作日内按资金来款渠道直接退还（法律法规规定的不予退还的情形除外)。</w:t>
      </w:r>
      <w:bookmarkEnd w:id="105"/>
    </w:p>
    <w:p w14:paraId="615C5CEE">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3.流标项目的保证金由采购代理机构</w:t>
      </w:r>
      <w:r>
        <w:rPr>
          <w:rFonts w:hint="eastAsia" w:ascii="宋体" w:hAnsi="宋体" w:cs="宋体"/>
          <w:color w:val="auto"/>
          <w:sz w:val="24"/>
        </w:rPr>
        <w:t>在</w:t>
      </w:r>
      <w:r>
        <w:rPr>
          <w:rFonts w:hint="eastAsia" w:ascii="宋体" w:hAnsi="宋体" w:cs="宋体"/>
          <w:color w:val="auto"/>
          <w:sz w:val="24"/>
          <w:szCs w:val="24"/>
        </w:rPr>
        <w:t>五个工作日内按资金来款渠道直接退还。</w:t>
      </w:r>
      <w:bookmarkEnd w:id="102"/>
      <w:bookmarkEnd w:id="103"/>
      <w:bookmarkEnd w:id="104"/>
    </w:p>
    <w:p w14:paraId="35BE6665">
      <w:pPr>
        <w:pStyle w:val="3"/>
        <w:spacing w:line="400" w:lineRule="exact"/>
        <w:ind w:firstLine="482" w:firstLineChars="200"/>
        <w:rPr>
          <w:rFonts w:cs="宋体"/>
          <w:b/>
          <w:color w:val="auto"/>
          <w:sz w:val="24"/>
        </w:rPr>
      </w:pPr>
      <w:bookmarkStart w:id="106" w:name="_Toc75793502"/>
      <w:bookmarkStart w:id="107" w:name="_Toc22428"/>
      <w:bookmarkStart w:id="108" w:name="_Toc18921"/>
      <w:bookmarkStart w:id="109" w:name="_Toc106030378"/>
      <w:bookmarkStart w:id="110" w:name="_Toc29169"/>
      <w:bookmarkStart w:id="111" w:name="_Toc21799"/>
      <w:bookmarkStart w:id="112" w:name="_Toc19755"/>
      <w:bookmarkStart w:id="113" w:name="_Toc1373"/>
      <w:bookmarkStart w:id="114" w:name="_Toc10747"/>
      <w:bookmarkStart w:id="115" w:name="_Toc16322"/>
      <w:bookmarkStart w:id="116" w:name="_Toc4869"/>
      <w:bookmarkStart w:id="117" w:name="_Toc30916"/>
      <w:bookmarkStart w:id="118" w:name="_Toc9931"/>
      <w:bookmarkStart w:id="119" w:name="_Toc13146"/>
      <w:bookmarkStart w:id="120" w:name="_Toc3810"/>
      <w:bookmarkStart w:id="121" w:name="_Toc13460"/>
      <w:r>
        <w:rPr>
          <w:rFonts w:hint="eastAsia" w:cs="宋体"/>
          <w:b/>
          <w:color w:val="auto"/>
          <w:sz w:val="24"/>
        </w:rPr>
        <w:t>六、投标有关规定</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35A6DE66">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（一）单位负责人为同一人或者存在直接控股、管理关系的不同投标人，不得参加同一合同项（包）下的采购活动。</w:t>
      </w:r>
    </w:p>
    <w:p w14:paraId="01E6D30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（二）为采购项目提供整体设计、规范编制或者项目管理、监理、检测等服务的投标人，不得再参加该采购项目的其他采购活动。</w:t>
      </w:r>
    </w:p>
    <w:p w14:paraId="56319EF9">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（三）本项目若有澄清文件一律在“行采家”平台（http://www.gec123.com）上发布，请各投标人注意下载或到采购代理机构领取；无论投标人下载或领取与否，均视同投标人已知晓本项目澄清文件的内容。</w:t>
      </w:r>
    </w:p>
    <w:p w14:paraId="1B50D3D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（四）超过投标截止时间递交的投标文件，恕不接收。</w:t>
      </w:r>
    </w:p>
    <w:p w14:paraId="31D9464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（五）投标费用：无论投标结果如何，投标人参与本项目投标的所有费用均应由投标人自行承担。</w:t>
      </w:r>
    </w:p>
    <w:p w14:paraId="1A9C73A5">
      <w:pPr>
        <w:snapToGrid w:val="0"/>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（六）本项目不接受联合体参与投标。</w:t>
      </w:r>
    </w:p>
    <w:p w14:paraId="3F0CB8AE">
      <w:pPr>
        <w:snapToGrid w:val="0"/>
        <w:spacing w:line="400" w:lineRule="exact"/>
        <w:ind w:firstLine="480" w:firstLineChars="200"/>
        <w:rPr>
          <w:rFonts w:ascii="宋体" w:hAnsi="宋体" w:cs="宋体"/>
          <w:b/>
          <w:bCs/>
          <w:color w:val="auto"/>
          <w:sz w:val="24"/>
          <w:szCs w:val="24"/>
        </w:rPr>
      </w:pPr>
      <w:r>
        <w:rPr>
          <w:rFonts w:hint="eastAsia" w:ascii="宋体" w:hAnsi="宋体" w:cs="宋体"/>
          <w:color w:val="auto"/>
          <w:sz w:val="24"/>
          <w:szCs w:val="24"/>
        </w:rPr>
        <w:t>（七）本项目不接受合同分包。</w:t>
      </w:r>
    </w:p>
    <w:p w14:paraId="388FECA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（八）</w:t>
      </w:r>
      <w:bookmarkStart w:id="122" w:name="OLE_LINK2"/>
      <w:bookmarkStart w:id="123" w:name="OLE_LINK1"/>
      <w:r>
        <w:rPr>
          <w:rFonts w:hint="eastAsia" w:ascii="宋体" w:hAnsi="宋体" w:cs="宋体"/>
          <w:color w:val="auto"/>
          <w:sz w:val="24"/>
          <w:szCs w:val="24"/>
        </w:rPr>
        <w:t>按照《财政部关于在政府采购活动中查询及使用信用记录有关问题的通知》财库〔2016〕125号，投标人列入失信被执行人、重大税收违法案件当事人名单、政府采购严重违法失信行为记录名单及其他不符合《中华人民共和国政府采购法》第二十二条规定条件的</w:t>
      </w:r>
      <w:bookmarkEnd w:id="122"/>
      <w:bookmarkEnd w:id="123"/>
      <w:r>
        <w:rPr>
          <w:rFonts w:hint="eastAsia" w:ascii="宋体" w:hAnsi="宋体" w:cs="宋体"/>
          <w:color w:val="auto"/>
          <w:sz w:val="24"/>
          <w:szCs w:val="24"/>
        </w:rPr>
        <w:t>投标人，将拒绝其参与采购活动。</w:t>
      </w:r>
    </w:p>
    <w:p w14:paraId="4A7E8DE6">
      <w:pPr>
        <w:pStyle w:val="3"/>
        <w:spacing w:line="400" w:lineRule="exact"/>
        <w:ind w:firstLine="482" w:firstLineChars="200"/>
        <w:rPr>
          <w:rFonts w:cs="宋体"/>
          <w:b/>
          <w:color w:val="auto"/>
          <w:sz w:val="24"/>
        </w:rPr>
      </w:pPr>
      <w:bookmarkStart w:id="124" w:name="_Toc5228"/>
      <w:bookmarkStart w:id="125" w:name="_Toc15522"/>
      <w:bookmarkStart w:id="126" w:name="_Toc29351"/>
      <w:bookmarkStart w:id="127" w:name="_Toc24181"/>
      <w:bookmarkStart w:id="128" w:name="_Toc26782"/>
      <w:bookmarkStart w:id="129" w:name="_Toc19676"/>
      <w:bookmarkStart w:id="130" w:name="_Toc11494"/>
      <w:bookmarkStart w:id="131" w:name="_Toc106030379"/>
      <w:bookmarkStart w:id="132" w:name="_Toc9632"/>
      <w:bookmarkStart w:id="133" w:name="_Toc12717"/>
      <w:bookmarkStart w:id="134" w:name="_Toc13885"/>
      <w:bookmarkStart w:id="135" w:name="_Toc67"/>
      <w:bookmarkStart w:id="136" w:name="_Toc30488"/>
      <w:bookmarkStart w:id="137" w:name="_Toc28772"/>
      <w:bookmarkStart w:id="138" w:name="_Toc75793503"/>
      <w:bookmarkStart w:id="139" w:name="_Toc20452"/>
      <w:r>
        <w:rPr>
          <w:rFonts w:hint="eastAsia" w:cs="宋体"/>
          <w:b/>
          <w:color w:val="auto"/>
          <w:sz w:val="24"/>
        </w:rPr>
        <w:t>七、联系方式</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11FBF9B5">
      <w:pPr>
        <w:snapToGrid w:val="0"/>
        <w:spacing w:line="400" w:lineRule="exact"/>
        <w:ind w:firstLine="480" w:firstLineChars="200"/>
        <w:outlineLvl w:val="2"/>
        <w:rPr>
          <w:rFonts w:ascii="宋体" w:hAnsi="宋体" w:cs="宋体"/>
          <w:color w:val="auto"/>
          <w:sz w:val="24"/>
          <w:szCs w:val="24"/>
        </w:rPr>
      </w:pPr>
      <w:r>
        <w:rPr>
          <w:rFonts w:hint="eastAsia" w:ascii="宋体" w:hAnsi="宋体" w:cs="宋体"/>
          <w:color w:val="auto"/>
          <w:sz w:val="24"/>
          <w:szCs w:val="24"/>
        </w:rPr>
        <w:t>（一）采购人：凯发新泉高阳污水处理（重庆）有限公司</w:t>
      </w:r>
    </w:p>
    <w:p w14:paraId="3C4EFB5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联系人： 刘老师</w:t>
      </w:r>
    </w:p>
    <w:p w14:paraId="7DBA4689">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电  话：（023）42717696</w:t>
      </w:r>
    </w:p>
    <w:p w14:paraId="48582B5A">
      <w:pPr>
        <w:snapToGrid w:val="0"/>
        <w:spacing w:line="400" w:lineRule="exact"/>
        <w:ind w:firstLine="480" w:firstLineChars="200"/>
        <w:outlineLvl w:val="2"/>
        <w:rPr>
          <w:rFonts w:ascii="宋体" w:hAnsi="宋体" w:cs="宋体"/>
          <w:color w:val="auto"/>
          <w:sz w:val="24"/>
          <w:szCs w:val="24"/>
        </w:rPr>
      </w:pPr>
      <w:r>
        <w:rPr>
          <w:rFonts w:hint="eastAsia" w:ascii="宋体" w:hAnsi="宋体" w:cs="宋体"/>
          <w:color w:val="auto"/>
          <w:sz w:val="24"/>
          <w:szCs w:val="24"/>
        </w:rPr>
        <w:t>地  址：重庆市合川工业园区内</w:t>
      </w:r>
    </w:p>
    <w:p w14:paraId="19BDE673">
      <w:pPr>
        <w:pStyle w:val="36"/>
        <w:spacing w:line="360" w:lineRule="auto"/>
        <w:ind w:firstLine="480" w:firstLineChars="200"/>
        <w:rPr>
          <w:rFonts w:hAnsi="宋体" w:cs="宋体"/>
          <w:color w:val="auto"/>
          <w:sz w:val="24"/>
          <w:szCs w:val="24"/>
        </w:rPr>
      </w:pPr>
      <w:r>
        <w:rPr>
          <w:rFonts w:hint="eastAsia" w:hAnsi="宋体" w:cs="宋体"/>
          <w:color w:val="auto"/>
          <w:sz w:val="24"/>
          <w:szCs w:val="24"/>
        </w:rPr>
        <w:t>（二）采购代理机构：柴盛科技（重庆）有限公司</w:t>
      </w:r>
    </w:p>
    <w:p w14:paraId="7AA0D388">
      <w:pPr>
        <w:pStyle w:val="36"/>
        <w:spacing w:line="360" w:lineRule="auto"/>
        <w:ind w:firstLine="480" w:firstLineChars="200"/>
        <w:rPr>
          <w:rFonts w:hAnsi="宋体" w:cs="宋体"/>
          <w:color w:val="auto"/>
          <w:sz w:val="24"/>
          <w:szCs w:val="24"/>
        </w:rPr>
      </w:pPr>
      <w:r>
        <w:rPr>
          <w:rFonts w:hint="eastAsia" w:hAnsi="宋体" w:cs="宋体"/>
          <w:color w:val="auto"/>
          <w:sz w:val="24"/>
          <w:szCs w:val="24"/>
        </w:rPr>
        <w:t xml:space="preserve">联系人：胡老师               </w:t>
      </w:r>
    </w:p>
    <w:p w14:paraId="4A5BDB84">
      <w:pPr>
        <w:pStyle w:val="36"/>
        <w:spacing w:line="360" w:lineRule="auto"/>
        <w:ind w:firstLine="480" w:firstLineChars="200"/>
        <w:rPr>
          <w:rFonts w:hAnsi="宋体" w:cs="宋体"/>
          <w:color w:val="auto"/>
          <w:sz w:val="24"/>
          <w:szCs w:val="24"/>
        </w:rPr>
      </w:pPr>
      <w:r>
        <w:rPr>
          <w:rFonts w:hint="eastAsia" w:hAnsi="宋体" w:cs="宋体"/>
          <w:color w:val="auto"/>
          <w:sz w:val="24"/>
          <w:szCs w:val="24"/>
        </w:rPr>
        <w:t>电话：18680746800</w:t>
      </w:r>
    </w:p>
    <w:p w14:paraId="63B71DFC">
      <w:pPr>
        <w:pStyle w:val="36"/>
        <w:spacing w:line="360" w:lineRule="auto"/>
        <w:ind w:firstLine="480" w:firstLineChars="200"/>
        <w:rPr>
          <w:rFonts w:hAnsi="宋体" w:cs="宋体"/>
          <w:color w:val="auto"/>
          <w:sz w:val="24"/>
          <w:szCs w:val="24"/>
        </w:rPr>
      </w:pPr>
      <w:r>
        <w:rPr>
          <w:rFonts w:hint="eastAsia" w:hAnsi="宋体" w:cs="宋体"/>
          <w:color w:val="auto"/>
          <w:sz w:val="24"/>
          <w:szCs w:val="24"/>
        </w:rPr>
        <w:t>‬‬地址：重庆市渝北区龙溪街道红锦大道61号2栋8-3</w:t>
      </w:r>
    </w:p>
    <w:p w14:paraId="5738B629">
      <w:pPr>
        <w:pStyle w:val="3"/>
        <w:spacing w:line="400" w:lineRule="exact"/>
        <w:ind w:firstLine="482" w:firstLineChars="200"/>
        <w:rPr>
          <w:rFonts w:cs="宋体"/>
          <w:b/>
          <w:color w:val="auto"/>
          <w:sz w:val="24"/>
        </w:rPr>
      </w:pPr>
      <w:bookmarkStart w:id="140" w:name="_Toc75805172"/>
      <w:r>
        <w:rPr>
          <w:rFonts w:hint="eastAsia" w:cs="宋体"/>
          <w:b/>
          <w:color w:val="auto"/>
          <w:sz w:val="24"/>
        </w:rPr>
        <w:t>八、项目现场踏勘</w:t>
      </w:r>
      <w:bookmarkEnd w:id="140"/>
    </w:p>
    <w:p w14:paraId="09026C44">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采购人不组织现场踏勘，由各供应商自行到现场进行踏勘了解实际情况，无论供应商是否踏勘过现场，均视为在响应截止时间之前踏勘过现场且对本项目潜在的风险和义务已完全了解，并已充分考虑了本项目可能面临的不确定因素可能导致的风险，成交供应商不得以不完全了解现场情况为借口而提出延长服务期限或提出额外赔偿等要求。踏勘产生的费用和风险等均由供应商自行承担。</w:t>
      </w:r>
    </w:p>
    <w:p w14:paraId="4B80AA11">
      <w:pPr>
        <w:spacing w:line="240" w:lineRule="auto"/>
        <w:jc w:val="center"/>
        <w:rPr>
          <w:rFonts w:hint="eastAsia" w:ascii="宋体" w:hAnsi="宋体" w:eastAsia="宋体" w:cs="宋体"/>
          <w:b/>
          <w:bCs/>
          <w:color w:val="auto"/>
          <w:sz w:val="40"/>
          <w:szCs w:val="40"/>
          <w:highlight w:val="none"/>
          <w:lang w:val="en-US" w:eastAsia="zh-CN"/>
        </w:rPr>
      </w:pPr>
    </w:p>
    <w:p w14:paraId="047C62F4">
      <w:pPr>
        <w:spacing w:line="240" w:lineRule="auto"/>
        <w:jc w:val="center"/>
        <w:rPr>
          <w:rFonts w:hint="eastAsia" w:ascii="宋体" w:hAnsi="宋体" w:eastAsia="宋体" w:cs="宋体"/>
          <w:b/>
          <w:bCs/>
          <w:color w:val="auto"/>
          <w:sz w:val="40"/>
          <w:szCs w:val="40"/>
          <w:highlight w:val="none"/>
          <w:lang w:val="en-US" w:eastAsia="zh-CN"/>
        </w:rPr>
      </w:pPr>
    </w:p>
    <w:p w14:paraId="3FE398C4">
      <w:pPr>
        <w:spacing w:line="240" w:lineRule="auto"/>
        <w:jc w:val="center"/>
        <w:rPr>
          <w:rFonts w:hint="eastAsia" w:ascii="宋体" w:hAnsi="宋体" w:eastAsia="宋体" w:cs="宋体"/>
          <w:b/>
          <w:bCs/>
          <w:color w:val="auto"/>
          <w:sz w:val="40"/>
          <w:szCs w:val="40"/>
          <w:highlight w:val="none"/>
          <w:lang w:val="en-US" w:eastAsia="zh-CN"/>
        </w:rPr>
      </w:pPr>
    </w:p>
    <w:p w14:paraId="67D1DD62">
      <w:pPr>
        <w:spacing w:line="240" w:lineRule="auto"/>
        <w:jc w:val="center"/>
        <w:rPr>
          <w:rFonts w:hint="eastAsia" w:ascii="宋体" w:hAnsi="宋体" w:eastAsia="宋体" w:cs="宋体"/>
          <w:b/>
          <w:bCs/>
          <w:color w:val="auto"/>
          <w:sz w:val="40"/>
          <w:szCs w:val="40"/>
          <w:highlight w:val="none"/>
          <w:lang w:val="en-US" w:eastAsia="zh-CN"/>
        </w:rPr>
      </w:pPr>
    </w:p>
    <w:p w14:paraId="754356C2">
      <w:pPr>
        <w:spacing w:line="240" w:lineRule="auto"/>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0"/>
          <w:szCs w:val="40"/>
          <w:highlight w:val="none"/>
          <w:lang w:val="en-US" w:eastAsia="zh-CN"/>
        </w:rPr>
        <w:t>比选</w:t>
      </w:r>
      <w:r>
        <w:rPr>
          <w:rFonts w:hint="eastAsia" w:ascii="宋体" w:hAnsi="宋体" w:eastAsia="宋体" w:cs="宋体"/>
          <w:b/>
          <w:bCs/>
          <w:color w:val="auto"/>
          <w:sz w:val="40"/>
          <w:szCs w:val="40"/>
          <w:highlight w:val="none"/>
        </w:rPr>
        <w:t>文件</w:t>
      </w:r>
      <w:r>
        <w:rPr>
          <w:rFonts w:hint="eastAsia" w:ascii="宋体" w:hAnsi="宋体" w:eastAsia="宋体" w:cs="宋体"/>
          <w:b/>
          <w:bCs/>
          <w:color w:val="auto"/>
          <w:sz w:val="40"/>
          <w:szCs w:val="40"/>
          <w:highlight w:val="none"/>
          <w:lang w:val="en-US" w:eastAsia="zh-CN"/>
        </w:rPr>
        <w:t>发售</w:t>
      </w:r>
      <w:r>
        <w:rPr>
          <w:rFonts w:hint="eastAsia" w:ascii="宋体" w:hAnsi="宋体" w:eastAsia="宋体" w:cs="宋体"/>
          <w:b/>
          <w:bCs/>
          <w:color w:val="auto"/>
          <w:sz w:val="40"/>
          <w:szCs w:val="40"/>
          <w:highlight w:val="none"/>
        </w:rPr>
        <w:t>登记表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6"/>
        <w:gridCol w:w="7445"/>
      </w:tblGrid>
      <w:tr w14:paraId="18EB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26" w:type="dxa"/>
            <w:noWrap w:val="0"/>
            <w:vAlign w:val="center"/>
          </w:tcPr>
          <w:p w14:paraId="3E3DD96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7445" w:type="dxa"/>
            <w:noWrap w:val="0"/>
            <w:vAlign w:val="center"/>
          </w:tcPr>
          <w:p w14:paraId="5164591C">
            <w:pPr>
              <w:jc w:val="center"/>
              <w:rPr>
                <w:rFonts w:hint="eastAsia" w:ascii="宋体" w:hAnsi="宋体" w:eastAsia="宋体" w:cs="宋体"/>
                <w:color w:val="auto"/>
                <w:sz w:val="24"/>
                <w:szCs w:val="24"/>
                <w:highlight w:val="none"/>
                <w:lang w:val="en-US" w:eastAsia="zh-CN"/>
              </w:rPr>
            </w:pPr>
            <w:r>
              <w:rPr>
                <w:rFonts w:hint="eastAsia" w:ascii="宋体" w:hAnsi="宋体" w:cs="宋体"/>
                <w:b/>
                <w:color w:val="auto"/>
                <w:szCs w:val="24"/>
              </w:rPr>
              <w:t>2025年一般工业固废污泥处置项目</w:t>
            </w:r>
          </w:p>
        </w:tc>
      </w:tr>
      <w:tr w14:paraId="349D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trPr>
        <w:tc>
          <w:tcPr>
            <w:tcW w:w="2426" w:type="dxa"/>
            <w:noWrap w:val="0"/>
            <w:vAlign w:val="center"/>
          </w:tcPr>
          <w:p w14:paraId="6A48092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竞标人</w:t>
            </w:r>
            <w:r>
              <w:rPr>
                <w:rFonts w:hint="eastAsia" w:ascii="宋体" w:hAnsi="宋体" w:eastAsia="宋体" w:cs="宋体"/>
                <w:color w:val="auto"/>
                <w:sz w:val="24"/>
                <w:szCs w:val="24"/>
                <w:highlight w:val="none"/>
              </w:rPr>
              <w:t>名称</w:t>
            </w:r>
          </w:p>
        </w:tc>
        <w:tc>
          <w:tcPr>
            <w:tcW w:w="7445" w:type="dxa"/>
            <w:noWrap w:val="0"/>
            <w:vAlign w:val="center"/>
          </w:tcPr>
          <w:p w14:paraId="46E47EE8">
            <w:pPr>
              <w:jc w:val="center"/>
              <w:rPr>
                <w:rFonts w:hint="eastAsia" w:ascii="宋体" w:hAnsi="宋体" w:eastAsia="宋体" w:cs="宋体"/>
                <w:color w:val="auto"/>
                <w:szCs w:val="28"/>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（盖章）</w:t>
            </w:r>
          </w:p>
        </w:tc>
      </w:tr>
      <w:tr w14:paraId="5797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426" w:type="dxa"/>
            <w:noWrap w:val="0"/>
            <w:vAlign w:val="center"/>
          </w:tcPr>
          <w:p w14:paraId="51019BC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7445" w:type="dxa"/>
            <w:noWrap w:val="0"/>
            <w:vAlign w:val="center"/>
          </w:tcPr>
          <w:p w14:paraId="4BD93EAD">
            <w:pPr>
              <w:jc w:val="center"/>
              <w:rPr>
                <w:rFonts w:hint="eastAsia" w:ascii="宋体" w:hAnsi="宋体" w:eastAsia="宋体" w:cs="宋体"/>
                <w:color w:val="auto"/>
                <w:szCs w:val="28"/>
                <w:highlight w:val="none"/>
              </w:rPr>
            </w:pPr>
          </w:p>
        </w:tc>
      </w:tr>
      <w:tr w14:paraId="5310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26" w:type="dxa"/>
            <w:noWrap w:val="0"/>
            <w:vAlign w:val="center"/>
          </w:tcPr>
          <w:p w14:paraId="6B03699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手机</w:t>
            </w:r>
          </w:p>
        </w:tc>
        <w:tc>
          <w:tcPr>
            <w:tcW w:w="7445" w:type="dxa"/>
            <w:noWrap w:val="0"/>
            <w:vAlign w:val="center"/>
          </w:tcPr>
          <w:p w14:paraId="13EC6FC3">
            <w:pPr>
              <w:jc w:val="center"/>
              <w:rPr>
                <w:rFonts w:hint="eastAsia" w:ascii="宋体" w:hAnsi="宋体" w:eastAsia="宋体" w:cs="宋体"/>
                <w:color w:val="auto"/>
                <w:szCs w:val="28"/>
                <w:highlight w:val="none"/>
              </w:rPr>
            </w:pPr>
          </w:p>
        </w:tc>
      </w:tr>
      <w:tr w14:paraId="13C55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426" w:type="dxa"/>
            <w:noWrap w:val="0"/>
            <w:vAlign w:val="center"/>
          </w:tcPr>
          <w:p w14:paraId="4C4D4D0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办公电话</w:t>
            </w:r>
          </w:p>
        </w:tc>
        <w:tc>
          <w:tcPr>
            <w:tcW w:w="7445" w:type="dxa"/>
            <w:noWrap w:val="0"/>
            <w:vAlign w:val="center"/>
          </w:tcPr>
          <w:p w14:paraId="2EF38381">
            <w:pPr>
              <w:jc w:val="center"/>
              <w:rPr>
                <w:rFonts w:hint="eastAsia" w:ascii="宋体" w:hAnsi="宋体" w:eastAsia="宋体" w:cs="宋体"/>
                <w:color w:val="auto"/>
                <w:szCs w:val="28"/>
                <w:highlight w:val="none"/>
              </w:rPr>
            </w:pPr>
          </w:p>
        </w:tc>
      </w:tr>
      <w:tr w14:paraId="3264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426" w:type="dxa"/>
            <w:noWrap w:val="0"/>
            <w:vAlign w:val="center"/>
          </w:tcPr>
          <w:p w14:paraId="3580075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tc>
        <w:tc>
          <w:tcPr>
            <w:tcW w:w="7445" w:type="dxa"/>
            <w:noWrap w:val="0"/>
            <w:vAlign w:val="center"/>
          </w:tcPr>
          <w:p w14:paraId="77F8AD2F">
            <w:pPr>
              <w:jc w:val="center"/>
              <w:rPr>
                <w:rFonts w:hint="eastAsia" w:ascii="宋体" w:hAnsi="宋体" w:eastAsia="宋体" w:cs="宋体"/>
                <w:color w:val="auto"/>
                <w:szCs w:val="28"/>
                <w:highlight w:val="none"/>
              </w:rPr>
            </w:pPr>
          </w:p>
        </w:tc>
      </w:tr>
      <w:tr w14:paraId="4239C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426" w:type="dxa"/>
            <w:noWrap w:val="0"/>
            <w:vAlign w:val="center"/>
          </w:tcPr>
          <w:p w14:paraId="3429610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p>
        </w:tc>
        <w:tc>
          <w:tcPr>
            <w:tcW w:w="7445" w:type="dxa"/>
            <w:noWrap w:val="0"/>
            <w:vAlign w:val="center"/>
          </w:tcPr>
          <w:p w14:paraId="6C2BAF49">
            <w:pPr>
              <w:jc w:val="center"/>
              <w:rPr>
                <w:rFonts w:hint="eastAsia" w:ascii="宋体" w:hAnsi="宋体" w:eastAsia="宋体" w:cs="宋体"/>
                <w:color w:val="auto"/>
                <w:szCs w:val="28"/>
                <w:highlight w:val="none"/>
              </w:rPr>
            </w:pPr>
          </w:p>
        </w:tc>
      </w:tr>
      <w:tr w14:paraId="528C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426" w:type="dxa"/>
            <w:noWrap w:val="0"/>
            <w:vAlign w:val="center"/>
          </w:tcPr>
          <w:p w14:paraId="101C95A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单位地址</w:t>
            </w:r>
          </w:p>
        </w:tc>
        <w:tc>
          <w:tcPr>
            <w:tcW w:w="7445" w:type="dxa"/>
            <w:noWrap w:val="0"/>
            <w:vAlign w:val="center"/>
          </w:tcPr>
          <w:p w14:paraId="64303E4E">
            <w:pPr>
              <w:jc w:val="center"/>
              <w:rPr>
                <w:rFonts w:hint="eastAsia" w:ascii="宋体" w:hAnsi="宋体" w:eastAsia="宋体" w:cs="宋体"/>
                <w:color w:val="auto"/>
                <w:szCs w:val="28"/>
                <w:highlight w:val="none"/>
              </w:rPr>
            </w:pPr>
          </w:p>
        </w:tc>
      </w:tr>
      <w:tr w14:paraId="39AD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426" w:type="dxa"/>
            <w:noWrap w:val="0"/>
            <w:vAlign w:val="center"/>
          </w:tcPr>
          <w:p w14:paraId="29707916">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报名时间</w:t>
            </w:r>
          </w:p>
        </w:tc>
        <w:tc>
          <w:tcPr>
            <w:tcW w:w="7445" w:type="dxa"/>
            <w:noWrap w:val="0"/>
            <w:vAlign w:val="center"/>
          </w:tcPr>
          <w:p w14:paraId="62A075A0">
            <w:pPr>
              <w:jc w:val="center"/>
              <w:rPr>
                <w:rFonts w:hint="eastAsia" w:ascii="宋体" w:hAnsi="宋体" w:eastAsia="宋体" w:cs="宋体"/>
                <w:color w:val="auto"/>
                <w:szCs w:val="28"/>
                <w:highlight w:val="none"/>
              </w:rPr>
            </w:pPr>
            <w:r>
              <w:rPr>
                <w:rFonts w:hint="eastAsia" w:ascii="宋体" w:hAnsi="宋体" w:eastAsia="宋体" w:cs="宋体"/>
                <w:color w:val="auto"/>
                <w:sz w:val="24"/>
                <w:szCs w:val="24"/>
                <w:highlight w:val="none"/>
              </w:rPr>
              <w:t>年     月      日</w:t>
            </w:r>
          </w:p>
        </w:tc>
      </w:tr>
      <w:tr w14:paraId="3D3C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5" w:hRule="atLeast"/>
        </w:trPr>
        <w:tc>
          <w:tcPr>
            <w:tcW w:w="9871" w:type="dxa"/>
            <w:gridSpan w:val="2"/>
            <w:noWrap w:val="0"/>
            <w:vAlign w:val="center"/>
          </w:tcPr>
          <w:p w14:paraId="0395F95E">
            <w:pPr>
              <w:jc w:val="left"/>
              <w:rPr>
                <w:rFonts w:hint="default" w:ascii="宋体" w:hAnsi="宋体" w:eastAsia="宋体" w:cs="宋体"/>
                <w:b/>
                <w:bCs/>
                <w:color w:val="auto"/>
                <w:sz w:val="20"/>
                <w:highlight w:val="none"/>
                <w:lang w:val="en-US"/>
              </w:rPr>
            </w:pPr>
            <w:r>
              <w:rPr>
                <w:rFonts w:hint="eastAsia" w:ascii="宋体" w:hAnsi="宋体" w:eastAsia="宋体" w:cs="宋体"/>
                <w:b/>
                <w:bCs/>
                <w:color w:val="auto"/>
                <w:sz w:val="20"/>
                <w:highlight w:val="none"/>
                <w:lang w:val="en-US" w:eastAsia="zh-CN"/>
              </w:rPr>
              <w:t>竞标人（法人或授权代表）</w:t>
            </w:r>
            <w:r>
              <w:rPr>
                <w:rFonts w:hint="eastAsia" w:ascii="宋体" w:hAnsi="宋体" w:eastAsia="宋体" w:cs="宋体"/>
                <w:b/>
                <w:bCs/>
                <w:color w:val="auto"/>
                <w:sz w:val="20"/>
                <w:highlight w:val="none"/>
              </w:rPr>
              <w:t>扫以下收款码支付</w:t>
            </w:r>
            <w:r>
              <w:rPr>
                <w:rFonts w:hint="eastAsia" w:ascii="宋体" w:hAnsi="宋体" w:eastAsia="宋体" w:cs="宋体"/>
                <w:b/>
                <w:bCs/>
                <w:color w:val="auto"/>
                <w:sz w:val="20"/>
                <w:highlight w:val="none"/>
                <w:lang w:val="en-US" w:eastAsia="zh-CN"/>
              </w:rPr>
              <w:t>比选文件费（即标书费）</w:t>
            </w:r>
            <w:r>
              <w:rPr>
                <w:rFonts w:hint="eastAsia" w:ascii="宋体" w:hAnsi="宋体" w:eastAsia="宋体" w:cs="宋体"/>
                <w:b/>
                <w:bCs/>
                <w:color w:val="auto"/>
                <w:sz w:val="20"/>
                <w:highlight w:val="none"/>
              </w:rPr>
              <w:t>，支付时须备注：单位名称（可简写）</w:t>
            </w:r>
            <w:r>
              <w:rPr>
                <w:rFonts w:hint="eastAsia" w:ascii="宋体" w:hAnsi="宋体" w:eastAsia="宋体" w:cs="宋体"/>
                <w:b/>
                <w:bCs/>
                <w:color w:val="auto"/>
                <w:sz w:val="20"/>
                <w:highlight w:val="none"/>
                <w:lang w:val="en-US" w:eastAsia="zh-CN"/>
              </w:rPr>
              <w:t>+2025年一般工业固废污泥处置项目</w:t>
            </w:r>
          </w:p>
          <w:p w14:paraId="72F0E73E">
            <w:pPr>
              <w:pStyle w:val="15"/>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drawing>
                <wp:inline distT="0" distB="0" distL="114300" distR="114300">
                  <wp:extent cx="2549525" cy="2776855"/>
                  <wp:effectExtent l="0" t="0" r="3175" b="4445"/>
                  <wp:docPr id="1" name="图片 1" descr="微信图片_2024111211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112115724"/>
                          <pic:cNvPicPr>
                            <a:picLocks noChangeAspect="1"/>
                          </pic:cNvPicPr>
                        </pic:nvPicPr>
                        <pic:blipFill>
                          <a:blip r:embed="rId12"/>
                          <a:stretch>
                            <a:fillRect/>
                          </a:stretch>
                        </pic:blipFill>
                        <pic:spPr>
                          <a:xfrm>
                            <a:off x="0" y="0"/>
                            <a:ext cx="2549525" cy="2776855"/>
                          </a:xfrm>
                          <a:prstGeom prst="rect">
                            <a:avLst/>
                          </a:prstGeom>
                          <a:noFill/>
                          <a:ln>
                            <a:noFill/>
                          </a:ln>
                        </pic:spPr>
                      </pic:pic>
                    </a:graphicData>
                  </a:graphic>
                </wp:inline>
              </w:drawing>
            </w:r>
          </w:p>
        </w:tc>
      </w:tr>
    </w:tbl>
    <w:p w14:paraId="77504D81">
      <w:pPr>
        <w:spacing w:line="420" w:lineRule="exact"/>
        <w:ind w:firstLine="480" w:firstLineChars="200"/>
        <w:rPr>
          <w:rStyle w:val="26"/>
          <w:rFonts w:ascii="宋体" w:hAnsi="宋体" w:cs="宋体"/>
          <w:color w:val="auto"/>
          <w:sz w:val="24"/>
          <w:szCs w:val="24"/>
        </w:rPr>
      </w:pPr>
    </w:p>
    <w:p w14:paraId="401842B3">
      <w:pPr>
        <w:spacing w:line="420" w:lineRule="exact"/>
        <w:ind w:firstLine="480" w:firstLineChars="200"/>
        <w:rPr>
          <w:rStyle w:val="26"/>
          <w:rFonts w:ascii="宋体" w:hAnsi="宋体" w:cs="宋体"/>
          <w:color w:val="auto"/>
          <w:sz w:val="24"/>
          <w:szCs w:val="24"/>
        </w:rPr>
      </w:pPr>
    </w:p>
    <w:p w14:paraId="6DE6617E">
      <w:pPr>
        <w:spacing w:line="420" w:lineRule="exact"/>
        <w:ind w:firstLine="480" w:firstLineChars="200"/>
        <w:rPr>
          <w:rStyle w:val="26"/>
          <w:rFonts w:ascii="宋体" w:hAnsi="宋体" w:cs="宋体"/>
          <w:color w:val="auto"/>
          <w:sz w:val="24"/>
          <w:szCs w:val="24"/>
        </w:rPr>
      </w:pPr>
    </w:p>
    <w:p w14:paraId="33549D85">
      <w:pPr>
        <w:snapToGrid w:val="0"/>
        <w:spacing w:line="400" w:lineRule="exact"/>
        <w:ind w:firstLine="480" w:firstLineChars="200"/>
        <w:rPr>
          <w:rFonts w:ascii="宋体" w:hAnsi="宋体" w:cs="宋体"/>
          <w:color w:val="auto"/>
          <w:sz w:val="24"/>
          <w:szCs w:val="24"/>
        </w:rPr>
      </w:pPr>
    </w:p>
    <w:p w14:paraId="46BA5F34">
      <w:pPr>
        <w:pStyle w:val="2"/>
        <w:spacing w:beforeLines="0" w:afterLines="0" w:line="360" w:lineRule="auto"/>
        <w:rPr>
          <w:rFonts w:ascii="宋体" w:hAnsi="宋体" w:eastAsia="宋体" w:cs="宋体"/>
          <w:b/>
          <w:color w:val="auto"/>
        </w:rPr>
      </w:pPr>
      <w:bookmarkStart w:id="141" w:name="_Toc8649"/>
      <w:bookmarkStart w:id="142" w:name="_Toc1625"/>
      <w:bookmarkStart w:id="143" w:name="_Toc11017"/>
      <w:bookmarkStart w:id="144" w:name="_Toc32686"/>
      <w:bookmarkStart w:id="145" w:name="_Toc26176"/>
      <w:bookmarkStart w:id="146" w:name="_Toc5461"/>
      <w:bookmarkStart w:id="147" w:name="_Toc2070"/>
      <w:bookmarkStart w:id="148" w:name="_Toc12959"/>
      <w:bookmarkStart w:id="149" w:name="_Toc19886"/>
      <w:bookmarkStart w:id="150" w:name="_Toc23143"/>
      <w:bookmarkStart w:id="151" w:name="_Toc25639"/>
      <w:bookmarkStart w:id="152" w:name="_Toc1492"/>
      <w:bookmarkStart w:id="153" w:name="_Toc2422"/>
      <w:bookmarkStart w:id="154" w:name="_Toc75793504"/>
      <w:bookmarkStart w:id="155" w:name="_Toc725"/>
      <w:bookmarkStart w:id="156" w:name="_Toc106030380"/>
      <w:r>
        <w:rPr>
          <w:rFonts w:hint="eastAsia" w:ascii="宋体" w:hAnsi="宋体" w:eastAsia="宋体" w:cs="宋体"/>
          <w:b/>
          <w:color w:val="auto"/>
        </w:rPr>
        <w:t xml:space="preserve">第二篇 </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r>
        <w:rPr>
          <w:rFonts w:hint="eastAsia" w:ascii="宋体" w:hAnsi="宋体" w:eastAsia="宋体" w:cs="宋体"/>
          <w:b/>
          <w:color w:val="auto"/>
        </w:rPr>
        <w:t>项目服务需求</w:t>
      </w:r>
      <w:bookmarkEnd w:id="156"/>
    </w:p>
    <w:p w14:paraId="18AFE428">
      <w:pPr>
        <w:pStyle w:val="3"/>
        <w:spacing w:line="400" w:lineRule="exact"/>
        <w:ind w:firstLine="482" w:firstLineChars="200"/>
        <w:rPr>
          <w:rFonts w:cs="宋体"/>
          <w:b/>
          <w:color w:val="auto"/>
          <w:sz w:val="24"/>
        </w:rPr>
      </w:pPr>
    </w:p>
    <w:p w14:paraId="46D52B11">
      <w:pPr>
        <w:pStyle w:val="3"/>
        <w:spacing w:line="500" w:lineRule="exact"/>
        <w:rPr>
          <w:rFonts w:cs="宋体"/>
          <w:b/>
          <w:color w:val="auto"/>
          <w:sz w:val="24"/>
        </w:rPr>
      </w:pPr>
      <w:bookmarkStart w:id="157" w:name="_Toc75805174"/>
      <w:bookmarkStart w:id="158" w:name="_Toc10143"/>
      <w:bookmarkStart w:id="159" w:name="_Toc75793506"/>
      <w:bookmarkStart w:id="160" w:name="_Toc26453"/>
      <w:bookmarkStart w:id="161" w:name="_Toc18903"/>
      <w:bookmarkStart w:id="162" w:name="_Toc7792"/>
      <w:bookmarkStart w:id="163" w:name="_Toc21817"/>
      <w:bookmarkStart w:id="164" w:name="_Toc5751"/>
      <w:bookmarkStart w:id="165" w:name="_Toc32262"/>
      <w:bookmarkStart w:id="166" w:name="_Toc18800"/>
      <w:bookmarkStart w:id="167" w:name="_Toc27067"/>
      <w:bookmarkStart w:id="168" w:name="_Toc12568"/>
      <w:bookmarkStart w:id="169" w:name="_Toc106030382"/>
      <w:bookmarkStart w:id="170" w:name="_Toc695"/>
      <w:bookmarkStart w:id="171" w:name="_Toc23975"/>
      <w:bookmarkStart w:id="172" w:name="_Toc28205"/>
      <w:bookmarkStart w:id="173" w:name="_Toc15696"/>
      <w:r>
        <w:rPr>
          <w:rFonts w:hint="eastAsia" w:cs="宋体"/>
          <w:b/>
          <w:color w:val="auto"/>
          <w:sz w:val="24"/>
        </w:rPr>
        <w:t>一、招标项目服务需求一览表</w:t>
      </w:r>
      <w:bookmarkEnd w:id="157"/>
    </w:p>
    <w:tbl>
      <w:tblPr>
        <w:tblStyle w:val="18"/>
        <w:tblW w:w="5000" w:type="pct"/>
        <w:tblInd w:w="0" w:type="dxa"/>
        <w:tblLayout w:type="autofit"/>
        <w:tblCellMar>
          <w:top w:w="0" w:type="dxa"/>
          <w:left w:w="108" w:type="dxa"/>
          <w:bottom w:w="0" w:type="dxa"/>
          <w:right w:w="108" w:type="dxa"/>
        </w:tblCellMar>
      </w:tblPr>
      <w:tblGrid>
        <w:gridCol w:w="837"/>
        <w:gridCol w:w="3551"/>
        <w:gridCol w:w="2650"/>
        <w:gridCol w:w="2590"/>
      </w:tblGrid>
      <w:tr w14:paraId="58EC20F5">
        <w:tblPrEx>
          <w:tblCellMar>
            <w:top w:w="0" w:type="dxa"/>
            <w:left w:w="108" w:type="dxa"/>
            <w:bottom w:w="0" w:type="dxa"/>
            <w:right w:w="108" w:type="dxa"/>
          </w:tblCellMar>
        </w:tblPrEx>
        <w:trPr>
          <w:trHeight w:val="558" w:hRule="atLeast"/>
        </w:trPr>
        <w:tc>
          <w:tcPr>
            <w:tcW w:w="435" w:type="pct"/>
            <w:vMerge w:val="restart"/>
            <w:tcBorders>
              <w:top w:val="single" w:color="auto" w:sz="4" w:space="0"/>
              <w:left w:val="single" w:color="auto" w:sz="4" w:space="0"/>
              <w:bottom w:val="single" w:color="auto" w:sz="4" w:space="0"/>
              <w:right w:val="single" w:color="auto" w:sz="4" w:space="0"/>
            </w:tcBorders>
            <w:noWrap/>
            <w:vAlign w:val="center"/>
          </w:tcPr>
          <w:p w14:paraId="57155586">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序号</w:t>
            </w:r>
          </w:p>
        </w:tc>
        <w:tc>
          <w:tcPr>
            <w:tcW w:w="1844" w:type="pct"/>
            <w:vMerge w:val="restart"/>
            <w:tcBorders>
              <w:top w:val="single" w:color="auto" w:sz="4" w:space="0"/>
              <w:left w:val="single" w:color="auto" w:sz="4" w:space="0"/>
              <w:bottom w:val="single" w:color="auto" w:sz="4" w:space="0"/>
              <w:right w:val="single" w:color="auto" w:sz="4" w:space="0"/>
            </w:tcBorders>
            <w:noWrap/>
            <w:vAlign w:val="center"/>
          </w:tcPr>
          <w:p w14:paraId="0BFC6229">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项目名称</w:t>
            </w:r>
          </w:p>
          <w:p w14:paraId="50E84357">
            <w:pPr>
              <w:widowControl/>
              <w:jc w:val="center"/>
              <w:rPr>
                <w:rFonts w:ascii="宋体" w:hAnsi="宋体" w:cs="宋体"/>
                <w:b/>
                <w:bCs/>
                <w:color w:val="auto"/>
                <w:kern w:val="0"/>
                <w:sz w:val="24"/>
                <w:szCs w:val="24"/>
              </w:rPr>
            </w:pPr>
          </w:p>
        </w:tc>
        <w:tc>
          <w:tcPr>
            <w:tcW w:w="1376" w:type="pct"/>
            <w:vMerge w:val="restart"/>
            <w:tcBorders>
              <w:top w:val="single" w:color="auto" w:sz="4" w:space="0"/>
              <w:left w:val="single" w:color="auto" w:sz="4" w:space="0"/>
              <w:bottom w:val="single" w:color="auto" w:sz="4" w:space="0"/>
              <w:right w:val="single" w:color="auto" w:sz="4" w:space="0"/>
            </w:tcBorders>
            <w:vAlign w:val="center"/>
          </w:tcPr>
          <w:p w14:paraId="0A2E4516">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项目内容</w:t>
            </w:r>
          </w:p>
          <w:p w14:paraId="51AC0586">
            <w:pPr>
              <w:widowControl/>
              <w:jc w:val="center"/>
              <w:rPr>
                <w:rFonts w:ascii="宋体" w:hAnsi="宋体" w:cs="宋体"/>
                <w:b/>
                <w:bCs/>
                <w:color w:val="auto"/>
                <w:kern w:val="0"/>
                <w:sz w:val="24"/>
                <w:szCs w:val="24"/>
              </w:rPr>
            </w:pPr>
          </w:p>
        </w:tc>
        <w:tc>
          <w:tcPr>
            <w:tcW w:w="1345" w:type="pct"/>
            <w:vMerge w:val="restart"/>
            <w:tcBorders>
              <w:top w:val="single" w:color="auto" w:sz="4" w:space="0"/>
              <w:left w:val="single" w:color="auto" w:sz="4" w:space="0"/>
              <w:bottom w:val="single" w:color="000000" w:sz="4" w:space="0"/>
              <w:right w:val="single" w:color="auto" w:sz="4" w:space="0"/>
            </w:tcBorders>
            <w:noWrap/>
            <w:vAlign w:val="center"/>
          </w:tcPr>
          <w:p w14:paraId="091F721D">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数量</w:t>
            </w:r>
          </w:p>
        </w:tc>
      </w:tr>
      <w:tr w14:paraId="5C84BD2B">
        <w:tblPrEx>
          <w:tblCellMar>
            <w:top w:w="0" w:type="dxa"/>
            <w:left w:w="108" w:type="dxa"/>
            <w:bottom w:w="0" w:type="dxa"/>
            <w:right w:w="108" w:type="dxa"/>
          </w:tblCellMar>
        </w:tblPrEx>
        <w:trPr>
          <w:trHeight w:val="559" w:hRule="atLeast"/>
        </w:trPr>
        <w:tc>
          <w:tcPr>
            <w:tcW w:w="435" w:type="pct"/>
            <w:vMerge w:val="continue"/>
            <w:tcBorders>
              <w:top w:val="single" w:color="auto" w:sz="4" w:space="0"/>
              <w:left w:val="single" w:color="auto" w:sz="4" w:space="0"/>
              <w:bottom w:val="single" w:color="auto" w:sz="4" w:space="0"/>
              <w:right w:val="single" w:color="auto" w:sz="4" w:space="0"/>
            </w:tcBorders>
            <w:vAlign w:val="center"/>
          </w:tcPr>
          <w:p w14:paraId="69788010">
            <w:pPr>
              <w:widowControl/>
              <w:jc w:val="left"/>
              <w:rPr>
                <w:rFonts w:ascii="宋体" w:hAnsi="宋体" w:cs="宋体"/>
                <w:b/>
                <w:bCs/>
                <w:color w:val="auto"/>
                <w:kern w:val="0"/>
                <w:sz w:val="24"/>
                <w:szCs w:val="24"/>
              </w:rPr>
            </w:pPr>
          </w:p>
        </w:tc>
        <w:tc>
          <w:tcPr>
            <w:tcW w:w="1844" w:type="pct"/>
            <w:vMerge w:val="continue"/>
            <w:tcBorders>
              <w:top w:val="single" w:color="auto" w:sz="4" w:space="0"/>
              <w:left w:val="single" w:color="auto" w:sz="4" w:space="0"/>
              <w:bottom w:val="single" w:color="auto" w:sz="4" w:space="0"/>
              <w:right w:val="single" w:color="auto" w:sz="4" w:space="0"/>
            </w:tcBorders>
            <w:vAlign w:val="center"/>
          </w:tcPr>
          <w:p w14:paraId="5053699E">
            <w:pPr>
              <w:widowControl/>
              <w:jc w:val="left"/>
              <w:rPr>
                <w:rFonts w:ascii="宋体" w:hAnsi="宋体" w:cs="宋体"/>
                <w:b/>
                <w:bCs/>
                <w:color w:val="auto"/>
                <w:kern w:val="0"/>
                <w:sz w:val="24"/>
                <w:szCs w:val="24"/>
              </w:rPr>
            </w:pPr>
          </w:p>
        </w:tc>
        <w:tc>
          <w:tcPr>
            <w:tcW w:w="1376" w:type="pct"/>
            <w:vMerge w:val="continue"/>
            <w:tcBorders>
              <w:top w:val="single" w:color="auto" w:sz="4" w:space="0"/>
              <w:left w:val="single" w:color="auto" w:sz="4" w:space="0"/>
              <w:bottom w:val="single" w:color="auto" w:sz="4" w:space="0"/>
              <w:right w:val="single" w:color="auto" w:sz="4" w:space="0"/>
            </w:tcBorders>
            <w:vAlign w:val="center"/>
          </w:tcPr>
          <w:p w14:paraId="23AA982B">
            <w:pPr>
              <w:widowControl/>
              <w:jc w:val="left"/>
              <w:rPr>
                <w:rFonts w:ascii="宋体" w:hAnsi="宋体" w:cs="宋体"/>
                <w:b/>
                <w:bCs/>
                <w:color w:val="auto"/>
                <w:kern w:val="0"/>
                <w:sz w:val="24"/>
                <w:szCs w:val="24"/>
              </w:rPr>
            </w:pPr>
          </w:p>
        </w:tc>
        <w:tc>
          <w:tcPr>
            <w:tcW w:w="1345" w:type="pct"/>
            <w:vMerge w:val="continue"/>
            <w:tcBorders>
              <w:top w:val="single" w:color="auto" w:sz="4" w:space="0"/>
              <w:left w:val="single" w:color="auto" w:sz="4" w:space="0"/>
              <w:bottom w:val="single" w:color="000000" w:sz="4" w:space="0"/>
              <w:right w:val="single" w:color="auto" w:sz="4" w:space="0"/>
            </w:tcBorders>
            <w:vAlign w:val="center"/>
          </w:tcPr>
          <w:p w14:paraId="49A4448F">
            <w:pPr>
              <w:widowControl/>
              <w:jc w:val="left"/>
              <w:rPr>
                <w:rFonts w:ascii="宋体" w:hAnsi="宋体" w:cs="宋体"/>
                <w:b/>
                <w:bCs/>
                <w:color w:val="auto"/>
                <w:kern w:val="0"/>
                <w:sz w:val="24"/>
                <w:szCs w:val="24"/>
              </w:rPr>
            </w:pPr>
          </w:p>
        </w:tc>
      </w:tr>
      <w:tr w14:paraId="7597DEB5">
        <w:tblPrEx>
          <w:tblCellMar>
            <w:top w:w="0" w:type="dxa"/>
            <w:left w:w="108" w:type="dxa"/>
            <w:bottom w:w="0" w:type="dxa"/>
            <w:right w:w="108" w:type="dxa"/>
          </w:tblCellMar>
        </w:tblPrEx>
        <w:trPr>
          <w:trHeight w:val="645" w:hRule="atLeast"/>
        </w:trPr>
        <w:tc>
          <w:tcPr>
            <w:tcW w:w="435" w:type="pct"/>
            <w:tcBorders>
              <w:top w:val="nil"/>
              <w:left w:val="single" w:color="auto" w:sz="4" w:space="0"/>
              <w:bottom w:val="single" w:color="auto" w:sz="4" w:space="0"/>
              <w:right w:val="single" w:color="auto" w:sz="4" w:space="0"/>
            </w:tcBorders>
            <w:noWrap/>
            <w:vAlign w:val="center"/>
          </w:tcPr>
          <w:p w14:paraId="272A37E3">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1</w:t>
            </w:r>
          </w:p>
        </w:tc>
        <w:tc>
          <w:tcPr>
            <w:tcW w:w="1844" w:type="pct"/>
            <w:tcBorders>
              <w:top w:val="nil"/>
              <w:left w:val="nil"/>
              <w:bottom w:val="single" w:color="auto" w:sz="4" w:space="0"/>
              <w:right w:val="single" w:color="auto" w:sz="4" w:space="0"/>
            </w:tcBorders>
            <w:noWrap/>
            <w:vAlign w:val="center"/>
          </w:tcPr>
          <w:p w14:paraId="0169D26F">
            <w:pPr>
              <w:widowControl/>
              <w:jc w:val="center"/>
              <w:rPr>
                <w:rFonts w:ascii="宋体" w:hAnsi="宋体" w:cs="宋体"/>
                <w:b/>
                <w:bCs/>
                <w:color w:val="auto"/>
                <w:kern w:val="0"/>
                <w:sz w:val="24"/>
                <w:szCs w:val="24"/>
              </w:rPr>
            </w:pPr>
            <w:r>
              <w:rPr>
                <w:rFonts w:hint="eastAsia" w:ascii="宋体" w:hAnsi="宋体" w:cs="宋体"/>
                <w:b/>
                <w:bCs/>
                <w:color w:val="auto"/>
                <w:sz w:val="21"/>
                <w:szCs w:val="28"/>
              </w:rPr>
              <w:t>2025年一般工业固废污泥处置项目</w:t>
            </w:r>
          </w:p>
        </w:tc>
        <w:tc>
          <w:tcPr>
            <w:tcW w:w="1376" w:type="pct"/>
            <w:tcBorders>
              <w:top w:val="nil"/>
              <w:left w:val="nil"/>
              <w:bottom w:val="single" w:color="auto" w:sz="4" w:space="0"/>
              <w:right w:val="single" w:color="auto" w:sz="4" w:space="0"/>
            </w:tcBorders>
            <w:vAlign w:val="center"/>
          </w:tcPr>
          <w:p w14:paraId="1CA5D52E">
            <w:pPr>
              <w:widowControl/>
              <w:jc w:val="center"/>
              <w:rPr>
                <w:rFonts w:ascii="宋体" w:hAnsi="宋体" w:cs="宋体"/>
                <w:b/>
                <w:bCs/>
                <w:color w:val="auto"/>
                <w:kern w:val="0"/>
                <w:sz w:val="24"/>
                <w:szCs w:val="24"/>
              </w:rPr>
            </w:pPr>
            <w:r>
              <w:rPr>
                <w:rFonts w:hint="eastAsia" w:ascii="宋体" w:hAnsi="宋体" w:cs="宋体"/>
                <w:b/>
                <w:bCs/>
                <w:color w:val="auto"/>
                <w:sz w:val="21"/>
                <w:szCs w:val="28"/>
              </w:rPr>
              <w:t>一般工业固废污泥处置</w:t>
            </w:r>
          </w:p>
        </w:tc>
        <w:tc>
          <w:tcPr>
            <w:tcW w:w="1345" w:type="pct"/>
            <w:tcBorders>
              <w:top w:val="nil"/>
              <w:left w:val="nil"/>
              <w:bottom w:val="single" w:color="auto" w:sz="4" w:space="0"/>
              <w:right w:val="single" w:color="auto" w:sz="4" w:space="0"/>
            </w:tcBorders>
            <w:noWrap/>
            <w:vAlign w:val="center"/>
          </w:tcPr>
          <w:p w14:paraId="0A9D1A9E">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10000吨（暂定）</w:t>
            </w:r>
          </w:p>
        </w:tc>
      </w:tr>
    </w:tbl>
    <w:p w14:paraId="2CFDA5B1">
      <w:pPr>
        <w:pStyle w:val="3"/>
        <w:spacing w:line="500" w:lineRule="exact"/>
        <w:rPr>
          <w:rFonts w:cs="宋体"/>
          <w:b/>
          <w:color w:val="auto"/>
          <w:sz w:val="24"/>
        </w:rPr>
      </w:pPr>
      <w:bookmarkStart w:id="174" w:name="_Toc75805175"/>
      <w:r>
        <w:rPr>
          <w:rFonts w:hint="eastAsia" w:cs="宋体"/>
          <w:b/>
          <w:color w:val="auto"/>
          <w:sz w:val="24"/>
        </w:rPr>
        <w:t>二、招标项目服务需求</w:t>
      </w:r>
      <w:bookmarkEnd w:id="174"/>
    </w:p>
    <w:p w14:paraId="0F0DA94F">
      <w:pPr>
        <w:snapToGrid w:val="0"/>
        <w:spacing w:line="400" w:lineRule="exact"/>
        <w:ind w:firstLine="480" w:firstLineChars="200"/>
        <w:rPr>
          <w:rFonts w:hint="eastAsia" w:ascii="宋体" w:hAnsi="宋体" w:eastAsia="宋体" w:cs="宋体"/>
          <w:color w:val="auto"/>
          <w:sz w:val="24"/>
          <w:szCs w:val="24"/>
          <w:lang w:eastAsia="zh-CN"/>
        </w:rPr>
      </w:pPr>
      <w:r>
        <w:rPr>
          <w:rFonts w:hint="eastAsia" w:ascii="宋体" w:hAnsi="宋体" w:cs="宋体"/>
          <w:color w:val="auto"/>
          <w:sz w:val="24"/>
          <w:szCs w:val="24"/>
        </w:rPr>
        <w:t>1、采购人装货地点运输车辆长度高度受限</w:t>
      </w:r>
      <w:r>
        <w:rPr>
          <w:rFonts w:hint="eastAsia" w:ascii="宋体" w:hAnsi="宋体" w:cs="宋体"/>
          <w:color w:val="auto"/>
          <w:sz w:val="24"/>
          <w:szCs w:val="24"/>
          <w:lang w:eastAsia="zh-CN"/>
        </w:rPr>
        <w:t>，</w:t>
      </w:r>
      <w:r>
        <w:rPr>
          <w:rFonts w:hint="eastAsia" w:ascii="宋体" w:hAnsi="宋体" w:cs="宋体"/>
          <w:color w:val="auto"/>
          <w:sz w:val="24"/>
          <w:szCs w:val="24"/>
        </w:rPr>
        <w:t>采购人不组织现场踏勘，由各供应商自行到现场进行踏勘了解实际情况，无论供应商是否踏勘过现场，均视为在响应截止时间之前踏勘过现场且对本项目潜在的风险和义务已完全了解，并已充分考虑了本项目可能面临的不确定因素可能导致的风险</w:t>
      </w:r>
      <w:r>
        <w:rPr>
          <w:rFonts w:hint="eastAsia" w:ascii="宋体" w:hAnsi="宋体" w:cs="宋体"/>
          <w:color w:val="auto"/>
          <w:sz w:val="24"/>
          <w:szCs w:val="24"/>
          <w:lang w:eastAsia="zh-CN"/>
        </w:rPr>
        <w:t>。</w:t>
      </w:r>
    </w:p>
    <w:p w14:paraId="5B8DFF05">
      <w:pPr>
        <w:pStyle w:val="6"/>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2、本厂污泥含水80%，运输车辆需达到防渗漏。</w:t>
      </w:r>
    </w:p>
    <w:p w14:paraId="64F8E773">
      <w:pPr>
        <w:spacing w:line="400" w:lineRule="exact"/>
        <w:ind w:firstLine="480" w:firstLineChars="200"/>
        <w:jc w:val="left"/>
        <w:rPr>
          <w:rFonts w:ascii="宋体" w:hAnsi="宋体" w:cs="宋体"/>
          <w:color w:val="auto"/>
          <w:sz w:val="24"/>
          <w:szCs w:val="24"/>
        </w:rPr>
      </w:pPr>
      <w:r>
        <w:rPr>
          <w:rFonts w:hint="eastAsia" w:ascii="宋体" w:hAnsi="宋体" w:cs="宋体"/>
          <w:color w:val="auto"/>
          <w:sz w:val="24"/>
          <w:szCs w:val="24"/>
        </w:rPr>
        <w:t>3、根据合川环保局对固废处置要求；需每车提供联单。</w:t>
      </w:r>
    </w:p>
    <w:p w14:paraId="346DBCF8">
      <w:pPr>
        <w:rPr>
          <w:rFonts w:ascii="宋体" w:hAnsi="宋体" w:cs="宋体"/>
          <w:color w:val="auto"/>
        </w:rPr>
      </w:pPr>
    </w:p>
    <w:p w14:paraId="0EF6CB5A">
      <w:pPr>
        <w:pStyle w:val="3"/>
        <w:spacing w:line="400" w:lineRule="exact"/>
        <w:rPr>
          <w:rFonts w:cs="宋体"/>
          <w:b/>
          <w:color w:val="auto"/>
          <w:sz w:val="24"/>
        </w:rPr>
      </w:pPr>
    </w:p>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14:paraId="1C1FC27D">
      <w:pPr>
        <w:rPr>
          <w:rFonts w:ascii="宋体" w:hAnsi="宋体" w:cs="宋体"/>
          <w:color w:val="auto"/>
        </w:rPr>
      </w:pPr>
    </w:p>
    <w:p w14:paraId="5A3E5E0A">
      <w:pPr>
        <w:pStyle w:val="6"/>
        <w:rPr>
          <w:rFonts w:ascii="宋体" w:hAnsi="宋体" w:eastAsia="宋体" w:cs="宋体"/>
          <w:color w:val="auto"/>
        </w:rPr>
      </w:pPr>
    </w:p>
    <w:p w14:paraId="6C7615B4">
      <w:pPr>
        <w:rPr>
          <w:rFonts w:ascii="宋体" w:hAnsi="宋体" w:cs="宋体"/>
          <w:color w:val="auto"/>
        </w:rPr>
      </w:pPr>
    </w:p>
    <w:p w14:paraId="58AAF20C">
      <w:pPr>
        <w:pStyle w:val="6"/>
        <w:rPr>
          <w:rFonts w:ascii="宋体" w:hAnsi="宋体" w:eastAsia="宋体" w:cs="宋体"/>
          <w:color w:val="auto"/>
        </w:rPr>
      </w:pPr>
    </w:p>
    <w:p w14:paraId="1576CCE6">
      <w:pPr>
        <w:rPr>
          <w:rFonts w:ascii="宋体" w:hAnsi="宋体" w:cs="宋体"/>
          <w:color w:val="auto"/>
        </w:rPr>
      </w:pPr>
    </w:p>
    <w:p w14:paraId="6BDA6DB5">
      <w:pPr>
        <w:pStyle w:val="6"/>
        <w:rPr>
          <w:rFonts w:ascii="宋体" w:hAnsi="宋体" w:eastAsia="宋体" w:cs="宋体"/>
          <w:color w:val="auto"/>
        </w:rPr>
      </w:pPr>
    </w:p>
    <w:p w14:paraId="00CF3D82">
      <w:pPr>
        <w:rPr>
          <w:rFonts w:ascii="宋体" w:hAnsi="宋体" w:cs="宋体"/>
          <w:color w:val="auto"/>
        </w:rPr>
      </w:pPr>
    </w:p>
    <w:p w14:paraId="0C9FF195">
      <w:pPr>
        <w:pStyle w:val="30"/>
        <w:rPr>
          <w:rFonts w:ascii="宋体" w:hAnsi="宋体" w:cs="宋体"/>
          <w:color w:val="auto"/>
        </w:rPr>
      </w:pPr>
    </w:p>
    <w:p w14:paraId="521C261F">
      <w:pPr>
        <w:rPr>
          <w:rFonts w:ascii="宋体" w:hAnsi="宋体" w:cs="宋体"/>
          <w:color w:val="auto"/>
        </w:rPr>
      </w:pPr>
    </w:p>
    <w:p w14:paraId="7FF9270D">
      <w:pPr>
        <w:pStyle w:val="30"/>
        <w:rPr>
          <w:rFonts w:ascii="宋体" w:hAnsi="宋体" w:cs="宋体"/>
          <w:color w:val="auto"/>
        </w:rPr>
      </w:pPr>
    </w:p>
    <w:p w14:paraId="02EFB6EF">
      <w:pPr>
        <w:rPr>
          <w:rFonts w:ascii="宋体" w:hAnsi="宋体" w:cs="宋体"/>
          <w:color w:val="auto"/>
        </w:rPr>
      </w:pPr>
    </w:p>
    <w:p w14:paraId="6700D967">
      <w:pPr>
        <w:pStyle w:val="30"/>
        <w:rPr>
          <w:rFonts w:ascii="宋体" w:hAnsi="宋体" w:cs="宋体"/>
          <w:color w:val="auto"/>
        </w:rPr>
      </w:pPr>
    </w:p>
    <w:p w14:paraId="6A665D4F">
      <w:pPr>
        <w:rPr>
          <w:rFonts w:ascii="宋体" w:hAnsi="宋体" w:cs="宋体"/>
          <w:color w:val="auto"/>
        </w:rPr>
      </w:pPr>
    </w:p>
    <w:p w14:paraId="710385EB">
      <w:pPr>
        <w:pStyle w:val="30"/>
        <w:rPr>
          <w:rFonts w:ascii="宋体" w:hAnsi="宋体" w:cs="宋体"/>
          <w:color w:val="auto"/>
        </w:rPr>
      </w:pPr>
    </w:p>
    <w:p w14:paraId="53A9E378">
      <w:pPr>
        <w:rPr>
          <w:rFonts w:ascii="宋体" w:hAnsi="宋体" w:cs="宋体"/>
          <w:color w:val="auto"/>
        </w:rPr>
      </w:pPr>
    </w:p>
    <w:p w14:paraId="0672B0D4">
      <w:pPr>
        <w:pStyle w:val="30"/>
        <w:rPr>
          <w:rFonts w:ascii="宋体" w:hAnsi="宋体" w:cs="宋体"/>
          <w:color w:val="auto"/>
        </w:rPr>
      </w:pPr>
    </w:p>
    <w:p w14:paraId="15F3519C">
      <w:pPr>
        <w:rPr>
          <w:rFonts w:ascii="宋体" w:hAnsi="宋体" w:cs="宋体"/>
          <w:color w:val="auto"/>
        </w:rPr>
      </w:pPr>
    </w:p>
    <w:p w14:paraId="12B22875">
      <w:pPr>
        <w:pStyle w:val="30"/>
        <w:rPr>
          <w:rFonts w:ascii="宋体" w:hAnsi="宋体" w:cs="宋体"/>
          <w:color w:val="auto"/>
        </w:rPr>
      </w:pPr>
    </w:p>
    <w:p w14:paraId="5052D5A9">
      <w:pPr>
        <w:rPr>
          <w:rFonts w:ascii="宋体" w:hAnsi="宋体" w:cs="宋体"/>
          <w:color w:val="auto"/>
        </w:rPr>
      </w:pPr>
    </w:p>
    <w:p w14:paraId="33178C9B">
      <w:pPr>
        <w:pStyle w:val="30"/>
        <w:rPr>
          <w:rFonts w:ascii="宋体" w:hAnsi="宋体" w:cs="宋体"/>
          <w:color w:val="auto"/>
        </w:rPr>
      </w:pPr>
    </w:p>
    <w:p w14:paraId="4E8816C6">
      <w:pPr>
        <w:pStyle w:val="2"/>
        <w:spacing w:beforeLines="0" w:afterLines="0" w:line="360" w:lineRule="auto"/>
        <w:rPr>
          <w:rFonts w:ascii="宋体" w:hAnsi="宋体" w:eastAsia="宋体" w:cs="宋体"/>
          <w:b/>
          <w:color w:val="auto"/>
        </w:rPr>
      </w:pPr>
      <w:bookmarkStart w:id="175" w:name="_Toc1363"/>
      <w:bookmarkStart w:id="176" w:name="_Toc19536"/>
      <w:bookmarkStart w:id="177" w:name="_Toc75793508"/>
      <w:bookmarkStart w:id="178" w:name="_Toc9326"/>
      <w:bookmarkStart w:id="179" w:name="_Toc21557"/>
      <w:bookmarkStart w:id="180" w:name="_Toc8633"/>
      <w:bookmarkStart w:id="181" w:name="_Toc15467"/>
      <w:bookmarkStart w:id="182" w:name="_Toc2095"/>
      <w:bookmarkStart w:id="183" w:name="_Toc26363"/>
      <w:bookmarkStart w:id="184" w:name="_Toc28164"/>
      <w:bookmarkStart w:id="185" w:name="_Toc9920"/>
      <w:bookmarkStart w:id="186" w:name="_Toc13990"/>
      <w:bookmarkStart w:id="187" w:name="_Toc31584"/>
      <w:bookmarkStart w:id="188" w:name="_Toc20842"/>
      <w:bookmarkStart w:id="189" w:name="_Toc18187"/>
      <w:bookmarkStart w:id="190" w:name="_Toc106030384"/>
      <w:r>
        <w:rPr>
          <w:rFonts w:hint="eastAsia" w:ascii="宋体" w:hAnsi="宋体" w:eastAsia="宋体" w:cs="宋体"/>
          <w:b/>
          <w:color w:val="auto"/>
        </w:rPr>
        <w:t xml:space="preserve">第三篇  </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hint="eastAsia" w:ascii="宋体" w:hAnsi="宋体" w:eastAsia="宋体" w:cs="宋体"/>
          <w:b/>
          <w:color w:val="auto"/>
        </w:rPr>
        <w:t>项目商务需求</w:t>
      </w:r>
      <w:bookmarkEnd w:id="190"/>
    </w:p>
    <w:p w14:paraId="5812D228">
      <w:pPr>
        <w:pStyle w:val="3"/>
        <w:spacing w:line="500" w:lineRule="exact"/>
        <w:ind w:firstLine="482" w:firstLineChars="200"/>
        <w:rPr>
          <w:rFonts w:cs="宋体"/>
          <w:b/>
          <w:color w:val="auto"/>
          <w:sz w:val="24"/>
          <w:szCs w:val="24"/>
        </w:rPr>
      </w:pPr>
      <w:bookmarkStart w:id="191" w:name="_Toc75805177"/>
      <w:bookmarkStart w:id="192" w:name="_Toc32453"/>
      <w:r>
        <w:rPr>
          <w:rFonts w:hint="eastAsia" w:cs="宋体"/>
          <w:b/>
          <w:color w:val="auto"/>
          <w:sz w:val="24"/>
          <w:szCs w:val="24"/>
        </w:rPr>
        <w:t>一、服务期、服务地点及考核方式</w:t>
      </w:r>
      <w:bookmarkEnd w:id="191"/>
    </w:p>
    <w:p w14:paraId="7767AA1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（一）服务期</w:t>
      </w:r>
    </w:p>
    <w:p w14:paraId="1313B397">
      <w:pPr>
        <w:snapToGrid w:val="0"/>
        <w:spacing w:line="500" w:lineRule="exact"/>
        <w:ind w:firstLine="539"/>
        <w:rPr>
          <w:rFonts w:ascii="宋体" w:hAnsi="宋体" w:cs="宋体"/>
          <w:color w:val="auto"/>
          <w:sz w:val="24"/>
          <w:szCs w:val="24"/>
        </w:rPr>
      </w:pPr>
      <w:r>
        <w:rPr>
          <w:rFonts w:hint="eastAsia" w:ascii="宋体" w:hAnsi="宋体" w:cs="宋体"/>
          <w:color w:val="auto"/>
          <w:sz w:val="24"/>
          <w:szCs w:val="24"/>
        </w:rPr>
        <w:t>服务期：合同签订后一年。</w:t>
      </w:r>
    </w:p>
    <w:p w14:paraId="4793D26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（二）服务地点</w:t>
      </w:r>
    </w:p>
    <w:p w14:paraId="61F5F5B1">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服务地点：</w:t>
      </w:r>
      <w:r>
        <w:rPr>
          <w:rFonts w:hint="eastAsia" w:ascii="宋体" w:hAnsi="宋体" w:cs="宋体"/>
          <w:color w:val="auto"/>
          <w:sz w:val="24"/>
          <w:szCs w:val="24"/>
        </w:rPr>
        <w:t>采购人指定地点</w:t>
      </w:r>
      <w:r>
        <w:rPr>
          <w:rFonts w:hint="eastAsia" w:ascii="宋体" w:hAnsi="宋体" w:cs="宋体"/>
          <w:color w:val="auto"/>
          <w:kern w:val="0"/>
          <w:sz w:val="24"/>
          <w:szCs w:val="24"/>
        </w:rPr>
        <w:t>。</w:t>
      </w:r>
      <w:r>
        <w:rPr>
          <w:rFonts w:hint="eastAsia" w:ascii="宋体" w:hAnsi="宋体" w:cs="宋体"/>
          <w:color w:val="auto"/>
          <w:sz w:val="24"/>
          <w:szCs w:val="24"/>
        </w:rPr>
        <w:t>重庆市合川工业园区内</w:t>
      </w:r>
    </w:p>
    <w:p w14:paraId="3D1B6EC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（三）验收方式</w:t>
      </w:r>
    </w:p>
    <w:p w14:paraId="7E4DEF6A">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sz w:val="24"/>
          <w:szCs w:val="24"/>
        </w:rPr>
        <w:t>验收方式：采购人审核验收。</w:t>
      </w:r>
    </w:p>
    <w:p w14:paraId="37959949">
      <w:pPr>
        <w:pStyle w:val="3"/>
        <w:spacing w:line="500" w:lineRule="exact"/>
        <w:ind w:firstLine="482" w:firstLineChars="200"/>
        <w:rPr>
          <w:rFonts w:cs="宋体"/>
          <w:b/>
          <w:color w:val="auto"/>
          <w:sz w:val="24"/>
          <w:szCs w:val="24"/>
        </w:rPr>
      </w:pPr>
      <w:bookmarkStart w:id="193" w:name="_Toc75805178"/>
      <w:bookmarkStart w:id="194" w:name="_Toc267320050"/>
      <w:r>
        <w:rPr>
          <w:rFonts w:hint="eastAsia" w:cs="宋体"/>
          <w:b/>
          <w:color w:val="auto"/>
          <w:sz w:val="24"/>
          <w:szCs w:val="24"/>
        </w:rPr>
        <w:t>二、报价要求</w:t>
      </w:r>
      <w:bookmarkEnd w:id="193"/>
    </w:p>
    <w:bookmarkEnd w:id="194"/>
    <w:p w14:paraId="059D49F3">
      <w:pPr>
        <w:snapToGrid w:val="0"/>
        <w:spacing w:line="400" w:lineRule="exact"/>
        <w:ind w:firstLine="480" w:firstLineChars="200"/>
        <w:rPr>
          <w:rFonts w:ascii="宋体" w:hAnsi="宋体" w:cs="宋体"/>
          <w:color w:val="auto"/>
          <w:kern w:val="0"/>
          <w:sz w:val="24"/>
          <w:szCs w:val="24"/>
        </w:rPr>
      </w:pPr>
      <w:bookmarkStart w:id="195" w:name="_Toc267320051"/>
      <w:r>
        <w:rPr>
          <w:rFonts w:hint="eastAsia" w:ascii="宋体" w:hAnsi="宋体" w:cs="宋体"/>
          <w:color w:val="auto"/>
          <w:kern w:val="0"/>
          <w:sz w:val="24"/>
          <w:szCs w:val="24"/>
        </w:rPr>
        <w:t>（一）本次报价须以人民币报价，供应商需严格按照采购项目要求进行报价，报价为供应商对采购文件所确定的全部工作内容包干价，应报包括但不限于以下费用：运输费、处置费、设备费、材料费、测试化验加工费、燃料动力费、差旅费、会议费、国际合作与交流费、出版/文献/信息传播/知识产权事务费、劳务费、专家咨询费、管理费及合理利润、规费、税金等。采购人除此以外不支付其它费用。因成交供应商自身原因造成漏报、少报皆由其自行承担责任，采购人不再补偿。</w:t>
      </w:r>
    </w:p>
    <w:p w14:paraId="199E483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（二）供应商应按照采购文件第二篇规定的项目内容、标准和要求，结合重庆市相关收费标准和市场价格水平，科学合理地制定响应报价，不得以恶意低价竞争。</w:t>
      </w:r>
    </w:p>
    <w:p w14:paraId="4FCB9AD3">
      <w:pPr>
        <w:pStyle w:val="3"/>
        <w:spacing w:line="400" w:lineRule="exact"/>
        <w:ind w:firstLine="482" w:firstLineChars="200"/>
        <w:rPr>
          <w:rFonts w:cs="宋体"/>
          <w:b/>
          <w:color w:val="auto"/>
          <w:sz w:val="24"/>
          <w:szCs w:val="24"/>
        </w:rPr>
      </w:pPr>
      <w:bookmarkStart w:id="196" w:name="_Toc75805179"/>
      <w:r>
        <w:rPr>
          <w:rFonts w:hint="eastAsia" w:cs="宋体"/>
          <w:b/>
          <w:color w:val="auto"/>
          <w:sz w:val="24"/>
          <w:szCs w:val="24"/>
        </w:rPr>
        <w:t>三、付款方式</w:t>
      </w:r>
      <w:bookmarkEnd w:id="195"/>
      <w:bookmarkEnd w:id="196"/>
    </w:p>
    <w:p w14:paraId="4BB23066">
      <w:pPr>
        <w:snapToGrid w:val="0"/>
        <w:spacing w:line="400" w:lineRule="exact"/>
        <w:ind w:firstLine="540"/>
        <w:rPr>
          <w:rFonts w:ascii="宋体" w:hAnsi="宋体" w:cs="宋体"/>
          <w:color w:val="auto"/>
          <w:kern w:val="0"/>
          <w:sz w:val="24"/>
          <w:szCs w:val="24"/>
        </w:rPr>
      </w:pPr>
      <w:bookmarkStart w:id="197" w:name="_Toc267320054"/>
      <w:r>
        <w:rPr>
          <w:rFonts w:hint="eastAsia" w:ascii="宋体" w:hAnsi="宋体" w:cs="宋体"/>
          <w:color w:val="auto"/>
          <w:kern w:val="0"/>
          <w:sz w:val="24"/>
          <w:szCs w:val="24"/>
        </w:rPr>
        <w:t>合同签订后，成交供应商按采购人的通知要求，按批处置；处置验收合格后，采购人在次月向成交供应商支付本月处置费用100%的合同款，成交供应商须向采购人提供相应金额的有效增值税专用发票。</w:t>
      </w:r>
    </w:p>
    <w:p w14:paraId="3A190B9E">
      <w:pPr>
        <w:pStyle w:val="3"/>
        <w:spacing w:line="400" w:lineRule="exact"/>
        <w:ind w:firstLine="482" w:firstLineChars="200"/>
        <w:rPr>
          <w:rFonts w:cs="宋体"/>
          <w:b/>
          <w:color w:val="auto"/>
          <w:sz w:val="24"/>
          <w:szCs w:val="24"/>
        </w:rPr>
      </w:pPr>
      <w:bookmarkStart w:id="198" w:name="_Toc75805180"/>
      <w:r>
        <w:rPr>
          <w:rFonts w:hint="eastAsia" w:cs="宋体"/>
          <w:b/>
          <w:color w:val="auto"/>
          <w:sz w:val="24"/>
          <w:szCs w:val="24"/>
        </w:rPr>
        <w:t>四、</w:t>
      </w:r>
      <w:bookmarkEnd w:id="197"/>
      <w:r>
        <w:rPr>
          <w:rFonts w:hint="eastAsia" w:cs="宋体"/>
          <w:b/>
          <w:color w:val="auto"/>
          <w:sz w:val="24"/>
          <w:szCs w:val="24"/>
        </w:rPr>
        <w:t>质量保障、售后服务要求</w:t>
      </w:r>
      <w:bookmarkEnd w:id="198"/>
    </w:p>
    <w:p w14:paraId="587CA890">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（一）质量总体要求：符合国家标准，符合环保节能要求，质量指标必须符合国家技术质量监督机构及有关管理部门和行业的规定和标准。</w:t>
      </w:r>
    </w:p>
    <w:p w14:paraId="18B4B56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（二）质保期</w:t>
      </w:r>
    </w:p>
    <w:p w14:paraId="160812C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（三）售后服务要求</w:t>
      </w:r>
    </w:p>
    <w:p w14:paraId="22E828E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投标人在服务质保期内应当为采购人提供以下技术支持服务：</w:t>
      </w:r>
    </w:p>
    <w:p w14:paraId="1A0D150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1.质量保证期内服务要求</w:t>
      </w:r>
    </w:p>
    <w:p w14:paraId="44F1EAF1">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1.1电话咨询</w:t>
      </w:r>
    </w:p>
    <w:p w14:paraId="5744F824">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中标人应当为用户提供技术援助电话，解答用户在使用中遇到的问题，及时为用户提出解决问题的建议。</w:t>
      </w:r>
    </w:p>
    <w:p w14:paraId="7815A309">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1.2现场响应</w:t>
      </w:r>
    </w:p>
    <w:p w14:paraId="1501926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用户遇到使用及技术问题，电话咨询不能解决的，中标人应在24小时内采取相应响应措施；无法在4小时内解决的，应在48小时内派出专业人员进行技术支持。</w:t>
      </w:r>
    </w:p>
    <w:p w14:paraId="6D5610C2">
      <w:pPr>
        <w:pStyle w:val="3"/>
        <w:spacing w:line="500" w:lineRule="exact"/>
        <w:ind w:firstLine="482" w:firstLineChars="200"/>
        <w:rPr>
          <w:rFonts w:cs="宋体"/>
          <w:b/>
          <w:color w:val="auto"/>
          <w:kern w:val="0"/>
          <w:sz w:val="24"/>
          <w:szCs w:val="24"/>
        </w:rPr>
      </w:pPr>
      <w:bookmarkStart w:id="199" w:name="_Toc75805181"/>
      <w:bookmarkStart w:id="200" w:name="_Toc54091927"/>
      <w:r>
        <w:rPr>
          <w:rFonts w:hint="eastAsia" w:cs="宋体"/>
          <w:b/>
          <w:color w:val="auto"/>
          <w:kern w:val="0"/>
          <w:sz w:val="24"/>
          <w:szCs w:val="24"/>
        </w:rPr>
        <w:t>五、服务质量考核管理</w:t>
      </w:r>
      <w:bookmarkEnd w:id="199"/>
      <w:bookmarkEnd w:id="200"/>
      <w:r>
        <w:rPr>
          <w:rFonts w:hint="eastAsia" w:cs="宋体"/>
          <w:b/>
          <w:color w:val="auto"/>
          <w:kern w:val="0"/>
          <w:sz w:val="24"/>
          <w:szCs w:val="24"/>
        </w:rPr>
        <w:t xml:space="preserve"> </w:t>
      </w:r>
    </w:p>
    <w:p w14:paraId="10DF588A">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中标人在服务期限内由采购人按照采购单位相关考核细则及处罚条款、上级部门环保检查要求等进行考核管理，</w:t>
      </w:r>
      <w:r>
        <w:rPr>
          <w:rFonts w:hint="eastAsia" w:ascii="宋体" w:hAnsi="宋体" w:cs="宋体"/>
          <w:color w:val="auto"/>
          <w:sz w:val="24"/>
          <w:szCs w:val="24"/>
        </w:rPr>
        <w:t>因中标人原因造成的环保超标或其它原因的处罚和一切损失，由中标人承担，并扣罚当月处置费用500元/吨。</w:t>
      </w:r>
    </w:p>
    <w:p w14:paraId="3B49668B">
      <w:pPr>
        <w:pStyle w:val="3"/>
        <w:spacing w:line="400" w:lineRule="exact"/>
        <w:ind w:firstLine="482" w:firstLineChars="200"/>
        <w:rPr>
          <w:rFonts w:cs="宋体"/>
          <w:b/>
          <w:color w:val="auto"/>
          <w:sz w:val="24"/>
          <w:szCs w:val="24"/>
        </w:rPr>
      </w:pPr>
      <w:bookmarkStart w:id="201" w:name="_Toc54091928"/>
      <w:bookmarkStart w:id="202" w:name="_Toc75805182"/>
      <w:r>
        <w:rPr>
          <w:rFonts w:hint="eastAsia" w:cs="宋体"/>
          <w:b/>
          <w:color w:val="auto"/>
          <w:sz w:val="24"/>
          <w:szCs w:val="24"/>
        </w:rPr>
        <w:t>六、项目服务承诺</w:t>
      </w:r>
      <w:bookmarkEnd w:id="201"/>
      <w:bookmarkEnd w:id="202"/>
    </w:p>
    <w:p w14:paraId="2C44451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（一）中标人承诺服务期内严格执行招标文件要求的各项服务管理办法、规定以及响应承诺服务条件；</w:t>
      </w:r>
    </w:p>
    <w:p w14:paraId="7DE83F8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（二）中标人承诺执行国家《劳动法》颁布的各项条款及规定，不得擅自解除员工劳动合同，确保服务质量的稳定性；</w:t>
      </w:r>
    </w:p>
    <w:p w14:paraId="5941D2B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（三）中标人服务期内，本项目所有服务内容不得外包、转让或以其他形式变更招标服务主体；出现重大经营、变更事件应提前30个日历日告知采购人；</w:t>
      </w:r>
    </w:p>
    <w:p w14:paraId="31674626">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（四）服务期内，因中标人经营管理不善引起的安全责任事故及履约服务中的经济责任由中标人承担；</w:t>
      </w:r>
    </w:p>
    <w:p w14:paraId="3FFDDA0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（五）中标人服务期内不得擅自（变相）降低（响应承诺）标准、服务质量；</w:t>
      </w:r>
    </w:p>
    <w:p w14:paraId="28DDEAC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（六）中标人服务期内承诺必须严格执行国家政策法规；</w:t>
      </w:r>
    </w:p>
    <w:p w14:paraId="6ACF024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（七）服务期内中标人如出现管理质量问题或受合理投诉，采购人有权视情况对其违规行为进行要求整改、扣除当月服务费用并由中标人承担一切损失和责任。</w:t>
      </w:r>
    </w:p>
    <w:p w14:paraId="1DF3AB1B">
      <w:pPr>
        <w:snapToGrid w:val="0"/>
        <w:spacing w:line="400" w:lineRule="exact"/>
        <w:ind w:firstLine="480" w:firstLineChars="200"/>
        <w:rPr>
          <w:rFonts w:ascii="宋体" w:hAnsi="宋体" w:cs="宋体"/>
          <w:color w:val="auto"/>
        </w:rPr>
      </w:pPr>
      <w:r>
        <w:rPr>
          <w:rFonts w:hint="eastAsia" w:ascii="宋体" w:hAnsi="宋体" w:cs="宋体"/>
          <w:color w:val="auto"/>
          <w:kern w:val="0"/>
          <w:sz w:val="24"/>
          <w:szCs w:val="24"/>
        </w:rPr>
        <w:t>（八）服务期内，中标人各级人员严格服从采购人相关部门的管理，对于不服从管理的采购人有权无条件要求更换人员。</w:t>
      </w:r>
    </w:p>
    <w:p w14:paraId="0D84A7E7">
      <w:pPr>
        <w:pStyle w:val="3"/>
        <w:spacing w:line="400" w:lineRule="exact"/>
        <w:ind w:firstLine="482" w:firstLineChars="200"/>
        <w:rPr>
          <w:rFonts w:cs="宋体"/>
          <w:b/>
          <w:color w:val="auto"/>
          <w:sz w:val="24"/>
          <w:szCs w:val="24"/>
        </w:rPr>
      </w:pPr>
      <w:bookmarkStart w:id="203" w:name="_Toc75805183"/>
      <w:bookmarkStart w:id="204" w:name="_Toc54091929"/>
      <w:r>
        <w:rPr>
          <w:rFonts w:hint="eastAsia" w:cs="宋体"/>
          <w:b/>
          <w:color w:val="auto"/>
          <w:sz w:val="24"/>
          <w:szCs w:val="24"/>
        </w:rPr>
        <w:t>七、其他商务要求内容及说明</w:t>
      </w:r>
      <w:bookmarkEnd w:id="203"/>
      <w:bookmarkEnd w:id="204"/>
    </w:p>
    <w:p w14:paraId="116D5DB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（一）中标人须严格按照标准化的操作程序、完善的培训体系和质量控制体系完成本项目，以保证整个项目安全、高效、有序和有计划地运转。</w:t>
      </w:r>
    </w:p>
    <w:p w14:paraId="66D5DFC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二）中标人自行负责其招聘员工的一切工资、福利；如发生工伤、疾病乃至死亡的一切责任及费用由中标人全部负责；中标人应严格遵守国家有关的法律、法规及行业标准。因中标人违反《劳动法》等法律法规而造成医院的连带责任和损失全部由中标人承担。 </w:t>
      </w:r>
    </w:p>
    <w:p w14:paraId="5EBDDAB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（三）全部服务人员的工作时间应严格按国家有关法律、法规要求的标准执行，因工作原因产生的加班（含节假日加班）应由中标人严格按国家有关法律、法规要求的标准给付员工加班薪资。</w:t>
      </w:r>
    </w:p>
    <w:p w14:paraId="112AE0F4">
      <w:pPr>
        <w:spacing w:line="360" w:lineRule="auto"/>
        <w:ind w:firstLine="480" w:firstLineChars="200"/>
        <w:rPr>
          <w:rFonts w:ascii="宋体" w:hAnsi="宋体" w:cs="宋体"/>
          <w:color w:val="auto"/>
          <w:sz w:val="24"/>
          <w:szCs w:val="24"/>
        </w:rPr>
      </w:pPr>
      <w:r>
        <w:rPr>
          <w:rFonts w:hint="eastAsia" w:ascii="宋体" w:hAnsi="宋体" w:cs="宋体"/>
          <w:color w:val="auto"/>
          <w:kern w:val="0"/>
          <w:sz w:val="24"/>
          <w:szCs w:val="24"/>
        </w:rPr>
        <w:t>（四）中标人必须购买公共责任险和员工意外保险，在工作时间内所发生的工伤等意外事故如高空坠落、机具伤害、触电、有毒有害药品、气体中毒等一切安全事故，采购人均不承担任何经济责任和法律责任</w:t>
      </w:r>
      <w:r>
        <w:rPr>
          <w:rFonts w:hint="eastAsia" w:ascii="宋体" w:hAnsi="宋体" w:cs="宋体"/>
          <w:color w:val="auto"/>
          <w:sz w:val="24"/>
          <w:szCs w:val="24"/>
        </w:rPr>
        <w:t>。</w:t>
      </w:r>
    </w:p>
    <w:p w14:paraId="71E1B6D1">
      <w:pPr>
        <w:spacing w:line="400" w:lineRule="exact"/>
        <w:ind w:firstLine="480" w:firstLineChars="200"/>
        <w:rPr>
          <w:rFonts w:ascii="宋体" w:hAnsi="宋体" w:cs="宋体"/>
          <w:color w:val="auto"/>
          <w:sz w:val="24"/>
          <w:szCs w:val="28"/>
        </w:rPr>
      </w:pPr>
    </w:p>
    <w:p w14:paraId="7EB24232">
      <w:pPr>
        <w:pStyle w:val="2"/>
        <w:spacing w:beforeLines="0" w:afterLines="0" w:line="240" w:lineRule="auto"/>
        <w:rPr>
          <w:rFonts w:ascii="宋体" w:hAnsi="宋体" w:eastAsia="宋体" w:cs="宋体"/>
          <w:b/>
          <w:color w:val="auto"/>
        </w:rPr>
      </w:pPr>
      <w:r>
        <w:rPr>
          <w:rFonts w:hint="eastAsia" w:ascii="宋体" w:hAnsi="宋体" w:eastAsia="宋体" w:cs="宋体"/>
          <w:color w:val="auto"/>
          <w:sz w:val="24"/>
          <w:szCs w:val="28"/>
        </w:rPr>
        <w:br w:type="page"/>
      </w:r>
      <w:bookmarkStart w:id="205" w:name="_Toc25903"/>
      <w:bookmarkStart w:id="206" w:name="_Toc23377"/>
      <w:bookmarkStart w:id="207" w:name="_Toc15693"/>
      <w:bookmarkStart w:id="208" w:name="_Toc3339"/>
      <w:bookmarkStart w:id="209" w:name="_Toc106030393"/>
      <w:bookmarkStart w:id="210" w:name="_Toc2487"/>
      <w:bookmarkStart w:id="211" w:name="_Toc8133"/>
      <w:bookmarkStart w:id="212" w:name="_Toc22763"/>
      <w:bookmarkStart w:id="213" w:name="_Toc2406"/>
      <w:bookmarkStart w:id="214" w:name="_Toc75793517"/>
      <w:bookmarkStart w:id="215" w:name="_Toc24966"/>
      <w:bookmarkStart w:id="216" w:name="_Toc25165"/>
      <w:bookmarkStart w:id="217" w:name="_Toc11875"/>
      <w:bookmarkStart w:id="218" w:name="_Toc30067"/>
      <w:bookmarkStart w:id="219" w:name="_Toc25911"/>
      <w:r>
        <w:rPr>
          <w:rFonts w:hint="eastAsia" w:ascii="宋体" w:hAnsi="宋体" w:eastAsia="宋体" w:cs="宋体"/>
          <w:b/>
          <w:color w:val="auto"/>
        </w:rPr>
        <w:t>第四篇  资格审查及评标办法</w:t>
      </w:r>
      <w:bookmarkEnd w:id="192"/>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6E7CC493">
      <w:pPr>
        <w:pStyle w:val="3"/>
        <w:spacing w:line="400" w:lineRule="exact"/>
        <w:ind w:firstLine="482" w:firstLineChars="200"/>
        <w:rPr>
          <w:rFonts w:cs="宋体"/>
          <w:b/>
          <w:color w:val="auto"/>
          <w:sz w:val="24"/>
          <w:szCs w:val="24"/>
        </w:rPr>
      </w:pPr>
      <w:bookmarkStart w:id="220" w:name="_Toc1497"/>
      <w:bookmarkStart w:id="221" w:name="_Toc28903"/>
      <w:bookmarkStart w:id="222" w:name="_Toc25971"/>
      <w:bookmarkStart w:id="223" w:name="_Toc14564"/>
      <w:bookmarkStart w:id="224" w:name="_Toc12641"/>
      <w:bookmarkStart w:id="225" w:name="_Toc23973"/>
      <w:bookmarkStart w:id="226" w:name="_Toc8983"/>
      <w:bookmarkStart w:id="227" w:name="_Toc28360"/>
      <w:bookmarkStart w:id="228" w:name="_Toc4071"/>
      <w:bookmarkStart w:id="229" w:name="_Toc26309"/>
      <w:bookmarkStart w:id="230" w:name="_Toc29755"/>
      <w:bookmarkStart w:id="231" w:name="_Toc21859"/>
      <w:bookmarkStart w:id="232" w:name="_Toc27081"/>
      <w:bookmarkStart w:id="233" w:name="_Toc75793518"/>
      <w:bookmarkStart w:id="234" w:name="_Toc20541"/>
      <w:bookmarkStart w:id="235" w:name="_Toc106030394"/>
      <w:r>
        <w:rPr>
          <w:rFonts w:hint="eastAsia" w:cs="宋体"/>
          <w:b/>
          <w:color w:val="auto"/>
          <w:sz w:val="24"/>
          <w:szCs w:val="24"/>
        </w:rPr>
        <w:t>一、资格审查</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hint="eastAsia" w:cs="宋体"/>
          <w:b/>
          <w:color w:val="auto"/>
          <w:sz w:val="24"/>
          <w:szCs w:val="24"/>
        </w:rPr>
        <w:t>及符合性审查</w:t>
      </w:r>
      <w:bookmarkEnd w:id="235"/>
    </w:p>
    <w:p w14:paraId="463BCA35">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若未通过资格审查及符合性审查的投标文件，不进入评审环节。</w:t>
      </w:r>
    </w:p>
    <w:p w14:paraId="0128A6F5">
      <w:pPr>
        <w:snapToGrid w:val="0"/>
        <w:spacing w:line="400" w:lineRule="exact"/>
        <w:ind w:firstLine="482" w:firstLineChars="200"/>
        <w:rPr>
          <w:rFonts w:ascii="宋体" w:hAnsi="宋体" w:cs="宋体"/>
          <w:color w:val="auto"/>
          <w:kern w:val="0"/>
          <w:sz w:val="24"/>
          <w:szCs w:val="24"/>
        </w:rPr>
      </w:pPr>
      <w:r>
        <w:rPr>
          <w:rFonts w:hint="eastAsia" w:ascii="宋体" w:hAnsi="宋体" w:cs="宋体"/>
          <w:b/>
          <w:color w:val="auto"/>
          <w:sz w:val="24"/>
          <w:szCs w:val="24"/>
        </w:rPr>
        <w:t>（一）资格审查</w:t>
      </w:r>
    </w:p>
    <w:p w14:paraId="38B59A4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依据政府采购相关法律法规规定，由采购人或采购代理机构对投标文件中的资格证明文件进行审查。资格审查资料表如下：</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7"/>
        <w:gridCol w:w="4984"/>
      </w:tblGrid>
      <w:tr w14:paraId="0518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ign w:val="center"/>
          </w:tcPr>
          <w:p w14:paraId="4DCBE5CD">
            <w:pPr>
              <w:jc w:val="center"/>
              <w:rPr>
                <w:rFonts w:ascii="宋体" w:hAnsi="宋体" w:cs="宋体"/>
                <w:b/>
                <w:color w:val="auto"/>
                <w:kern w:val="0"/>
                <w:sz w:val="21"/>
                <w:szCs w:val="21"/>
              </w:rPr>
            </w:pPr>
            <w:r>
              <w:rPr>
                <w:rFonts w:hint="eastAsia" w:ascii="宋体" w:hAnsi="宋体" w:cs="宋体"/>
                <w:b/>
                <w:color w:val="auto"/>
                <w:kern w:val="0"/>
                <w:sz w:val="21"/>
                <w:szCs w:val="21"/>
              </w:rPr>
              <w:t>序号</w:t>
            </w:r>
          </w:p>
        </w:tc>
        <w:tc>
          <w:tcPr>
            <w:tcW w:w="3827" w:type="dxa"/>
            <w:noWrap/>
            <w:vAlign w:val="center"/>
          </w:tcPr>
          <w:p w14:paraId="7E2061EB">
            <w:pPr>
              <w:jc w:val="center"/>
              <w:rPr>
                <w:rFonts w:ascii="宋体" w:hAnsi="宋体" w:cs="宋体"/>
                <w:b/>
                <w:color w:val="auto"/>
                <w:kern w:val="0"/>
                <w:sz w:val="21"/>
                <w:szCs w:val="21"/>
              </w:rPr>
            </w:pPr>
            <w:r>
              <w:rPr>
                <w:rFonts w:hint="eastAsia" w:ascii="宋体" w:hAnsi="宋体" w:cs="宋体"/>
                <w:b/>
                <w:color w:val="auto"/>
                <w:kern w:val="0"/>
                <w:sz w:val="21"/>
                <w:szCs w:val="21"/>
              </w:rPr>
              <w:t>检查因素</w:t>
            </w:r>
          </w:p>
        </w:tc>
        <w:tc>
          <w:tcPr>
            <w:tcW w:w="4984" w:type="dxa"/>
            <w:noWrap/>
            <w:vAlign w:val="center"/>
          </w:tcPr>
          <w:p w14:paraId="79455E64">
            <w:pPr>
              <w:jc w:val="center"/>
              <w:rPr>
                <w:rFonts w:ascii="宋体" w:hAnsi="宋体" w:cs="宋体"/>
                <w:b/>
                <w:color w:val="auto"/>
                <w:kern w:val="0"/>
                <w:sz w:val="21"/>
                <w:szCs w:val="21"/>
              </w:rPr>
            </w:pPr>
            <w:r>
              <w:rPr>
                <w:rFonts w:hint="eastAsia" w:ascii="宋体" w:hAnsi="宋体" w:cs="宋体"/>
                <w:b/>
                <w:color w:val="auto"/>
                <w:kern w:val="0"/>
                <w:sz w:val="21"/>
                <w:szCs w:val="21"/>
              </w:rPr>
              <w:t>检查内容</w:t>
            </w:r>
          </w:p>
        </w:tc>
      </w:tr>
      <w:tr w14:paraId="10C74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ign w:val="center"/>
          </w:tcPr>
          <w:p w14:paraId="6B02B4B4">
            <w:pPr>
              <w:jc w:val="center"/>
              <w:rPr>
                <w:rFonts w:ascii="宋体" w:hAnsi="宋体" w:cs="宋体"/>
                <w:color w:val="auto"/>
                <w:sz w:val="21"/>
                <w:szCs w:val="21"/>
              </w:rPr>
            </w:pPr>
            <w:r>
              <w:rPr>
                <w:rFonts w:hint="eastAsia" w:ascii="宋体" w:hAnsi="宋体" w:cs="宋体"/>
                <w:color w:val="auto"/>
                <w:sz w:val="21"/>
                <w:szCs w:val="21"/>
              </w:rPr>
              <w:t>（一）</w:t>
            </w:r>
          </w:p>
        </w:tc>
        <w:tc>
          <w:tcPr>
            <w:tcW w:w="3827" w:type="dxa"/>
            <w:noWrap/>
            <w:vAlign w:val="center"/>
          </w:tcPr>
          <w:p w14:paraId="3B60C61C">
            <w:pPr>
              <w:rPr>
                <w:rFonts w:ascii="宋体" w:hAnsi="宋体" w:cs="宋体"/>
                <w:color w:val="auto"/>
                <w:sz w:val="21"/>
                <w:szCs w:val="21"/>
              </w:rPr>
            </w:pPr>
            <w:r>
              <w:rPr>
                <w:rFonts w:hint="eastAsia" w:ascii="宋体" w:hAnsi="宋体" w:cs="宋体"/>
                <w:color w:val="auto"/>
                <w:sz w:val="21"/>
                <w:szCs w:val="21"/>
              </w:rPr>
              <w:t>1.具有独立承担民事责任的能力</w:t>
            </w:r>
          </w:p>
        </w:tc>
        <w:tc>
          <w:tcPr>
            <w:tcW w:w="4984" w:type="dxa"/>
            <w:noWrap/>
            <w:vAlign w:val="center"/>
          </w:tcPr>
          <w:p w14:paraId="1855DF1D">
            <w:pPr>
              <w:rPr>
                <w:rFonts w:ascii="宋体" w:hAnsi="宋体" w:cs="宋体"/>
                <w:color w:val="auto"/>
                <w:sz w:val="21"/>
                <w:szCs w:val="21"/>
              </w:rPr>
            </w:pPr>
            <w:r>
              <w:rPr>
                <w:rFonts w:hint="eastAsia" w:ascii="宋体" w:hAnsi="宋体" w:cs="宋体"/>
                <w:color w:val="auto"/>
                <w:sz w:val="21"/>
                <w:szCs w:val="21"/>
              </w:rPr>
              <w:t xml:space="preserve">1.投标人法人营业执照（副本）或事业单位法人证书（副本）或个体工商户营业执照或有效的自然人身份证明或社会团体法人登记证书（提供复印件）。 </w:t>
            </w:r>
          </w:p>
          <w:p w14:paraId="56535B03">
            <w:pPr>
              <w:rPr>
                <w:rFonts w:ascii="宋体" w:hAnsi="宋体" w:cs="宋体"/>
                <w:color w:val="auto"/>
                <w:sz w:val="21"/>
                <w:szCs w:val="21"/>
              </w:rPr>
            </w:pPr>
            <w:r>
              <w:rPr>
                <w:rFonts w:hint="eastAsia" w:ascii="宋体" w:hAnsi="宋体" w:cs="宋体"/>
                <w:color w:val="auto"/>
                <w:sz w:val="21"/>
                <w:szCs w:val="21"/>
              </w:rPr>
              <w:t>2.投标人法定代表人身份证明和法定代表人授权代表委托书。</w:t>
            </w:r>
          </w:p>
        </w:tc>
      </w:tr>
      <w:tr w14:paraId="1B46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E23D49D">
            <w:pPr>
              <w:jc w:val="center"/>
              <w:rPr>
                <w:rFonts w:ascii="宋体" w:hAnsi="宋体" w:cs="宋体"/>
                <w:color w:val="auto"/>
                <w:sz w:val="21"/>
                <w:szCs w:val="21"/>
              </w:rPr>
            </w:pPr>
          </w:p>
        </w:tc>
        <w:tc>
          <w:tcPr>
            <w:tcW w:w="3827" w:type="dxa"/>
            <w:noWrap/>
            <w:vAlign w:val="center"/>
          </w:tcPr>
          <w:p w14:paraId="646A138A">
            <w:pPr>
              <w:rPr>
                <w:rFonts w:ascii="宋体" w:hAnsi="宋体" w:cs="宋体"/>
                <w:color w:val="auto"/>
                <w:sz w:val="21"/>
                <w:szCs w:val="21"/>
              </w:rPr>
            </w:pPr>
            <w:r>
              <w:rPr>
                <w:rFonts w:hint="eastAsia" w:ascii="宋体" w:hAnsi="宋体" w:cs="宋体"/>
                <w:color w:val="auto"/>
                <w:sz w:val="21"/>
                <w:szCs w:val="21"/>
                <w:lang w:val="zh-CN"/>
              </w:rPr>
              <w:t>2.</w:t>
            </w:r>
            <w:r>
              <w:rPr>
                <w:rFonts w:hint="eastAsia" w:ascii="宋体" w:hAnsi="宋体" w:cs="宋体"/>
                <w:color w:val="auto"/>
                <w:sz w:val="21"/>
                <w:szCs w:val="21"/>
              </w:rPr>
              <w:t>具有良好的商业信誉和健全的财务会计制度</w:t>
            </w:r>
          </w:p>
        </w:tc>
        <w:tc>
          <w:tcPr>
            <w:tcW w:w="4984" w:type="dxa"/>
            <w:vMerge w:val="restart"/>
            <w:noWrap/>
            <w:vAlign w:val="center"/>
          </w:tcPr>
          <w:p w14:paraId="15F7E9E5">
            <w:pPr>
              <w:rPr>
                <w:rFonts w:ascii="宋体" w:hAnsi="宋体" w:cs="宋体"/>
                <w:color w:val="auto"/>
                <w:sz w:val="21"/>
                <w:szCs w:val="21"/>
              </w:rPr>
            </w:pPr>
            <w:r>
              <w:rPr>
                <w:rFonts w:hint="eastAsia" w:ascii="宋体" w:hAnsi="宋体" w:cs="宋体"/>
                <w:color w:val="auto"/>
                <w:sz w:val="21"/>
                <w:szCs w:val="21"/>
              </w:rPr>
              <w:t>投标人提供“基本资格条件承诺函”（格式详见第七篇）</w:t>
            </w:r>
          </w:p>
          <w:p w14:paraId="0F03916D">
            <w:pPr>
              <w:rPr>
                <w:rFonts w:ascii="宋体" w:hAnsi="宋体" w:cs="宋体"/>
                <w:b/>
                <w:color w:val="auto"/>
                <w:sz w:val="21"/>
                <w:szCs w:val="21"/>
              </w:rPr>
            </w:pPr>
          </w:p>
        </w:tc>
      </w:tr>
      <w:tr w14:paraId="71BE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211676A">
            <w:pPr>
              <w:jc w:val="center"/>
              <w:rPr>
                <w:rFonts w:ascii="宋体" w:hAnsi="宋体" w:cs="宋体"/>
                <w:color w:val="auto"/>
                <w:sz w:val="21"/>
                <w:szCs w:val="21"/>
              </w:rPr>
            </w:pPr>
          </w:p>
        </w:tc>
        <w:tc>
          <w:tcPr>
            <w:tcW w:w="3827" w:type="dxa"/>
            <w:noWrap/>
            <w:vAlign w:val="center"/>
          </w:tcPr>
          <w:p w14:paraId="72112089">
            <w:pPr>
              <w:rPr>
                <w:rFonts w:ascii="宋体" w:hAnsi="宋体" w:cs="宋体"/>
                <w:color w:val="auto"/>
                <w:sz w:val="21"/>
                <w:szCs w:val="21"/>
                <w:lang w:val="zh-CN"/>
              </w:rPr>
            </w:pPr>
            <w:r>
              <w:rPr>
                <w:rFonts w:hint="eastAsia" w:ascii="宋体" w:hAnsi="宋体" w:cs="宋体"/>
                <w:color w:val="auto"/>
                <w:sz w:val="21"/>
                <w:szCs w:val="21"/>
                <w:lang w:val="zh-CN"/>
              </w:rPr>
              <w:t>3.具有履行合同所必需的设备和专业技术能力</w:t>
            </w:r>
          </w:p>
        </w:tc>
        <w:tc>
          <w:tcPr>
            <w:tcW w:w="4984" w:type="dxa"/>
            <w:vMerge w:val="continue"/>
            <w:noWrap/>
            <w:vAlign w:val="center"/>
          </w:tcPr>
          <w:p w14:paraId="111541BD">
            <w:pPr>
              <w:rPr>
                <w:rFonts w:ascii="宋体" w:hAnsi="宋体" w:cs="宋体"/>
                <w:color w:val="auto"/>
                <w:sz w:val="21"/>
                <w:szCs w:val="21"/>
              </w:rPr>
            </w:pPr>
          </w:p>
        </w:tc>
      </w:tr>
      <w:tr w14:paraId="298F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3F635438">
            <w:pPr>
              <w:jc w:val="center"/>
              <w:rPr>
                <w:rFonts w:ascii="宋体" w:hAnsi="宋体" w:cs="宋体"/>
                <w:color w:val="auto"/>
                <w:sz w:val="21"/>
                <w:szCs w:val="21"/>
              </w:rPr>
            </w:pPr>
          </w:p>
        </w:tc>
        <w:tc>
          <w:tcPr>
            <w:tcW w:w="3827" w:type="dxa"/>
            <w:noWrap/>
            <w:vAlign w:val="center"/>
          </w:tcPr>
          <w:p w14:paraId="4D730458">
            <w:pPr>
              <w:rPr>
                <w:rFonts w:ascii="宋体" w:hAnsi="宋体" w:cs="宋体"/>
                <w:color w:val="auto"/>
                <w:sz w:val="21"/>
                <w:szCs w:val="21"/>
                <w:lang w:val="zh-CN"/>
              </w:rPr>
            </w:pPr>
            <w:r>
              <w:rPr>
                <w:rFonts w:hint="eastAsia" w:ascii="宋体" w:hAnsi="宋体" w:cs="宋体"/>
                <w:color w:val="auto"/>
                <w:sz w:val="21"/>
                <w:szCs w:val="21"/>
                <w:lang w:val="zh-CN"/>
              </w:rPr>
              <w:t>4.有依法缴纳税收和社会保障金的良好记录</w:t>
            </w:r>
          </w:p>
        </w:tc>
        <w:tc>
          <w:tcPr>
            <w:tcW w:w="4984" w:type="dxa"/>
            <w:vMerge w:val="continue"/>
            <w:noWrap/>
            <w:vAlign w:val="center"/>
          </w:tcPr>
          <w:p w14:paraId="457E5703">
            <w:pPr>
              <w:rPr>
                <w:rFonts w:ascii="宋体" w:hAnsi="宋体" w:cs="宋体"/>
                <w:color w:val="auto"/>
                <w:sz w:val="21"/>
                <w:szCs w:val="21"/>
              </w:rPr>
            </w:pPr>
          </w:p>
        </w:tc>
      </w:tr>
      <w:tr w14:paraId="299F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7E1FAE6">
            <w:pPr>
              <w:jc w:val="center"/>
              <w:rPr>
                <w:rFonts w:ascii="宋体" w:hAnsi="宋体" w:cs="宋体"/>
                <w:color w:val="auto"/>
                <w:sz w:val="21"/>
                <w:szCs w:val="21"/>
              </w:rPr>
            </w:pPr>
          </w:p>
        </w:tc>
        <w:tc>
          <w:tcPr>
            <w:tcW w:w="3827" w:type="dxa"/>
            <w:noWrap/>
            <w:vAlign w:val="center"/>
          </w:tcPr>
          <w:p w14:paraId="3A710640">
            <w:pPr>
              <w:rPr>
                <w:rFonts w:ascii="宋体" w:hAnsi="宋体" w:cs="宋体"/>
                <w:color w:val="auto"/>
                <w:sz w:val="21"/>
                <w:szCs w:val="21"/>
                <w:lang w:val="zh-CN"/>
              </w:rPr>
            </w:pPr>
            <w:r>
              <w:rPr>
                <w:rFonts w:hint="eastAsia" w:ascii="宋体" w:hAnsi="宋体" w:cs="宋体"/>
                <w:color w:val="auto"/>
                <w:sz w:val="21"/>
                <w:szCs w:val="21"/>
              </w:rPr>
              <w:t>5.参加采购活动前三年内，在经营活动中没有重大违法记录（注</w:t>
            </w: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EQ \o\ac(○,</w:instrText>
            </w:r>
            <w:r>
              <w:rPr>
                <w:rFonts w:hint="eastAsia" w:ascii="宋体" w:hAnsi="宋体" w:cs="宋体"/>
                <w:color w:val="auto"/>
                <w:position w:val="2"/>
                <w:sz w:val="14"/>
                <w:szCs w:val="21"/>
              </w:rPr>
              <w:instrText xml:space="preserve">1</w:instrText>
            </w:r>
            <w:r>
              <w:rPr>
                <w:rFonts w:hint="eastAsia" w:ascii="宋体" w:hAnsi="宋体" w:cs="宋体"/>
                <w:color w:val="auto"/>
                <w:sz w:val="21"/>
                <w:szCs w:val="21"/>
              </w:rPr>
              <w:instrText xml:space="preserve">)</w:instrText>
            </w:r>
            <w:r>
              <w:rPr>
                <w:rFonts w:hint="eastAsia" w:ascii="宋体" w:hAnsi="宋体" w:cs="宋体"/>
                <w:color w:val="auto"/>
                <w:sz w:val="21"/>
                <w:szCs w:val="21"/>
              </w:rPr>
              <w:fldChar w:fldCharType="end"/>
            </w:r>
            <w:r>
              <w:rPr>
                <w:rFonts w:hint="eastAsia" w:ascii="宋体" w:hAnsi="宋体" w:cs="宋体"/>
                <w:color w:val="auto"/>
                <w:sz w:val="21"/>
                <w:szCs w:val="21"/>
              </w:rPr>
              <w:t>）</w:t>
            </w:r>
          </w:p>
        </w:tc>
        <w:tc>
          <w:tcPr>
            <w:tcW w:w="4984" w:type="dxa"/>
            <w:vMerge w:val="continue"/>
            <w:noWrap/>
            <w:vAlign w:val="center"/>
          </w:tcPr>
          <w:p w14:paraId="4DB7D8E2">
            <w:pPr>
              <w:rPr>
                <w:rFonts w:ascii="宋体" w:hAnsi="宋体" w:cs="宋体"/>
                <w:b/>
                <w:color w:val="auto"/>
                <w:sz w:val="21"/>
                <w:szCs w:val="21"/>
              </w:rPr>
            </w:pPr>
          </w:p>
        </w:tc>
      </w:tr>
      <w:tr w14:paraId="58E94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202C2AE7">
            <w:pPr>
              <w:jc w:val="center"/>
              <w:rPr>
                <w:rFonts w:ascii="宋体" w:hAnsi="宋体" w:cs="宋体"/>
                <w:color w:val="auto"/>
                <w:sz w:val="21"/>
                <w:szCs w:val="21"/>
              </w:rPr>
            </w:pPr>
          </w:p>
        </w:tc>
        <w:tc>
          <w:tcPr>
            <w:tcW w:w="3827" w:type="dxa"/>
            <w:noWrap/>
            <w:vAlign w:val="center"/>
          </w:tcPr>
          <w:p w14:paraId="6E459488">
            <w:pPr>
              <w:rPr>
                <w:rFonts w:ascii="宋体" w:hAnsi="宋体" w:cs="宋体"/>
                <w:color w:val="auto"/>
                <w:sz w:val="21"/>
                <w:szCs w:val="21"/>
              </w:rPr>
            </w:pPr>
            <w:r>
              <w:rPr>
                <w:rFonts w:hint="eastAsia" w:ascii="宋体" w:hAnsi="宋体" w:cs="宋体"/>
                <w:color w:val="auto"/>
                <w:sz w:val="21"/>
                <w:szCs w:val="21"/>
              </w:rPr>
              <w:t>6.法律、行政法规规定的其他条件</w:t>
            </w:r>
          </w:p>
        </w:tc>
        <w:tc>
          <w:tcPr>
            <w:tcW w:w="4984" w:type="dxa"/>
            <w:noWrap/>
            <w:vAlign w:val="center"/>
          </w:tcPr>
          <w:p w14:paraId="5404F564">
            <w:pPr>
              <w:rPr>
                <w:rFonts w:ascii="宋体" w:hAnsi="宋体" w:cs="宋体"/>
                <w:color w:val="auto"/>
                <w:sz w:val="21"/>
                <w:szCs w:val="21"/>
              </w:rPr>
            </w:pPr>
          </w:p>
        </w:tc>
      </w:tr>
      <w:tr w14:paraId="7BE7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18F54599">
            <w:pPr>
              <w:jc w:val="center"/>
              <w:rPr>
                <w:rFonts w:ascii="宋体" w:hAnsi="宋体" w:cs="宋体"/>
                <w:color w:val="auto"/>
                <w:sz w:val="21"/>
                <w:szCs w:val="21"/>
              </w:rPr>
            </w:pPr>
          </w:p>
        </w:tc>
        <w:tc>
          <w:tcPr>
            <w:tcW w:w="3827" w:type="dxa"/>
            <w:noWrap/>
            <w:vAlign w:val="center"/>
          </w:tcPr>
          <w:p w14:paraId="5DE08178">
            <w:pPr>
              <w:rPr>
                <w:rFonts w:ascii="宋体" w:hAnsi="宋体" w:cs="宋体"/>
                <w:color w:val="auto"/>
                <w:sz w:val="21"/>
                <w:szCs w:val="21"/>
              </w:rPr>
            </w:pPr>
            <w:r>
              <w:rPr>
                <w:rFonts w:hint="eastAsia" w:ascii="宋体" w:hAnsi="宋体" w:cs="宋体"/>
                <w:color w:val="auto"/>
                <w:sz w:val="21"/>
                <w:szCs w:val="21"/>
              </w:rPr>
              <w:t>7.本项目的特定资格要求</w:t>
            </w:r>
          </w:p>
        </w:tc>
        <w:tc>
          <w:tcPr>
            <w:tcW w:w="4984" w:type="dxa"/>
            <w:noWrap/>
            <w:vAlign w:val="center"/>
          </w:tcPr>
          <w:p w14:paraId="4540034C">
            <w:pPr>
              <w:rPr>
                <w:rFonts w:ascii="宋体" w:hAnsi="宋体" w:cs="宋体"/>
                <w:color w:val="auto"/>
                <w:sz w:val="21"/>
                <w:szCs w:val="21"/>
              </w:rPr>
            </w:pPr>
            <w:r>
              <w:rPr>
                <w:rFonts w:hint="eastAsia" w:ascii="宋体" w:hAnsi="宋体" w:cs="宋体"/>
                <w:color w:val="auto"/>
                <w:sz w:val="21"/>
                <w:szCs w:val="21"/>
              </w:rPr>
              <w:t>按第一篇“三、投标人资格要求（二）本项目的特定资格要求”的要求提交（如果有）。</w:t>
            </w:r>
          </w:p>
        </w:tc>
      </w:tr>
      <w:tr w14:paraId="35FA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17" w:type="dxa"/>
            <w:noWrap/>
            <w:vAlign w:val="center"/>
          </w:tcPr>
          <w:p w14:paraId="7E01C25D">
            <w:pPr>
              <w:jc w:val="center"/>
              <w:rPr>
                <w:rFonts w:ascii="宋体" w:hAnsi="宋体" w:cs="宋体"/>
                <w:color w:val="auto"/>
                <w:sz w:val="21"/>
                <w:szCs w:val="21"/>
              </w:rPr>
            </w:pPr>
            <w:r>
              <w:rPr>
                <w:rFonts w:hint="eastAsia" w:ascii="宋体" w:hAnsi="宋体" w:cs="宋体"/>
                <w:color w:val="auto"/>
                <w:sz w:val="21"/>
                <w:szCs w:val="21"/>
              </w:rPr>
              <w:t>（二）</w:t>
            </w:r>
          </w:p>
        </w:tc>
        <w:tc>
          <w:tcPr>
            <w:tcW w:w="3827" w:type="dxa"/>
            <w:noWrap/>
            <w:vAlign w:val="center"/>
          </w:tcPr>
          <w:p w14:paraId="4F2380A9">
            <w:pPr>
              <w:rPr>
                <w:rFonts w:ascii="宋体" w:hAnsi="宋体" w:cs="宋体"/>
                <w:color w:val="auto"/>
                <w:sz w:val="21"/>
                <w:szCs w:val="21"/>
              </w:rPr>
            </w:pPr>
            <w:r>
              <w:rPr>
                <w:rFonts w:hint="eastAsia" w:ascii="宋体" w:hAnsi="宋体" w:cs="宋体"/>
                <w:color w:val="auto"/>
                <w:sz w:val="21"/>
                <w:szCs w:val="21"/>
              </w:rPr>
              <w:t>投标保证金</w:t>
            </w:r>
          </w:p>
        </w:tc>
        <w:tc>
          <w:tcPr>
            <w:tcW w:w="4984" w:type="dxa"/>
            <w:noWrap/>
            <w:vAlign w:val="center"/>
          </w:tcPr>
          <w:p w14:paraId="20FC49C0">
            <w:pPr>
              <w:rPr>
                <w:rFonts w:ascii="宋体" w:hAnsi="宋体" w:cs="宋体"/>
                <w:color w:val="auto"/>
                <w:sz w:val="21"/>
                <w:szCs w:val="21"/>
              </w:rPr>
            </w:pPr>
            <w:r>
              <w:rPr>
                <w:rFonts w:hint="eastAsia" w:ascii="宋体" w:hAnsi="宋体" w:cs="宋体"/>
                <w:color w:val="auto"/>
                <w:sz w:val="21"/>
                <w:szCs w:val="21"/>
              </w:rPr>
              <w:t>按照招标文件要求足额交纳所投包的投标保证金。</w:t>
            </w:r>
          </w:p>
        </w:tc>
      </w:tr>
    </w:tbl>
    <w:p w14:paraId="5093467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注：</w:t>
      </w:r>
    </w:p>
    <w:p w14:paraId="618E8D6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fldChar w:fldCharType="begin"/>
      </w:r>
      <w:r>
        <w:rPr>
          <w:rFonts w:hint="eastAsia" w:ascii="宋体" w:hAnsi="宋体" w:cs="宋体"/>
          <w:color w:val="auto"/>
          <w:kern w:val="0"/>
          <w:sz w:val="24"/>
          <w:szCs w:val="24"/>
        </w:rPr>
        <w:instrText xml:space="preserve"> eq \o\ac(○,</w:instrText>
      </w:r>
      <w:r>
        <w:rPr>
          <w:rFonts w:hint="eastAsia" w:ascii="宋体" w:hAnsi="宋体" w:cs="宋体"/>
          <w:color w:val="auto"/>
          <w:kern w:val="0"/>
          <w:position w:val="3"/>
          <w:sz w:val="16"/>
          <w:szCs w:val="24"/>
        </w:rPr>
        <w:instrText xml:space="preserve">1</w:instrText>
      </w:r>
      <w:r>
        <w:rPr>
          <w:rFonts w:hint="eastAsia" w:ascii="宋体" w:hAnsi="宋体" w:cs="宋体"/>
          <w:color w:val="auto"/>
          <w:kern w:val="0"/>
          <w:sz w:val="24"/>
          <w:szCs w:val="24"/>
        </w:rPr>
        <w:instrText xml:space="preserve">)</w:instrText>
      </w:r>
      <w:r>
        <w:rPr>
          <w:rFonts w:hint="eastAsia" w:ascii="宋体" w:hAnsi="宋体" w:cs="宋体"/>
          <w:color w:val="auto"/>
          <w:kern w:val="0"/>
          <w:sz w:val="24"/>
          <w:szCs w:val="24"/>
        </w:rPr>
        <w:fldChar w:fldCharType="end"/>
      </w:r>
      <w:r>
        <w:rPr>
          <w:rFonts w:hint="eastAsia" w:ascii="宋体" w:hAnsi="宋体" w:cs="宋体"/>
          <w:color w:val="auto"/>
          <w:kern w:val="0"/>
          <w:sz w:val="24"/>
          <w:szCs w:val="24"/>
        </w:rPr>
        <w:t>根据《中华人民共和国政府采购法实施条例》第十九条“参加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投标人可于投标截止日期前通过 “信用中国”网站(www.creditchina.gov.cn)、"中国政府采购网"(www.ccgp.gov.cn)等渠道查询信用记录。</w:t>
      </w:r>
    </w:p>
    <w:p w14:paraId="5FF6E10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w:t>
      </w:r>
      <w:r>
        <w:rPr>
          <w:rFonts w:hint="eastAsia" w:ascii="宋体" w:hAnsi="宋体" w:cs="宋体"/>
          <w:b/>
          <w:color w:val="auto"/>
          <w:kern w:val="0"/>
          <w:sz w:val="24"/>
          <w:szCs w:val="24"/>
        </w:rPr>
        <w:t>二</w:t>
      </w:r>
      <w:r>
        <w:rPr>
          <w:rFonts w:hint="eastAsia" w:ascii="宋体" w:hAnsi="宋体" w:cs="宋体"/>
          <w:color w:val="auto"/>
          <w:kern w:val="0"/>
          <w:sz w:val="24"/>
          <w:szCs w:val="24"/>
        </w:rPr>
        <w:t>）符合性审查</w:t>
      </w:r>
    </w:p>
    <w:p w14:paraId="1C017AA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评标委员会应当对符合资格的投标人的投标文件进行符合性审查，以确定其是否满足招标文件的实质性要求。符合性审查资料表如下：</w:t>
      </w:r>
    </w:p>
    <w:tbl>
      <w:tblPr>
        <w:tblStyle w:val="18"/>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14:paraId="7131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ign w:val="center"/>
          </w:tcPr>
          <w:p w14:paraId="78119D01">
            <w:pPr>
              <w:jc w:val="center"/>
              <w:rPr>
                <w:rFonts w:ascii="宋体" w:hAnsi="宋体" w:cs="宋体"/>
                <w:b/>
                <w:color w:val="auto"/>
                <w:kern w:val="0"/>
                <w:sz w:val="24"/>
                <w:szCs w:val="24"/>
              </w:rPr>
            </w:pPr>
            <w:r>
              <w:rPr>
                <w:rFonts w:hint="eastAsia" w:ascii="宋体" w:hAnsi="宋体" w:cs="宋体"/>
                <w:b/>
                <w:color w:val="auto"/>
                <w:kern w:val="0"/>
                <w:sz w:val="24"/>
                <w:szCs w:val="24"/>
              </w:rPr>
              <w:t>序号</w:t>
            </w:r>
          </w:p>
        </w:tc>
        <w:tc>
          <w:tcPr>
            <w:tcW w:w="3119" w:type="dxa"/>
            <w:gridSpan w:val="2"/>
            <w:noWrap/>
            <w:vAlign w:val="center"/>
          </w:tcPr>
          <w:p w14:paraId="48703E47">
            <w:pPr>
              <w:jc w:val="center"/>
              <w:rPr>
                <w:rFonts w:ascii="宋体" w:hAnsi="宋体" w:cs="宋体"/>
                <w:b/>
                <w:color w:val="auto"/>
                <w:kern w:val="0"/>
                <w:sz w:val="24"/>
                <w:szCs w:val="24"/>
              </w:rPr>
            </w:pPr>
            <w:r>
              <w:rPr>
                <w:rFonts w:hint="eastAsia" w:ascii="宋体" w:hAnsi="宋体" w:cs="宋体"/>
                <w:b/>
                <w:color w:val="auto"/>
                <w:kern w:val="0"/>
                <w:sz w:val="24"/>
                <w:szCs w:val="24"/>
              </w:rPr>
              <w:t>评审因素</w:t>
            </w:r>
          </w:p>
        </w:tc>
        <w:tc>
          <w:tcPr>
            <w:tcW w:w="5836" w:type="dxa"/>
            <w:noWrap/>
            <w:vAlign w:val="center"/>
          </w:tcPr>
          <w:p w14:paraId="08AD6DE8">
            <w:pPr>
              <w:jc w:val="center"/>
              <w:rPr>
                <w:rFonts w:ascii="宋体" w:hAnsi="宋体" w:cs="宋体"/>
                <w:b/>
                <w:color w:val="auto"/>
                <w:kern w:val="0"/>
                <w:sz w:val="24"/>
                <w:szCs w:val="24"/>
              </w:rPr>
            </w:pPr>
            <w:r>
              <w:rPr>
                <w:rFonts w:hint="eastAsia" w:ascii="宋体" w:hAnsi="宋体" w:cs="宋体"/>
                <w:b/>
                <w:color w:val="auto"/>
                <w:kern w:val="0"/>
                <w:sz w:val="24"/>
                <w:szCs w:val="24"/>
              </w:rPr>
              <w:t>评审标准</w:t>
            </w:r>
          </w:p>
        </w:tc>
      </w:tr>
      <w:tr w14:paraId="64DFA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restart"/>
            <w:noWrap/>
            <w:vAlign w:val="center"/>
          </w:tcPr>
          <w:p w14:paraId="1F49CBCA">
            <w:pPr>
              <w:jc w:val="center"/>
              <w:rPr>
                <w:rFonts w:ascii="宋体" w:hAnsi="宋体" w:cs="宋体"/>
                <w:color w:val="auto"/>
                <w:kern w:val="0"/>
                <w:sz w:val="24"/>
                <w:szCs w:val="24"/>
              </w:rPr>
            </w:pPr>
            <w:r>
              <w:rPr>
                <w:rFonts w:hint="eastAsia" w:ascii="宋体" w:hAnsi="宋体" w:cs="宋体"/>
                <w:color w:val="auto"/>
                <w:kern w:val="0"/>
                <w:sz w:val="24"/>
                <w:szCs w:val="24"/>
              </w:rPr>
              <w:t>1</w:t>
            </w:r>
          </w:p>
        </w:tc>
        <w:tc>
          <w:tcPr>
            <w:tcW w:w="1562" w:type="dxa"/>
            <w:vMerge w:val="restart"/>
            <w:noWrap/>
            <w:vAlign w:val="center"/>
          </w:tcPr>
          <w:p w14:paraId="652B18DB">
            <w:pPr>
              <w:rPr>
                <w:rFonts w:ascii="宋体" w:hAnsi="宋体" w:cs="宋体"/>
                <w:color w:val="auto"/>
                <w:kern w:val="0"/>
                <w:sz w:val="24"/>
                <w:szCs w:val="24"/>
              </w:rPr>
            </w:pPr>
            <w:r>
              <w:rPr>
                <w:rFonts w:hint="eastAsia" w:ascii="宋体" w:hAnsi="宋体" w:cs="宋体"/>
                <w:color w:val="auto"/>
                <w:kern w:val="0"/>
                <w:sz w:val="24"/>
                <w:szCs w:val="24"/>
              </w:rPr>
              <w:t>有效性审查</w:t>
            </w:r>
          </w:p>
        </w:tc>
        <w:tc>
          <w:tcPr>
            <w:tcW w:w="1557" w:type="dxa"/>
            <w:noWrap/>
            <w:vAlign w:val="center"/>
          </w:tcPr>
          <w:p w14:paraId="152A6EA7">
            <w:pPr>
              <w:rPr>
                <w:rFonts w:ascii="宋体" w:hAnsi="宋体" w:cs="宋体"/>
                <w:color w:val="auto"/>
                <w:kern w:val="0"/>
                <w:sz w:val="24"/>
                <w:szCs w:val="24"/>
              </w:rPr>
            </w:pPr>
            <w:r>
              <w:rPr>
                <w:rFonts w:hint="eastAsia" w:ascii="宋体" w:hAnsi="宋体" w:cs="宋体"/>
                <w:color w:val="auto"/>
                <w:sz w:val="24"/>
                <w:szCs w:val="24"/>
              </w:rPr>
              <w:t>投标文件签署或盖章</w:t>
            </w:r>
          </w:p>
        </w:tc>
        <w:tc>
          <w:tcPr>
            <w:tcW w:w="5836" w:type="dxa"/>
            <w:noWrap/>
            <w:vAlign w:val="center"/>
          </w:tcPr>
          <w:p w14:paraId="1D5EB569">
            <w:pPr>
              <w:rPr>
                <w:rFonts w:ascii="宋体" w:hAnsi="宋体" w:cs="宋体"/>
                <w:color w:val="auto"/>
                <w:kern w:val="0"/>
                <w:sz w:val="24"/>
                <w:szCs w:val="24"/>
              </w:rPr>
            </w:pPr>
            <w:r>
              <w:rPr>
                <w:rFonts w:hint="eastAsia" w:ascii="宋体" w:hAnsi="宋体" w:cs="宋体"/>
                <w:color w:val="auto"/>
                <w:sz w:val="24"/>
                <w:szCs w:val="24"/>
              </w:rPr>
              <w:t>投标文件上法定代表人（或其授权代表）或自然人（投标人为自然人）的签署或盖章齐全。</w:t>
            </w:r>
          </w:p>
        </w:tc>
      </w:tr>
      <w:tr w14:paraId="51CD6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ign w:val="center"/>
          </w:tcPr>
          <w:p w14:paraId="07CA3723">
            <w:pPr>
              <w:jc w:val="center"/>
              <w:rPr>
                <w:rFonts w:ascii="宋体" w:hAnsi="宋体" w:cs="宋体"/>
                <w:color w:val="auto"/>
                <w:kern w:val="0"/>
                <w:sz w:val="24"/>
                <w:szCs w:val="24"/>
              </w:rPr>
            </w:pPr>
          </w:p>
        </w:tc>
        <w:tc>
          <w:tcPr>
            <w:tcW w:w="1562" w:type="dxa"/>
            <w:vMerge w:val="continue"/>
            <w:noWrap/>
            <w:vAlign w:val="center"/>
          </w:tcPr>
          <w:p w14:paraId="44B3EA7F">
            <w:pPr>
              <w:rPr>
                <w:rFonts w:ascii="宋体" w:hAnsi="宋体" w:cs="宋体"/>
                <w:color w:val="auto"/>
                <w:kern w:val="0"/>
                <w:sz w:val="24"/>
                <w:szCs w:val="24"/>
              </w:rPr>
            </w:pPr>
          </w:p>
        </w:tc>
        <w:tc>
          <w:tcPr>
            <w:tcW w:w="1557" w:type="dxa"/>
            <w:noWrap/>
            <w:vAlign w:val="center"/>
          </w:tcPr>
          <w:p w14:paraId="09CD26FB">
            <w:pPr>
              <w:rPr>
                <w:rFonts w:ascii="宋体" w:hAnsi="宋体" w:cs="宋体"/>
                <w:color w:val="auto"/>
                <w:sz w:val="24"/>
                <w:szCs w:val="24"/>
                <w:lang w:val="zh-CN"/>
              </w:rPr>
            </w:pPr>
            <w:r>
              <w:rPr>
                <w:rFonts w:hint="eastAsia" w:ascii="宋体" w:hAnsi="宋体" w:cs="宋体"/>
                <w:color w:val="auto"/>
                <w:sz w:val="24"/>
                <w:szCs w:val="24"/>
                <w:lang w:val="zh-CN"/>
              </w:rPr>
              <w:t>投标方案</w:t>
            </w:r>
          </w:p>
        </w:tc>
        <w:tc>
          <w:tcPr>
            <w:tcW w:w="5836" w:type="dxa"/>
            <w:noWrap/>
            <w:vAlign w:val="center"/>
          </w:tcPr>
          <w:p w14:paraId="28317007">
            <w:pPr>
              <w:rPr>
                <w:rFonts w:ascii="宋体" w:hAnsi="宋体" w:cs="宋体"/>
                <w:color w:val="auto"/>
                <w:kern w:val="0"/>
                <w:sz w:val="24"/>
                <w:szCs w:val="24"/>
              </w:rPr>
            </w:pPr>
            <w:r>
              <w:rPr>
                <w:rFonts w:hint="eastAsia" w:ascii="宋体" w:hAnsi="宋体" w:cs="宋体"/>
                <w:color w:val="auto"/>
                <w:sz w:val="24"/>
                <w:szCs w:val="24"/>
                <w:lang w:val="zh-CN"/>
              </w:rPr>
              <w:t>每个包只能有一个方案投标。</w:t>
            </w:r>
          </w:p>
        </w:tc>
      </w:tr>
      <w:tr w14:paraId="53273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ign w:val="center"/>
          </w:tcPr>
          <w:p w14:paraId="4AC83ED6">
            <w:pPr>
              <w:jc w:val="center"/>
              <w:rPr>
                <w:rFonts w:ascii="宋体" w:hAnsi="宋体" w:cs="宋体"/>
                <w:color w:val="auto"/>
                <w:kern w:val="0"/>
                <w:sz w:val="24"/>
                <w:szCs w:val="24"/>
              </w:rPr>
            </w:pPr>
          </w:p>
        </w:tc>
        <w:tc>
          <w:tcPr>
            <w:tcW w:w="1562" w:type="dxa"/>
            <w:vMerge w:val="continue"/>
            <w:noWrap/>
            <w:vAlign w:val="center"/>
          </w:tcPr>
          <w:p w14:paraId="07137C83">
            <w:pPr>
              <w:rPr>
                <w:rFonts w:ascii="宋体" w:hAnsi="宋体" w:cs="宋体"/>
                <w:color w:val="auto"/>
                <w:kern w:val="0"/>
                <w:sz w:val="24"/>
                <w:szCs w:val="24"/>
              </w:rPr>
            </w:pPr>
          </w:p>
        </w:tc>
        <w:tc>
          <w:tcPr>
            <w:tcW w:w="1557" w:type="dxa"/>
            <w:noWrap/>
            <w:vAlign w:val="center"/>
          </w:tcPr>
          <w:p w14:paraId="4CD5E744">
            <w:pPr>
              <w:rPr>
                <w:rFonts w:ascii="宋体" w:hAnsi="宋体" w:cs="宋体"/>
                <w:color w:val="auto"/>
                <w:sz w:val="24"/>
                <w:szCs w:val="24"/>
                <w:lang w:val="zh-CN"/>
              </w:rPr>
            </w:pPr>
            <w:r>
              <w:rPr>
                <w:rFonts w:hint="eastAsia" w:ascii="宋体" w:hAnsi="宋体" w:cs="宋体"/>
                <w:color w:val="auto"/>
                <w:sz w:val="24"/>
                <w:szCs w:val="24"/>
              </w:rPr>
              <w:t>报价唯一</w:t>
            </w:r>
          </w:p>
        </w:tc>
        <w:tc>
          <w:tcPr>
            <w:tcW w:w="5836" w:type="dxa"/>
            <w:noWrap/>
            <w:vAlign w:val="center"/>
          </w:tcPr>
          <w:p w14:paraId="52D603F6">
            <w:pPr>
              <w:rPr>
                <w:rFonts w:ascii="宋体" w:hAnsi="宋体" w:cs="宋体"/>
                <w:color w:val="auto"/>
                <w:kern w:val="0"/>
                <w:sz w:val="24"/>
                <w:szCs w:val="24"/>
              </w:rPr>
            </w:pPr>
            <w:r>
              <w:rPr>
                <w:rFonts w:hint="eastAsia" w:ascii="宋体" w:hAnsi="宋体" w:cs="宋体"/>
                <w:color w:val="auto"/>
                <w:sz w:val="24"/>
                <w:szCs w:val="24"/>
                <w:lang w:val="zh-CN"/>
              </w:rPr>
              <w:t>只能在预算金额和最高限价内报价，</w:t>
            </w:r>
            <w:r>
              <w:rPr>
                <w:rFonts w:hint="eastAsia" w:ascii="宋体" w:hAnsi="宋体" w:cs="宋体"/>
                <w:color w:val="auto"/>
                <w:sz w:val="24"/>
                <w:szCs w:val="24"/>
              </w:rPr>
              <w:t>只能有一个有效报价，不得提交选择性报价。</w:t>
            </w:r>
          </w:p>
        </w:tc>
      </w:tr>
      <w:tr w14:paraId="2437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noWrap/>
            <w:vAlign w:val="center"/>
          </w:tcPr>
          <w:p w14:paraId="59B0FA4B">
            <w:pPr>
              <w:jc w:val="center"/>
              <w:rPr>
                <w:rFonts w:ascii="宋体" w:hAnsi="宋体" w:cs="宋体"/>
                <w:color w:val="auto"/>
                <w:kern w:val="0"/>
                <w:sz w:val="24"/>
                <w:szCs w:val="24"/>
              </w:rPr>
            </w:pPr>
            <w:r>
              <w:rPr>
                <w:rFonts w:hint="eastAsia" w:ascii="宋体" w:hAnsi="宋体" w:cs="宋体"/>
                <w:color w:val="auto"/>
                <w:kern w:val="0"/>
                <w:sz w:val="24"/>
                <w:szCs w:val="24"/>
              </w:rPr>
              <w:t>2</w:t>
            </w:r>
          </w:p>
        </w:tc>
        <w:tc>
          <w:tcPr>
            <w:tcW w:w="1562" w:type="dxa"/>
            <w:noWrap/>
            <w:vAlign w:val="center"/>
          </w:tcPr>
          <w:p w14:paraId="57A2ABC4">
            <w:pPr>
              <w:rPr>
                <w:rFonts w:ascii="宋体" w:hAnsi="宋体" w:cs="宋体"/>
                <w:color w:val="auto"/>
                <w:kern w:val="0"/>
                <w:sz w:val="24"/>
                <w:szCs w:val="24"/>
              </w:rPr>
            </w:pPr>
            <w:r>
              <w:rPr>
                <w:rFonts w:hint="eastAsia" w:ascii="宋体" w:hAnsi="宋体" w:cs="宋体"/>
                <w:color w:val="auto"/>
                <w:kern w:val="0"/>
                <w:sz w:val="24"/>
                <w:szCs w:val="24"/>
              </w:rPr>
              <w:t>完整性审查</w:t>
            </w:r>
          </w:p>
        </w:tc>
        <w:tc>
          <w:tcPr>
            <w:tcW w:w="1557" w:type="dxa"/>
            <w:noWrap/>
            <w:vAlign w:val="center"/>
          </w:tcPr>
          <w:p w14:paraId="17E13886">
            <w:pPr>
              <w:rPr>
                <w:rFonts w:ascii="宋体" w:hAnsi="宋体" w:cs="宋体"/>
                <w:color w:val="auto"/>
                <w:kern w:val="0"/>
                <w:sz w:val="24"/>
                <w:szCs w:val="24"/>
              </w:rPr>
            </w:pPr>
            <w:r>
              <w:rPr>
                <w:rFonts w:hint="eastAsia" w:ascii="宋体" w:hAnsi="宋体" w:cs="宋体"/>
                <w:color w:val="auto"/>
                <w:sz w:val="24"/>
                <w:szCs w:val="24"/>
                <w:lang w:val="zh-CN"/>
              </w:rPr>
              <w:t>投标文件份数</w:t>
            </w:r>
          </w:p>
        </w:tc>
        <w:tc>
          <w:tcPr>
            <w:tcW w:w="5836" w:type="dxa"/>
            <w:noWrap/>
            <w:vAlign w:val="center"/>
          </w:tcPr>
          <w:p w14:paraId="32C359D8">
            <w:pPr>
              <w:rPr>
                <w:rFonts w:ascii="宋体" w:hAnsi="宋体" w:cs="宋体"/>
                <w:color w:val="auto"/>
                <w:kern w:val="0"/>
                <w:sz w:val="24"/>
                <w:szCs w:val="24"/>
              </w:rPr>
            </w:pPr>
            <w:r>
              <w:rPr>
                <w:rFonts w:hint="eastAsia" w:ascii="宋体" w:hAnsi="宋体" w:cs="宋体"/>
                <w:color w:val="auto"/>
                <w:sz w:val="24"/>
                <w:szCs w:val="24"/>
                <w:lang w:val="zh-CN"/>
              </w:rPr>
              <w:t>投标文件正</w:t>
            </w:r>
            <w:r>
              <w:rPr>
                <w:rFonts w:hint="eastAsia" w:ascii="宋体" w:hAnsi="宋体" w:cs="宋体"/>
                <w:color w:val="auto"/>
                <w:sz w:val="24"/>
                <w:szCs w:val="24"/>
                <w:lang w:val="en-US" w:eastAsia="zh-CN"/>
              </w:rPr>
              <w:t>本</w:t>
            </w:r>
            <w:r>
              <w:rPr>
                <w:rFonts w:hint="eastAsia" w:ascii="宋体" w:hAnsi="宋体" w:cs="宋体"/>
                <w:color w:val="auto"/>
                <w:sz w:val="24"/>
                <w:szCs w:val="24"/>
                <w:lang w:val="zh-CN"/>
              </w:rPr>
              <w:t>、副本、</w:t>
            </w:r>
            <w:r>
              <w:rPr>
                <w:rFonts w:hint="eastAsia" w:ascii="宋体" w:hAnsi="宋体" w:cs="宋体"/>
                <w:color w:val="auto"/>
                <w:sz w:val="24"/>
                <w:szCs w:val="24"/>
                <w:lang w:val="en-US" w:eastAsia="zh-CN"/>
              </w:rPr>
              <w:t>U盘</w:t>
            </w:r>
            <w:r>
              <w:rPr>
                <w:rFonts w:hint="eastAsia" w:ascii="宋体" w:hAnsi="宋体" w:cs="宋体"/>
                <w:color w:val="auto"/>
                <w:sz w:val="24"/>
                <w:szCs w:val="24"/>
                <w:lang w:val="zh-CN"/>
              </w:rPr>
              <w:t>数量符合招标文件要求。</w:t>
            </w:r>
          </w:p>
        </w:tc>
      </w:tr>
      <w:tr w14:paraId="5B1CB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noWrap/>
            <w:vAlign w:val="center"/>
          </w:tcPr>
          <w:p w14:paraId="79394C82">
            <w:pPr>
              <w:jc w:val="center"/>
              <w:rPr>
                <w:rFonts w:ascii="宋体" w:hAnsi="宋体" w:cs="宋体"/>
                <w:color w:val="auto"/>
                <w:kern w:val="0"/>
                <w:sz w:val="24"/>
                <w:szCs w:val="24"/>
              </w:rPr>
            </w:pPr>
            <w:r>
              <w:rPr>
                <w:rFonts w:hint="eastAsia" w:ascii="宋体" w:hAnsi="宋体" w:cs="宋体"/>
                <w:color w:val="auto"/>
                <w:kern w:val="0"/>
                <w:sz w:val="24"/>
                <w:szCs w:val="24"/>
              </w:rPr>
              <w:t>3</w:t>
            </w:r>
          </w:p>
        </w:tc>
        <w:tc>
          <w:tcPr>
            <w:tcW w:w="1562" w:type="dxa"/>
            <w:noWrap/>
            <w:vAlign w:val="center"/>
          </w:tcPr>
          <w:p w14:paraId="0918F7B7">
            <w:pPr>
              <w:rPr>
                <w:rFonts w:ascii="宋体" w:hAnsi="宋体" w:cs="宋体"/>
                <w:color w:val="auto"/>
                <w:kern w:val="0"/>
                <w:sz w:val="24"/>
                <w:szCs w:val="24"/>
              </w:rPr>
            </w:pPr>
            <w:r>
              <w:rPr>
                <w:rFonts w:hint="eastAsia" w:ascii="宋体" w:hAnsi="宋体" w:cs="宋体"/>
                <w:color w:val="auto"/>
                <w:kern w:val="0"/>
                <w:sz w:val="24"/>
                <w:szCs w:val="24"/>
              </w:rPr>
              <w:t>技术部分</w:t>
            </w:r>
          </w:p>
        </w:tc>
        <w:tc>
          <w:tcPr>
            <w:tcW w:w="1557" w:type="dxa"/>
            <w:noWrap/>
            <w:vAlign w:val="center"/>
          </w:tcPr>
          <w:p w14:paraId="0649DD19">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79208C28">
            <w:pPr>
              <w:rPr>
                <w:rFonts w:ascii="宋体" w:hAnsi="宋体" w:cs="宋体"/>
                <w:color w:val="auto"/>
                <w:kern w:val="0"/>
                <w:sz w:val="24"/>
                <w:szCs w:val="24"/>
              </w:rPr>
            </w:pPr>
            <w:r>
              <w:rPr>
                <w:rFonts w:hint="eastAsia" w:ascii="宋体" w:hAnsi="宋体" w:cs="宋体"/>
                <w:color w:val="auto"/>
                <w:kern w:val="0"/>
                <w:sz w:val="24"/>
                <w:szCs w:val="24"/>
              </w:rPr>
              <w:t>本招标文件第二篇全部内容。</w:t>
            </w:r>
          </w:p>
        </w:tc>
      </w:tr>
      <w:tr w14:paraId="3B85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noWrap/>
            <w:vAlign w:val="center"/>
          </w:tcPr>
          <w:p w14:paraId="1D10DBCC">
            <w:pPr>
              <w:jc w:val="center"/>
              <w:rPr>
                <w:rFonts w:ascii="宋体" w:hAnsi="宋体" w:cs="宋体"/>
                <w:color w:val="auto"/>
                <w:kern w:val="0"/>
                <w:sz w:val="24"/>
                <w:szCs w:val="24"/>
              </w:rPr>
            </w:pPr>
            <w:r>
              <w:rPr>
                <w:rFonts w:hint="eastAsia" w:ascii="宋体" w:hAnsi="宋体" w:cs="宋体"/>
                <w:color w:val="auto"/>
                <w:kern w:val="0"/>
                <w:sz w:val="24"/>
                <w:szCs w:val="24"/>
              </w:rPr>
              <w:t>4</w:t>
            </w:r>
          </w:p>
        </w:tc>
        <w:tc>
          <w:tcPr>
            <w:tcW w:w="1562" w:type="dxa"/>
            <w:noWrap/>
            <w:vAlign w:val="center"/>
          </w:tcPr>
          <w:p w14:paraId="1B3FE12E">
            <w:pPr>
              <w:rPr>
                <w:rFonts w:ascii="宋体" w:hAnsi="宋体" w:cs="宋体"/>
                <w:color w:val="auto"/>
                <w:kern w:val="0"/>
                <w:sz w:val="24"/>
                <w:szCs w:val="24"/>
              </w:rPr>
            </w:pPr>
            <w:r>
              <w:rPr>
                <w:rFonts w:hint="eastAsia" w:ascii="宋体" w:hAnsi="宋体" w:cs="宋体"/>
                <w:color w:val="auto"/>
                <w:kern w:val="0"/>
                <w:sz w:val="24"/>
                <w:szCs w:val="24"/>
              </w:rPr>
              <w:t>商务部分</w:t>
            </w:r>
          </w:p>
        </w:tc>
        <w:tc>
          <w:tcPr>
            <w:tcW w:w="1557" w:type="dxa"/>
            <w:noWrap/>
            <w:vAlign w:val="center"/>
          </w:tcPr>
          <w:p w14:paraId="6B6CB810">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2AF3F0B4">
            <w:pPr>
              <w:rPr>
                <w:rFonts w:ascii="宋体" w:hAnsi="宋体" w:cs="宋体"/>
                <w:color w:val="auto"/>
                <w:kern w:val="0"/>
                <w:sz w:val="24"/>
                <w:szCs w:val="24"/>
              </w:rPr>
            </w:pPr>
            <w:r>
              <w:rPr>
                <w:rFonts w:hint="eastAsia" w:ascii="宋体" w:hAnsi="宋体" w:cs="宋体"/>
                <w:color w:val="auto"/>
                <w:kern w:val="0"/>
                <w:sz w:val="24"/>
                <w:szCs w:val="24"/>
              </w:rPr>
              <w:t>本招标文件第三篇全部内容。</w:t>
            </w:r>
          </w:p>
        </w:tc>
      </w:tr>
      <w:tr w14:paraId="0B3C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noWrap/>
            <w:vAlign w:val="center"/>
          </w:tcPr>
          <w:p w14:paraId="7708526D">
            <w:pPr>
              <w:jc w:val="center"/>
              <w:rPr>
                <w:rFonts w:ascii="宋体" w:hAnsi="宋体" w:cs="宋体"/>
                <w:color w:val="auto"/>
                <w:kern w:val="0"/>
                <w:sz w:val="24"/>
                <w:szCs w:val="24"/>
              </w:rPr>
            </w:pPr>
            <w:r>
              <w:rPr>
                <w:rFonts w:hint="eastAsia" w:ascii="宋体" w:hAnsi="宋体" w:cs="宋体"/>
                <w:color w:val="auto"/>
                <w:kern w:val="0"/>
                <w:sz w:val="24"/>
                <w:szCs w:val="24"/>
              </w:rPr>
              <w:t>5</w:t>
            </w:r>
          </w:p>
        </w:tc>
        <w:tc>
          <w:tcPr>
            <w:tcW w:w="1562" w:type="dxa"/>
            <w:noWrap/>
            <w:vAlign w:val="center"/>
          </w:tcPr>
          <w:p w14:paraId="167E6BAA">
            <w:pPr>
              <w:rPr>
                <w:rFonts w:ascii="宋体" w:hAnsi="宋体" w:cs="宋体"/>
                <w:color w:val="auto"/>
                <w:kern w:val="0"/>
                <w:sz w:val="24"/>
                <w:szCs w:val="24"/>
              </w:rPr>
            </w:pPr>
            <w:r>
              <w:rPr>
                <w:rFonts w:hint="eastAsia" w:ascii="宋体" w:hAnsi="宋体" w:cs="宋体"/>
                <w:color w:val="auto"/>
                <w:kern w:val="0"/>
                <w:sz w:val="24"/>
                <w:szCs w:val="24"/>
              </w:rPr>
              <w:t>投标有效期</w:t>
            </w:r>
          </w:p>
        </w:tc>
        <w:tc>
          <w:tcPr>
            <w:tcW w:w="1557" w:type="dxa"/>
            <w:noWrap/>
            <w:vAlign w:val="center"/>
          </w:tcPr>
          <w:p w14:paraId="7827F06B">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0A0A8198">
            <w:pPr>
              <w:rPr>
                <w:rFonts w:ascii="宋体" w:hAnsi="宋体" w:cs="宋体"/>
                <w:color w:val="auto"/>
                <w:kern w:val="0"/>
                <w:sz w:val="24"/>
                <w:szCs w:val="24"/>
              </w:rPr>
            </w:pPr>
            <w:r>
              <w:rPr>
                <w:rFonts w:hint="eastAsia" w:ascii="宋体" w:hAnsi="宋体" w:cs="宋体"/>
                <w:color w:val="auto"/>
                <w:kern w:val="0"/>
                <w:sz w:val="24"/>
                <w:szCs w:val="24"/>
              </w:rPr>
              <w:t>投标有效期为投标截止时间起90天。</w:t>
            </w:r>
          </w:p>
        </w:tc>
      </w:tr>
    </w:tbl>
    <w:p w14:paraId="1356B73E">
      <w:pPr>
        <w:pStyle w:val="3"/>
        <w:spacing w:line="400" w:lineRule="exact"/>
        <w:ind w:firstLine="482" w:firstLineChars="200"/>
        <w:rPr>
          <w:rFonts w:cs="宋体"/>
          <w:b/>
          <w:color w:val="auto"/>
          <w:sz w:val="24"/>
          <w:szCs w:val="24"/>
        </w:rPr>
      </w:pPr>
      <w:bookmarkStart w:id="236" w:name="_Toc9094"/>
      <w:bookmarkStart w:id="237" w:name="_Toc21650"/>
      <w:bookmarkStart w:id="238" w:name="_Toc106030395"/>
      <w:bookmarkStart w:id="239" w:name="_Toc14824"/>
      <w:bookmarkStart w:id="240" w:name="_Toc5620"/>
      <w:bookmarkStart w:id="241" w:name="_Toc27015"/>
      <w:bookmarkStart w:id="242" w:name="_Toc20171"/>
      <w:bookmarkStart w:id="243" w:name="_Toc26796"/>
      <w:bookmarkStart w:id="244" w:name="_Toc28549"/>
      <w:bookmarkStart w:id="245" w:name="_Toc30011"/>
      <w:bookmarkStart w:id="246" w:name="_Toc25341"/>
      <w:bookmarkStart w:id="247" w:name="_Toc27633"/>
      <w:bookmarkStart w:id="248" w:name="_Toc75793519"/>
      <w:bookmarkStart w:id="249" w:name="_Toc31997"/>
      <w:bookmarkStart w:id="250" w:name="_Toc29140"/>
      <w:bookmarkStart w:id="251" w:name="_Toc30717"/>
      <w:r>
        <w:rPr>
          <w:rFonts w:hint="eastAsia" w:cs="宋体"/>
          <w:b/>
          <w:color w:val="auto"/>
          <w:sz w:val="24"/>
          <w:szCs w:val="24"/>
        </w:rPr>
        <w:t>二、评标方法</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26675719">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本项目采用综合评分法进行评标。</w:t>
      </w:r>
    </w:p>
    <w:p w14:paraId="434DCF9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综合评分法，是指投标文件满足招标文件全部实质性要求且按照评审因素的量化指标评审得分最高的投标人为中标候选人的评标方法。投标人总得分为价格、商务、服务（技术）等评定因素分别按照相应权重值计算分项得分后相加，满分为100分。</w:t>
      </w:r>
    </w:p>
    <w:p w14:paraId="6D2BF74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澄清有关问题。对投标文件中含义不明确、同类问题表述不一致或者有明显文字和计算错误的内容，评标委员会可以书面形式（应当由评标委员会成员签字）要求投标人作出必要澄清、说明或者纠正。投标人的澄清、说明或者补正应当采用书面形式，由其法定代表人（或其授权代表）或自然人（投标人为自然人）签字，其澄清的内容不得超出投标文件的范围或者改变投标文件的实质性内容。</w:t>
      </w:r>
    </w:p>
    <w:p w14:paraId="35E32B5A">
      <w:pPr>
        <w:snapToGrid w:val="0"/>
        <w:spacing w:line="400" w:lineRule="exact"/>
        <w:ind w:firstLine="482" w:firstLineChars="200"/>
        <w:outlineLvl w:val="2"/>
        <w:rPr>
          <w:rFonts w:ascii="宋体" w:hAnsi="宋体" w:cs="宋体"/>
          <w:b/>
          <w:color w:val="auto"/>
          <w:sz w:val="24"/>
          <w:szCs w:val="24"/>
        </w:rPr>
      </w:pPr>
      <w:r>
        <w:rPr>
          <w:rFonts w:hint="eastAsia" w:ascii="宋体" w:hAnsi="宋体" w:cs="宋体"/>
          <w:b/>
          <w:color w:val="auto"/>
          <w:sz w:val="24"/>
          <w:szCs w:val="24"/>
        </w:rPr>
        <w:t>综合评分法：</w:t>
      </w:r>
    </w:p>
    <w:p w14:paraId="7064493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（一）比较与评价。按招标文件中规定的评标方法和标准，对资格审查和符合性审查合格的投标文件进行商务和技术评估。</w:t>
      </w:r>
    </w:p>
    <w:p w14:paraId="106852E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评标委员会各成员独立对每个有效投标人（通过资格审查、符合性审查的投标人）的投标文件进行评价、打分，然后由评标委员会对各成员打分情况进行核查及复核，个别成员对同一投标人同一评分项的打分偏离较大的，应对投标人的投标文件进行再次核对，确属打分有误的，应及时进行修正。</w:t>
      </w:r>
    </w:p>
    <w:p w14:paraId="08EAC09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复核后，评标委员会汇总每个投标人每项评分因素的得分。</w:t>
      </w:r>
    </w:p>
    <w:p w14:paraId="4932522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（二）推荐中标候选人名单。</w:t>
      </w:r>
    </w:p>
    <w:p w14:paraId="2637879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按评审后得分由高到低的排列顺序推荐综合得分排名前三的投标人为本包（项目）中标候选人，排名第一的为第一中标候选人。得分相同的，按投标报价由低到高顺序排列。得分且投标报价相同的并列。</w:t>
      </w:r>
    </w:p>
    <w:p w14:paraId="1239D1E9">
      <w:pPr>
        <w:pStyle w:val="3"/>
        <w:spacing w:line="400" w:lineRule="exact"/>
        <w:ind w:firstLine="482" w:firstLineChars="200"/>
        <w:rPr>
          <w:rFonts w:cs="宋体"/>
          <w:b/>
          <w:color w:val="auto"/>
          <w:sz w:val="24"/>
          <w:szCs w:val="24"/>
        </w:rPr>
      </w:pPr>
      <w:bookmarkStart w:id="252" w:name="_Toc6342"/>
      <w:bookmarkStart w:id="253" w:name="_Toc20875"/>
      <w:bookmarkStart w:id="254" w:name="_Toc20699"/>
      <w:bookmarkStart w:id="255" w:name="_Toc20354"/>
      <w:bookmarkStart w:id="256" w:name="_Toc17116"/>
      <w:bookmarkStart w:id="257" w:name="_Toc5799"/>
      <w:bookmarkStart w:id="258" w:name="_Toc4511"/>
      <w:bookmarkStart w:id="259" w:name="_Toc25814"/>
      <w:bookmarkStart w:id="260" w:name="_Toc1055"/>
      <w:bookmarkStart w:id="261" w:name="_Toc15716"/>
      <w:bookmarkStart w:id="262" w:name="_Toc75793520"/>
      <w:bookmarkStart w:id="263" w:name="_Toc20800"/>
      <w:bookmarkStart w:id="264" w:name="_Toc267320057"/>
      <w:bookmarkStart w:id="265" w:name="_Toc22772"/>
      <w:bookmarkStart w:id="266" w:name="_Toc106030396"/>
      <w:bookmarkStart w:id="267" w:name="_Toc19924"/>
      <w:bookmarkStart w:id="268" w:name="_Toc17311"/>
      <w:r>
        <w:rPr>
          <w:rFonts w:hint="eastAsia" w:cs="宋体"/>
          <w:b/>
          <w:color w:val="auto"/>
          <w:sz w:val="24"/>
          <w:szCs w:val="24"/>
        </w:rPr>
        <w:t>三、评标标准</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307E7316">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评审因素</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072"/>
        <w:gridCol w:w="1254"/>
        <w:gridCol w:w="701"/>
        <w:gridCol w:w="3973"/>
        <w:gridCol w:w="1747"/>
      </w:tblGrid>
      <w:tr w14:paraId="5C7EA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5EDDB0BF">
            <w:pPr>
              <w:widowControl/>
              <w:jc w:val="center"/>
              <w:rPr>
                <w:rFonts w:ascii="宋体" w:hAnsi="宋体" w:cs="宋体"/>
                <w:color w:val="auto"/>
                <w:kern w:val="0"/>
                <w:sz w:val="24"/>
                <w:szCs w:val="24"/>
              </w:rPr>
            </w:pPr>
            <w:r>
              <w:rPr>
                <w:rFonts w:hint="eastAsia" w:ascii="宋体" w:hAnsi="宋体" w:cs="宋体"/>
                <w:color w:val="auto"/>
                <w:kern w:val="0"/>
                <w:sz w:val="24"/>
                <w:szCs w:val="24"/>
              </w:rPr>
              <w:t>序号</w:t>
            </w:r>
          </w:p>
        </w:tc>
        <w:tc>
          <w:tcPr>
            <w:tcW w:w="1208" w:type="pct"/>
            <w:gridSpan w:val="2"/>
            <w:vAlign w:val="center"/>
          </w:tcPr>
          <w:p w14:paraId="0670A742">
            <w:pPr>
              <w:widowControl/>
              <w:jc w:val="center"/>
              <w:rPr>
                <w:rFonts w:ascii="宋体" w:hAnsi="宋体" w:cs="宋体"/>
                <w:color w:val="auto"/>
                <w:kern w:val="0"/>
                <w:sz w:val="24"/>
                <w:szCs w:val="24"/>
                <w:lang w:eastAsia="en-US"/>
              </w:rPr>
            </w:pPr>
            <w:r>
              <w:rPr>
                <w:rFonts w:hint="eastAsia" w:ascii="宋体" w:hAnsi="宋体" w:cs="宋体"/>
                <w:color w:val="auto"/>
                <w:kern w:val="0"/>
                <w:sz w:val="24"/>
                <w:szCs w:val="24"/>
                <w:lang w:eastAsia="en-US"/>
              </w:rPr>
              <w:t>评分因素</w:t>
            </w:r>
          </w:p>
          <w:p w14:paraId="4C5B37EE">
            <w:pPr>
              <w:jc w:val="center"/>
              <w:rPr>
                <w:rFonts w:ascii="宋体" w:hAnsi="宋体" w:cs="宋体"/>
                <w:color w:val="auto"/>
                <w:sz w:val="24"/>
                <w:szCs w:val="24"/>
              </w:rPr>
            </w:pPr>
            <w:r>
              <w:rPr>
                <w:rFonts w:hint="eastAsia" w:ascii="宋体" w:hAnsi="宋体" w:cs="宋体"/>
                <w:color w:val="auto"/>
                <w:kern w:val="0"/>
                <w:sz w:val="24"/>
                <w:szCs w:val="24"/>
                <w:lang w:eastAsia="en-US"/>
              </w:rPr>
              <w:t>及权重</w:t>
            </w:r>
          </w:p>
        </w:tc>
        <w:tc>
          <w:tcPr>
            <w:tcW w:w="364" w:type="pct"/>
            <w:vAlign w:val="center"/>
          </w:tcPr>
          <w:p w14:paraId="017DDF22">
            <w:pPr>
              <w:jc w:val="center"/>
              <w:rPr>
                <w:rFonts w:ascii="宋体" w:hAnsi="宋体" w:cs="宋体"/>
                <w:color w:val="auto"/>
                <w:sz w:val="24"/>
                <w:szCs w:val="24"/>
              </w:rPr>
            </w:pPr>
            <w:r>
              <w:rPr>
                <w:rFonts w:hint="eastAsia" w:ascii="宋体" w:hAnsi="宋体" w:cs="宋体"/>
                <w:color w:val="auto"/>
                <w:kern w:val="0"/>
                <w:sz w:val="24"/>
                <w:szCs w:val="24"/>
                <w:lang w:eastAsia="en-US"/>
              </w:rPr>
              <w:t>分值</w:t>
            </w:r>
          </w:p>
        </w:tc>
        <w:tc>
          <w:tcPr>
            <w:tcW w:w="2063" w:type="pct"/>
            <w:vAlign w:val="center"/>
          </w:tcPr>
          <w:p w14:paraId="398C6FC6">
            <w:pPr>
              <w:jc w:val="center"/>
              <w:rPr>
                <w:rFonts w:ascii="宋体" w:hAnsi="宋体" w:cs="宋体"/>
                <w:color w:val="auto"/>
                <w:sz w:val="24"/>
                <w:szCs w:val="24"/>
              </w:rPr>
            </w:pPr>
            <w:r>
              <w:rPr>
                <w:rFonts w:hint="eastAsia" w:ascii="宋体" w:hAnsi="宋体" w:cs="宋体"/>
                <w:color w:val="auto"/>
                <w:kern w:val="0"/>
                <w:sz w:val="24"/>
                <w:szCs w:val="24"/>
                <w:lang w:eastAsia="en-US"/>
              </w:rPr>
              <w:t>评分标准</w:t>
            </w:r>
          </w:p>
        </w:tc>
        <w:tc>
          <w:tcPr>
            <w:tcW w:w="905" w:type="pct"/>
            <w:vAlign w:val="center"/>
          </w:tcPr>
          <w:p w14:paraId="5DFF2F3E">
            <w:pPr>
              <w:jc w:val="center"/>
              <w:rPr>
                <w:rFonts w:ascii="宋体" w:hAnsi="宋体" w:cs="宋体"/>
                <w:color w:val="auto"/>
                <w:sz w:val="24"/>
                <w:szCs w:val="24"/>
              </w:rPr>
            </w:pPr>
            <w:r>
              <w:rPr>
                <w:rFonts w:hint="eastAsia" w:ascii="宋体" w:hAnsi="宋体" w:cs="宋体"/>
                <w:color w:val="auto"/>
                <w:kern w:val="0"/>
                <w:sz w:val="24"/>
                <w:szCs w:val="24"/>
                <w:lang w:eastAsia="en-US"/>
              </w:rPr>
              <w:t>说明</w:t>
            </w:r>
          </w:p>
        </w:tc>
      </w:tr>
      <w:tr w14:paraId="5C4F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D3A5866">
            <w:pPr>
              <w:jc w:val="center"/>
              <w:rPr>
                <w:rFonts w:ascii="宋体" w:hAnsi="宋体" w:cs="宋体"/>
                <w:color w:val="auto"/>
                <w:sz w:val="24"/>
                <w:szCs w:val="24"/>
              </w:rPr>
            </w:pPr>
            <w:r>
              <w:rPr>
                <w:rFonts w:hint="eastAsia" w:ascii="宋体" w:hAnsi="宋体" w:cs="宋体"/>
                <w:color w:val="auto"/>
                <w:sz w:val="24"/>
                <w:szCs w:val="24"/>
              </w:rPr>
              <w:t>1</w:t>
            </w:r>
          </w:p>
        </w:tc>
        <w:tc>
          <w:tcPr>
            <w:tcW w:w="1208" w:type="pct"/>
            <w:gridSpan w:val="2"/>
            <w:vAlign w:val="center"/>
          </w:tcPr>
          <w:p w14:paraId="0A08BE42">
            <w:pPr>
              <w:jc w:val="center"/>
              <w:rPr>
                <w:rFonts w:ascii="宋体" w:hAnsi="宋体" w:cs="宋体"/>
                <w:color w:val="auto"/>
                <w:sz w:val="24"/>
                <w:szCs w:val="24"/>
              </w:rPr>
            </w:pPr>
            <w:r>
              <w:rPr>
                <w:rFonts w:hint="eastAsia" w:ascii="宋体" w:hAnsi="宋体" w:cs="宋体"/>
                <w:color w:val="auto"/>
                <w:kern w:val="0"/>
                <w:sz w:val="24"/>
                <w:szCs w:val="24"/>
                <w:lang w:eastAsia="en-US"/>
              </w:rPr>
              <w:t>投标报价（</w:t>
            </w:r>
            <w:r>
              <w:rPr>
                <w:rFonts w:hint="eastAsia" w:ascii="宋体" w:hAnsi="宋体" w:cs="宋体"/>
                <w:color w:val="auto"/>
                <w:kern w:val="0"/>
                <w:sz w:val="24"/>
                <w:szCs w:val="24"/>
              </w:rPr>
              <w:t>60</w:t>
            </w:r>
            <w:r>
              <w:rPr>
                <w:rFonts w:hint="eastAsia" w:ascii="宋体" w:hAnsi="宋体" w:cs="宋体"/>
                <w:color w:val="auto"/>
                <w:kern w:val="0"/>
                <w:sz w:val="24"/>
                <w:szCs w:val="24"/>
                <w:lang w:eastAsia="en-US"/>
              </w:rPr>
              <w:t>%）</w:t>
            </w:r>
          </w:p>
        </w:tc>
        <w:tc>
          <w:tcPr>
            <w:tcW w:w="364" w:type="pct"/>
            <w:vAlign w:val="center"/>
          </w:tcPr>
          <w:p w14:paraId="747E30BD">
            <w:pPr>
              <w:spacing w:line="360" w:lineRule="auto"/>
              <w:jc w:val="center"/>
              <w:rPr>
                <w:rFonts w:ascii="宋体" w:hAnsi="宋体" w:cs="宋体"/>
                <w:color w:val="auto"/>
                <w:sz w:val="24"/>
                <w:szCs w:val="24"/>
              </w:rPr>
            </w:pPr>
            <w:r>
              <w:rPr>
                <w:rFonts w:hint="eastAsia" w:ascii="宋体" w:hAnsi="宋体" w:cs="宋体"/>
                <w:color w:val="auto"/>
                <w:sz w:val="24"/>
                <w:szCs w:val="24"/>
              </w:rPr>
              <w:t>60</w:t>
            </w:r>
          </w:p>
        </w:tc>
        <w:tc>
          <w:tcPr>
            <w:tcW w:w="2063" w:type="pct"/>
            <w:vAlign w:val="center"/>
          </w:tcPr>
          <w:p w14:paraId="3B6FB48E">
            <w:pPr>
              <w:spacing w:line="240" w:lineRule="atLeast"/>
              <w:rPr>
                <w:rFonts w:ascii="宋体" w:hAnsi="宋体" w:cs="宋体"/>
                <w:color w:val="auto"/>
                <w:sz w:val="24"/>
                <w:szCs w:val="24"/>
              </w:rPr>
            </w:pPr>
            <w:r>
              <w:rPr>
                <w:rFonts w:hint="eastAsia" w:ascii="宋体" w:hAnsi="宋体" w:cs="宋体"/>
                <w:color w:val="auto"/>
                <w:sz w:val="24"/>
                <w:szCs w:val="24"/>
              </w:rPr>
              <w:t>有效的投标报价中的最低价为评标基准价，其价格分为满分。其他投标人的价格分统一按照下列公式计算：</w:t>
            </w:r>
          </w:p>
          <w:p w14:paraId="6DEF0559">
            <w:pPr>
              <w:rPr>
                <w:rFonts w:ascii="宋体" w:hAnsi="宋体" w:cs="宋体"/>
                <w:color w:val="auto"/>
                <w:sz w:val="24"/>
                <w:szCs w:val="24"/>
              </w:rPr>
            </w:pPr>
            <w:r>
              <w:rPr>
                <w:rFonts w:hint="eastAsia" w:ascii="宋体" w:hAnsi="宋体" w:cs="宋体"/>
                <w:color w:val="auto"/>
                <w:sz w:val="24"/>
                <w:szCs w:val="24"/>
              </w:rPr>
              <w:t>投标报价得分＝（评标基准价/投标报价）×价格权重×100。</w:t>
            </w:r>
          </w:p>
        </w:tc>
        <w:tc>
          <w:tcPr>
            <w:tcW w:w="905" w:type="pct"/>
            <w:vAlign w:val="center"/>
          </w:tcPr>
          <w:p w14:paraId="7ED3A3ED">
            <w:pPr>
              <w:rPr>
                <w:rFonts w:ascii="宋体" w:hAnsi="宋体" w:cs="宋体"/>
                <w:color w:val="auto"/>
                <w:sz w:val="24"/>
                <w:szCs w:val="24"/>
              </w:rPr>
            </w:pPr>
          </w:p>
        </w:tc>
      </w:tr>
      <w:tr w14:paraId="56C6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6700F433">
            <w:pPr>
              <w:rPr>
                <w:rFonts w:ascii="宋体" w:hAnsi="宋体" w:cs="宋体"/>
                <w:color w:val="auto"/>
                <w:sz w:val="24"/>
                <w:szCs w:val="24"/>
              </w:rPr>
            </w:pPr>
            <w:r>
              <w:rPr>
                <w:rFonts w:hint="eastAsia" w:ascii="宋体" w:hAnsi="宋体" w:cs="宋体"/>
                <w:color w:val="auto"/>
                <w:sz w:val="24"/>
                <w:szCs w:val="24"/>
              </w:rPr>
              <w:t>投标人的应答应满足招标文件“第二篇 项目服务要求”，有一条不满足的，服务部分得分为0分。</w:t>
            </w:r>
          </w:p>
        </w:tc>
      </w:tr>
      <w:tr w14:paraId="5EA3A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458" w:type="pct"/>
            <w:vAlign w:val="center"/>
          </w:tcPr>
          <w:p w14:paraId="5FC0FB89">
            <w:pPr>
              <w:jc w:val="center"/>
              <w:rPr>
                <w:rFonts w:ascii="宋体" w:hAnsi="宋体" w:cs="宋体"/>
                <w:color w:val="auto"/>
                <w:sz w:val="24"/>
                <w:szCs w:val="24"/>
              </w:rPr>
            </w:pPr>
            <w:r>
              <w:rPr>
                <w:rFonts w:hint="eastAsia" w:ascii="宋体" w:hAnsi="宋体" w:cs="宋体"/>
                <w:color w:val="auto"/>
                <w:sz w:val="24"/>
                <w:szCs w:val="24"/>
              </w:rPr>
              <w:t>2</w:t>
            </w:r>
          </w:p>
        </w:tc>
        <w:tc>
          <w:tcPr>
            <w:tcW w:w="557" w:type="pct"/>
            <w:vAlign w:val="center"/>
          </w:tcPr>
          <w:p w14:paraId="108449DC">
            <w:pPr>
              <w:jc w:val="center"/>
              <w:rPr>
                <w:rFonts w:ascii="宋体" w:hAnsi="宋体" w:cs="宋体"/>
                <w:color w:val="auto"/>
                <w:sz w:val="24"/>
                <w:szCs w:val="24"/>
              </w:rPr>
            </w:pPr>
            <w:r>
              <w:rPr>
                <w:rFonts w:hint="eastAsia" w:ascii="宋体" w:hAnsi="宋体" w:cs="宋体"/>
                <w:color w:val="auto"/>
                <w:sz w:val="24"/>
                <w:szCs w:val="24"/>
              </w:rPr>
              <w:t>服务部分</w:t>
            </w:r>
            <w:r>
              <w:rPr>
                <w:rFonts w:hint="eastAsia" w:ascii="宋体" w:hAnsi="宋体" w:cs="宋体"/>
                <w:color w:val="auto"/>
                <w:kern w:val="0"/>
                <w:sz w:val="24"/>
                <w:szCs w:val="24"/>
                <w:lang w:eastAsia="en-US"/>
              </w:rPr>
              <w:t>（</w:t>
            </w:r>
            <w:r>
              <w:rPr>
                <w:rFonts w:hint="eastAsia" w:ascii="宋体" w:hAnsi="宋体" w:cs="宋体"/>
                <w:color w:val="auto"/>
                <w:kern w:val="0"/>
                <w:sz w:val="24"/>
                <w:szCs w:val="24"/>
              </w:rPr>
              <w:t>28</w:t>
            </w:r>
            <w:r>
              <w:rPr>
                <w:rFonts w:hint="eastAsia" w:ascii="宋体" w:hAnsi="宋体" w:cs="宋体"/>
                <w:color w:val="auto"/>
                <w:kern w:val="0"/>
                <w:sz w:val="24"/>
                <w:szCs w:val="24"/>
                <w:lang w:eastAsia="en-US"/>
              </w:rPr>
              <w:t>%</w:t>
            </w:r>
            <w:r>
              <w:rPr>
                <w:rFonts w:hint="eastAsia" w:ascii="宋体" w:hAnsi="宋体" w:cs="宋体"/>
                <w:color w:val="auto"/>
                <w:kern w:val="0"/>
                <w:sz w:val="24"/>
                <w:szCs w:val="24"/>
              </w:rPr>
              <w:t>）</w:t>
            </w:r>
          </w:p>
        </w:tc>
        <w:tc>
          <w:tcPr>
            <w:tcW w:w="651" w:type="pct"/>
            <w:vAlign w:val="center"/>
          </w:tcPr>
          <w:p w14:paraId="1CEB053A">
            <w:pPr>
              <w:jc w:val="center"/>
              <w:rPr>
                <w:rFonts w:ascii="宋体" w:hAnsi="宋体" w:cs="宋体"/>
                <w:color w:val="auto"/>
                <w:sz w:val="24"/>
                <w:szCs w:val="24"/>
              </w:rPr>
            </w:pPr>
            <w:r>
              <w:rPr>
                <w:rFonts w:hint="eastAsia" w:ascii="宋体" w:hAnsi="宋体" w:cs="宋体"/>
                <w:color w:val="auto"/>
                <w:sz w:val="24"/>
                <w:szCs w:val="24"/>
              </w:rPr>
              <w:t>污泥处置方案（28%）</w:t>
            </w:r>
          </w:p>
        </w:tc>
        <w:tc>
          <w:tcPr>
            <w:tcW w:w="364" w:type="pct"/>
            <w:vAlign w:val="center"/>
          </w:tcPr>
          <w:p w14:paraId="4D2FE756">
            <w:pPr>
              <w:jc w:val="center"/>
              <w:rPr>
                <w:rFonts w:ascii="宋体" w:hAnsi="宋体" w:cs="宋体"/>
                <w:color w:val="auto"/>
                <w:sz w:val="24"/>
                <w:szCs w:val="24"/>
              </w:rPr>
            </w:pPr>
            <w:r>
              <w:rPr>
                <w:rFonts w:hint="eastAsia" w:ascii="宋体" w:hAnsi="宋体" w:cs="宋体"/>
                <w:color w:val="auto"/>
                <w:sz w:val="24"/>
                <w:szCs w:val="24"/>
              </w:rPr>
              <w:t>28</w:t>
            </w:r>
          </w:p>
        </w:tc>
        <w:tc>
          <w:tcPr>
            <w:tcW w:w="2063" w:type="pct"/>
            <w:vAlign w:val="center"/>
          </w:tcPr>
          <w:p w14:paraId="4E071577">
            <w:pPr>
              <w:widowControl/>
              <w:jc w:val="left"/>
              <w:rPr>
                <w:rFonts w:ascii="宋体" w:hAnsi="宋体" w:cs="宋体"/>
                <w:color w:val="auto"/>
                <w:sz w:val="24"/>
                <w:szCs w:val="24"/>
              </w:rPr>
            </w:pPr>
            <w:r>
              <w:rPr>
                <w:rFonts w:hint="eastAsia" w:ascii="宋体" w:hAnsi="宋体" w:cs="宋体"/>
                <w:sz w:val="24"/>
                <w:szCs w:val="24"/>
              </w:rPr>
              <w:t>根据第二篇需求对本项目的重点、难点技术环节及内容提出先进合理成熟的方案，方案须具有较强的可操作性，切实可行。投标人为污泥处置终端单位的，并出具详细、具体、可行方案的可得25-28分；投标人为第三方代理单位的，方案详实、具体、可行得20-25分，方案较详实、具体、可行得15-20分，方案不够详实、具体、但具有一定可行性得10-15分；方案不具可行性、简单马虎或未提供方案得0-10分。</w:t>
            </w:r>
          </w:p>
        </w:tc>
        <w:tc>
          <w:tcPr>
            <w:tcW w:w="905" w:type="pct"/>
            <w:vAlign w:val="center"/>
          </w:tcPr>
          <w:p w14:paraId="13EBAC6A">
            <w:pPr>
              <w:jc w:val="center"/>
              <w:rPr>
                <w:rFonts w:ascii="宋体" w:hAnsi="宋体" w:cs="宋体"/>
                <w:color w:val="auto"/>
                <w:sz w:val="24"/>
                <w:szCs w:val="24"/>
              </w:rPr>
            </w:pPr>
            <w:bookmarkStart w:id="583" w:name="_GoBack"/>
            <w:bookmarkEnd w:id="583"/>
          </w:p>
        </w:tc>
      </w:tr>
      <w:tr w14:paraId="697DE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5000" w:type="pct"/>
            <w:gridSpan w:val="6"/>
            <w:vAlign w:val="center"/>
          </w:tcPr>
          <w:p w14:paraId="64B91E93">
            <w:pPr>
              <w:jc w:val="left"/>
              <w:rPr>
                <w:rFonts w:ascii="宋体" w:hAnsi="宋体" w:cs="宋体"/>
                <w:color w:val="auto"/>
                <w:sz w:val="24"/>
                <w:szCs w:val="24"/>
              </w:rPr>
            </w:pPr>
            <w:r>
              <w:rPr>
                <w:rFonts w:hint="eastAsia" w:ascii="宋体" w:hAnsi="宋体" w:cs="宋体"/>
                <w:color w:val="auto"/>
                <w:sz w:val="24"/>
                <w:szCs w:val="24"/>
              </w:rPr>
              <w:t>投标人的应答应满足招标文件“第三篇 项目商务要求”，有一条不满足的，商务部分得分为0分，不再进入商务部分的评审。</w:t>
            </w:r>
          </w:p>
        </w:tc>
      </w:tr>
      <w:tr w14:paraId="2ABC5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458" w:type="pct"/>
            <w:vAlign w:val="center"/>
          </w:tcPr>
          <w:p w14:paraId="52198B56">
            <w:pPr>
              <w:jc w:val="center"/>
              <w:rPr>
                <w:rFonts w:ascii="宋体" w:hAnsi="宋体" w:cs="宋体"/>
                <w:color w:val="auto"/>
                <w:sz w:val="24"/>
                <w:szCs w:val="24"/>
              </w:rPr>
            </w:pPr>
            <w:r>
              <w:rPr>
                <w:rFonts w:hint="eastAsia" w:ascii="宋体" w:hAnsi="宋体" w:cs="宋体"/>
                <w:color w:val="auto"/>
                <w:sz w:val="24"/>
                <w:szCs w:val="24"/>
              </w:rPr>
              <w:t>3</w:t>
            </w:r>
          </w:p>
        </w:tc>
        <w:tc>
          <w:tcPr>
            <w:tcW w:w="557" w:type="pct"/>
            <w:vAlign w:val="center"/>
          </w:tcPr>
          <w:p w14:paraId="0C2BB84A">
            <w:pPr>
              <w:jc w:val="center"/>
              <w:rPr>
                <w:rFonts w:ascii="宋体" w:hAnsi="宋体" w:cs="宋体"/>
                <w:color w:val="auto"/>
                <w:sz w:val="24"/>
                <w:szCs w:val="24"/>
              </w:rPr>
            </w:pPr>
            <w:r>
              <w:rPr>
                <w:rFonts w:hint="eastAsia" w:ascii="宋体" w:hAnsi="宋体" w:cs="宋体"/>
                <w:color w:val="auto"/>
                <w:sz w:val="24"/>
                <w:szCs w:val="24"/>
              </w:rPr>
              <w:t>商务部分（12%）</w:t>
            </w:r>
          </w:p>
        </w:tc>
        <w:tc>
          <w:tcPr>
            <w:tcW w:w="651" w:type="pct"/>
            <w:vAlign w:val="center"/>
          </w:tcPr>
          <w:p w14:paraId="5779A44D">
            <w:pPr>
              <w:jc w:val="center"/>
              <w:rPr>
                <w:rFonts w:ascii="宋体" w:hAnsi="宋体" w:cs="宋体"/>
                <w:color w:val="auto"/>
                <w:sz w:val="24"/>
                <w:szCs w:val="24"/>
              </w:rPr>
            </w:pPr>
            <w:r>
              <w:rPr>
                <w:rFonts w:hint="eastAsia" w:ascii="宋体" w:hAnsi="宋体" w:cs="宋体"/>
                <w:color w:val="auto"/>
                <w:sz w:val="24"/>
                <w:szCs w:val="24"/>
              </w:rPr>
              <w:t>业绩（12%）</w:t>
            </w:r>
          </w:p>
        </w:tc>
        <w:tc>
          <w:tcPr>
            <w:tcW w:w="364" w:type="pct"/>
            <w:vAlign w:val="center"/>
          </w:tcPr>
          <w:p w14:paraId="5BA7E775">
            <w:pPr>
              <w:jc w:val="center"/>
              <w:rPr>
                <w:rFonts w:ascii="宋体" w:hAnsi="宋体" w:cs="宋体"/>
                <w:color w:val="auto"/>
                <w:sz w:val="24"/>
                <w:szCs w:val="24"/>
              </w:rPr>
            </w:pPr>
            <w:r>
              <w:rPr>
                <w:rFonts w:hint="eastAsia" w:ascii="宋体" w:hAnsi="宋体" w:cs="宋体"/>
                <w:color w:val="auto"/>
                <w:sz w:val="24"/>
                <w:szCs w:val="24"/>
              </w:rPr>
              <w:t>12</w:t>
            </w:r>
          </w:p>
        </w:tc>
        <w:tc>
          <w:tcPr>
            <w:tcW w:w="3974" w:type="dxa"/>
            <w:vAlign w:val="center"/>
          </w:tcPr>
          <w:p w14:paraId="3F2DD9BE">
            <w:pPr>
              <w:rPr>
                <w:rFonts w:ascii="宋体" w:hAnsi="宋体" w:cs="宋体"/>
                <w:color w:val="auto"/>
                <w:sz w:val="24"/>
                <w:szCs w:val="24"/>
              </w:rPr>
            </w:pPr>
            <w:r>
              <w:rPr>
                <w:rFonts w:hint="eastAsia" w:ascii="宋体" w:hAnsi="宋体" w:cs="宋体"/>
                <w:color w:val="auto"/>
                <w:sz w:val="24"/>
                <w:szCs w:val="24"/>
              </w:rPr>
              <w:t>每提供一个一般工业固废污泥处置合同得4分，最多得12分。</w:t>
            </w:r>
          </w:p>
        </w:tc>
        <w:tc>
          <w:tcPr>
            <w:tcW w:w="1743" w:type="dxa"/>
            <w:vAlign w:val="center"/>
          </w:tcPr>
          <w:p w14:paraId="73EB1579">
            <w:pPr>
              <w:rPr>
                <w:rFonts w:ascii="宋体" w:hAnsi="宋体" w:cs="宋体"/>
                <w:color w:val="auto"/>
                <w:sz w:val="24"/>
                <w:szCs w:val="24"/>
              </w:rPr>
            </w:pPr>
            <w:r>
              <w:rPr>
                <w:rFonts w:hint="eastAsia" w:ascii="宋体" w:hAnsi="宋体" w:cs="宋体"/>
                <w:color w:val="auto"/>
                <w:sz w:val="24"/>
                <w:szCs w:val="24"/>
              </w:rPr>
              <w:t>提供合同复印件并加盖投标人鲜章。</w:t>
            </w:r>
          </w:p>
        </w:tc>
      </w:tr>
    </w:tbl>
    <w:p w14:paraId="59CA148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说明：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37D6B3FF">
      <w:pPr>
        <w:pStyle w:val="3"/>
        <w:spacing w:line="400" w:lineRule="exact"/>
        <w:ind w:firstLine="482" w:firstLineChars="200"/>
        <w:rPr>
          <w:rFonts w:cs="宋体"/>
          <w:b/>
          <w:color w:val="auto"/>
          <w:sz w:val="24"/>
          <w:szCs w:val="24"/>
        </w:rPr>
      </w:pPr>
      <w:bookmarkStart w:id="269" w:name="_Toc75793521"/>
      <w:bookmarkStart w:id="270" w:name="_Toc13045"/>
      <w:bookmarkStart w:id="271" w:name="_Toc26747"/>
      <w:bookmarkStart w:id="272" w:name="_Toc17065"/>
      <w:bookmarkStart w:id="273" w:name="_Toc15200"/>
      <w:bookmarkStart w:id="274" w:name="_Toc10923"/>
      <w:bookmarkStart w:id="275" w:name="_Toc27926"/>
      <w:bookmarkStart w:id="276" w:name="_Toc13232"/>
      <w:bookmarkStart w:id="277" w:name="_Toc22167"/>
      <w:bookmarkStart w:id="278" w:name="_Toc18716"/>
      <w:bookmarkStart w:id="279" w:name="_Toc106030397"/>
      <w:bookmarkStart w:id="280" w:name="_Toc5010"/>
      <w:bookmarkStart w:id="281" w:name="_Toc20423"/>
      <w:bookmarkStart w:id="282" w:name="_Toc30659"/>
      <w:bookmarkStart w:id="283" w:name="_Toc4045"/>
      <w:bookmarkStart w:id="284" w:name="_Toc29586"/>
      <w:r>
        <w:rPr>
          <w:rFonts w:hint="eastAsia" w:cs="宋体"/>
          <w:b/>
          <w:color w:val="auto"/>
          <w:sz w:val="24"/>
          <w:szCs w:val="24"/>
        </w:rPr>
        <w:t>四、无效投标条款</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09AC0D1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投标人或其投标文件出现下列情况之一者，应为无效投标：</w:t>
      </w:r>
    </w:p>
    <w:p w14:paraId="7466884B">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（一）未按照招标文件的规定提交投标保证金的；</w:t>
      </w:r>
    </w:p>
    <w:p w14:paraId="4C170C5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（二）投标文件未按招标文件要求签署、盖章的；</w:t>
      </w:r>
    </w:p>
    <w:p w14:paraId="5DE0603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（三）不具备招标文件中规定的资格要求的；</w:t>
      </w:r>
    </w:p>
    <w:p w14:paraId="1999D303">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（四）报价超过招标文件中规定的预算金额或者最高限价的；</w:t>
      </w:r>
    </w:p>
    <w:p w14:paraId="32858CC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（五）投标文件含有采购人不能接受的附加条件的；</w:t>
      </w:r>
    </w:p>
    <w:p w14:paraId="1FB654A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（六）投标人串通投标的；</w:t>
      </w:r>
    </w:p>
    <w:p w14:paraId="6B3D2D47">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（七）法律、法规和招标文件规定的其他无效情形。</w:t>
      </w:r>
    </w:p>
    <w:p w14:paraId="616B453D">
      <w:pPr>
        <w:pStyle w:val="3"/>
        <w:spacing w:line="400" w:lineRule="exact"/>
        <w:ind w:firstLine="482" w:firstLineChars="200"/>
        <w:rPr>
          <w:rFonts w:cs="宋体"/>
          <w:b/>
          <w:color w:val="auto"/>
          <w:sz w:val="24"/>
          <w:szCs w:val="24"/>
        </w:rPr>
      </w:pPr>
      <w:bookmarkStart w:id="285" w:name="_Toc30605"/>
      <w:bookmarkStart w:id="286" w:name="_Toc6956"/>
      <w:bookmarkStart w:id="287" w:name="_Toc7802"/>
      <w:bookmarkStart w:id="288" w:name="_Toc4422"/>
      <w:bookmarkStart w:id="289" w:name="_Toc25549"/>
      <w:bookmarkStart w:id="290" w:name="_Toc25960"/>
      <w:bookmarkStart w:id="291" w:name="_Toc23533"/>
      <w:bookmarkStart w:id="292" w:name="_Toc14355"/>
      <w:bookmarkStart w:id="293" w:name="_Toc20005"/>
      <w:bookmarkStart w:id="294" w:name="_Toc11293"/>
      <w:bookmarkStart w:id="295" w:name="_Toc106030398"/>
      <w:bookmarkStart w:id="296" w:name="_Toc27133"/>
      <w:bookmarkStart w:id="297" w:name="_Toc21946"/>
      <w:bookmarkStart w:id="298" w:name="_Toc75793522"/>
      <w:bookmarkStart w:id="299" w:name="_Toc6204"/>
      <w:bookmarkStart w:id="300" w:name="_Toc6719"/>
      <w:r>
        <w:rPr>
          <w:rFonts w:hint="eastAsia" w:cs="宋体"/>
          <w:b/>
          <w:color w:val="auto"/>
          <w:sz w:val="24"/>
          <w:szCs w:val="24"/>
        </w:rPr>
        <w:t>五、废标条款</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E22610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在招标采购中，出现下列情形之一的，应予废标：</w:t>
      </w:r>
    </w:p>
    <w:p w14:paraId="3174711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（一）符合专业条件的投标人或者对招标文件作实质响应的投标人不足三家的；</w:t>
      </w:r>
    </w:p>
    <w:p w14:paraId="2A02538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（二）投标人的报价均超过了采购预算，采购人不能支付的；</w:t>
      </w:r>
    </w:p>
    <w:p w14:paraId="673E519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（三）出现影响采购公正的违法、违规行为的；</w:t>
      </w:r>
    </w:p>
    <w:p w14:paraId="7DBFCF8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（四）因重大变故，采购任务取消的。</w:t>
      </w:r>
    </w:p>
    <w:p w14:paraId="4E35F03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废标后，除采购任务取消情形外，应当重新组织采购。</w:t>
      </w:r>
    </w:p>
    <w:p w14:paraId="34B00CC5">
      <w:pPr>
        <w:pStyle w:val="2"/>
        <w:spacing w:beforeLines="0" w:afterLines="0" w:line="360" w:lineRule="auto"/>
        <w:rPr>
          <w:rFonts w:ascii="宋体" w:hAnsi="宋体" w:eastAsia="宋体" w:cs="宋体"/>
          <w:b/>
          <w:color w:val="auto"/>
        </w:rPr>
      </w:pPr>
      <w:r>
        <w:rPr>
          <w:rFonts w:hint="eastAsia" w:ascii="宋体" w:hAnsi="宋体" w:eastAsia="宋体" w:cs="宋体"/>
          <w:color w:val="auto"/>
          <w:sz w:val="28"/>
        </w:rPr>
        <w:br w:type="page"/>
      </w:r>
      <w:bookmarkStart w:id="301" w:name="_Toc75793523"/>
      <w:bookmarkStart w:id="302" w:name="_Toc5106"/>
      <w:bookmarkStart w:id="303" w:name="_Toc25755"/>
      <w:bookmarkStart w:id="304" w:name="_Toc29546"/>
      <w:bookmarkStart w:id="305" w:name="_Toc22256"/>
      <w:bookmarkStart w:id="306" w:name="_Toc4735"/>
      <w:bookmarkStart w:id="307" w:name="_Toc12533"/>
      <w:bookmarkStart w:id="308" w:name="_Toc21720"/>
      <w:bookmarkStart w:id="309" w:name="_Toc21000"/>
      <w:bookmarkStart w:id="310" w:name="_Toc18502"/>
      <w:bookmarkStart w:id="311" w:name="_Toc19831"/>
      <w:bookmarkStart w:id="312" w:name="_Toc22201"/>
      <w:bookmarkStart w:id="313" w:name="_Toc13159"/>
      <w:bookmarkStart w:id="314" w:name="_Toc25962"/>
      <w:bookmarkStart w:id="315" w:name="_Toc106030399"/>
      <w:bookmarkStart w:id="316" w:name="_Toc1982"/>
      <w:r>
        <w:rPr>
          <w:rFonts w:hint="eastAsia" w:ascii="宋体" w:hAnsi="宋体" w:eastAsia="宋体" w:cs="宋体"/>
          <w:b/>
          <w:color w:val="auto"/>
        </w:rPr>
        <w:t>第五篇  投标人须知</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10B805B1">
      <w:pPr>
        <w:pStyle w:val="3"/>
        <w:spacing w:line="400" w:lineRule="exact"/>
        <w:ind w:firstLine="482" w:firstLineChars="200"/>
        <w:rPr>
          <w:rFonts w:cs="宋体"/>
          <w:b/>
          <w:color w:val="auto"/>
          <w:sz w:val="24"/>
        </w:rPr>
      </w:pPr>
      <w:bookmarkStart w:id="317" w:name="_Toc13197"/>
      <w:bookmarkStart w:id="318" w:name="_Toc27405"/>
      <w:bookmarkStart w:id="319" w:name="_Toc75793524"/>
      <w:bookmarkStart w:id="320" w:name="_Toc422"/>
      <w:bookmarkStart w:id="321" w:name="_Toc18929"/>
      <w:bookmarkStart w:id="322" w:name="_Toc10657"/>
      <w:bookmarkStart w:id="323" w:name="_Toc3330"/>
      <w:bookmarkStart w:id="324" w:name="_Toc20020"/>
      <w:bookmarkStart w:id="325" w:name="_Toc10325"/>
      <w:bookmarkStart w:id="326" w:name="_Toc106030400"/>
      <w:bookmarkStart w:id="327" w:name="_Toc1327"/>
      <w:bookmarkStart w:id="328" w:name="_Toc15432"/>
      <w:bookmarkStart w:id="329" w:name="_Toc12955"/>
      <w:bookmarkStart w:id="330" w:name="_Toc2439"/>
      <w:bookmarkStart w:id="331" w:name="_Toc11996"/>
      <w:bookmarkStart w:id="332" w:name="_Toc3327"/>
      <w:r>
        <w:rPr>
          <w:rFonts w:hint="eastAsia" w:cs="宋体"/>
          <w:b/>
          <w:color w:val="auto"/>
          <w:sz w:val="24"/>
        </w:rPr>
        <w:t>一、投标人</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14:paraId="395EB9E6">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（一）投标人</w:t>
      </w:r>
    </w:p>
    <w:p w14:paraId="119FC14E">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投标人是指响应招标、参加投标竞争的法人、其他组织或者自然人。</w:t>
      </w:r>
    </w:p>
    <w:p w14:paraId="6E5E478D">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（二）合格投标人条件</w:t>
      </w:r>
    </w:p>
    <w:p w14:paraId="7FA024AC">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合格投标人应完全符合招标文件第一篇中规定的投标人资格条件，并对招标文件作出实质性响应。</w:t>
      </w:r>
    </w:p>
    <w:p w14:paraId="23070530">
      <w:pPr>
        <w:snapToGrid w:val="0"/>
        <w:spacing w:line="400" w:lineRule="exact"/>
        <w:ind w:firstLine="480" w:firstLineChars="200"/>
        <w:outlineLvl w:val="2"/>
        <w:rPr>
          <w:rFonts w:ascii="宋体" w:hAnsi="宋体" w:cs="宋体"/>
          <w:color w:val="auto"/>
          <w:sz w:val="24"/>
          <w:szCs w:val="28"/>
        </w:rPr>
      </w:pPr>
      <w:r>
        <w:rPr>
          <w:rFonts w:hint="eastAsia" w:ascii="宋体" w:hAnsi="宋体" w:cs="宋体"/>
          <w:color w:val="auto"/>
          <w:sz w:val="24"/>
          <w:szCs w:val="28"/>
        </w:rPr>
        <w:t>（三）投标人的风险</w:t>
      </w:r>
    </w:p>
    <w:p w14:paraId="6EE750A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投标人没有按照招标文件要求提供全部资料，或者投标人没有对招标文件在各方面作出实质性响应，可能导致投标被拒绝或评定为无效投标。</w:t>
      </w:r>
    </w:p>
    <w:p w14:paraId="53CD549F">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（四）法律责任</w:t>
      </w:r>
    </w:p>
    <w:p w14:paraId="75FBE17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投标人违反《中华人民共和国政府采购法》、《中华人民共和国政府采购实施条例》等相关规定，将按规定追究投标人法律责任。</w:t>
      </w:r>
    </w:p>
    <w:p w14:paraId="313889FE">
      <w:pPr>
        <w:pStyle w:val="3"/>
        <w:spacing w:line="400" w:lineRule="exact"/>
        <w:ind w:firstLine="482" w:firstLineChars="200"/>
        <w:rPr>
          <w:rFonts w:cs="宋体"/>
          <w:b/>
          <w:color w:val="auto"/>
          <w:sz w:val="24"/>
        </w:rPr>
      </w:pPr>
      <w:bookmarkStart w:id="333" w:name="_Toc12347"/>
      <w:bookmarkStart w:id="334" w:name="_Toc1815"/>
      <w:bookmarkStart w:id="335" w:name="_Toc15849"/>
      <w:bookmarkStart w:id="336" w:name="_Toc26158"/>
      <w:bookmarkStart w:id="337" w:name="_Toc17367"/>
      <w:bookmarkStart w:id="338" w:name="_Toc167"/>
      <w:bookmarkStart w:id="339" w:name="_Toc2692"/>
      <w:bookmarkStart w:id="340" w:name="_Toc13133"/>
      <w:bookmarkStart w:id="341" w:name="_Toc26074"/>
      <w:bookmarkStart w:id="342" w:name="_Toc106030401"/>
      <w:bookmarkStart w:id="343" w:name="_Toc4836"/>
      <w:bookmarkStart w:id="344" w:name="_Toc15037"/>
      <w:bookmarkStart w:id="345" w:name="_Toc22254"/>
      <w:bookmarkStart w:id="346" w:name="_Toc75793525"/>
      <w:bookmarkStart w:id="347" w:name="_Toc11909"/>
      <w:bookmarkStart w:id="348" w:name="_Toc15851"/>
      <w:r>
        <w:rPr>
          <w:rFonts w:hint="eastAsia" w:cs="宋体"/>
          <w:b/>
          <w:color w:val="auto"/>
          <w:sz w:val="24"/>
        </w:rPr>
        <w:t>二、招标文件</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EC0742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招标文件是投标人编制投标文件的依据，是评标委员会评判依据和标准。招标文件也是采购人与中标人签订合同的基础。</w:t>
      </w:r>
    </w:p>
    <w:p w14:paraId="3DF67AC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（一）招标文件由投标邀请书；项目技术（服务）需求；商务条款；投标人须知；评标方法、评标标准、无效投标条款和废标条款；合同主要条款、合同范本；投标文件格式等七部分组成。</w:t>
      </w:r>
    </w:p>
    <w:p w14:paraId="11003A1A">
      <w:pPr>
        <w:snapToGrid w:val="0"/>
        <w:spacing w:line="400" w:lineRule="exact"/>
        <w:ind w:firstLine="480"/>
        <w:rPr>
          <w:rFonts w:ascii="宋体" w:hAnsi="宋体" w:cs="宋体"/>
          <w:color w:val="auto"/>
          <w:sz w:val="24"/>
        </w:rPr>
      </w:pPr>
      <w:r>
        <w:rPr>
          <w:rFonts w:hint="eastAsia" w:ascii="宋体" w:hAnsi="宋体" w:cs="宋体"/>
          <w:color w:val="auto"/>
          <w:sz w:val="24"/>
          <w:szCs w:val="28"/>
        </w:rPr>
        <w:t>（二）</w:t>
      </w:r>
      <w:r>
        <w:rPr>
          <w:rFonts w:hint="eastAsia" w:ascii="宋体" w:hAnsi="宋体" w:cs="宋体"/>
          <w:color w:val="auto"/>
          <w:sz w:val="24"/>
        </w:rPr>
        <w:t>采购代理机构对招标文件所作的一切有效的书面通知、修改及补充，都是招标文件不可分割的部分。</w:t>
      </w:r>
    </w:p>
    <w:p w14:paraId="473860FA">
      <w:pPr>
        <w:snapToGrid w:val="0"/>
        <w:spacing w:line="400" w:lineRule="exact"/>
        <w:ind w:firstLine="480"/>
        <w:rPr>
          <w:rFonts w:ascii="宋体" w:hAnsi="宋体" w:cs="宋体"/>
          <w:color w:val="auto"/>
          <w:sz w:val="24"/>
        </w:rPr>
      </w:pPr>
      <w:r>
        <w:rPr>
          <w:rFonts w:hint="eastAsia" w:ascii="宋体" w:hAnsi="宋体" w:cs="宋体"/>
          <w:color w:val="auto"/>
          <w:sz w:val="24"/>
        </w:rPr>
        <w:t>（三）</w:t>
      </w:r>
      <w:r>
        <w:rPr>
          <w:rFonts w:hint="eastAsia" w:ascii="宋体" w:hAnsi="宋体" w:cs="宋体"/>
          <w:color w:val="auto"/>
          <w:sz w:val="24"/>
          <w:szCs w:val="24"/>
        </w:rPr>
        <w:t>本项目的招标文件、澄清文件（如果有）一律在“行采家”平台（http://www.gec123.com）上发布，请各投标人注意下载或到采购代理机构处领取；无论投标人下载或领取与否，均视同投标人已知晓本项目招标文件、澄清文件的内容。</w:t>
      </w:r>
    </w:p>
    <w:p w14:paraId="4E35F556">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（四）采购代理机构对已发出的招标文件需要进行澄清或修改的，应以书面形式或公告形式通知所有招标文件收受人。该澄清或者修改的内容为招标文件的组成部分。</w:t>
      </w:r>
    </w:p>
    <w:p w14:paraId="7CE27622">
      <w:pPr>
        <w:pStyle w:val="3"/>
        <w:spacing w:line="400" w:lineRule="exact"/>
        <w:ind w:firstLine="482" w:firstLineChars="200"/>
        <w:rPr>
          <w:rFonts w:cs="宋体"/>
          <w:b/>
          <w:color w:val="auto"/>
          <w:sz w:val="24"/>
        </w:rPr>
      </w:pPr>
      <w:bookmarkStart w:id="349" w:name="_Toc27321"/>
      <w:bookmarkStart w:id="350" w:name="_Toc28353"/>
      <w:bookmarkStart w:id="351" w:name="_Toc29709"/>
      <w:bookmarkStart w:id="352" w:name="_Toc75793526"/>
      <w:bookmarkStart w:id="353" w:name="_Toc14835"/>
      <w:bookmarkStart w:id="354" w:name="_Toc106030402"/>
      <w:bookmarkStart w:id="355" w:name="_Toc32133"/>
      <w:bookmarkStart w:id="356" w:name="_Toc3303"/>
      <w:bookmarkStart w:id="357" w:name="_Toc27176"/>
      <w:bookmarkStart w:id="358" w:name="_Toc29417"/>
      <w:bookmarkStart w:id="359" w:name="_Toc13738"/>
      <w:bookmarkStart w:id="360" w:name="_Toc15470"/>
      <w:bookmarkStart w:id="361" w:name="_Toc23192"/>
      <w:bookmarkStart w:id="362" w:name="_Toc28745"/>
      <w:bookmarkStart w:id="363" w:name="_Toc15881"/>
      <w:bookmarkStart w:id="364" w:name="_Toc2716"/>
      <w:r>
        <w:rPr>
          <w:rFonts w:hint="eastAsia" w:cs="宋体"/>
          <w:b/>
          <w:color w:val="auto"/>
          <w:sz w:val="24"/>
        </w:rPr>
        <w:t>三、投标文件</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14:paraId="7D11FEC8">
      <w:pPr>
        <w:spacing w:line="400" w:lineRule="exact"/>
        <w:ind w:firstLine="480" w:firstLineChars="200"/>
        <w:rPr>
          <w:rFonts w:ascii="宋体" w:hAnsi="宋体" w:cs="宋体"/>
          <w:color w:val="auto"/>
          <w:sz w:val="24"/>
        </w:rPr>
      </w:pPr>
      <w:r>
        <w:rPr>
          <w:rFonts w:hint="eastAsia" w:ascii="宋体" w:hAnsi="宋体" w:cs="宋体"/>
          <w:color w:val="auto"/>
          <w:sz w:val="24"/>
        </w:rPr>
        <w:t>投标人应当按照招标文件的要求编制投标文件，并对招标文件提出的要求和条件作出实质性响应，投标文件原则上采用软面订本，同时应编制完整的页码、目录。</w:t>
      </w:r>
    </w:p>
    <w:p w14:paraId="7FB1AFA8">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（一）投标文件组成</w:t>
      </w:r>
    </w:p>
    <w:p w14:paraId="5935ACE7">
      <w:pPr>
        <w:spacing w:line="400" w:lineRule="exact"/>
        <w:ind w:firstLine="480" w:firstLineChars="200"/>
        <w:rPr>
          <w:rFonts w:ascii="宋体" w:hAnsi="宋体" w:cs="宋体"/>
          <w:color w:val="auto"/>
          <w:sz w:val="24"/>
        </w:rPr>
      </w:pPr>
      <w:r>
        <w:rPr>
          <w:rFonts w:hint="eastAsia" w:ascii="宋体" w:hAnsi="宋体" w:cs="宋体"/>
          <w:color w:val="auto"/>
          <w:sz w:val="24"/>
        </w:rPr>
        <w:t>投标文件由第七篇“投标文件格式”规定的部分和投标人所作的一切有效补充、修改和承诺等文件组成，投标人应按照第七篇“投标文件格式”规定的目录顺序组织编写和装订，否则有可能影响评委对投标文件的评审。</w:t>
      </w:r>
    </w:p>
    <w:p w14:paraId="78BD07B7">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（二）联合投标</w:t>
      </w:r>
    </w:p>
    <w:p w14:paraId="18262848">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本项目不接受联合体投标。</w:t>
      </w:r>
    </w:p>
    <w:p w14:paraId="42227B00">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（三）投标有效期</w:t>
      </w:r>
    </w:p>
    <w:p w14:paraId="624B5D4F">
      <w:pPr>
        <w:spacing w:line="400" w:lineRule="exact"/>
        <w:ind w:firstLine="480" w:firstLineChars="200"/>
        <w:rPr>
          <w:rFonts w:ascii="宋体" w:hAnsi="宋体" w:cs="宋体"/>
          <w:color w:val="auto"/>
          <w:sz w:val="24"/>
        </w:rPr>
      </w:pPr>
      <w:r>
        <w:rPr>
          <w:rFonts w:hint="eastAsia" w:ascii="宋体" w:hAnsi="宋体" w:cs="宋体"/>
          <w:color w:val="auto"/>
          <w:sz w:val="24"/>
        </w:rPr>
        <w:t>投标有效期为投标截止时间起90天。</w:t>
      </w:r>
    </w:p>
    <w:p w14:paraId="2535D156">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（四）投标保证金</w:t>
      </w:r>
    </w:p>
    <w:p w14:paraId="0E519B92">
      <w:pPr>
        <w:tabs>
          <w:tab w:val="left" w:pos="0"/>
        </w:tabs>
        <w:snapToGrid w:val="0"/>
        <w:spacing w:line="400" w:lineRule="exact"/>
        <w:ind w:firstLine="480" w:firstLineChars="200"/>
        <w:rPr>
          <w:rFonts w:ascii="宋体" w:hAnsi="宋体" w:cs="宋体"/>
          <w:color w:val="auto"/>
          <w:sz w:val="24"/>
        </w:rPr>
      </w:pPr>
      <w:r>
        <w:rPr>
          <w:rFonts w:hint="eastAsia" w:ascii="宋体" w:hAnsi="宋体" w:cs="宋体"/>
          <w:color w:val="auto"/>
          <w:sz w:val="24"/>
        </w:rPr>
        <w:t>1.投标人应在投标截止时间前，按招标文件第一篇规定交纳投标保证金。</w:t>
      </w:r>
    </w:p>
    <w:p w14:paraId="539285BC">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2.投标保证金为投标的有效约束条件。</w:t>
      </w:r>
    </w:p>
    <w:p w14:paraId="4934A189">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3.投标保证金的有效期限在投标有效期过后三十天继续有效。</w:t>
      </w:r>
    </w:p>
    <w:p w14:paraId="59B8F779">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4.投标保证金币种应与投标报价币种相同。</w:t>
      </w:r>
    </w:p>
    <w:p w14:paraId="061B2CB7">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5.采购代理机构在《中标通知书》发出后五个工作日内退还未中标人的投标保证金；在采购合同签订后五个工作日退还中标人的投标保证金。</w:t>
      </w:r>
    </w:p>
    <w:p w14:paraId="3846322E">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6.投标人有下列情形之一的，采购人或者采购代理机构可以不退还投标保证金：</w:t>
      </w:r>
    </w:p>
    <w:p w14:paraId="6F265B6D">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6.1投标人在投标有效期撤回投标文件的；</w:t>
      </w:r>
    </w:p>
    <w:p w14:paraId="0F25CB16">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6.2投标人未按规定提交履约保证金的；</w:t>
      </w:r>
    </w:p>
    <w:p w14:paraId="2EC30EFF">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6.3投标人在投标过程中弄虚作假，提供虚假材料的；</w:t>
      </w:r>
    </w:p>
    <w:p w14:paraId="1CA0A171">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6.4中标人无正当理由不与采购人签订合同的；</w:t>
      </w:r>
    </w:p>
    <w:p w14:paraId="422B52A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6.5中标人将中标项目转让给他人或者在投标文件中未说明且未经采购人同意，将中标项目分包给他人的；</w:t>
      </w:r>
    </w:p>
    <w:p w14:paraId="6D3D174F">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6.6中标人拒绝履行合同义务的；</w:t>
      </w:r>
    </w:p>
    <w:p w14:paraId="656A8F5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6.7其他严重扰乱招投标程序的。</w:t>
      </w:r>
    </w:p>
    <w:p w14:paraId="36D40263">
      <w:pPr>
        <w:snapToGrid w:val="0"/>
        <w:spacing w:line="400" w:lineRule="exact"/>
        <w:ind w:firstLine="470" w:firstLineChars="196"/>
        <w:jc w:val="left"/>
        <w:outlineLvl w:val="2"/>
        <w:rPr>
          <w:rFonts w:ascii="宋体" w:hAnsi="宋体" w:cs="宋体"/>
          <w:bCs/>
          <w:color w:val="auto"/>
          <w:sz w:val="24"/>
        </w:rPr>
      </w:pPr>
      <w:r>
        <w:rPr>
          <w:rFonts w:hint="eastAsia" w:ascii="宋体" w:hAnsi="宋体" w:cs="宋体"/>
          <w:bCs/>
          <w:color w:val="auto"/>
          <w:sz w:val="24"/>
        </w:rPr>
        <w:t>（五）投标文件的份数和签署</w:t>
      </w:r>
    </w:p>
    <w:p w14:paraId="219CC7EB">
      <w:pPr>
        <w:tabs>
          <w:tab w:val="left" w:pos="0"/>
        </w:tabs>
        <w:spacing w:line="400" w:lineRule="exact"/>
        <w:ind w:firstLine="482" w:firstLineChars="200"/>
        <w:rPr>
          <w:rFonts w:ascii="宋体" w:hAnsi="宋体" w:cs="宋体"/>
          <w:color w:val="auto"/>
          <w:sz w:val="24"/>
        </w:rPr>
      </w:pPr>
      <w:r>
        <w:rPr>
          <w:rFonts w:hint="eastAsia" w:ascii="宋体" w:hAnsi="宋体" w:cs="宋体"/>
          <w:b/>
          <w:bCs/>
          <w:color w:val="auto"/>
          <w:sz w:val="24"/>
        </w:rPr>
        <w:t>1.投标文件一式</w:t>
      </w:r>
      <w:r>
        <w:rPr>
          <w:rFonts w:hint="eastAsia" w:ascii="宋体" w:hAnsi="宋体" w:cs="宋体"/>
          <w:b/>
          <w:bCs/>
          <w:color w:val="auto"/>
          <w:sz w:val="24"/>
          <w:lang w:val="en-US" w:eastAsia="zh-CN"/>
        </w:rPr>
        <w:t>三</w:t>
      </w:r>
      <w:r>
        <w:rPr>
          <w:rFonts w:hint="eastAsia" w:ascii="宋体" w:hAnsi="宋体" w:cs="宋体"/>
          <w:b/>
          <w:bCs/>
          <w:color w:val="auto"/>
          <w:sz w:val="24"/>
        </w:rPr>
        <w:t>份，其中正本一份，副本一份</w:t>
      </w:r>
      <w:r>
        <w:rPr>
          <w:rFonts w:hint="eastAsia" w:ascii="宋体" w:hAnsi="宋体" w:cs="宋体"/>
          <w:b/>
          <w:bCs/>
          <w:color w:val="auto"/>
          <w:sz w:val="24"/>
          <w:lang w:eastAsia="zh-CN"/>
        </w:rPr>
        <w:t>，</w:t>
      </w:r>
      <w:r>
        <w:rPr>
          <w:rFonts w:hint="eastAsia" w:ascii="宋体" w:hAnsi="宋体" w:cs="宋体"/>
          <w:b/>
          <w:bCs/>
          <w:color w:val="auto"/>
          <w:sz w:val="24"/>
          <w:lang w:val="en-US" w:eastAsia="zh-CN"/>
        </w:rPr>
        <w:t>U盘一份</w:t>
      </w:r>
      <w:r>
        <w:rPr>
          <w:rFonts w:hint="eastAsia" w:ascii="宋体" w:hAnsi="宋体" w:cs="宋体"/>
          <w:color w:val="auto"/>
          <w:sz w:val="24"/>
        </w:rPr>
        <w:t>。每套投标文件须在封面清楚地标明“正本”、“副本”，副本应为正本的完整复印件，线上投标文件与线下纸质文件不一致的，以线上投标文件为准。</w:t>
      </w:r>
    </w:p>
    <w:p w14:paraId="5F97A6C0">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2.在投标文件正本中，招标文件第七篇投标文件格式中规定签署、盖章的地方必须按其规定签署、盖章。</w:t>
      </w:r>
    </w:p>
    <w:p w14:paraId="67FD7A56">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3.若投标人对投标文件的错处作必要修改，则应在修改处加盖投标人公章或由</w:t>
      </w:r>
      <w:r>
        <w:rPr>
          <w:rFonts w:hint="eastAsia" w:ascii="宋体" w:hAnsi="宋体" w:cs="宋体"/>
          <w:color w:val="auto"/>
          <w:sz w:val="24"/>
          <w:szCs w:val="28"/>
        </w:rPr>
        <w:t>法定代表人（或其授权代表）或自然人（投标人为自然人）</w:t>
      </w:r>
      <w:r>
        <w:rPr>
          <w:rFonts w:hint="eastAsia" w:ascii="宋体" w:hAnsi="宋体" w:cs="宋体"/>
          <w:color w:val="auto"/>
          <w:sz w:val="24"/>
        </w:rPr>
        <w:t>签署确认。</w:t>
      </w:r>
    </w:p>
    <w:p w14:paraId="39B9BC9B">
      <w:pPr>
        <w:snapToGrid w:val="0"/>
        <w:spacing w:line="400" w:lineRule="exact"/>
        <w:ind w:firstLine="470" w:firstLineChars="196"/>
        <w:jc w:val="left"/>
        <w:rPr>
          <w:rFonts w:ascii="宋体" w:hAnsi="宋体" w:cs="宋体"/>
          <w:bCs/>
          <w:color w:val="auto"/>
          <w:sz w:val="24"/>
        </w:rPr>
      </w:pPr>
      <w:r>
        <w:rPr>
          <w:rFonts w:hint="eastAsia" w:ascii="宋体" w:hAnsi="宋体" w:cs="宋体"/>
          <w:color w:val="auto"/>
          <w:sz w:val="24"/>
        </w:rPr>
        <w:t>4.电报、电话、传真形式的投标文件概不接受。</w:t>
      </w:r>
    </w:p>
    <w:p w14:paraId="3231EEC7">
      <w:pPr>
        <w:snapToGrid w:val="0"/>
        <w:spacing w:line="400" w:lineRule="exact"/>
        <w:ind w:firstLine="470" w:firstLineChars="196"/>
        <w:jc w:val="left"/>
        <w:outlineLvl w:val="2"/>
        <w:rPr>
          <w:rFonts w:ascii="宋体" w:hAnsi="宋体" w:cs="宋体"/>
          <w:bCs/>
          <w:color w:val="auto"/>
          <w:sz w:val="24"/>
        </w:rPr>
      </w:pPr>
      <w:r>
        <w:rPr>
          <w:rFonts w:hint="eastAsia" w:ascii="宋体" w:hAnsi="宋体" w:cs="宋体"/>
          <w:bCs/>
          <w:color w:val="auto"/>
          <w:sz w:val="24"/>
        </w:rPr>
        <w:t>（六）投标报价</w:t>
      </w:r>
    </w:p>
    <w:p w14:paraId="1B7DB812">
      <w:pPr>
        <w:snapToGrid w:val="0"/>
        <w:spacing w:line="400" w:lineRule="exact"/>
        <w:ind w:firstLine="470" w:firstLineChars="196"/>
        <w:jc w:val="left"/>
        <w:rPr>
          <w:rFonts w:ascii="宋体" w:hAnsi="宋体" w:cs="宋体"/>
          <w:color w:val="auto"/>
          <w:sz w:val="24"/>
        </w:rPr>
      </w:pPr>
      <w:r>
        <w:rPr>
          <w:rFonts w:hint="eastAsia" w:ascii="宋体" w:hAnsi="宋体" w:cs="宋体"/>
          <w:bCs/>
          <w:color w:val="auto"/>
          <w:sz w:val="24"/>
        </w:rPr>
        <w:t>1.投标人应严格按照“投标文件格式”中“开标一览表”和“分项报价明细表”</w:t>
      </w:r>
      <w:r>
        <w:rPr>
          <w:rFonts w:hint="eastAsia" w:ascii="宋体" w:hAnsi="宋体" w:cs="宋体"/>
          <w:color w:val="auto"/>
          <w:sz w:val="24"/>
        </w:rPr>
        <w:t>的格式填写报价。</w:t>
      </w:r>
    </w:p>
    <w:p w14:paraId="5461EC36">
      <w:pPr>
        <w:snapToGrid w:val="0"/>
        <w:spacing w:line="400" w:lineRule="exact"/>
        <w:ind w:left="3" w:leftChars="1" w:firstLine="480" w:firstLineChars="200"/>
        <w:rPr>
          <w:rFonts w:ascii="宋体" w:hAnsi="宋体" w:cs="宋体"/>
          <w:color w:val="auto"/>
          <w:sz w:val="24"/>
        </w:rPr>
      </w:pPr>
      <w:r>
        <w:rPr>
          <w:rFonts w:hint="eastAsia" w:ascii="宋体" w:hAnsi="宋体" w:cs="宋体"/>
          <w:color w:val="auto"/>
          <w:sz w:val="24"/>
        </w:rPr>
        <w:t>2.投标人的报价为一次性报价，即在投标有效期内投标价格固定不变。</w:t>
      </w:r>
    </w:p>
    <w:p w14:paraId="3498E03A">
      <w:pPr>
        <w:snapToGrid w:val="0"/>
        <w:spacing w:line="400" w:lineRule="exact"/>
        <w:ind w:left="3" w:leftChars="1" w:firstLine="480" w:firstLineChars="200"/>
        <w:rPr>
          <w:rFonts w:ascii="宋体" w:hAnsi="宋体" w:cs="宋体"/>
          <w:color w:val="auto"/>
          <w:sz w:val="24"/>
        </w:rPr>
      </w:pPr>
      <w:r>
        <w:rPr>
          <w:rFonts w:hint="eastAsia" w:ascii="宋体" w:hAnsi="宋体" w:cs="宋体"/>
          <w:color w:val="auto"/>
          <w:sz w:val="24"/>
        </w:rPr>
        <w:t>3.本项目只接受一个投标报价，有选择的或有条件的报价将不予接受。</w:t>
      </w:r>
    </w:p>
    <w:p w14:paraId="5C028822">
      <w:pPr>
        <w:pStyle w:val="8"/>
        <w:spacing w:line="400" w:lineRule="exact"/>
        <w:ind w:firstLine="480" w:firstLineChars="200"/>
        <w:outlineLvl w:val="2"/>
        <w:rPr>
          <w:rFonts w:hAnsi="宋体" w:cs="宋体"/>
          <w:color w:val="auto"/>
          <w:sz w:val="24"/>
        </w:rPr>
      </w:pPr>
      <w:r>
        <w:rPr>
          <w:rFonts w:hint="eastAsia" w:hAnsi="宋体" w:cs="宋体"/>
          <w:color w:val="auto"/>
          <w:sz w:val="24"/>
        </w:rPr>
        <w:t>（七）修正错误</w:t>
      </w:r>
    </w:p>
    <w:p w14:paraId="3B888E4F">
      <w:pPr>
        <w:pStyle w:val="8"/>
        <w:spacing w:line="400" w:lineRule="exact"/>
        <w:ind w:firstLine="480" w:firstLineChars="200"/>
        <w:rPr>
          <w:rFonts w:hAnsi="宋体" w:cs="宋体"/>
          <w:color w:val="auto"/>
          <w:sz w:val="24"/>
        </w:rPr>
      </w:pPr>
      <w:r>
        <w:rPr>
          <w:rFonts w:hint="eastAsia" w:hAnsi="宋体" w:cs="宋体"/>
          <w:color w:val="auto"/>
          <w:sz w:val="24"/>
        </w:rPr>
        <w:t>若投标文件出现计算或表达上的错误，修正错误的原则如下：</w:t>
      </w:r>
    </w:p>
    <w:p w14:paraId="35F467F4">
      <w:pPr>
        <w:pStyle w:val="8"/>
        <w:spacing w:line="400" w:lineRule="exact"/>
        <w:ind w:firstLine="480" w:firstLineChars="200"/>
        <w:rPr>
          <w:rFonts w:hAnsi="宋体" w:cs="宋体"/>
          <w:color w:val="auto"/>
          <w:sz w:val="24"/>
        </w:rPr>
      </w:pPr>
      <w:r>
        <w:rPr>
          <w:rFonts w:hint="eastAsia" w:hAnsi="宋体" w:cs="宋体"/>
          <w:color w:val="auto"/>
          <w:sz w:val="24"/>
        </w:rPr>
        <w:t>1.投标文件中开标一览表（报价表）内容与投标文件中相应内容不一致的，以开标一览表（报价表）为准；</w:t>
      </w:r>
    </w:p>
    <w:p w14:paraId="01620FD9">
      <w:pPr>
        <w:pStyle w:val="8"/>
        <w:spacing w:line="400" w:lineRule="exact"/>
        <w:ind w:firstLine="480" w:firstLineChars="200"/>
        <w:rPr>
          <w:rFonts w:hAnsi="宋体" w:cs="宋体"/>
          <w:color w:val="auto"/>
          <w:sz w:val="24"/>
        </w:rPr>
      </w:pPr>
      <w:r>
        <w:rPr>
          <w:rFonts w:hint="eastAsia" w:hAnsi="宋体" w:cs="宋体"/>
          <w:color w:val="auto"/>
          <w:sz w:val="24"/>
        </w:rPr>
        <w:t>2.大写金额和小写金额不一致的，以大写金额为准；</w:t>
      </w:r>
    </w:p>
    <w:p w14:paraId="5C848C02">
      <w:pPr>
        <w:pStyle w:val="8"/>
        <w:spacing w:line="400" w:lineRule="exact"/>
        <w:ind w:firstLine="480" w:firstLineChars="200"/>
        <w:rPr>
          <w:rFonts w:hAnsi="宋体" w:cs="宋体"/>
          <w:color w:val="auto"/>
          <w:sz w:val="24"/>
        </w:rPr>
      </w:pPr>
      <w:r>
        <w:rPr>
          <w:rFonts w:hint="eastAsia" w:hAnsi="宋体" w:cs="宋体"/>
          <w:color w:val="auto"/>
          <w:sz w:val="24"/>
        </w:rPr>
        <w:t>3.单价金额小数点或者百分比有明显错位的，以开标一览表的总价为准，并修改单价；</w:t>
      </w:r>
    </w:p>
    <w:p w14:paraId="62D1BE05">
      <w:pPr>
        <w:pStyle w:val="8"/>
        <w:spacing w:line="400" w:lineRule="exact"/>
        <w:ind w:firstLine="480" w:firstLineChars="200"/>
        <w:rPr>
          <w:rFonts w:hAnsi="宋体" w:cs="宋体"/>
          <w:color w:val="auto"/>
          <w:sz w:val="24"/>
        </w:rPr>
      </w:pPr>
      <w:r>
        <w:rPr>
          <w:rFonts w:hint="eastAsia" w:hAnsi="宋体" w:cs="宋体"/>
          <w:color w:val="auto"/>
          <w:sz w:val="24"/>
        </w:rPr>
        <w:t>4.总价金额与按单价汇总金额不一致的，以单价金额计算结果为准。</w:t>
      </w:r>
    </w:p>
    <w:p w14:paraId="4CA4D70B">
      <w:pPr>
        <w:pStyle w:val="8"/>
        <w:spacing w:line="400" w:lineRule="exact"/>
        <w:ind w:firstLine="480" w:firstLineChars="200"/>
        <w:rPr>
          <w:rFonts w:hAnsi="宋体" w:cs="宋体"/>
          <w:color w:val="auto"/>
          <w:sz w:val="24"/>
        </w:rPr>
      </w:pPr>
      <w:r>
        <w:rPr>
          <w:rFonts w:hint="eastAsia" w:hAnsi="宋体" w:cs="宋体"/>
          <w:color w:val="auto"/>
          <w:sz w:val="24"/>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65F6ED6F">
      <w:pPr>
        <w:pStyle w:val="8"/>
        <w:spacing w:line="400" w:lineRule="exact"/>
        <w:ind w:firstLine="480" w:firstLineChars="200"/>
        <w:outlineLvl w:val="2"/>
        <w:rPr>
          <w:rFonts w:hAnsi="宋体" w:cs="宋体"/>
          <w:color w:val="auto"/>
          <w:sz w:val="24"/>
        </w:rPr>
      </w:pPr>
      <w:r>
        <w:rPr>
          <w:rFonts w:hint="eastAsia" w:hAnsi="宋体" w:cs="宋体"/>
          <w:color w:val="auto"/>
          <w:sz w:val="24"/>
        </w:rPr>
        <w:t>（八）投标文件的递交</w:t>
      </w:r>
    </w:p>
    <w:p w14:paraId="41389E09">
      <w:pPr>
        <w:pStyle w:val="8"/>
        <w:spacing w:line="400" w:lineRule="exact"/>
        <w:ind w:firstLine="480" w:firstLineChars="200"/>
        <w:rPr>
          <w:rFonts w:hAnsi="宋体" w:cs="宋体"/>
          <w:color w:val="auto"/>
          <w:sz w:val="24"/>
        </w:rPr>
      </w:pPr>
      <w:r>
        <w:rPr>
          <w:rFonts w:hint="eastAsia" w:hAnsi="宋体" w:cs="宋体"/>
          <w:color w:val="auto"/>
          <w:sz w:val="24"/>
        </w:rPr>
        <w:t>投标文件的正本、副本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rPr>
        <w:t>均应密封送达投标地点，应在封套上注明项目名称、投标人名称。若正本、副本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rPr>
        <w:t>分别进行密封的，还应在封套上注明“正本”、“副本”、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lang w:eastAsia="zh-CN"/>
        </w:rPr>
        <w:t>”</w:t>
      </w:r>
      <w:r>
        <w:rPr>
          <w:rFonts w:hint="eastAsia" w:hAnsi="宋体" w:cs="宋体"/>
          <w:color w:val="auto"/>
          <w:sz w:val="24"/>
        </w:rPr>
        <w:t>字样。</w:t>
      </w:r>
    </w:p>
    <w:p w14:paraId="469CB11D">
      <w:pPr>
        <w:pStyle w:val="3"/>
        <w:spacing w:line="400" w:lineRule="exact"/>
        <w:ind w:firstLine="482" w:firstLineChars="200"/>
        <w:rPr>
          <w:rFonts w:cs="宋体"/>
          <w:b/>
          <w:color w:val="auto"/>
          <w:sz w:val="24"/>
        </w:rPr>
      </w:pPr>
      <w:bookmarkStart w:id="365" w:name="_Toc75793527"/>
      <w:bookmarkStart w:id="366" w:name="_Toc17096"/>
      <w:bookmarkStart w:id="367" w:name="_Toc2517"/>
      <w:bookmarkStart w:id="368" w:name="_Toc106030403"/>
      <w:bookmarkStart w:id="369" w:name="_Toc13013"/>
      <w:bookmarkStart w:id="370" w:name="_Toc29335"/>
      <w:bookmarkStart w:id="371" w:name="_Toc4765"/>
      <w:bookmarkStart w:id="372" w:name="_Toc12657"/>
      <w:bookmarkStart w:id="373" w:name="_Toc17836"/>
      <w:bookmarkStart w:id="374" w:name="_Toc12661"/>
      <w:bookmarkStart w:id="375" w:name="_Toc1820"/>
      <w:bookmarkStart w:id="376" w:name="_Toc2597"/>
      <w:bookmarkStart w:id="377" w:name="_Toc23080"/>
      <w:bookmarkStart w:id="378" w:name="_Toc26616"/>
      <w:bookmarkStart w:id="379" w:name="_Toc22407"/>
      <w:bookmarkStart w:id="380" w:name="_Toc13756"/>
      <w:r>
        <w:rPr>
          <w:rFonts w:hint="eastAsia" w:cs="宋体"/>
          <w:b/>
          <w:color w:val="auto"/>
          <w:sz w:val="24"/>
        </w:rPr>
        <w:t>四、开标</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26E8167C">
      <w:pPr>
        <w:spacing w:line="400" w:lineRule="exact"/>
        <w:ind w:firstLine="480" w:firstLineChars="200"/>
        <w:rPr>
          <w:rFonts w:ascii="宋体" w:hAnsi="宋体" w:cs="宋体"/>
          <w:color w:val="auto"/>
          <w:sz w:val="24"/>
        </w:rPr>
      </w:pPr>
      <w:r>
        <w:rPr>
          <w:rFonts w:hint="eastAsia" w:ascii="宋体" w:hAnsi="宋体" w:cs="宋体"/>
          <w:color w:val="auto"/>
          <w:sz w:val="24"/>
        </w:rPr>
        <w:t>（一）开标应当在招标文件中“投标邀请书”确定的时间和地点公开进行。</w:t>
      </w:r>
    </w:p>
    <w:p w14:paraId="162C217A">
      <w:pPr>
        <w:spacing w:line="400" w:lineRule="exact"/>
        <w:ind w:firstLine="480" w:firstLineChars="200"/>
        <w:rPr>
          <w:rFonts w:ascii="宋体" w:hAnsi="宋体" w:cs="宋体"/>
          <w:color w:val="auto"/>
          <w:sz w:val="24"/>
        </w:rPr>
      </w:pPr>
      <w:r>
        <w:rPr>
          <w:rFonts w:hint="eastAsia" w:ascii="宋体" w:hAnsi="宋体" w:cs="宋体"/>
          <w:color w:val="auto"/>
          <w:sz w:val="24"/>
        </w:rPr>
        <w:t>（二）采购代理机构可视采购具体情况，延长投标截止时间和开标时间，并将变更时间书面通知所有招标文件收受人。</w:t>
      </w:r>
    </w:p>
    <w:p w14:paraId="45709B6C">
      <w:pPr>
        <w:spacing w:line="400" w:lineRule="exact"/>
        <w:ind w:firstLine="480" w:firstLineChars="200"/>
        <w:rPr>
          <w:rFonts w:ascii="宋体" w:hAnsi="宋体" w:cs="宋体"/>
          <w:color w:val="auto"/>
          <w:sz w:val="24"/>
        </w:rPr>
      </w:pPr>
      <w:r>
        <w:rPr>
          <w:rFonts w:hint="eastAsia" w:ascii="宋体" w:hAnsi="宋体" w:cs="宋体"/>
          <w:color w:val="auto"/>
          <w:sz w:val="24"/>
        </w:rPr>
        <w:t>（三）开标由采购人或采购代理机构主持，邀请投标人和有关监督部门代表参加,有关监督部门可视情况派员现场监督。</w:t>
      </w:r>
    </w:p>
    <w:p w14:paraId="4912CDE1">
      <w:pPr>
        <w:spacing w:line="400" w:lineRule="exact"/>
        <w:ind w:firstLine="480" w:firstLineChars="200"/>
        <w:rPr>
          <w:rFonts w:ascii="宋体" w:hAnsi="宋体" w:cs="宋体"/>
          <w:color w:val="auto"/>
          <w:sz w:val="24"/>
        </w:rPr>
      </w:pPr>
      <w:r>
        <w:rPr>
          <w:rFonts w:hint="eastAsia" w:ascii="宋体" w:hAnsi="宋体" w:cs="宋体"/>
          <w:color w:val="auto"/>
          <w:sz w:val="24"/>
        </w:rPr>
        <w:t>（四）开标时，由投标人或者其推选的代表检查投标文件的密封情况；经确认无误后，由采购人或者采购代理机构工作人员当众拆封，宣布投标人名称、投标价格和《开标一览表》规定的需要宣布的其他内容。投标人不足三家的，不得开标。</w:t>
      </w:r>
    </w:p>
    <w:p w14:paraId="1BF41401">
      <w:pPr>
        <w:pStyle w:val="8"/>
        <w:spacing w:line="400" w:lineRule="exact"/>
        <w:ind w:firstLine="480" w:firstLineChars="200"/>
        <w:rPr>
          <w:rFonts w:hAnsi="宋体" w:cs="宋体"/>
          <w:color w:val="auto"/>
          <w:sz w:val="24"/>
        </w:rPr>
      </w:pPr>
      <w:r>
        <w:rPr>
          <w:rFonts w:hint="eastAsia" w:hAnsi="宋体" w:cs="宋体"/>
          <w:color w:val="auto"/>
          <w:sz w:val="24"/>
        </w:rPr>
        <w:t>（五）投标人未参加开标的，视同认可开标结果。</w:t>
      </w:r>
    </w:p>
    <w:p w14:paraId="5E0B854B">
      <w:pPr>
        <w:pStyle w:val="3"/>
        <w:spacing w:line="400" w:lineRule="exact"/>
        <w:ind w:firstLine="482" w:firstLineChars="200"/>
        <w:rPr>
          <w:rFonts w:cs="宋体"/>
          <w:b/>
          <w:color w:val="auto"/>
          <w:sz w:val="24"/>
        </w:rPr>
      </w:pPr>
      <w:bookmarkStart w:id="381" w:name="_Toc26506"/>
      <w:bookmarkStart w:id="382" w:name="_Toc9134"/>
      <w:bookmarkStart w:id="383" w:name="_Toc75793528"/>
      <w:bookmarkStart w:id="384" w:name="_Toc179"/>
      <w:bookmarkStart w:id="385" w:name="_Toc20739"/>
      <w:bookmarkStart w:id="386" w:name="_Toc13976"/>
      <w:bookmarkStart w:id="387" w:name="_Toc15031"/>
      <w:bookmarkStart w:id="388" w:name="_Toc868"/>
      <w:bookmarkStart w:id="389" w:name="_Toc24485"/>
      <w:bookmarkStart w:id="390" w:name="_Toc106030404"/>
      <w:bookmarkStart w:id="391" w:name="_Toc12882"/>
      <w:bookmarkStart w:id="392" w:name="_Toc5409"/>
      <w:bookmarkStart w:id="393" w:name="_Toc8319"/>
      <w:bookmarkStart w:id="394" w:name="_Toc25586"/>
      <w:bookmarkStart w:id="395" w:name="_Toc8659"/>
      <w:bookmarkStart w:id="396" w:name="_Toc17837"/>
      <w:r>
        <w:rPr>
          <w:rFonts w:hint="eastAsia" w:cs="宋体"/>
          <w:b/>
          <w:color w:val="auto"/>
          <w:sz w:val="24"/>
        </w:rPr>
        <w:t>五、评标</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784903D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见第四篇“评标”内容。</w:t>
      </w:r>
    </w:p>
    <w:p w14:paraId="33773D4C">
      <w:pPr>
        <w:pStyle w:val="3"/>
        <w:spacing w:line="400" w:lineRule="exact"/>
        <w:ind w:firstLine="482" w:firstLineChars="200"/>
        <w:rPr>
          <w:rFonts w:cs="宋体"/>
          <w:b/>
          <w:color w:val="auto"/>
          <w:sz w:val="24"/>
        </w:rPr>
      </w:pPr>
      <w:bookmarkStart w:id="397" w:name="_Toc106030405"/>
      <w:bookmarkStart w:id="398" w:name="_Toc18575"/>
      <w:bookmarkStart w:id="399" w:name="_Toc26593"/>
      <w:bookmarkStart w:id="400" w:name="_Toc32002"/>
      <w:bookmarkStart w:id="401" w:name="_Toc6174"/>
      <w:bookmarkStart w:id="402" w:name="_Toc14504"/>
      <w:bookmarkStart w:id="403" w:name="_Toc5090"/>
      <w:bookmarkStart w:id="404" w:name="_Toc29714"/>
      <w:bookmarkStart w:id="405" w:name="_Toc22130"/>
      <w:bookmarkStart w:id="406" w:name="_Toc4062"/>
      <w:bookmarkStart w:id="407" w:name="_Toc4529"/>
      <w:bookmarkStart w:id="408" w:name="_Toc29605"/>
      <w:bookmarkStart w:id="409" w:name="_Toc9516"/>
      <w:bookmarkStart w:id="410" w:name="_Toc19170"/>
      <w:bookmarkStart w:id="411" w:name="_Toc75793529"/>
      <w:bookmarkStart w:id="412" w:name="_Toc27276"/>
      <w:r>
        <w:rPr>
          <w:rFonts w:hint="eastAsia" w:cs="宋体"/>
          <w:b/>
          <w:color w:val="auto"/>
          <w:sz w:val="24"/>
        </w:rPr>
        <w:t>六、定标</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14:paraId="185AE2AF">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（一）定标原则</w:t>
      </w:r>
    </w:p>
    <w:p w14:paraId="579B77E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采购人或其授权的评标委员会应按照评标报告中推荐的中标候选人排名顺序确定中标人。</w:t>
      </w:r>
    </w:p>
    <w:p w14:paraId="481FD022">
      <w:pPr>
        <w:pStyle w:val="8"/>
        <w:spacing w:line="400" w:lineRule="exact"/>
        <w:ind w:firstLine="480" w:firstLineChars="200"/>
        <w:outlineLvl w:val="2"/>
        <w:rPr>
          <w:rFonts w:hAnsi="宋体" w:cs="宋体"/>
          <w:color w:val="auto"/>
          <w:sz w:val="24"/>
        </w:rPr>
      </w:pPr>
      <w:r>
        <w:rPr>
          <w:rFonts w:hint="eastAsia" w:hAnsi="宋体" w:cs="宋体"/>
          <w:color w:val="auto"/>
          <w:sz w:val="24"/>
        </w:rPr>
        <w:t>（二）定标程序</w:t>
      </w:r>
    </w:p>
    <w:p w14:paraId="43DB0ABB">
      <w:pPr>
        <w:pStyle w:val="8"/>
        <w:spacing w:line="400" w:lineRule="exact"/>
        <w:ind w:firstLine="480" w:firstLineChars="200"/>
        <w:rPr>
          <w:rFonts w:hAnsi="宋体" w:cs="宋体"/>
          <w:color w:val="auto"/>
          <w:sz w:val="24"/>
        </w:rPr>
      </w:pPr>
      <w:r>
        <w:rPr>
          <w:rFonts w:hint="eastAsia" w:hAnsi="宋体" w:cs="宋体"/>
          <w:color w:val="auto"/>
          <w:sz w:val="24"/>
        </w:rPr>
        <w:t>1.采购代理机构应当在评标结束后2个工作日内将评标报告送采购人。</w:t>
      </w:r>
    </w:p>
    <w:p w14:paraId="5459ECC2">
      <w:pPr>
        <w:pStyle w:val="8"/>
        <w:spacing w:line="400" w:lineRule="exact"/>
        <w:ind w:firstLine="480" w:firstLineChars="200"/>
        <w:rPr>
          <w:rFonts w:hAnsi="宋体" w:cs="宋体"/>
          <w:color w:val="auto"/>
          <w:sz w:val="24"/>
        </w:rPr>
      </w:pPr>
      <w:r>
        <w:rPr>
          <w:rFonts w:hint="eastAsia" w:hAnsi="宋体" w:cs="宋体"/>
          <w:color w:val="auto"/>
          <w:sz w:val="24"/>
        </w:rPr>
        <w:t>2.采购人应当自收到评标报告之日起5个工作日内按评标报告推荐的中标候选人顺序确定中标人。</w:t>
      </w:r>
    </w:p>
    <w:p w14:paraId="265C6D1A">
      <w:pPr>
        <w:pStyle w:val="8"/>
        <w:spacing w:line="400" w:lineRule="exact"/>
        <w:ind w:firstLine="480" w:firstLineChars="200"/>
        <w:rPr>
          <w:rFonts w:hAnsi="宋体" w:cs="宋体"/>
          <w:color w:val="auto"/>
          <w:sz w:val="24"/>
        </w:rPr>
      </w:pPr>
      <w:r>
        <w:rPr>
          <w:rFonts w:hint="eastAsia" w:hAnsi="宋体" w:cs="宋体"/>
          <w:color w:val="auto"/>
          <w:sz w:val="24"/>
        </w:rPr>
        <w:t>3.采购人或者采购代理机构应当自中标人确定之日起2个工作日内，在</w:t>
      </w:r>
      <w:r>
        <w:rPr>
          <w:rFonts w:hint="eastAsia" w:hAnsi="宋体" w:cs="宋体"/>
          <w:color w:val="auto"/>
          <w:sz w:val="24"/>
          <w:szCs w:val="24"/>
        </w:rPr>
        <w:t>“行采家”平台（http://www.gec123.com）</w:t>
      </w:r>
      <w:r>
        <w:rPr>
          <w:rFonts w:hint="eastAsia" w:hAnsi="宋体" w:cs="宋体"/>
          <w:color w:val="auto"/>
          <w:sz w:val="24"/>
        </w:rPr>
        <w:t>网上公告中标结果。中标公告期限为1个工作日。</w:t>
      </w:r>
    </w:p>
    <w:p w14:paraId="3208B16F">
      <w:pPr>
        <w:pStyle w:val="8"/>
        <w:spacing w:line="400" w:lineRule="exact"/>
        <w:ind w:firstLine="480" w:firstLineChars="200"/>
        <w:rPr>
          <w:rFonts w:hAnsi="宋体" w:cs="宋体"/>
          <w:color w:val="auto"/>
          <w:sz w:val="24"/>
        </w:rPr>
      </w:pPr>
      <w:r>
        <w:rPr>
          <w:rFonts w:hint="eastAsia" w:hAnsi="宋体" w:cs="宋体"/>
          <w:color w:val="auto"/>
          <w:sz w:val="24"/>
        </w:rPr>
        <w:t>4.中标人变更</w:t>
      </w:r>
    </w:p>
    <w:p w14:paraId="4FA0684E">
      <w:pPr>
        <w:pStyle w:val="8"/>
        <w:spacing w:line="400" w:lineRule="exact"/>
        <w:ind w:firstLine="480" w:firstLineChars="200"/>
        <w:rPr>
          <w:rFonts w:hAnsi="宋体" w:cs="宋体"/>
          <w:color w:val="auto"/>
          <w:sz w:val="24"/>
        </w:rPr>
      </w:pPr>
      <w:r>
        <w:rPr>
          <w:rFonts w:hint="eastAsia" w:hAnsi="宋体" w:cs="宋体"/>
          <w:color w:val="auto"/>
          <w:sz w:val="24"/>
        </w:rPr>
        <w:t>中标人拒绝与采购人签订合同的，采购人可以按照评标报告推荐的中标候选人顺序，确定排名下一位的候选人为中标人，也可以重新开展政府采购活动。</w:t>
      </w:r>
    </w:p>
    <w:p w14:paraId="2E7C6500">
      <w:pPr>
        <w:pStyle w:val="3"/>
        <w:spacing w:line="400" w:lineRule="exact"/>
        <w:ind w:firstLine="482" w:firstLineChars="200"/>
        <w:rPr>
          <w:rFonts w:cs="宋体"/>
          <w:b/>
          <w:color w:val="auto"/>
          <w:sz w:val="24"/>
        </w:rPr>
      </w:pPr>
      <w:bookmarkStart w:id="413" w:name="_Toc13010"/>
      <w:bookmarkStart w:id="414" w:name="_Toc29924"/>
      <w:bookmarkStart w:id="415" w:name="_Toc13250"/>
      <w:bookmarkStart w:id="416" w:name="_Toc2458"/>
      <w:bookmarkStart w:id="417" w:name="_Toc30482"/>
      <w:bookmarkStart w:id="418" w:name="_Toc1114"/>
      <w:bookmarkStart w:id="419" w:name="_Toc75793530"/>
      <w:bookmarkStart w:id="420" w:name="_Toc27221"/>
      <w:bookmarkStart w:id="421" w:name="_Toc5060"/>
      <w:bookmarkStart w:id="422" w:name="_Toc106030406"/>
      <w:bookmarkStart w:id="423" w:name="_Toc15468"/>
      <w:bookmarkStart w:id="424" w:name="_Toc12034"/>
      <w:bookmarkStart w:id="425" w:name="_Toc13043"/>
      <w:bookmarkStart w:id="426" w:name="_Toc31365"/>
      <w:bookmarkStart w:id="427" w:name="_Toc8542"/>
      <w:bookmarkStart w:id="428" w:name="_Toc15206"/>
      <w:r>
        <w:rPr>
          <w:rFonts w:hint="eastAsia" w:cs="宋体"/>
          <w:b/>
          <w:color w:val="auto"/>
          <w:sz w:val="24"/>
        </w:rPr>
        <w:t>七、中标</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14:paraId="4CDAB62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（一）采购人依法确定中标人后，采购代理机构以书面形式发出中标通知书。</w:t>
      </w:r>
    </w:p>
    <w:p w14:paraId="62709BE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（二）中标通知书发出后，采购人改变中标结果，或者中标人放弃中标，应当承担相应的法律责任。</w:t>
      </w:r>
    </w:p>
    <w:p w14:paraId="3DB09FD5">
      <w:pPr>
        <w:pStyle w:val="3"/>
        <w:spacing w:line="400" w:lineRule="exact"/>
        <w:ind w:firstLine="482" w:firstLineChars="200"/>
        <w:rPr>
          <w:rFonts w:cs="宋体"/>
          <w:b/>
          <w:color w:val="auto"/>
          <w:sz w:val="24"/>
        </w:rPr>
      </w:pPr>
      <w:bookmarkStart w:id="429" w:name="_Toc14518"/>
      <w:bookmarkStart w:id="430" w:name="_Toc106030407"/>
      <w:bookmarkStart w:id="431" w:name="_Toc902"/>
      <w:bookmarkStart w:id="432" w:name="_Toc32509"/>
      <w:bookmarkStart w:id="433" w:name="_Toc23031"/>
      <w:bookmarkStart w:id="434" w:name="_Toc75793531"/>
      <w:bookmarkStart w:id="435" w:name="_Toc4157"/>
      <w:bookmarkStart w:id="436" w:name="_Toc10950"/>
      <w:bookmarkStart w:id="437" w:name="_Toc26806"/>
      <w:bookmarkStart w:id="438" w:name="_Toc9499"/>
      <w:bookmarkStart w:id="439" w:name="_Toc32707"/>
      <w:bookmarkStart w:id="440" w:name="_Toc16406"/>
      <w:bookmarkStart w:id="441" w:name="_Toc17845"/>
      <w:bookmarkStart w:id="442" w:name="_Toc2537"/>
      <w:bookmarkStart w:id="443" w:name="_Toc6815"/>
      <w:bookmarkStart w:id="444" w:name="_Toc27770"/>
      <w:r>
        <w:rPr>
          <w:rFonts w:hint="eastAsia" w:cs="宋体"/>
          <w:b/>
          <w:color w:val="auto"/>
          <w:sz w:val="24"/>
        </w:rPr>
        <w:t>八、询问、质疑和投诉</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14:paraId="5611D8EE">
      <w:pPr>
        <w:spacing w:line="400" w:lineRule="exact"/>
        <w:ind w:right="12" w:firstLine="480"/>
        <w:outlineLvl w:val="2"/>
        <w:rPr>
          <w:rFonts w:ascii="宋体" w:hAnsi="宋体" w:cs="宋体"/>
          <w:color w:val="auto"/>
          <w:sz w:val="24"/>
        </w:rPr>
      </w:pPr>
      <w:r>
        <w:rPr>
          <w:rFonts w:hint="eastAsia" w:ascii="宋体" w:hAnsi="宋体" w:cs="宋体"/>
          <w:color w:val="auto"/>
          <w:sz w:val="24"/>
        </w:rPr>
        <w:t>（一）询问</w:t>
      </w:r>
    </w:p>
    <w:p w14:paraId="246A3A87">
      <w:pPr>
        <w:spacing w:line="400" w:lineRule="exact"/>
        <w:ind w:right="12" w:firstLine="480"/>
        <w:rPr>
          <w:rFonts w:ascii="宋体" w:hAnsi="宋体" w:cs="宋体"/>
          <w:color w:val="auto"/>
          <w:sz w:val="24"/>
        </w:rPr>
      </w:pPr>
      <w:r>
        <w:rPr>
          <w:rFonts w:hint="eastAsia" w:ascii="宋体" w:hAnsi="宋体" w:cs="宋体"/>
          <w:color w:val="auto"/>
          <w:sz w:val="24"/>
        </w:rPr>
        <w:t>采购人或者采购代理机构应当在3个工作日内对投标人依法提出的询问作出答复。投标人询问可以是口头或书面形式。</w:t>
      </w:r>
    </w:p>
    <w:p w14:paraId="0FD06943">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（二）质疑</w:t>
      </w:r>
    </w:p>
    <w:p w14:paraId="3218577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投标人认为采购文件、采购过程和中标结果使自己的权益受到伤害的，可向采购人或采购代理机构以书面形式提出质疑。</w:t>
      </w:r>
    </w:p>
    <w:p w14:paraId="3429896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 xml:space="preserve">提出质疑的应当是参与所质疑项目采购活动的投标人。 </w:t>
      </w:r>
    </w:p>
    <w:p w14:paraId="51A6FC3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1.质疑时限、内容</w:t>
      </w:r>
    </w:p>
    <w:p w14:paraId="188715C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1.1投标人对招标文件提出质疑的，应在依法获取招标文件之日或者招标文件公告期限届满之日起七个工作日内提出。</w:t>
      </w:r>
    </w:p>
    <w:p w14:paraId="2A5F71A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1.2 投标人对采购过程提出质疑的，应在各采购程序环节结束之日起七个工作日内提出。</w:t>
      </w:r>
    </w:p>
    <w:p w14:paraId="50BC696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1.3投标人对中标结果提出质疑的，应当在中标结果公告期限届满之日起七个工作日内提出。</w:t>
      </w:r>
    </w:p>
    <w:p w14:paraId="2A1F360C">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1.4投标人提出质疑应当提交质疑函和必要的证明材料，质疑函应当包括下列内容：</w:t>
      </w:r>
    </w:p>
    <w:p w14:paraId="5A06D11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1.4.1供应商的姓名或者名称、地址、邮编、联系人及联系电话；</w:t>
      </w:r>
    </w:p>
    <w:p w14:paraId="3755837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1.4.2质疑项目的名称以及采购执行编号；</w:t>
      </w:r>
    </w:p>
    <w:p w14:paraId="0794D35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1.4.3具体、明确的质疑事项和与质疑事项相关的请求；</w:t>
      </w:r>
    </w:p>
    <w:p w14:paraId="33CE25C9">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1.4.4事实依据；</w:t>
      </w:r>
    </w:p>
    <w:p w14:paraId="2EEF050D">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1.4.5必要的法律依据；</w:t>
      </w:r>
    </w:p>
    <w:p w14:paraId="20C74E7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1.4.6提出质疑的日期；</w:t>
      </w:r>
    </w:p>
    <w:p w14:paraId="366484D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1.4.7营业执照（或事业单位法人证书，或个体工商户营业执照或有效的自然人身份证明）复印件；</w:t>
      </w:r>
    </w:p>
    <w:p w14:paraId="25E6E10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1.4.8法定代表人授权委托书原件、法定代表人身份证复印件和其授权代表的身份证复印件（供应商为自然人的提供自然人身份证复印件）；</w:t>
      </w:r>
    </w:p>
    <w:p w14:paraId="004A0CC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1.5供应商为自然人的，质疑函应当由本人签字；供应商为法人或者其他组织的，质疑函应当由法定代表人、主要负责人，或者其授权代表签字或者盖章，并加盖公章。</w:t>
      </w:r>
    </w:p>
    <w:p w14:paraId="2FE1CD9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2.质疑答复</w:t>
      </w:r>
    </w:p>
    <w:p w14:paraId="52DF073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采购人、采购代理机构应当在收到投标人的书面质疑后七个工作日内作出答复，并以书面形式通知质疑投标人和其他有关投标人。</w:t>
      </w:r>
    </w:p>
    <w:p w14:paraId="5FC9E68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3.其他</w:t>
      </w:r>
    </w:p>
    <w:p w14:paraId="7FCF069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3.1投标人应按照《政府采购质疑和投诉办法》（财政部令第94号）及相关法律法规要求，在法定质疑期内一次性提出针对同一采购程序环节的质疑。</w:t>
      </w:r>
    </w:p>
    <w:p w14:paraId="698925B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3.2质疑函范本可在财政部门户网站和中国政府采购网下载。</w:t>
      </w:r>
    </w:p>
    <w:p w14:paraId="646D53A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4.质疑联系方式详见第一篇“联系方式”。</w:t>
      </w:r>
    </w:p>
    <w:p w14:paraId="4BB2FA9A">
      <w:pPr>
        <w:pStyle w:val="3"/>
        <w:spacing w:line="400" w:lineRule="exact"/>
        <w:ind w:firstLine="482" w:firstLineChars="200"/>
        <w:rPr>
          <w:rFonts w:cs="宋体"/>
          <w:b/>
          <w:color w:val="auto"/>
          <w:sz w:val="24"/>
        </w:rPr>
      </w:pPr>
      <w:bookmarkStart w:id="445" w:name="_Toc9466"/>
      <w:bookmarkStart w:id="446" w:name="_Toc8407"/>
      <w:bookmarkStart w:id="447" w:name="_Toc5437"/>
      <w:bookmarkStart w:id="448" w:name="_Toc4606"/>
      <w:bookmarkStart w:id="449" w:name="_Toc12779"/>
      <w:bookmarkStart w:id="450" w:name="_Toc6890"/>
      <w:bookmarkStart w:id="451" w:name="_Toc22508"/>
      <w:bookmarkStart w:id="452" w:name="_Toc27957"/>
      <w:bookmarkStart w:id="453" w:name="_Toc12684"/>
      <w:bookmarkStart w:id="454" w:name="_Toc6066"/>
      <w:bookmarkStart w:id="455" w:name="_Toc28235"/>
      <w:bookmarkStart w:id="456" w:name="_Toc21973"/>
      <w:bookmarkStart w:id="457" w:name="_Toc32457"/>
      <w:bookmarkStart w:id="458" w:name="_Toc75793532"/>
      <w:bookmarkStart w:id="459" w:name="_Toc418"/>
      <w:bookmarkStart w:id="460" w:name="_Toc106030408"/>
      <w:r>
        <w:rPr>
          <w:rFonts w:hint="eastAsia" w:cs="宋体"/>
          <w:b/>
          <w:color w:val="auto"/>
          <w:sz w:val="24"/>
        </w:rPr>
        <w:t>九、采购代理服务费</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054628E1">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1.供应商成交后向采购代理机构缴纳采购代理服务费，本项目代理服务费为</w:t>
      </w:r>
      <w:r>
        <w:rPr>
          <w:rFonts w:hint="eastAsia" w:ascii="宋体" w:hAnsi="宋体" w:cs="宋体"/>
          <w:color w:val="auto"/>
          <w:sz w:val="24"/>
          <w:lang w:val="en-US" w:eastAsia="zh-CN"/>
        </w:rPr>
        <w:t>1250</w:t>
      </w:r>
      <w:r>
        <w:rPr>
          <w:rFonts w:hint="eastAsia" w:ascii="宋体" w:hAnsi="宋体" w:cs="宋体"/>
          <w:color w:val="auto"/>
          <w:sz w:val="24"/>
        </w:rPr>
        <w:t>0.00元（大写：</w:t>
      </w:r>
      <w:r>
        <w:rPr>
          <w:rFonts w:hint="eastAsia" w:ascii="宋体" w:hAnsi="宋体" w:cs="宋体"/>
          <w:color w:val="auto"/>
          <w:sz w:val="24"/>
          <w:lang w:val="en-US" w:eastAsia="zh-CN"/>
        </w:rPr>
        <w:t>壹万贰仟伍佰</w:t>
      </w:r>
      <w:r>
        <w:rPr>
          <w:rFonts w:hint="eastAsia" w:ascii="宋体" w:hAnsi="宋体" w:cs="宋体"/>
          <w:color w:val="auto"/>
          <w:sz w:val="24"/>
        </w:rPr>
        <w:t>元整）服务费以转账或现金形式支付。</w:t>
      </w:r>
    </w:p>
    <w:p w14:paraId="6C46E36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 xml:space="preserve">采购代理服务费缴纳账户信息： </w:t>
      </w:r>
    </w:p>
    <w:p w14:paraId="56D8EAAB">
      <w:pPr>
        <w:spacing w:line="400" w:lineRule="exact"/>
        <w:ind w:firstLine="480" w:firstLineChars="200"/>
        <w:rPr>
          <w:rFonts w:ascii="宋体" w:hAnsi="宋体" w:cs="宋体"/>
          <w:bCs/>
          <w:color w:val="auto"/>
          <w:sz w:val="24"/>
          <w:szCs w:val="24"/>
        </w:rPr>
      </w:pPr>
      <w:r>
        <w:rPr>
          <w:rFonts w:hint="eastAsia" w:ascii="宋体" w:hAnsi="宋体" w:cs="宋体"/>
          <w:bCs/>
          <w:color w:val="auto"/>
          <w:sz w:val="24"/>
          <w:szCs w:val="24"/>
        </w:rPr>
        <w:t>开户名称：柴盛科技（重庆）有限公司</w:t>
      </w:r>
    </w:p>
    <w:p w14:paraId="277CD06E">
      <w:pPr>
        <w:spacing w:line="400" w:lineRule="exact"/>
        <w:ind w:firstLine="480" w:firstLineChars="200"/>
        <w:rPr>
          <w:rFonts w:ascii="宋体" w:hAnsi="宋体" w:cs="宋体"/>
          <w:bCs/>
          <w:color w:val="auto"/>
          <w:sz w:val="24"/>
          <w:szCs w:val="24"/>
        </w:rPr>
      </w:pPr>
      <w:r>
        <w:rPr>
          <w:rFonts w:hint="eastAsia" w:ascii="宋体" w:hAnsi="宋体" w:cs="宋体"/>
          <w:bCs/>
          <w:color w:val="auto"/>
          <w:sz w:val="24"/>
          <w:szCs w:val="24"/>
        </w:rPr>
        <w:t>开户银行：中国民生银行股份有限公司重庆沙坪坝支行</w:t>
      </w:r>
    </w:p>
    <w:p w14:paraId="2532F6EF">
      <w:pPr>
        <w:spacing w:line="400" w:lineRule="exact"/>
        <w:ind w:firstLine="480" w:firstLineChars="200"/>
        <w:rPr>
          <w:rFonts w:ascii="宋体" w:hAnsi="宋体" w:cs="宋体"/>
          <w:color w:val="auto"/>
        </w:rPr>
      </w:pPr>
      <w:r>
        <w:rPr>
          <w:rFonts w:hint="eastAsia" w:ascii="宋体" w:hAnsi="宋体" w:cs="宋体"/>
          <w:bCs/>
          <w:color w:val="auto"/>
          <w:sz w:val="24"/>
          <w:szCs w:val="24"/>
        </w:rPr>
        <w:t>账号：171340530</w:t>
      </w:r>
    </w:p>
    <w:p w14:paraId="370EFA0D">
      <w:pPr>
        <w:pStyle w:val="3"/>
        <w:spacing w:line="400" w:lineRule="exact"/>
        <w:ind w:firstLine="482" w:firstLineChars="200"/>
        <w:rPr>
          <w:rFonts w:cs="宋体"/>
          <w:b/>
          <w:color w:val="auto"/>
          <w:sz w:val="24"/>
        </w:rPr>
      </w:pPr>
      <w:bookmarkStart w:id="461" w:name="_Toc9444"/>
      <w:bookmarkStart w:id="462" w:name="_Toc26946"/>
      <w:bookmarkStart w:id="463" w:name="_Toc1312"/>
      <w:bookmarkStart w:id="464" w:name="_Toc18724"/>
      <w:bookmarkStart w:id="465" w:name="_Toc9036"/>
      <w:bookmarkStart w:id="466" w:name="_Toc17066"/>
      <w:bookmarkStart w:id="467" w:name="_Toc106030410"/>
      <w:bookmarkStart w:id="468" w:name="_Toc75793534"/>
      <w:bookmarkStart w:id="469" w:name="_Toc25158"/>
      <w:bookmarkStart w:id="470" w:name="_Toc25630"/>
      <w:bookmarkStart w:id="471" w:name="_Toc19828"/>
      <w:bookmarkStart w:id="472" w:name="_Toc23988"/>
      <w:bookmarkStart w:id="473" w:name="_Toc20263"/>
      <w:bookmarkStart w:id="474" w:name="_Toc8954"/>
      <w:bookmarkStart w:id="475" w:name="_Toc30396"/>
      <w:bookmarkStart w:id="476" w:name="_Toc10797"/>
      <w:r>
        <w:rPr>
          <w:rFonts w:hint="eastAsia" w:cs="宋体"/>
          <w:b/>
          <w:color w:val="auto"/>
          <w:sz w:val="24"/>
        </w:rPr>
        <w:t>十、签订合同</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7E5D899A">
      <w:pPr>
        <w:spacing w:line="400" w:lineRule="exact"/>
        <w:ind w:firstLine="480" w:firstLineChars="200"/>
        <w:rPr>
          <w:rFonts w:ascii="宋体" w:hAnsi="宋体" w:cs="宋体"/>
          <w:color w:val="auto"/>
          <w:sz w:val="24"/>
        </w:rPr>
      </w:pPr>
      <w:r>
        <w:rPr>
          <w:rFonts w:hint="eastAsia" w:ascii="宋体" w:hAnsi="宋体" w:cs="宋体"/>
          <w:color w:val="auto"/>
          <w:sz w:val="24"/>
        </w:rPr>
        <w:t>（一）采购人原则上应在中标通知书发出之日起二十日内和中标人签订采购合同，无正当理由不得拒绝或拖延合同签订。所签订的合同不得对招标文件和中标人投标文件作实质性修改。</w:t>
      </w:r>
      <w:r>
        <w:rPr>
          <w:rFonts w:hint="eastAsia" w:ascii="宋体" w:hAnsi="宋体" w:cs="宋体"/>
          <w:color w:val="auto"/>
          <w:kern w:val="0"/>
          <w:sz w:val="24"/>
          <w:szCs w:val="24"/>
        </w:rPr>
        <w:t>其他未尽事宜由采购人和中标人在采购合同中详细约定。</w:t>
      </w:r>
    </w:p>
    <w:p w14:paraId="18C9A8B4">
      <w:pPr>
        <w:spacing w:line="400" w:lineRule="exact"/>
        <w:ind w:firstLine="480" w:firstLineChars="200"/>
        <w:rPr>
          <w:rFonts w:ascii="宋体" w:hAnsi="宋体" w:cs="宋体"/>
          <w:color w:val="auto"/>
          <w:sz w:val="24"/>
        </w:rPr>
      </w:pPr>
      <w:r>
        <w:rPr>
          <w:rFonts w:hint="eastAsia" w:ascii="宋体" w:hAnsi="宋体" w:cs="宋体"/>
          <w:color w:val="auto"/>
          <w:sz w:val="24"/>
        </w:rPr>
        <w:t>（二）招标文件、中标人的投标文件及澄清文件等，均为签订采购合同的依据。</w:t>
      </w:r>
    </w:p>
    <w:p w14:paraId="6F9606B6">
      <w:pPr>
        <w:spacing w:line="400" w:lineRule="exact"/>
        <w:ind w:firstLine="480" w:firstLineChars="200"/>
        <w:rPr>
          <w:rFonts w:ascii="宋体" w:hAnsi="宋体" w:cs="宋体"/>
          <w:color w:val="auto"/>
          <w:sz w:val="24"/>
        </w:rPr>
      </w:pPr>
      <w:r>
        <w:rPr>
          <w:rFonts w:hint="eastAsia" w:ascii="宋体" w:hAnsi="宋体" w:cs="宋体"/>
          <w:color w:val="auto"/>
          <w:sz w:val="24"/>
        </w:rPr>
        <w:t>（三）合同生效条款由供需双方约定，法律、行政法规规定应当办理批准、登记等手续后生效的合同，依照其规定。</w:t>
      </w:r>
    </w:p>
    <w:p w14:paraId="28FCC2C3">
      <w:pPr>
        <w:spacing w:line="400" w:lineRule="exact"/>
        <w:ind w:firstLine="480" w:firstLineChars="200"/>
        <w:rPr>
          <w:rFonts w:ascii="宋体" w:hAnsi="宋体" w:cs="宋体"/>
          <w:color w:val="auto"/>
          <w:sz w:val="24"/>
        </w:rPr>
      </w:pPr>
      <w:r>
        <w:rPr>
          <w:rFonts w:hint="eastAsia" w:ascii="宋体" w:hAnsi="宋体" w:cs="宋体"/>
          <w:color w:val="auto"/>
          <w:sz w:val="24"/>
        </w:rPr>
        <w:t>（四）合同原则上应按照《采购合同》签订，相关单位要求适用合同通用格式版本的，应按其要求另行签订其他合同。</w:t>
      </w:r>
    </w:p>
    <w:p w14:paraId="43BBC8A7">
      <w:pPr>
        <w:pStyle w:val="2"/>
        <w:spacing w:beforeLines="0" w:afterLines="0" w:line="360" w:lineRule="auto"/>
        <w:rPr>
          <w:rFonts w:ascii="宋体" w:hAnsi="宋体" w:eastAsia="宋体" w:cs="宋体"/>
          <w:b/>
          <w:color w:val="auto"/>
        </w:rPr>
      </w:pPr>
      <w:r>
        <w:rPr>
          <w:rFonts w:hint="eastAsia" w:ascii="宋体" w:hAnsi="宋体" w:eastAsia="宋体" w:cs="宋体"/>
          <w:color w:val="auto"/>
        </w:rPr>
        <w:br w:type="page"/>
      </w:r>
      <w:bookmarkStart w:id="477" w:name="_Toc9831"/>
      <w:bookmarkStart w:id="478" w:name="_Toc75793536"/>
      <w:bookmarkStart w:id="479" w:name="_Toc19939"/>
      <w:bookmarkStart w:id="480" w:name="_Toc12210"/>
      <w:bookmarkStart w:id="481" w:name="_Toc5880"/>
      <w:bookmarkStart w:id="482" w:name="_Toc4454"/>
      <w:bookmarkStart w:id="483" w:name="_Toc3344"/>
      <w:bookmarkStart w:id="484" w:name="_Toc17885"/>
      <w:bookmarkStart w:id="485" w:name="_Toc106030413"/>
      <w:bookmarkStart w:id="486" w:name="_Toc13696"/>
      <w:bookmarkStart w:id="487" w:name="_Toc28592"/>
      <w:bookmarkStart w:id="488" w:name="_Toc21870"/>
      <w:bookmarkStart w:id="489" w:name="_Toc9505"/>
      <w:bookmarkStart w:id="490" w:name="_Toc128"/>
      <w:bookmarkStart w:id="491" w:name="_Toc5544"/>
      <w:bookmarkStart w:id="492" w:name="_Toc7598"/>
      <w:r>
        <w:rPr>
          <w:rFonts w:hint="eastAsia" w:ascii="宋体" w:hAnsi="宋体" w:eastAsia="宋体" w:cs="宋体"/>
          <w:b/>
          <w:color w:val="auto"/>
        </w:rPr>
        <w:t>第六篇  合同主要条款和格式合同（样本）</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2DDB4D24">
      <w:pPr>
        <w:jc w:val="center"/>
        <w:rPr>
          <w:b/>
          <w:bCs/>
          <w:color w:val="auto"/>
          <w:sz w:val="44"/>
          <w:szCs w:val="44"/>
        </w:rPr>
      </w:pPr>
      <w:r>
        <w:rPr>
          <w:rFonts w:hint="eastAsia"/>
          <w:b/>
          <w:bCs/>
          <w:color w:val="auto"/>
          <w:sz w:val="44"/>
          <w:szCs w:val="44"/>
        </w:rPr>
        <w:t>一般工业固废（污泥）处置协议</w:t>
      </w:r>
    </w:p>
    <w:p w14:paraId="17C59E8C">
      <w:pPr>
        <w:spacing w:line="400" w:lineRule="exact"/>
        <w:rPr>
          <w:color w:val="auto"/>
          <w:sz w:val="24"/>
          <w:szCs w:val="24"/>
        </w:rPr>
      </w:pPr>
      <w:r>
        <w:rPr>
          <w:rFonts w:hint="eastAsia"/>
          <w:color w:val="auto"/>
          <w:sz w:val="24"/>
          <w:szCs w:val="24"/>
        </w:rPr>
        <w:t>转出方：凯发新泉高阳污水处理（重庆）有限公司</w:t>
      </w:r>
    </w:p>
    <w:p w14:paraId="2B997F53">
      <w:pPr>
        <w:spacing w:line="400" w:lineRule="exact"/>
        <w:rPr>
          <w:color w:val="auto"/>
          <w:sz w:val="24"/>
          <w:szCs w:val="24"/>
        </w:rPr>
      </w:pPr>
      <w:r>
        <w:rPr>
          <w:rFonts w:hint="eastAsia"/>
          <w:color w:val="auto"/>
          <w:sz w:val="24"/>
          <w:szCs w:val="24"/>
        </w:rPr>
        <w:t>接受方：</w:t>
      </w:r>
    </w:p>
    <w:p w14:paraId="1B7AC3AE">
      <w:pPr>
        <w:spacing w:line="400" w:lineRule="exact"/>
        <w:ind w:firstLine="480" w:firstLineChars="200"/>
        <w:rPr>
          <w:color w:val="auto"/>
          <w:sz w:val="24"/>
          <w:szCs w:val="24"/>
        </w:rPr>
      </w:pPr>
      <w:r>
        <w:rPr>
          <w:rFonts w:hint="eastAsia"/>
          <w:color w:val="auto"/>
          <w:sz w:val="24"/>
          <w:szCs w:val="24"/>
        </w:rPr>
        <w:t>凯发新泉高阳污水处理（重庆）有限公司，因生产原因产生的一般工业固废（污泥）(不含有毒有害物质），经   ----（接受方）取样确定，可以用于水泥窑焚烧处置，经双方友好协商，就转出接受处置该污泥 ，达成如下协议。</w:t>
      </w:r>
    </w:p>
    <w:p w14:paraId="3B4C5788">
      <w:pPr>
        <w:spacing w:line="400" w:lineRule="exact"/>
        <w:rPr>
          <w:color w:val="auto"/>
          <w:sz w:val="24"/>
          <w:szCs w:val="24"/>
        </w:rPr>
      </w:pPr>
      <w:r>
        <w:rPr>
          <w:rFonts w:hint="eastAsia"/>
          <w:color w:val="auto"/>
          <w:sz w:val="24"/>
          <w:szCs w:val="24"/>
        </w:rPr>
        <w:t>一.转出方</w:t>
      </w:r>
    </w:p>
    <w:p w14:paraId="3B650DD3">
      <w:pPr>
        <w:spacing w:line="400" w:lineRule="exact"/>
        <w:ind w:left="435"/>
        <w:rPr>
          <w:color w:val="auto"/>
          <w:sz w:val="24"/>
          <w:szCs w:val="24"/>
        </w:rPr>
      </w:pPr>
      <w:r>
        <w:rPr>
          <w:rFonts w:hint="eastAsia"/>
          <w:color w:val="auto"/>
          <w:sz w:val="24"/>
          <w:szCs w:val="24"/>
        </w:rPr>
        <w:t>1.确保该污泥不含有毒有害物质，提供该污泥检查鉴定报告</w:t>
      </w:r>
    </w:p>
    <w:p w14:paraId="745E5B8C">
      <w:pPr>
        <w:spacing w:line="400" w:lineRule="exact"/>
        <w:ind w:left="435"/>
        <w:rPr>
          <w:color w:val="auto"/>
          <w:sz w:val="24"/>
          <w:szCs w:val="24"/>
        </w:rPr>
      </w:pPr>
      <w:r>
        <w:rPr>
          <w:rFonts w:hint="eastAsia"/>
          <w:color w:val="auto"/>
          <w:sz w:val="24"/>
          <w:szCs w:val="24"/>
        </w:rPr>
        <w:t>2.及时支付处置费</w:t>
      </w:r>
    </w:p>
    <w:p w14:paraId="482B2DAB">
      <w:pPr>
        <w:spacing w:line="400" w:lineRule="exact"/>
        <w:rPr>
          <w:color w:val="auto"/>
          <w:sz w:val="24"/>
          <w:szCs w:val="24"/>
        </w:rPr>
      </w:pPr>
      <w:r>
        <w:rPr>
          <w:rFonts w:hint="eastAsia"/>
          <w:color w:val="auto"/>
          <w:sz w:val="24"/>
          <w:szCs w:val="24"/>
        </w:rPr>
        <w:t>二．接受方</w:t>
      </w:r>
    </w:p>
    <w:p w14:paraId="625A9920">
      <w:pPr>
        <w:spacing w:line="400" w:lineRule="exact"/>
        <w:ind w:firstLine="435"/>
        <w:rPr>
          <w:color w:val="auto"/>
          <w:sz w:val="24"/>
          <w:szCs w:val="24"/>
        </w:rPr>
      </w:pPr>
      <w:r>
        <w:rPr>
          <w:rFonts w:hint="eastAsia"/>
          <w:color w:val="auto"/>
          <w:sz w:val="24"/>
          <w:szCs w:val="24"/>
        </w:rPr>
        <w:t>1.确保该污泥只用于合规处置，不得转移它处倾倒，否则由此产生的经济法律责任，由接受方承担。</w:t>
      </w:r>
    </w:p>
    <w:p w14:paraId="0130F009">
      <w:pPr>
        <w:spacing w:line="400" w:lineRule="exact"/>
        <w:ind w:firstLine="435"/>
        <w:rPr>
          <w:color w:val="auto"/>
          <w:sz w:val="24"/>
          <w:szCs w:val="24"/>
        </w:rPr>
      </w:pPr>
      <w:r>
        <w:rPr>
          <w:rFonts w:hint="eastAsia"/>
          <w:color w:val="auto"/>
          <w:sz w:val="24"/>
          <w:szCs w:val="24"/>
        </w:rPr>
        <w:t>2. 一般工业固废（污泥）运输；转出方处装车到接受方处卸车</w:t>
      </w:r>
    </w:p>
    <w:p w14:paraId="17E8E20E">
      <w:pPr>
        <w:spacing w:line="400" w:lineRule="exact"/>
        <w:rPr>
          <w:color w:val="auto"/>
          <w:sz w:val="24"/>
          <w:szCs w:val="24"/>
        </w:rPr>
      </w:pPr>
      <w:r>
        <w:rPr>
          <w:rFonts w:hint="eastAsia"/>
          <w:color w:val="auto"/>
          <w:sz w:val="24"/>
          <w:szCs w:val="24"/>
        </w:rPr>
        <w:t>三．结算</w:t>
      </w:r>
    </w:p>
    <w:p w14:paraId="6C9E1871">
      <w:pPr>
        <w:spacing w:line="400" w:lineRule="exact"/>
        <w:ind w:firstLine="435"/>
        <w:rPr>
          <w:color w:val="auto"/>
          <w:sz w:val="24"/>
          <w:szCs w:val="24"/>
        </w:rPr>
      </w:pPr>
      <w:r>
        <w:rPr>
          <w:rFonts w:hint="eastAsia"/>
          <w:color w:val="auto"/>
          <w:sz w:val="24"/>
          <w:szCs w:val="24"/>
        </w:rPr>
        <w:t>1.处置费用：转出方支付给接受方处置费用，按照</w:t>
      </w:r>
      <w:r>
        <w:rPr>
          <w:rFonts w:hint="eastAsia"/>
          <w:color w:val="auto"/>
          <w:sz w:val="24"/>
          <w:szCs w:val="24"/>
          <w:u w:val="single"/>
        </w:rPr>
        <w:t xml:space="preserve">  </w:t>
      </w:r>
      <w:r>
        <w:rPr>
          <w:rFonts w:hint="eastAsia"/>
          <w:color w:val="auto"/>
          <w:sz w:val="24"/>
          <w:szCs w:val="24"/>
        </w:rPr>
        <w:t>元/吨含税价实量结算（含运输费），以转出方过磅单数量为准。</w:t>
      </w:r>
    </w:p>
    <w:p w14:paraId="5B0BF022">
      <w:pPr>
        <w:spacing w:line="400" w:lineRule="exact"/>
        <w:ind w:firstLine="435"/>
        <w:rPr>
          <w:color w:val="auto"/>
          <w:sz w:val="24"/>
          <w:szCs w:val="24"/>
        </w:rPr>
      </w:pPr>
      <w:r>
        <w:rPr>
          <w:rFonts w:hint="eastAsia"/>
          <w:color w:val="auto"/>
          <w:sz w:val="24"/>
          <w:szCs w:val="24"/>
        </w:rPr>
        <w:t>2.付款方式：月结。（接受方开出等额增值税专用发票，转出方收到发票15个工作日内通过银行转账支付）。</w:t>
      </w:r>
    </w:p>
    <w:p w14:paraId="0500D31B">
      <w:pPr>
        <w:spacing w:line="400" w:lineRule="exact"/>
        <w:rPr>
          <w:color w:val="auto"/>
          <w:sz w:val="24"/>
          <w:szCs w:val="24"/>
        </w:rPr>
      </w:pPr>
      <w:r>
        <w:rPr>
          <w:rFonts w:hint="eastAsia"/>
          <w:color w:val="auto"/>
          <w:sz w:val="24"/>
          <w:szCs w:val="24"/>
        </w:rPr>
        <w:t>四．争议解决</w:t>
      </w:r>
    </w:p>
    <w:p w14:paraId="079B7BC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在协议履行过程中双方发生争议，应友好协商解决，协商不成，双方同意向重庆仲裁委员会申请仲裁。</w:t>
      </w:r>
    </w:p>
    <w:p w14:paraId="2334AD73">
      <w:pPr>
        <w:spacing w:line="400" w:lineRule="exact"/>
        <w:rPr>
          <w:color w:val="auto"/>
          <w:sz w:val="24"/>
          <w:szCs w:val="24"/>
        </w:rPr>
      </w:pPr>
      <w:r>
        <w:rPr>
          <w:rFonts w:hint="eastAsia"/>
          <w:color w:val="auto"/>
          <w:sz w:val="24"/>
          <w:szCs w:val="24"/>
        </w:rPr>
        <w:t>五 .未尽事宜，双方及时协商</w:t>
      </w:r>
    </w:p>
    <w:p w14:paraId="3071B3C6">
      <w:pPr>
        <w:spacing w:line="400" w:lineRule="exact"/>
        <w:rPr>
          <w:color w:val="auto"/>
          <w:sz w:val="24"/>
          <w:szCs w:val="24"/>
        </w:rPr>
      </w:pPr>
      <w:r>
        <w:rPr>
          <w:rFonts w:hint="eastAsia"/>
          <w:color w:val="auto"/>
          <w:sz w:val="24"/>
          <w:szCs w:val="24"/>
        </w:rPr>
        <w:t>六.协议有效期；</w:t>
      </w:r>
    </w:p>
    <w:p w14:paraId="0DF392A8">
      <w:pPr>
        <w:spacing w:line="400" w:lineRule="exact"/>
        <w:rPr>
          <w:color w:val="auto"/>
          <w:sz w:val="24"/>
          <w:szCs w:val="24"/>
        </w:rPr>
      </w:pPr>
      <w:r>
        <w:rPr>
          <w:rFonts w:hint="eastAsia"/>
          <w:color w:val="auto"/>
          <w:sz w:val="24"/>
          <w:szCs w:val="24"/>
        </w:rPr>
        <w:t>七.本协议一式两份，签字双方各一份，具有同等法律效力。</w:t>
      </w:r>
    </w:p>
    <w:p w14:paraId="4E28EFFD">
      <w:pPr>
        <w:spacing w:line="400" w:lineRule="exact"/>
        <w:rPr>
          <w:color w:val="auto"/>
          <w:sz w:val="24"/>
          <w:szCs w:val="24"/>
        </w:rPr>
      </w:pPr>
    </w:p>
    <w:p w14:paraId="58F3C80E">
      <w:pPr>
        <w:spacing w:line="400" w:lineRule="exact"/>
        <w:rPr>
          <w:color w:val="auto"/>
          <w:sz w:val="24"/>
          <w:szCs w:val="24"/>
        </w:rPr>
      </w:pPr>
      <w:r>
        <w:rPr>
          <w:rFonts w:hint="eastAsia"/>
          <w:color w:val="auto"/>
          <w:sz w:val="24"/>
          <w:szCs w:val="24"/>
        </w:rPr>
        <w:t>转出方：凯发新泉高阳污水处理（重庆）有限公司</w:t>
      </w:r>
    </w:p>
    <w:p w14:paraId="03BA45BF">
      <w:pPr>
        <w:spacing w:line="400" w:lineRule="exact"/>
        <w:rPr>
          <w:color w:val="auto"/>
          <w:sz w:val="24"/>
          <w:szCs w:val="24"/>
        </w:rPr>
      </w:pPr>
      <w:r>
        <w:rPr>
          <w:rFonts w:hint="eastAsia"/>
          <w:color w:val="auto"/>
          <w:sz w:val="24"/>
          <w:szCs w:val="24"/>
        </w:rPr>
        <w:t>代理人（签字）</w:t>
      </w:r>
    </w:p>
    <w:p w14:paraId="1972CB01">
      <w:pPr>
        <w:spacing w:line="400" w:lineRule="exact"/>
        <w:rPr>
          <w:color w:val="auto"/>
          <w:sz w:val="24"/>
          <w:szCs w:val="24"/>
        </w:rPr>
      </w:pPr>
      <w:r>
        <w:rPr>
          <w:rFonts w:hint="eastAsia"/>
          <w:color w:val="auto"/>
          <w:sz w:val="24"/>
          <w:szCs w:val="24"/>
        </w:rPr>
        <w:t>年   月   日</w:t>
      </w:r>
    </w:p>
    <w:p w14:paraId="4FEB30FC">
      <w:pPr>
        <w:spacing w:line="400" w:lineRule="exact"/>
        <w:rPr>
          <w:color w:val="auto"/>
          <w:sz w:val="24"/>
          <w:szCs w:val="24"/>
        </w:rPr>
      </w:pPr>
    </w:p>
    <w:p w14:paraId="35FEB41E">
      <w:pPr>
        <w:spacing w:line="400" w:lineRule="exact"/>
        <w:rPr>
          <w:color w:val="auto"/>
          <w:sz w:val="24"/>
          <w:szCs w:val="24"/>
        </w:rPr>
      </w:pPr>
      <w:r>
        <w:rPr>
          <w:rFonts w:hint="eastAsia"/>
          <w:color w:val="auto"/>
          <w:sz w:val="24"/>
          <w:szCs w:val="24"/>
        </w:rPr>
        <w:t>接受方：</w:t>
      </w:r>
    </w:p>
    <w:p w14:paraId="5DE5837E">
      <w:pPr>
        <w:spacing w:line="400" w:lineRule="exact"/>
        <w:rPr>
          <w:color w:val="auto"/>
          <w:sz w:val="24"/>
          <w:szCs w:val="24"/>
        </w:rPr>
      </w:pPr>
      <w:r>
        <w:rPr>
          <w:rFonts w:hint="eastAsia"/>
          <w:color w:val="auto"/>
          <w:sz w:val="24"/>
          <w:szCs w:val="24"/>
        </w:rPr>
        <w:t xml:space="preserve">代理人（签字）                  </w:t>
      </w:r>
    </w:p>
    <w:p w14:paraId="2CE69822">
      <w:pPr>
        <w:spacing w:line="400" w:lineRule="exact"/>
        <w:rPr>
          <w:color w:val="auto"/>
          <w:sz w:val="24"/>
          <w:szCs w:val="24"/>
        </w:rPr>
      </w:pPr>
      <w:r>
        <w:rPr>
          <w:rFonts w:hint="eastAsia"/>
          <w:color w:val="auto"/>
          <w:sz w:val="24"/>
          <w:szCs w:val="24"/>
        </w:rPr>
        <w:t xml:space="preserve">年   月   日 </w:t>
      </w:r>
    </w:p>
    <w:p w14:paraId="5FB7C910">
      <w:pPr>
        <w:rPr>
          <w:color w:val="auto"/>
          <w:sz w:val="24"/>
          <w:szCs w:val="24"/>
        </w:rPr>
      </w:pPr>
      <w:r>
        <w:rPr>
          <w:rFonts w:hint="eastAsia"/>
          <w:color w:val="auto"/>
          <w:sz w:val="24"/>
          <w:szCs w:val="24"/>
        </w:rPr>
        <w:t xml:space="preserve">                   </w:t>
      </w:r>
    </w:p>
    <w:p w14:paraId="21345ED2">
      <w:pPr>
        <w:rPr>
          <w:rFonts w:ascii="宋体" w:hAnsi="宋体" w:cs="宋体"/>
          <w:color w:val="auto"/>
          <w:sz w:val="21"/>
          <w:szCs w:val="21"/>
        </w:rPr>
        <w:sectPr>
          <w:footerReference r:id="rId8" w:type="default"/>
          <w:footerReference r:id="rId9" w:type="even"/>
          <w:type w:val="nextColumn"/>
          <w:pgSz w:w="11907" w:h="16840"/>
          <w:pgMar w:top="1134" w:right="1191" w:bottom="1134" w:left="1304" w:header="964" w:footer="992" w:gutter="0"/>
          <w:pgNumType w:fmt="numberInDash"/>
          <w:cols w:space="720" w:num="1"/>
          <w:docGrid w:linePitch="312" w:charSpace="0"/>
        </w:sectPr>
      </w:pPr>
      <w:r>
        <w:rPr>
          <w:rFonts w:hint="eastAsia"/>
          <w:b/>
          <w:bCs/>
          <w:color w:val="auto"/>
          <w:sz w:val="24"/>
          <w:szCs w:val="24"/>
        </w:rPr>
        <w:t>注：合同格式成交后据实调整</w:t>
      </w:r>
    </w:p>
    <w:p w14:paraId="60476D3D">
      <w:pPr>
        <w:pStyle w:val="2"/>
        <w:spacing w:beforeLines="0" w:afterLines="0" w:line="360" w:lineRule="auto"/>
        <w:rPr>
          <w:rFonts w:ascii="宋体" w:hAnsi="宋体" w:eastAsia="宋体" w:cs="宋体"/>
          <w:b/>
          <w:color w:val="auto"/>
        </w:rPr>
      </w:pPr>
      <w:bookmarkStart w:id="493" w:name="_Toc25727"/>
      <w:bookmarkStart w:id="494" w:name="_Toc9843"/>
      <w:bookmarkStart w:id="495" w:name="_Toc22748"/>
      <w:bookmarkStart w:id="496" w:name="_Toc106030416"/>
      <w:bookmarkStart w:id="497" w:name="_Toc14019"/>
      <w:bookmarkStart w:id="498" w:name="_Toc16203"/>
      <w:bookmarkStart w:id="499" w:name="_Toc8818"/>
      <w:bookmarkStart w:id="500" w:name="_Toc12202"/>
      <w:bookmarkStart w:id="501" w:name="_Toc19519"/>
      <w:bookmarkStart w:id="502" w:name="_Toc8114"/>
      <w:bookmarkStart w:id="503" w:name="_Toc75793539"/>
      <w:bookmarkStart w:id="504" w:name="_Toc12863"/>
      <w:bookmarkStart w:id="505" w:name="_Toc8132"/>
      <w:bookmarkStart w:id="506" w:name="_Toc31517"/>
      <w:bookmarkStart w:id="507" w:name="_Toc6992"/>
      <w:bookmarkStart w:id="508" w:name="_Toc14325"/>
      <w:r>
        <w:rPr>
          <w:rFonts w:hint="eastAsia" w:ascii="宋体" w:hAnsi="宋体" w:eastAsia="宋体" w:cs="宋体"/>
          <w:b/>
          <w:color w:val="auto"/>
        </w:rPr>
        <w:t>第七篇  投标文件格式</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4C71FEF5">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一、经济文件</w:t>
      </w:r>
    </w:p>
    <w:p w14:paraId="164060C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（一）开标一览表</w:t>
      </w:r>
    </w:p>
    <w:p w14:paraId="228489A4">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（二）分项报价明细表</w:t>
      </w:r>
    </w:p>
    <w:p w14:paraId="374CADCA">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二、服务内容及需求文件</w:t>
      </w:r>
    </w:p>
    <w:p w14:paraId="21FC06C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w:t>
      </w:r>
      <w:r>
        <w:rPr>
          <w:rFonts w:hint="eastAsia" w:ascii="宋体" w:hAnsi="宋体" w:cs="宋体"/>
          <w:color w:val="auto"/>
          <w:sz w:val="24"/>
          <w:szCs w:val="28"/>
        </w:rPr>
        <w:t>服务内容及需求条款差异表</w:t>
      </w:r>
    </w:p>
    <w:p w14:paraId="32A2B755">
      <w:pPr>
        <w:tabs>
          <w:tab w:val="left" w:pos="6300"/>
        </w:tabs>
        <w:snapToGrid w:val="0"/>
        <w:spacing w:line="500" w:lineRule="exact"/>
        <w:ind w:firstLine="480" w:firstLineChars="200"/>
        <w:rPr>
          <w:rFonts w:ascii="宋体" w:hAnsi="宋体" w:cs="宋体"/>
          <w:color w:val="auto"/>
        </w:rPr>
      </w:pPr>
      <w:r>
        <w:rPr>
          <w:rFonts w:hint="eastAsia" w:ascii="宋体" w:hAnsi="宋体" w:cs="宋体"/>
          <w:color w:val="auto"/>
          <w:sz w:val="24"/>
        </w:rPr>
        <w:t>（二）其他资料（格式自定）</w:t>
      </w:r>
    </w:p>
    <w:p w14:paraId="78ABC143">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三、商务文件</w:t>
      </w:r>
    </w:p>
    <w:p w14:paraId="7E453E8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（一）投标函（格式）</w:t>
      </w:r>
    </w:p>
    <w:p w14:paraId="7E0784F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（二）商务条款差异表</w:t>
      </w:r>
    </w:p>
    <w:p w14:paraId="50152E8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（三）其他商务资料</w:t>
      </w:r>
    </w:p>
    <w:p w14:paraId="43C4F640">
      <w:pPr>
        <w:tabs>
          <w:tab w:val="left" w:pos="1764"/>
        </w:tabs>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四、其他</w:t>
      </w:r>
    </w:p>
    <w:p w14:paraId="42528AB7">
      <w:pPr>
        <w:tabs>
          <w:tab w:val="left" w:pos="6300"/>
        </w:tabs>
        <w:snapToGrid w:val="0"/>
        <w:spacing w:line="400" w:lineRule="exact"/>
        <w:ind w:firstLine="480" w:firstLineChars="200"/>
        <w:jc w:val="left"/>
        <w:rPr>
          <w:rFonts w:ascii="宋体" w:hAnsi="宋体" w:cs="宋体"/>
          <w:color w:val="auto"/>
          <w:sz w:val="24"/>
          <w:szCs w:val="24"/>
        </w:rPr>
      </w:pPr>
      <w:r>
        <w:rPr>
          <w:rFonts w:hint="eastAsia" w:ascii="宋体" w:hAnsi="宋体" w:cs="宋体"/>
          <w:color w:val="auto"/>
          <w:sz w:val="24"/>
          <w:szCs w:val="24"/>
        </w:rPr>
        <w:t>（一）中小企业声明函、监狱企业证明文件、残疾人福利性单位声明函</w:t>
      </w:r>
    </w:p>
    <w:p w14:paraId="2D0EB55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（二）其他与项目有关的资料（自附）</w:t>
      </w:r>
    </w:p>
    <w:p w14:paraId="69B7DF37">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五、资格文件</w:t>
      </w:r>
    </w:p>
    <w:p w14:paraId="27EB0F5F">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（一）法人营业执照（副本）或事业单位法人证书（副本）或个体工商户营业执照或有效的自然人身份证明或社会团体法人登记证书复印件</w:t>
      </w:r>
    </w:p>
    <w:p w14:paraId="37BBBC4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（二）法定代表人身份证明书（格式）</w:t>
      </w:r>
    </w:p>
    <w:p w14:paraId="259FA6F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（三）法定代表人授权委托书（格式）</w:t>
      </w:r>
    </w:p>
    <w:p w14:paraId="483C187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（四）基本资格条件承诺函（格式）</w:t>
      </w:r>
    </w:p>
    <w:p w14:paraId="43A71CD7">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（五）特定资格条件证书或证明文件</w:t>
      </w:r>
    </w:p>
    <w:p w14:paraId="483BE57E">
      <w:pPr>
        <w:snapToGrid w:val="0"/>
        <w:spacing w:line="400" w:lineRule="exact"/>
        <w:ind w:firstLine="480" w:firstLineChars="200"/>
        <w:rPr>
          <w:rFonts w:ascii="宋体" w:hAnsi="宋体" w:cs="宋体"/>
          <w:color w:val="auto"/>
          <w:sz w:val="24"/>
          <w:szCs w:val="24"/>
        </w:rPr>
      </w:pPr>
    </w:p>
    <w:p w14:paraId="62637551">
      <w:pPr>
        <w:pStyle w:val="3"/>
        <w:pageBreakBefore/>
        <w:spacing w:line="500" w:lineRule="exact"/>
        <w:ind w:firstLine="562" w:firstLineChars="200"/>
        <w:rPr>
          <w:rFonts w:cs="宋体"/>
          <w:b/>
          <w:color w:val="auto"/>
          <w:szCs w:val="28"/>
        </w:rPr>
      </w:pPr>
      <w:bookmarkStart w:id="509" w:name="_Toc10124"/>
      <w:bookmarkStart w:id="510" w:name="_Toc13547"/>
      <w:bookmarkStart w:id="511" w:name="_Toc29821"/>
      <w:bookmarkStart w:id="512" w:name="_Toc14552"/>
      <w:bookmarkStart w:id="513" w:name="_Toc15893"/>
      <w:bookmarkStart w:id="514" w:name="_Toc21561"/>
      <w:bookmarkStart w:id="515" w:name="_Toc18349"/>
      <w:bookmarkStart w:id="516" w:name="_Toc31914"/>
      <w:bookmarkStart w:id="517" w:name="_Toc25659"/>
      <w:bookmarkStart w:id="518" w:name="_Toc106030417"/>
      <w:bookmarkStart w:id="519" w:name="_Toc14568"/>
      <w:bookmarkStart w:id="520" w:name="_Toc23361"/>
      <w:bookmarkStart w:id="521" w:name="_Toc27943"/>
      <w:bookmarkStart w:id="522" w:name="_Toc31828"/>
      <w:bookmarkStart w:id="523" w:name="_Toc27612"/>
      <w:bookmarkStart w:id="524" w:name="_Toc429584884"/>
      <w:bookmarkStart w:id="525" w:name="_Toc75793540"/>
      <w:r>
        <w:rPr>
          <w:rFonts w:hint="eastAsia" w:cs="宋体"/>
          <w:b/>
          <w:color w:val="auto"/>
          <w:szCs w:val="28"/>
        </w:rPr>
        <w:t>一、经济文件</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14:paraId="370644CF">
      <w:pPr>
        <w:snapToGrid w:val="0"/>
        <w:spacing w:line="500" w:lineRule="exact"/>
        <w:jc w:val="center"/>
        <w:rPr>
          <w:rFonts w:ascii="宋体" w:hAnsi="宋体" w:cs="宋体"/>
          <w:color w:val="auto"/>
          <w:szCs w:val="36"/>
        </w:rPr>
      </w:pPr>
      <w:r>
        <w:rPr>
          <w:rFonts w:hint="eastAsia" w:ascii="宋体" w:hAnsi="宋体" w:cs="宋体"/>
          <w:color w:val="auto"/>
          <w:szCs w:val="36"/>
        </w:rPr>
        <w:t>（一）开标一览表</w:t>
      </w:r>
    </w:p>
    <w:p w14:paraId="2F4CBB92">
      <w:pPr>
        <w:spacing w:line="500" w:lineRule="exact"/>
        <w:ind w:firstLine="240" w:firstLineChars="100"/>
        <w:rPr>
          <w:rFonts w:ascii="方正仿宋_GBK" w:hAnsi="宋体" w:eastAsia="方正仿宋_GBK"/>
          <w:color w:val="auto"/>
          <w:sz w:val="24"/>
          <w:szCs w:val="28"/>
        </w:rPr>
      </w:pPr>
      <w:r>
        <w:rPr>
          <w:rFonts w:hint="eastAsia" w:ascii="方正仿宋_GBK" w:hAnsi="宋体" w:eastAsia="方正仿宋_GBK"/>
          <w:color w:val="auto"/>
          <w:sz w:val="24"/>
          <w:szCs w:val="28"/>
        </w:rPr>
        <w:t>招标项目名称：</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835"/>
        <w:gridCol w:w="1559"/>
        <w:gridCol w:w="2999"/>
      </w:tblGrid>
      <w:tr w14:paraId="13BB3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235" w:type="dxa"/>
            <w:vAlign w:val="center"/>
          </w:tcPr>
          <w:p w14:paraId="30411546">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投标人名称</w:t>
            </w:r>
          </w:p>
        </w:tc>
        <w:tc>
          <w:tcPr>
            <w:tcW w:w="7393" w:type="dxa"/>
            <w:gridSpan w:val="3"/>
            <w:vAlign w:val="center"/>
          </w:tcPr>
          <w:p w14:paraId="2748AF1F">
            <w:pPr>
              <w:spacing w:line="500" w:lineRule="exact"/>
              <w:jc w:val="center"/>
              <w:rPr>
                <w:rFonts w:ascii="方正仿宋_GBK" w:hAnsi="宋体" w:eastAsia="方正仿宋_GBK"/>
                <w:color w:val="auto"/>
                <w:sz w:val="21"/>
                <w:szCs w:val="28"/>
              </w:rPr>
            </w:pPr>
          </w:p>
        </w:tc>
      </w:tr>
      <w:tr w14:paraId="3C4C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trPr>
        <w:tc>
          <w:tcPr>
            <w:tcW w:w="2235" w:type="dxa"/>
            <w:vAlign w:val="center"/>
          </w:tcPr>
          <w:p w14:paraId="41AF45DD">
            <w:pPr>
              <w:spacing w:line="500" w:lineRule="exact"/>
              <w:jc w:val="center"/>
              <w:rPr>
                <w:rFonts w:ascii="方正仿宋_GBK" w:hAnsi="宋体" w:eastAsia="方正仿宋_GBK"/>
                <w:color w:val="auto"/>
                <w:sz w:val="21"/>
                <w:szCs w:val="28"/>
              </w:rPr>
            </w:pPr>
            <w:r>
              <w:rPr>
                <w:rFonts w:hint="eastAsia" w:ascii="方正仿宋_GBK" w:eastAsia="方正仿宋_GBK"/>
                <w:color w:val="auto"/>
                <w:sz w:val="21"/>
                <w:szCs w:val="21"/>
              </w:rPr>
              <w:t>项目名称</w:t>
            </w:r>
          </w:p>
        </w:tc>
        <w:tc>
          <w:tcPr>
            <w:tcW w:w="2835" w:type="dxa"/>
            <w:vAlign w:val="center"/>
          </w:tcPr>
          <w:p w14:paraId="24352FF1">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项目内容</w:t>
            </w:r>
          </w:p>
        </w:tc>
        <w:tc>
          <w:tcPr>
            <w:tcW w:w="1559" w:type="dxa"/>
            <w:vAlign w:val="center"/>
          </w:tcPr>
          <w:p w14:paraId="53A35423">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数量</w:t>
            </w:r>
          </w:p>
        </w:tc>
        <w:tc>
          <w:tcPr>
            <w:tcW w:w="2999" w:type="dxa"/>
            <w:vAlign w:val="center"/>
          </w:tcPr>
          <w:p w14:paraId="71654214">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备注</w:t>
            </w:r>
          </w:p>
        </w:tc>
      </w:tr>
      <w:tr w14:paraId="00F3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trPr>
        <w:tc>
          <w:tcPr>
            <w:tcW w:w="2235" w:type="dxa"/>
            <w:vAlign w:val="center"/>
          </w:tcPr>
          <w:p w14:paraId="79828D94">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2</w:t>
            </w:r>
            <w:r>
              <w:rPr>
                <w:rFonts w:ascii="方正仿宋_GBK" w:hAnsi="宋体" w:eastAsia="方正仿宋_GBK"/>
                <w:color w:val="auto"/>
                <w:sz w:val="21"/>
                <w:szCs w:val="28"/>
              </w:rPr>
              <w:t>02</w:t>
            </w:r>
            <w:r>
              <w:rPr>
                <w:rFonts w:hint="eastAsia" w:ascii="方正仿宋_GBK" w:hAnsi="宋体" w:eastAsia="方正仿宋_GBK"/>
                <w:color w:val="auto"/>
                <w:sz w:val="21"/>
                <w:szCs w:val="28"/>
              </w:rPr>
              <w:t>5年一般工业固废污泥处置项目</w:t>
            </w:r>
          </w:p>
        </w:tc>
        <w:tc>
          <w:tcPr>
            <w:tcW w:w="2835" w:type="dxa"/>
            <w:vAlign w:val="center"/>
          </w:tcPr>
          <w:p w14:paraId="6A55AB8D">
            <w:pPr>
              <w:pStyle w:val="4"/>
              <w:spacing w:line="240" w:lineRule="atLeast"/>
              <w:ind w:firstLine="0"/>
              <w:outlineLvl w:val="0"/>
              <w:rPr>
                <w:rFonts w:ascii="方正仿宋_GBK" w:hAnsi="宋体" w:eastAsia="方正仿宋_GBK"/>
                <w:color w:val="auto"/>
                <w:sz w:val="21"/>
                <w:szCs w:val="28"/>
              </w:rPr>
            </w:pPr>
            <w:r>
              <w:rPr>
                <w:rFonts w:hint="eastAsia" w:ascii="方正仿宋_GBK" w:hAnsi="宋体" w:eastAsia="方正仿宋_GBK"/>
                <w:color w:val="auto"/>
                <w:sz w:val="21"/>
                <w:szCs w:val="28"/>
              </w:rPr>
              <w:t>一般工业固废污泥处置项目</w:t>
            </w:r>
          </w:p>
        </w:tc>
        <w:tc>
          <w:tcPr>
            <w:tcW w:w="1559" w:type="dxa"/>
            <w:vAlign w:val="center"/>
          </w:tcPr>
          <w:p w14:paraId="342E8CD7">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10000吨</w:t>
            </w:r>
          </w:p>
          <w:p w14:paraId="473A2B57">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（暂定）</w:t>
            </w:r>
          </w:p>
        </w:tc>
        <w:tc>
          <w:tcPr>
            <w:tcW w:w="2999" w:type="dxa"/>
          </w:tcPr>
          <w:p w14:paraId="0BE64706">
            <w:pPr>
              <w:spacing w:line="500" w:lineRule="exact"/>
              <w:rPr>
                <w:rFonts w:ascii="方正仿宋_GBK" w:hAnsi="宋体" w:eastAsia="方正仿宋_GBK"/>
                <w:color w:val="auto"/>
                <w:sz w:val="21"/>
                <w:szCs w:val="28"/>
              </w:rPr>
            </w:pPr>
            <w:r>
              <w:rPr>
                <w:rFonts w:hint="eastAsia" w:ascii="方正仿宋_GBK" w:hAnsi="宋体" w:eastAsia="方正仿宋_GBK"/>
                <w:color w:val="auto"/>
                <w:sz w:val="21"/>
                <w:szCs w:val="21"/>
              </w:rPr>
              <w:t>服务期：</w:t>
            </w:r>
            <w:r>
              <w:rPr>
                <w:rFonts w:ascii="方正仿宋_GBK" w:hAnsi="宋体" w:eastAsia="方正仿宋_GBK"/>
                <w:color w:val="auto"/>
                <w:sz w:val="21"/>
                <w:szCs w:val="21"/>
              </w:rPr>
              <w:t>1</w:t>
            </w:r>
            <w:r>
              <w:rPr>
                <w:rFonts w:hint="eastAsia" w:ascii="方正仿宋_GBK" w:hAnsi="宋体" w:eastAsia="方正仿宋_GBK"/>
                <w:color w:val="auto"/>
                <w:sz w:val="21"/>
                <w:szCs w:val="21"/>
              </w:rPr>
              <w:t>年；处置量暂定10000吨，</w:t>
            </w:r>
            <w:r>
              <w:rPr>
                <w:rFonts w:hint="eastAsia" w:ascii="方正仿宋_GBK" w:hAnsi="宋体" w:eastAsia="方正仿宋_GBK" w:cs="宋体"/>
                <w:color w:val="auto"/>
                <w:kern w:val="0"/>
                <w:sz w:val="21"/>
                <w:szCs w:val="21"/>
              </w:rPr>
              <w:t>实际结算价以合同有效期内最终处置量乘以采购成交单价为准。</w:t>
            </w:r>
          </w:p>
        </w:tc>
      </w:tr>
      <w:tr w14:paraId="11C7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vAlign w:val="center"/>
          </w:tcPr>
          <w:p w14:paraId="0666131A">
            <w:pPr>
              <w:spacing w:line="560" w:lineRule="exact"/>
              <w:rPr>
                <w:rFonts w:ascii="方正仿宋_GBK" w:hAnsi="宋体" w:eastAsia="方正仿宋_GBK"/>
                <w:color w:val="auto"/>
                <w:sz w:val="21"/>
                <w:szCs w:val="28"/>
              </w:rPr>
            </w:pPr>
            <w:r>
              <w:rPr>
                <w:rFonts w:hint="eastAsia" w:ascii="方正仿宋_GBK" w:hAnsi="宋体" w:eastAsia="方正仿宋_GBK"/>
                <w:color w:val="auto"/>
                <w:sz w:val="21"/>
                <w:szCs w:val="28"/>
              </w:rPr>
              <w:t>投标报价（小写）：        元/吨</w:t>
            </w:r>
          </w:p>
        </w:tc>
      </w:tr>
      <w:tr w14:paraId="320BB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vAlign w:val="center"/>
          </w:tcPr>
          <w:p w14:paraId="6EEE0397">
            <w:pPr>
              <w:spacing w:line="560" w:lineRule="exact"/>
              <w:rPr>
                <w:rFonts w:ascii="方正仿宋_GBK" w:hAnsi="宋体" w:eastAsia="方正仿宋_GBK"/>
                <w:color w:val="auto"/>
                <w:sz w:val="21"/>
                <w:szCs w:val="28"/>
              </w:rPr>
            </w:pPr>
            <w:r>
              <w:rPr>
                <w:rFonts w:hint="eastAsia" w:ascii="方正仿宋_GBK" w:hAnsi="宋体" w:eastAsia="方正仿宋_GBK"/>
                <w:color w:val="auto"/>
                <w:sz w:val="21"/>
                <w:szCs w:val="28"/>
              </w:rPr>
              <w:t xml:space="preserve">投标报价（大写）：                           </w:t>
            </w:r>
          </w:p>
        </w:tc>
      </w:tr>
      <w:tr w14:paraId="7929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vAlign w:val="center"/>
          </w:tcPr>
          <w:p w14:paraId="0D4843C9">
            <w:pPr>
              <w:pStyle w:val="9"/>
              <w:spacing w:line="500" w:lineRule="exact"/>
              <w:rPr>
                <w:rFonts w:ascii="方正仿宋_GBK" w:hAnsi="宋体" w:eastAsia="方正仿宋_GBK"/>
                <w:color w:val="auto"/>
                <w:sz w:val="21"/>
                <w:szCs w:val="28"/>
              </w:rPr>
            </w:pPr>
            <w:r>
              <w:rPr>
                <w:rFonts w:hint="eastAsia" w:ascii="方正仿宋_GBK" w:hAnsi="仿宋" w:eastAsia="方正仿宋_GBK"/>
                <w:color w:val="auto"/>
                <w:sz w:val="21"/>
                <w:szCs w:val="28"/>
              </w:rPr>
              <w:t>备注：</w:t>
            </w:r>
            <w:r>
              <w:rPr>
                <w:rFonts w:hint="eastAsia" w:ascii="方正仿宋_GBK" w:hAnsi="宋体" w:eastAsia="方正仿宋_GBK"/>
                <w:color w:val="auto"/>
                <w:sz w:val="21"/>
                <w:szCs w:val="28"/>
              </w:rPr>
              <w:t xml:space="preserve"> </w:t>
            </w:r>
          </w:p>
        </w:tc>
      </w:tr>
    </w:tbl>
    <w:p w14:paraId="50F5A820">
      <w:pPr>
        <w:rPr>
          <w:rFonts w:ascii="宋体" w:hAnsi="宋体" w:cs="宋体"/>
          <w:color w:val="auto"/>
        </w:rPr>
      </w:pPr>
    </w:p>
    <w:p w14:paraId="0CF386D2">
      <w:pPr>
        <w:spacing w:line="500" w:lineRule="exact"/>
        <w:rPr>
          <w:rFonts w:ascii="宋体" w:hAnsi="宋体" w:cs="宋体"/>
          <w:color w:val="auto"/>
          <w:sz w:val="24"/>
          <w:szCs w:val="28"/>
        </w:rPr>
      </w:pPr>
    </w:p>
    <w:p w14:paraId="1DA1A6F6">
      <w:pPr>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778A742D">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3D96A63E">
      <w:pPr>
        <w:spacing w:line="500" w:lineRule="exact"/>
        <w:rPr>
          <w:rFonts w:ascii="宋体" w:hAnsi="宋体" w:cs="宋体"/>
          <w:color w:val="auto"/>
          <w:sz w:val="24"/>
          <w:szCs w:val="28"/>
        </w:rPr>
      </w:pPr>
    </w:p>
    <w:p w14:paraId="4BB13EC2">
      <w:pPr>
        <w:spacing w:line="500" w:lineRule="exact"/>
        <w:rPr>
          <w:rFonts w:ascii="宋体" w:hAnsi="宋体" w:cs="宋体"/>
          <w:color w:val="auto"/>
          <w:sz w:val="24"/>
          <w:szCs w:val="28"/>
        </w:rPr>
      </w:pPr>
    </w:p>
    <w:p w14:paraId="5B8358C9">
      <w:pPr>
        <w:spacing w:line="500" w:lineRule="exact"/>
        <w:rPr>
          <w:rFonts w:ascii="宋体" w:hAnsi="宋体" w:cs="宋体"/>
          <w:color w:val="auto"/>
          <w:sz w:val="24"/>
          <w:szCs w:val="28"/>
        </w:rPr>
      </w:pPr>
      <w:r>
        <w:rPr>
          <w:rFonts w:hint="eastAsia" w:ascii="宋体" w:hAnsi="宋体" w:cs="宋体"/>
          <w:color w:val="auto"/>
          <w:sz w:val="24"/>
          <w:szCs w:val="28"/>
        </w:rPr>
        <w:t xml:space="preserve">                                            年     月     日</w:t>
      </w:r>
    </w:p>
    <w:p w14:paraId="6D93F85D">
      <w:pPr>
        <w:snapToGrid w:val="0"/>
        <w:spacing w:line="500" w:lineRule="exact"/>
        <w:ind w:firstLine="480" w:firstLineChars="200"/>
        <w:rPr>
          <w:rFonts w:ascii="宋体" w:hAnsi="宋体" w:cs="宋体"/>
          <w:color w:val="auto"/>
          <w:sz w:val="24"/>
          <w:szCs w:val="28"/>
        </w:rPr>
      </w:pPr>
    </w:p>
    <w:p w14:paraId="60B655C3">
      <w:pPr>
        <w:snapToGrid w:val="0"/>
        <w:spacing w:line="500" w:lineRule="exact"/>
        <w:ind w:firstLine="480" w:firstLineChars="200"/>
        <w:rPr>
          <w:rFonts w:ascii="宋体" w:hAnsi="宋体" w:cs="宋体"/>
          <w:color w:val="auto"/>
          <w:sz w:val="24"/>
          <w:szCs w:val="28"/>
        </w:rPr>
      </w:pPr>
    </w:p>
    <w:p w14:paraId="4A2CAAE2">
      <w:pPr>
        <w:snapToGrid w:val="0"/>
        <w:spacing w:line="500" w:lineRule="exact"/>
        <w:ind w:firstLine="480" w:firstLineChars="200"/>
        <w:rPr>
          <w:rFonts w:ascii="宋体" w:hAnsi="宋体" w:cs="宋体"/>
          <w:color w:val="auto"/>
          <w:sz w:val="24"/>
          <w:szCs w:val="28"/>
        </w:rPr>
      </w:pPr>
    </w:p>
    <w:p w14:paraId="4430E26F">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说明：</w:t>
      </w:r>
    </w:p>
    <w:p w14:paraId="22F92812">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1.开标一览表按格式填列；</w:t>
      </w:r>
    </w:p>
    <w:p w14:paraId="4EC4FF08">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2.开标一览表在开标大会上当众宣读，务必填写清楚，准确无误；</w:t>
      </w:r>
    </w:p>
    <w:p w14:paraId="7EA70CB7">
      <w:pPr>
        <w:snapToGrid w:val="0"/>
        <w:spacing w:line="400" w:lineRule="exact"/>
        <w:ind w:firstLine="560" w:firstLineChars="200"/>
        <w:rPr>
          <w:rFonts w:ascii="宋体" w:hAnsi="宋体" w:cs="宋体"/>
          <w:color w:val="auto"/>
          <w:sz w:val="24"/>
          <w:szCs w:val="28"/>
        </w:rPr>
      </w:pPr>
      <w:r>
        <w:rPr>
          <w:rFonts w:hint="eastAsia" w:ascii="宋体" w:hAnsi="宋体" w:cs="宋体"/>
          <w:color w:val="auto"/>
          <w:szCs w:val="28"/>
        </w:rPr>
        <w:br w:type="page"/>
      </w:r>
      <w:r>
        <w:rPr>
          <w:rFonts w:hint="eastAsia" w:ascii="宋体" w:hAnsi="宋体" w:cs="宋体"/>
          <w:color w:val="auto"/>
          <w:sz w:val="24"/>
          <w:szCs w:val="28"/>
        </w:rPr>
        <w:t>（二）分项报价明细表</w:t>
      </w:r>
    </w:p>
    <w:p w14:paraId="7C10259A">
      <w:pPr>
        <w:snapToGrid w:val="0"/>
        <w:spacing w:line="400" w:lineRule="exact"/>
        <w:ind w:firstLine="482" w:firstLineChars="200"/>
        <w:jc w:val="center"/>
        <w:rPr>
          <w:rFonts w:ascii="宋体" w:hAnsi="宋体" w:cs="宋体"/>
          <w:b/>
          <w:bCs/>
          <w:color w:val="auto"/>
          <w:sz w:val="24"/>
          <w:szCs w:val="28"/>
        </w:rPr>
      </w:pPr>
    </w:p>
    <w:p w14:paraId="7CFCD3A1">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招标项目名称：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416EC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vAlign w:val="center"/>
          </w:tcPr>
          <w:p w14:paraId="2D697010">
            <w:pPr>
              <w:jc w:val="center"/>
              <w:rPr>
                <w:rFonts w:ascii="宋体" w:hAnsi="宋体" w:cs="宋体"/>
                <w:b/>
                <w:color w:val="auto"/>
                <w:sz w:val="21"/>
                <w:szCs w:val="21"/>
              </w:rPr>
            </w:pPr>
            <w:r>
              <w:rPr>
                <w:rFonts w:hint="eastAsia" w:ascii="宋体" w:hAnsi="宋体" w:cs="宋体"/>
                <w:b/>
                <w:color w:val="auto"/>
                <w:sz w:val="21"/>
                <w:szCs w:val="21"/>
              </w:rPr>
              <w:t>序号</w:t>
            </w:r>
          </w:p>
        </w:tc>
        <w:tc>
          <w:tcPr>
            <w:tcW w:w="1557" w:type="dxa"/>
            <w:vAlign w:val="center"/>
          </w:tcPr>
          <w:p w14:paraId="42E855E6">
            <w:pPr>
              <w:jc w:val="center"/>
              <w:rPr>
                <w:rFonts w:ascii="宋体" w:hAnsi="宋体" w:cs="宋体"/>
                <w:b/>
                <w:color w:val="auto"/>
                <w:sz w:val="21"/>
                <w:szCs w:val="21"/>
              </w:rPr>
            </w:pPr>
            <w:r>
              <w:rPr>
                <w:rFonts w:hint="eastAsia" w:ascii="宋体" w:hAnsi="宋体" w:cs="宋体"/>
                <w:b/>
                <w:color w:val="auto"/>
                <w:sz w:val="21"/>
                <w:szCs w:val="21"/>
              </w:rPr>
              <w:t>名称</w:t>
            </w:r>
          </w:p>
        </w:tc>
        <w:tc>
          <w:tcPr>
            <w:tcW w:w="3127" w:type="dxa"/>
            <w:vAlign w:val="center"/>
          </w:tcPr>
          <w:p w14:paraId="4F73DAD4">
            <w:pPr>
              <w:jc w:val="center"/>
              <w:rPr>
                <w:rFonts w:ascii="宋体" w:hAnsi="宋体" w:cs="宋体"/>
                <w:b/>
                <w:color w:val="auto"/>
                <w:sz w:val="21"/>
                <w:szCs w:val="21"/>
              </w:rPr>
            </w:pPr>
            <w:r>
              <w:rPr>
                <w:rFonts w:hint="eastAsia" w:ascii="宋体" w:hAnsi="宋体" w:cs="宋体"/>
                <w:b/>
                <w:color w:val="auto"/>
                <w:sz w:val="21"/>
                <w:szCs w:val="21"/>
              </w:rPr>
              <w:t>相关信息</w:t>
            </w:r>
          </w:p>
        </w:tc>
        <w:tc>
          <w:tcPr>
            <w:tcW w:w="1235" w:type="dxa"/>
            <w:vAlign w:val="center"/>
          </w:tcPr>
          <w:p w14:paraId="793659FC">
            <w:pPr>
              <w:jc w:val="center"/>
              <w:rPr>
                <w:rFonts w:ascii="宋体" w:hAnsi="宋体" w:cs="宋体"/>
                <w:b/>
                <w:color w:val="auto"/>
                <w:sz w:val="21"/>
                <w:szCs w:val="21"/>
              </w:rPr>
            </w:pPr>
            <w:r>
              <w:rPr>
                <w:rFonts w:hint="eastAsia" w:ascii="宋体" w:hAnsi="宋体" w:cs="宋体"/>
                <w:b/>
                <w:color w:val="auto"/>
                <w:sz w:val="21"/>
                <w:szCs w:val="21"/>
              </w:rPr>
              <w:t>数量</w:t>
            </w:r>
          </w:p>
        </w:tc>
        <w:tc>
          <w:tcPr>
            <w:tcW w:w="1235" w:type="dxa"/>
            <w:vAlign w:val="center"/>
          </w:tcPr>
          <w:p w14:paraId="58BE9FEB">
            <w:pPr>
              <w:jc w:val="center"/>
              <w:rPr>
                <w:rFonts w:ascii="宋体" w:hAnsi="宋体" w:cs="宋体"/>
                <w:b/>
                <w:color w:val="auto"/>
                <w:sz w:val="21"/>
                <w:szCs w:val="21"/>
              </w:rPr>
            </w:pPr>
            <w:r>
              <w:rPr>
                <w:rFonts w:hint="eastAsia" w:ascii="宋体" w:hAnsi="宋体" w:cs="宋体"/>
                <w:b/>
                <w:color w:val="auto"/>
                <w:sz w:val="21"/>
                <w:szCs w:val="21"/>
              </w:rPr>
              <w:t>单价</w:t>
            </w:r>
          </w:p>
        </w:tc>
        <w:tc>
          <w:tcPr>
            <w:tcW w:w="1235" w:type="dxa"/>
            <w:vAlign w:val="center"/>
          </w:tcPr>
          <w:p w14:paraId="3E2E0630">
            <w:pPr>
              <w:jc w:val="center"/>
              <w:rPr>
                <w:rFonts w:ascii="宋体" w:hAnsi="宋体" w:cs="宋体"/>
                <w:b/>
                <w:color w:val="auto"/>
                <w:sz w:val="21"/>
                <w:szCs w:val="21"/>
              </w:rPr>
            </w:pPr>
            <w:r>
              <w:rPr>
                <w:rFonts w:hint="eastAsia" w:ascii="宋体" w:hAnsi="宋体" w:cs="宋体"/>
                <w:b/>
                <w:color w:val="auto"/>
                <w:sz w:val="21"/>
                <w:szCs w:val="21"/>
              </w:rPr>
              <w:t>合计</w:t>
            </w:r>
          </w:p>
        </w:tc>
      </w:tr>
      <w:tr w14:paraId="0DC6B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49ADA99">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w:t>
            </w:r>
          </w:p>
        </w:tc>
        <w:tc>
          <w:tcPr>
            <w:tcW w:w="1557" w:type="dxa"/>
            <w:vAlign w:val="center"/>
          </w:tcPr>
          <w:p w14:paraId="61601CE1">
            <w:pPr>
              <w:jc w:val="center"/>
              <w:rPr>
                <w:rFonts w:ascii="宋体" w:hAnsi="宋体" w:cs="宋体"/>
                <w:color w:val="auto"/>
                <w:sz w:val="21"/>
                <w:szCs w:val="21"/>
              </w:rPr>
            </w:pPr>
          </w:p>
        </w:tc>
        <w:tc>
          <w:tcPr>
            <w:tcW w:w="3127" w:type="dxa"/>
          </w:tcPr>
          <w:p w14:paraId="4E5D8DB7">
            <w:pPr>
              <w:jc w:val="center"/>
              <w:rPr>
                <w:rFonts w:ascii="宋体" w:hAnsi="宋体" w:cs="宋体"/>
                <w:color w:val="auto"/>
                <w:sz w:val="21"/>
                <w:szCs w:val="21"/>
              </w:rPr>
            </w:pPr>
          </w:p>
        </w:tc>
        <w:tc>
          <w:tcPr>
            <w:tcW w:w="1235" w:type="dxa"/>
            <w:vAlign w:val="center"/>
          </w:tcPr>
          <w:p w14:paraId="6D6E96C0">
            <w:pPr>
              <w:jc w:val="center"/>
              <w:rPr>
                <w:rFonts w:ascii="宋体" w:hAnsi="宋体" w:cs="宋体"/>
                <w:color w:val="auto"/>
                <w:sz w:val="21"/>
                <w:szCs w:val="21"/>
              </w:rPr>
            </w:pPr>
          </w:p>
        </w:tc>
        <w:tc>
          <w:tcPr>
            <w:tcW w:w="1235" w:type="dxa"/>
          </w:tcPr>
          <w:p w14:paraId="7B140117">
            <w:pPr>
              <w:jc w:val="center"/>
              <w:rPr>
                <w:rFonts w:ascii="宋体" w:hAnsi="宋体" w:cs="宋体"/>
                <w:color w:val="auto"/>
                <w:sz w:val="21"/>
                <w:szCs w:val="21"/>
              </w:rPr>
            </w:pPr>
          </w:p>
        </w:tc>
        <w:tc>
          <w:tcPr>
            <w:tcW w:w="1235" w:type="dxa"/>
          </w:tcPr>
          <w:p w14:paraId="29245B97">
            <w:pPr>
              <w:jc w:val="center"/>
              <w:rPr>
                <w:rFonts w:ascii="宋体" w:hAnsi="宋体" w:cs="宋体"/>
                <w:color w:val="auto"/>
                <w:sz w:val="21"/>
                <w:szCs w:val="21"/>
              </w:rPr>
            </w:pPr>
          </w:p>
        </w:tc>
      </w:tr>
      <w:tr w14:paraId="705E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D8C6D91">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2</w:t>
            </w:r>
          </w:p>
        </w:tc>
        <w:tc>
          <w:tcPr>
            <w:tcW w:w="1557" w:type="dxa"/>
            <w:vAlign w:val="center"/>
          </w:tcPr>
          <w:p w14:paraId="4A43ED6E">
            <w:pPr>
              <w:jc w:val="center"/>
              <w:rPr>
                <w:rFonts w:ascii="宋体" w:hAnsi="宋体" w:cs="宋体"/>
                <w:color w:val="auto"/>
                <w:sz w:val="21"/>
                <w:szCs w:val="21"/>
              </w:rPr>
            </w:pPr>
          </w:p>
        </w:tc>
        <w:tc>
          <w:tcPr>
            <w:tcW w:w="3127" w:type="dxa"/>
          </w:tcPr>
          <w:p w14:paraId="3431D3B1">
            <w:pPr>
              <w:jc w:val="center"/>
              <w:rPr>
                <w:rFonts w:ascii="宋体" w:hAnsi="宋体" w:cs="宋体"/>
                <w:color w:val="auto"/>
                <w:sz w:val="21"/>
                <w:szCs w:val="21"/>
              </w:rPr>
            </w:pPr>
          </w:p>
        </w:tc>
        <w:tc>
          <w:tcPr>
            <w:tcW w:w="1235" w:type="dxa"/>
            <w:vAlign w:val="center"/>
          </w:tcPr>
          <w:p w14:paraId="0152DF41">
            <w:pPr>
              <w:jc w:val="center"/>
              <w:rPr>
                <w:rFonts w:ascii="宋体" w:hAnsi="宋体" w:cs="宋体"/>
                <w:color w:val="auto"/>
                <w:sz w:val="21"/>
                <w:szCs w:val="21"/>
              </w:rPr>
            </w:pPr>
          </w:p>
        </w:tc>
        <w:tc>
          <w:tcPr>
            <w:tcW w:w="1235" w:type="dxa"/>
          </w:tcPr>
          <w:p w14:paraId="204B2531">
            <w:pPr>
              <w:jc w:val="center"/>
              <w:rPr>
                <w:rFonts w:ascii="宋体" w:hAnsi="宋体" w:cs="宋体"/>
                <w:color w:val="auto"/>
                <w:sz w:val="21"/>
                <w:szCs w:val="21"/>
              </w:rPr>
            </w:pPr>
          </w:p>
        </w:tc>
        <w:tc>
          <w:tcPr>
            <w:tcW w:w="1235" w:type="dxa"/>
          </w:tcPr>
          <w:p w14:paraId="0F4D0575">
            <w:pPr>
              <w:jc w:val="center"/>
              <w:rPr>
                <w:rFonts w:ascii="宋体" w:hAnsi="宋体" w:cs="宋体"/>
                <w:color w:val="auto"/>
                <w:sz w:val="21"/>
                <w:szCs w:val="21"/>
              </w:rPr>
            </w:pPr>
          </w:p>
        </w:tc>
      </w:tr>
      <w:tr w14:paraId="652BE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71AC408D">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3</w:t>
            </w:r>
          </w:p>
        </w:tc>
        <w:tc>
          <w:tcPr>
            <w:tcW w:w="1557" w:type="dxa"/>
            <w:vAlign w:val="center"/>
          </w:tcPr>
          <w:p w14:paraId="063221C4">
            <w:pPr>
              <w:jc w:val="center"/>
              <w:rPr>
                <w:rFonts w:ascii="宋体" w:hAnsi="宋体" w:cs="宋体"/>
                <w:color w:val="auto"/>
                <w:sz w:val="21"/>
                <w:szCs w:val="21"/>
              </w:rPr>
            </w:pPr>
          </w:p>
        </w:tc>
        <w:tc>
          <w:tcPr>
            <w:tcW w:w="3127" w:type="dxa"/>
          </w:tcPr>
          <w:p w14:paraId="32C54EBF">
            <w:pPr>
              <w:jc w:val="center"/>
              <w:rPr>
                <w:rFonts w:ascii="宋体" w:hAnsi="宋体" w:cs="宋体"/>
                <w:color w:val="auto"/>
                <w:sz w:val="21"/>
                <w:szCs w:val="21"/>
              </w:rPr>
            </w:pPr>
          </w:p>
        </w:tc>
        <w:tc>
          <w:tcPr>
            <w:tcW w:w="1235" w:type="dxa"/>
            <w:vAlign w:val="center"/>
          </w:tcPr>
          <w:p w14:paraId="2351CFBA">
            <w:pPr>
              <w:jc w:val="center"/>
              <w:rPr>
                <w:rFonts w:ascii="宋体" w:hAnsi="宋体" w:cs="宋体"/>
                <w:color w:val="auto"/>
                <w:sz w:val="21"/>
                <w:szCs w:val="21"/>
              </w:rPr>
            </w:pPr>
          </w:p>
        </w:tc>
        <w:tc>
          <w:tcPr>
            <w:tcW w:w="1235" w:type="dxa"/>
          </w:tcPr>
          <w:p w14:paraId="481973FE">
            <w:pPr>
              <w:jc w:val="center"/>
              <w:rPr>
                <w:rFonts w:ascii="宋体" w:hAnsi="宋体" w:cs="宋体"/>
                <w:color w:val="auto"/>
                <w:sz w:val="21"/>
                <w:szCs w:val="21"/>
              </w:rPr>
            </w:pPr>
          </w:p>
        </w:tc>
        <w:tc>
          <w:tcPr>
            <w:tcW w:w="1235" w:type="dxa"/>
          </w:tcPr>
          <w:p w14:paraId="2519B7D9">
            <w:pPr>
              <w:jc w:val="center"/>
              <w:rPr>
                <w:rFonts w:ascii="宋体" w:hAnsi="宋体" w:cs="宋体"/>
                <w:color w:val="auto"/>
                <w:sz w:val="21"/>
                <w:szCs w:val="21"/>
              </w:rPr>
            </w:pPr>
          </w:p>
        </w:tc>
      </w:tr>
      <w:tr w14:paraId="7226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75A48CF9">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4</w:t>
            </w:r>
          </w:p>
        </w:tc>
        <w:tc>
          <w:tcPr>
            <w:tcW w:w="1557" w:type="dxa"/>
            <w:vAlign w:val="center"/>
          </w:tcPr>
          <w:p w14:paraId="3471A957">
            <w:pPr>
              <w:jc w:val="center"/>
              <w:rPr>
                <w:rFonts w:ascii="宋体" w:hAnsi="宋体" w:cs="宋体"/>
                <w:color w:val="auto"/>
                <w:sz w:val="21"/>
                <w:szCs w:val="21"/>
              </w:rPr>
            </w:pPr>
          </w:p>
        </w:tc>
        <w:tc>
          <w:tcPr>
            <w:tcW w:w="3127" w:type="dxa"/>
          </w:tcPr>
          <w:p w14:paraId="073E85B3">
            <w:pPr>
              <w:jc w:val="center"/>
              <w:rPr>
                <w:rFonts w:ascii="宋体" w:hAnsi="宋体" w:cs="宋体"/>
                <w:color w:val="auto"/>
                <w:sz w:val="21"/>
                <w:szCs w:val="21"/>
              </w:rPr>
            </w:pPr>
          </w:p>
        </w:tc>
        <w:tc>
          <w:tcPr>
            <w:tcW w:w="1235" w:type="dxa"/>
            <w:vAlign w:val="center"/>
          </w:tcPr>
          <w:p w14:paraId="365AE5D8">
            <w:pPr>
              <w:jc w:val="center"/>
              <w:rPr>
                <w:rFonts w:ascii="宋体" w:hAnsi="宋体" w:cs="宋体"/>
                <w:color w:val="auto"/>
                <w:sz w:val="21"/>
                <w:szCs w:val="21"/>
              </w:rPr>
            </w:pPr>
          </w:p>
        </w:tc>
        <w:tc>
          <w:tcPr>
            <w:tcW w:w="1235" w:type="dxa"/>
          </w:tcPr>
          <w:p w14:paraId="101CB6BC">
            <w:pPr>
              <w:jc w:val="center"/>
              <w:rPr>
                <w:rFonts w:ascii="宋体" w:hAnsi="宋体" w:cs="宋体"/>
                <w:color w:val="auto"/>
                <w:sz w:val="21"/>
                <w:szCs w:val="21"/>
              </w:rPr>
            </w:pPr>
          </w:p>
        </w:tc>
        <w:tc>
          <w:tcPr>
            <w:tcW w:w="1235" w:type="dxa"/>
          </w:tcPr>
          <w:p w14:paraId="2AE32235">
            <w:pPr>
              <w:jc w:val="center"/>
              <w:rPr>
                <w:rFonts w:ascii="宋体" w:hAnsi="宋体" w:cs="宋体"/>
                <w:color w:val="auto"/>
                <w:sz w:val="21"/>
                <w:szCs w:val="21"/>
              </w:rPr>
            </w:pPr>
          </w:p>
        </w:tc>
      </w:tr>
      <w:tr w14:paraId="71BA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B16F235">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5</w:t>
            </w:r>
          </w:p>
        </w:tc>
        <w:tc>
          <w:tcPr>
            <w:tcW w:w="1557" w:type="dxa"/>
            <w:vAlign w:val="center"/>
          </w:tcPr>
          <w:p w14:paraId="029BFDFB">
            <w:pPr>
              <w:jc w:val="center"/>
              <w:rPr>
                <w:rFonts w:ascii="宋体" w:hAnsi="宋体" w:cs="宋体"/>
                <w:color w:val="auto"/>
                <w:sz w:val="21"/>
                <w:szCs w:val="21"/>
              </w:rPr>
            </w:pPr>
          </w:p>
        </w:tc>
        <w:tc>
          <w:tcPr>
            <w:tcW w:w="3127" w:type="dxa"/>
          </w:tcPr>
          <w:p w14:paraId="562FBC62">
            <w:pPr>
              <w:jc w:val="center"/>
              <w:rPr>
                <w:rFonts w:ascii="宋体" w:hAnsi="宋体" w:cs="宋体"/>
                <w:color w:val="auto"/>
                <w:sz w:val="21"/>
                <w:szCs w:val="21"/>
              </w:rPr>
            </w:pPr>
          </w:p>
        </w:tc>
        <w:tc>
          <w:tcPr>
            <w:tcW w:w="1235" w:type="dxa"/>
            <w:vAlign w:val="center"/>
          </w:tcPr>
          <w:p w14:paraId="2C4ABEA6">
            <w:pPr>
              <w:jc w:val="center"/>
              <w:rPr>
                <w:rFonts w:ascii="宋体" w:hAnsi="宋体" w:cs="宋体"/>
                <w:color w:val="auto"/>
                <w:sz w:val="21"/>
                <w:szCs w:val="21"/>
              </w:rPr>
            </w:pPr>
          </w:p>
        </w:tc>
        <w:tc>
          <w:tcPr>
            <w:tcW w:w="1235" w:type="dxa"/>
          </w:tcPr>
          <w:p w14:paraId="5685B865">
            <w:pPr>
              <w:jc w:val="center"/>
              <w:rPr>
                <w:rFonts w:ascii="宋体" w:hAnsi="宋体" w:cs="宋体"/>
                <w:color w:val="auto"/>
                <w:sz w:val="21"/>
                <w:szCs w:val="21"/>
              </w:rPr>
            </w:pPr>
          </w:p>
        </w:tc>
        <w:tc>
          <w:tcPr>
            <w:tcW w:w="1235" w:type="dxa"/>
          </w:tcPr>
          <w:p w14:paraId="4533EED6">
            <w:pPr>
              <w:jc w:val="center"/>
              <w:rPr>
                <w:rFonts w:ascii="宋体" w:hAnsi="宋体" w:cs="宋体"/>
                <w:color w:val="auto"/>
                <w:sz w:val="21"/>
                <w:szCs w:val="21"/>
              </w:rPr>
            </w:pPr>
          </w:p>
        </w:tc>
      </w:tr>
      <w:tr w14:paraId="4E4D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1786733">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6</w:t>
            </w:r>
          </w:p>
        </w:tc>
        <w:tc>
          <w:tcPr>
            <w:tcW w:w="1557" w:type="dxa"/>
            <w:vAlign w:val="center"/>
          </w:tcPr>
          <w:p w14:paraId="185764AF">
            <w:pPr>
              <w:jc w:val="center"/>
              <w:rPr>
                <w:rFonts w:ascii="宋体" w:hAnsi="宋体" w:cs="宋体"/>
                <w:color w:val="auto"/>
                <w:sz w:val="21"/>
                <w:szCs w:val="21"/>
              </w:rPr>
            </w:pPr>
          </w:p>
        </w:tc>
        <w:tc>
          <w:tcPr>
            <w:tcW w:w="3127" w:type="dxa"/>
          </w:tcPr>
          <w:p w14:paraId="764D05B2">
            <w:pPr>
              <w:jc w:val="center"/>
              <w:rPr>
                <w:rFonts w:ascii="宋体" w:hAnsi="宋体" w:cs="宋体"/>
                <w:color w:val="auto"/>
                <w:sz w:val="21"/>
                <w:szCs w:val="21"/>
              </w:rPr>
            </w:pPr>
          </w:p>
        </w:tc>
        <w:tc>
          <w:tcPr>
            <w:tcW w:w="1235" w:type="dxa"/>
            <w:vAlign w:val="center"/>
          </w:tcPr>
          <w:p w14:paraId="4ED05F74">
            <w:pPr>
              <w:jc w:val="center"/>
              <w:rPr>
                <w:rFonts w:ascii="宋体" w:hAnsi="宋体" w:cs="宋体"/>
                <w:color w:val="auto"/>
                <w:sz w:val="21"/>
                <w:szCs w:val="21"/>
              </w:rPr>
            </w:pPr>
          </w:p>
        </w:tc>
        <w:tc>
          <w:tcPr>
            <w:tcW w:w="1235" w:type="dxa"/>
          </w:tcPr>
          <w:p w14:paraId="71FBF64F">
            <w:pPr>
              <w:jc w:val="center"/>
              <w:rPr>
                <w:rFonts w:ascii="宋体" w:hAnsi="宋体" w:cs="宋体"/>
                <w:color w:val="auto"/>
                <w:sz w:val="21"/>
                <w:szCs w:val="21"/>
              </w:rPr>
            </w:pPr>
          </w:p>
        </w:tc>
        <w:tc>
          <w:tcPr>
            <w:tcW w:w="1235" w:type="dxa"/>
          </w:tcPr>
          <w:p w14:paraId="106C495F">
            <w:pPr>
              <w:jc w:val="center"/>
              <w:rPr>
                <w:rFonts w:ascii="宋体" w:hAnsi="宋体" w:cs="宋体"/>
                <w:color w:val="auto"/>
                <w:sz w:val="21"/>
                <w:szCs w:val="21"/>
              </w:rPr>
            </w:pPr>
          </w:p>
        </w:tc>
      </w:tr>
      <w:tr w14:paraId="70114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2B3743F6">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7</w:t>
            </w:r>
          </w:p>
        </w:tc>
        <w:tc>
          <w:tcPr>
            <w:tcW w:w="1557" w:type="dxa"/>
            <w:vAlign w:val="center"/>
          </w:tcPr>
          <w:p w14:paraId="0437573E">
            <w:pPr>
              <w:jc w:val="center"/>
              <w:rPr>
                <w:rFonts w:ascii="宋体" w:hAnsi="宋体" w:cs="宋体"/>
                <w:color w:val="auto"/>
                <w:sz w:val="21"/>
                <w:szCs w:val="21"/>
              </w:rPr>
            </w:pPr>
          </w:p>
        </w:tc>
        <w:tc>
          <w:tcPr>
            <w:tcW w:w="3127" w:type="dxa"/>
          </w:tcPr>
          <w:p w14:paraId="259EA6B6">
            <w:pPr>
              <w:jc w:val="center"/>
              <w:rPr>
                <w:rFonts w:ascii="宋体" w:hAnsi="宋体" w:cs="宋体"/>
                <w:color w:val="auto"/>
                <w:sz w:val="21"/>
                <w:szCs w:val="21"/>
              </w:rPr>
            </w:pPr>
          </w:p>
        </w:tc>
        <w:tc>
          <w:tcPr>
            <w:tcW w:w="1235" w:type="dxa"/>
            <w:vAlign w:val="center"/>
          </w:tcPr>
          <w:p w14:paraId="48D5E1C7">
            <w:pPr>
              <w:jc w:val="center"/>
              <w:rPr>
                <w:rFonts w:ascii="宋体" w:hAnsi="宋体" w:cs="宋体"/>
                <w:color w:val="auto"/>
                <w:sz w:val="21"/>
                <w:szCs w:val="21"/>
              </w:rPr>
            </w:pPr>
          </w:p>
        </w:tc>
        <w:tc>
          <w:tcPr>
            <w:tcW w:w="1235" w:type="dxa"/>
          </w:tcPr>
          <w:p w14:paraId="24BCC230">
            <w:pPr>
              <w:jc w:val="center"/>
              <w:rPr>
                <w:rFonts w:ascii="宋体" w:hAnsi="宋体" w:cs="宋体"/>
                <w:color w:val="auto"/>
                <w:sz w:val="21"/>
                <w:szCs w:val="21"/>
              </w:rPr>
            </w:pPr>
          </w:p>
        </w:tc>
        <w:tc>
          <w:tcPr>
            <w:tcW w:w="1235" w:type="dxa"/>
          </w:tcPr>
          <w:p w14:paraId="0C41596B">
            <w:pPr>
              <w:jc w:val="center"/>
              <w:rPr>
                <w:rFonts w:ascii="宋体" w:hAnsi="宋体" w:cs="宋体"/>
                <w:color w:val="auto"/>
                <w:sz w:val="21"/>
                <w:szCs w:val="21"/>
              </w:rPr>
            </w:pPr>
          </w:p>
        </w:tc>
      </w:tr>
      <w:tr w14:paraId="3103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AC90CCE">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8</w:t>
            </w:r>
          </w:p>
        </w:tc>
        <w:tc>
          <w:tcPr>
            <w:tcW w:w="1557" w:type="dxa"/>
            <w:vAlign w:val="center"/>
          </w:tcPr>
          <w:p w14:paraId="1E5AC480">
            <w:pPr>
              <w:jc w:val="center"/>
              <w:rPr>
                <w:rFonts w:ascii="宋体" w:hAnsi="宋体" w:cs="宋体"/>
                <w:color w:val="auto"/>
                <w:sz w:val="21"/>
                <w:szCs w:val="21"/>
              </w:rPr>
            </w:pPr>
            <w:r>
              <w:rPr>
                <w:rFonts w:hint="eastAsia" w:ascii="宋体" w:hAnsi="宋体" w:cs="宋体"/>
                <w:color w:val="auto"/>
                <w:sz w:val="21"/>
                <w:szCs w:val="21"/>
              </w:rPr>
              <w:t>人工费</w:t>
            </w:r>
          </w:p>
        </w:tc>
        <w:tc>
          <w:tcPr>
            <w:tcW w:w="3127" w:type="dxa"/>
          </w:tcPr>
          <w:p w14:paraId="59CF667E">
            <w:pPr>
              <w:jc w:val="center"/>
              <w:rPr>
                <w:rFonts w:ascii="宋体" w:hAnsi="宋体" w:cs="宋体"/>
                <w:color w:val="auto"/>
                <w:sz w:val="21"/>
                <w:szCs w:val="21"/>
              </w:rPr>
            </w:pPr>
          </w:p>
        </w:tc>
        <w:tc>
          <w:tcPr>
            <w:tcW w:w="1235" w:type="dxa"/>
            <w:vAlign w:val="center"/>
          </w:tcPr>
          <w:p w14:paraId="493B385B">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3AAEB3B9">
            <w:pPr>
              <w:jc w:val="center"/>
              <w:rPr>
                <w:rFonts w:ascii="宋体" w:hAnsi="宋体" w:cs="宋体"/>
                <w:color w:val="auto"/>
                <w:sz w:val="21"/>
                <w:szCs w:val="21"/>
              </w:rPr>
            </w:pPr>
          </w:p>
        </w:tc>
        <w:tc>
          <w:tcPr>
            <w:tcW w:w="1235" w:type="dxa"/>
          </w:tcPr>
          <w:p w14:paraId="59BE14A5">
            <w:pPr>
              <w:jc w:val="center"/>
              <w:rPr>
                <w:rFonts w:ascii="宋体" w:hAnsi="宋体" w:cs="宋体"/>
                <w:color w:val="auto"/>
                <w:sz w:val="21"/>
                <w:szCs w:val="21"/>
              </w:rPr>
            </w:pPr>
          </w:p>
        </w:tc>
      </w:tr>
      <w:tr w14:paraId="261D0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29D57B2">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9</w:t>
            </w:r>
          </w:p>
        </w:tc>
        <w:tc>
          <w:tcPr>
            <w:tcW w:w="1557" w:type="dxa"/>
            <w:vAlign w:val="center"/>
          </w:tcPr>
          <w:p w14:paraId="3FA20AFC">
            <w:pPr>
              <w:jc w:val="center"/>
              <w:rPr>
                <w:rFonts w:ascii="宋体" w:hAnsi="宋体" w:cs="宋体"/>
                <w:color w:val="auto"/>
                <w:sz w:val="21"/>
                <w:szCs w:val="21"/>
              </w:rPr>
            </w:pPr>
            <w:r>
              <w:rPr>
                <w:rFonts w:hint="eastAsia" w:ascii="宋体" w:hAnsi="宋体" w:cs="宋体"/>
                <w:color w:val="auto"/>
                <w:sz w:val="21"/>
                <w:szCs w:val="21"/>
              </w:rPr>
              <w:t>运输费</w:t>
            </w:r>
          </w:p>
        </w:tc>
        <w:tc>
          <w:tcPr>
            <w:tcW w:w="3127" w:type="dxa"/>
          </w:tcPr>
          <w:p w14:paraId="51CCC8A0">
            <w:pPr>
              <w:jc w:val="center"/>
              <w:rPr>
                <w:rFonts w:ascii="宋体" w:hAnsi="宋体" w:cs="宋体"/>
                <w:color w:val="auto"/>
                <w:sz w:val="21"/>
                <w:szCs w:val="21"/>
              </w:rPr>
            </w:pPr>
          </w:p>
        </w:tc>
        <w:tc>
          <w:tcPr>
            <w:tcW w:w="1235" w:type="dxa"/>
            <w:vAlign w:val="center"/>
          </w:tcPr>
          <w:p w14:paraId="15A570C0">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21D1814F">
            <w:pPr>
              <w:jc w:val="center"/>
              <w:rPr>
                <w:rFonts w:ascii="宋体" w:hAnsi="宋体" w:cs="宋体"/>
                <w:color w:val="auto"/>
                <w:sz w:val="21"/>
                <w:szCs w:val="21"/>
              </w:rPr>
            </w:pPr>
          </w:p>
        </w:tc>
        <w:tc>
          <w:tcPr>
            <w:tcW w:w="1235" w:type="dxa"/>
          </w:tcPr>
          <w:p w14:paraId="6EF2D696">
            <w:pPr>
              <w:jc w:val="center"/>
              <w:rPr>
                <w:rFonts w:ascii="宋体" w:hAnsi="宋体" w:cs="宋体"/>
                <w:color w:val="auto"/>
                <w:sz w:val="21"/>
                <w:szCs w:val="21"/>
              </w:rPr>
            </w:pPr>
          </w:p>
        </w:tc>
      </w:tr>
      <w:tr w14:paraId="1824C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628996D">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10</w:t>
            </w:r>
          </w:p>
        </w:tc>
        <w:tc>
          <w:tcPr>
            <w:tcW w:w="1557" w:type="dxa"/>
            <w:vAlign w:val="center"/>
          </w:tcPr>
          <w:p w14:paraId="28D7AC75">
            <w:pPr>
              <w:jc w:val="center"/>
              <w:rPr>
                <w:rFonts w:ascii="宋体" w:hAnsi="宋体" w:cs="宋体"/>
                <w:color w:val="auto"/>
                <w:sz w:val="21"/>
                <w:szCs w:val="21"/>
              </w:rPr>
            </w:pPr>
            <w:r>
              <w:rPr>
                <w:rFonts w:hint="eastAsia" w:ascii="宋体" w:hAnsi="宋体" w:cs="宋体"/>
                <w:color w:val="auto"/>
                <w:sz w:val="21"/>
                <w:szCs w:val="21"/>
              </w:rPr>
              <w:t>其他费用</w:t>
            </w:r>
          </w:p>
        </w:tc>
        <w:tc>
          <w:tcPr>
            <w:tcW w:w="3127" w:type="dxa"/>
          </w:tcPr>
          <w:p w14:paraId="09CA4E27">
            <w:pPr>
              <w:jc w:val="center"/>
              <w:rPr>
                <w:rFonts w:ascii="宋体" w:hAnsi="宋体" w:cs="宋体"/>
                <w:color w:val="auto"/>
                <w:sz w:val="21"/>
                <w:szCs w:val="21"/>
              </w:rPr>
            </w:pPr>
          </w:p>
        </w:tc>
        <w:tc>
          <w:tcPr>
            <w:tcW w:w="1235" w:type="dxa"/>
            <w:vAlign w:val="center"/>
          </w:tcPr>
          <w:p w14:paraId="43AFCE27">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7EF499C9">
            <w:pPr>
              <w:jc w:val="center"/>
              <w:rPr>
                <w:rFonts w:ascii="宋体" w:hAnsi="宋体" w:cs="宋体"/>
                <w:color w:val="auto"/>
                <w:sz w:val="21"/>
                <w:szCs w:val="21"/>
              </w:rPr>
            </w:pPr>
          </w:p>
        </w:tc>
        <w:tc>
          <w:tcPr>
            <w:tcW w:w="1235" w:type="dxa"/>
          </w:tcPr>
          <w:p w14:paraId="4E11B6FD">
            <w:pPr>
              <w:jc w:val="center"/>
              <w:rPr>
                <w:rFonts w:ascii="宋体" w:hAnsi="宋体" w:cs="宋体"/>
                <w:color w:val="auto"/>
                <w:sz w:val="21"/>
                <w:szCs w:val="21"/>
              </w:rPr>
            </w:pPr>
          </w:p>
        </w:tc>
      </w:tr>
      <w:tr w14:paraId="29FB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B87C08F">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11</w:t>
            </w:r>
          </w:p>
        </w:tc>
        <w:tc>
          <w:tcPr>
            <w:tcW w:w="1557" w:type="dxa"/>
            <w:vAlign w:val="center"/>
          </w:tcPr>
          <w:p w14:paraId="6A5007F7">
            <w:pPr>
              <w:jc w:val="center"/>
              <w:rPr>
                <w:rFonts w:ascii="宋体" w:hAnsi="宋体" w:cs="宋体"/>
                <w:color w:val="auto"/>
                <w:sz w:val="21"/>
                <w:szCs w:val="21"/>
              </w:rPr>
            </w:pPr>
            <w:r>
              <w:rPr>
                <w:rFonts w:hint="eastAsia" w:ascii="宋体" w:hAnsi="宋体" w:cs="宋体"/>
                <w:color w:val="auto"/>
                <w:sz w:val="21"/>
                <w:szCs w:val="21"/>
              </w:rPr>
              <w:t>……</w:t>
            </w:r>
          </w:p>
        </w:tc>
        <w:tc>
          <w:tcPr>
            <w:tcW w:w="3127" w:type="dxa"/>
          </w:tcPr>
          <w:p w14:paraId="2CD0CF2C">
            <w:pPr>
              <w:jc w:val="center"/>
              <w:rPr>
                <w:rFonts w:ascii="宋体" w:hAnsi="宋体" w:cs="宋体"/>
                <w:color w:val="auto"/>
                <w:sz w:val="21"/>
                <w:szCs w:val="21"/>
              </w:rPr>
            </w:pPr>
          </w:p>
        </w:tc>
        <w:tc>
          <w:tcPr>
            <w:tcW w:w="1235" w:type="dxa"/>
            <w:vAlign w:val="center"/>
          </w:tcPr>
          <w:p w14:paraId="5229042B">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33CC7951">
            <w:pPr>
              <w:jc w:val="center"/>
              <w:rPr>
                <w:rFonts w:ascii="宋体" w:hAnsi="宋体" w:cs="宋体"/>
                <w:color w:val="auto"/>
                <w:sz w:val="21"/>
                <w:szCs w:val="21"/>
              </w:rPr>
            </w:pPr>
          </w:p>
        </w:tc>
        <w:tc>
          <w:tcPr>
            <w:tcW w:w="1235" w:type="dxa"/>
          </w:tcPr>
          <w:p w14:paraId="1445ACB4">
            <w:pPr>
              <w:jc w:val="center"/>
              <w:rPr>
                <w:rFonts w:ascii="宋体" w:hAnsi="宋体" w:cs="宋体"/>
                <w:color w:val="auto"/>
                <w:sz w:val="21"/>
                <w:szCs w:val="21"/>
              </w:rPr>
            </w:pPr>
          </w:p>
        </w:tc>
      </w:tr>
      <w:tr w14:paraId="5624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E54A80A">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12</w:t>
            </w:r>
          </w:p>
        </w:tc>
        <w:tc>
          <w:tcPr>
            <w:tcW w:w="1557" w:type="dxa"/>
            <w:vAlign w:val="center"/>
          </w:tcPr>
          <w:p w14:paraId="30D26F81">
            <w:pPr>
              <w:jc w:val="center"/>
              <w:rPr>
                <w:rFonts w:ascii="宋体" w:hAnsi="宋体" w:cs="宋体"/>
                <w:color w:val="auto"/>
                <w:sz w:val="21"/>
                <w:szCs w:val="21"/>
              </w:rPr>
            </w:pPr>
            <w:r>
              <w:rPr>
                <w:rFonts w:hint="eastAsia" w:ascii="宋体" w:hAnsi="宋体" w:cs="宋体"/>
                <w:color w:val="auto"/>
                <w:sz w:val="21"/>
                <w:szCs w:val="21"/>
              </w:rPr>
              <w:t>总计</w:t>
            </w:r>
          </w:p>
        </w:tc>
        <w:tc>
          <w:tcPr>
            <w:tcW w:w="6832" w:type="dxa"/>
            <w:gridSpan w:val="4"/>
          </w:tcPr>
          <w:p w14:paraId="5DA76635">
            <w:pPr>
              <w:rPr>
                <w:rFonts w:ascii="宋体" w:hAnsi="宋体" w:cs="宋体"/>
                <w:color w:val="auto"/>
                <w:sz w:val="21"/>
                <w:szCs w:val="21"/>
              </w:rPr>
            </w:pPr>
          </w:p>
        </w:tc>
      </w:tr>
    </w:tbl>
    <w:p w14:paraId="0B42257F">
      <w:pPr>
        <w:snapToGrid w:val="0"/>
        <w:spacing w:line="360" w:lineRule="auto"/>
        <w:ind w:firstLine="480" w:firstLineChars="200"/>
        <w:rPr>
          <w:rFonts w:ascii="宋体" w:hAnsi="宋体" w:cs="宋体"/>
          <w:color w:val="auto"/>
          <w:sz w:val="24"/>
          <w:szCs w:val="28"/>
        </w:rPr>
      </w:pPr>
    </w:p>
    <w:p w14:paraId="0C30377B">
      <w:pPr>
        <w:snapToGrid w:val="0"/>
        <w:spacing w:line="400" w:lineRule="exact"/>
        <w:ind w:firstLine="480" w:firstLineChars="200"/>
        <w:rPr>
          <w:rFonts w:ascii="宋体" w:hAnsi="宋体" w:cs="宋体"/>
          <w:color w:val="auto"/>
          <w:sz w:val="24"/>
          <w:szCs w:val="28"/>
        </w:rPr>
      </w:pPr>
    </w:p>
    <w:p w14:paraId="429D5F89">
      <w:pPr>
        <w:snapToGrid w:val="0"/>
        <w:spacing w:line="400" w:lineRule="exact"/>
        <w:ind w:firstLine="480" w:firstLineChars="200"/>
        <w:rPr>
          <w:rFonts w:ascii="宋体" w:hAnsi="宋体" w:cs="宋体"/>
          <w:color w:val="auto"/>
          <w:sz w:val="24"/>
          <w:szCs w:val="28"/>
        </w:rPr>
      </w:pPr>
    </w:p>
    <w:p w14:paraId="254A1129">
      <w:pPr>
        <w:snapToGrid w:val="0"/>
        <w:spacing w:line="400" w:lineRule="exact"/>
        <w:ind w:firstLine="480" w:firstLineChars="200"/>
        <w:rPr>
          <w:rFonts w:ascii="宋体" w:hAnsi="宋体" w:cs="宋体"/>
          <w:color w:val="auto"/>
          <w:sz w:val="24"/>
          <w:szCs w:val="28"/>
        </w:rPr>
      </w:pPr>
    </w:p>
    <w:p w14:paraId="0C1F0B20">
      <w:pPr>
        <w:snapToGrid w:val="0"/>
        <w:spacing w:line="400" w:lineRule="exact"/>
        <w:ind w:firstLine="480" w:firstLineChars="200"/>
        <w:rPr>
          <w:rFonts w:ascii="宋体" w:hAnsi="宋体" w:cs="宋体"/>
          <w:color w:val="auto"/>
          <w:sz w:val="24"/>
          <w:szCs w:val="28"/>
        </w:rPr>
      </w:pPr>
    </w:p>
    <w:p w14:paraId="16035FC8">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                                     </w:t>
      </w:r>
    </w:p>
    <w:p w14:paraId="304B4CC1">
      <w:pPr>
        <w:spacing w:line="500" w:lineRule="exact"/>
        <w:ind w:firstLine="480" w:firstLineChars="200"/>
        <w:rPr>
          <w:rFonts w:ascii="宋体" w:hAnsi="宋体" w:cs="宋体"/>
          <w:color w:val="auto"/>
          <w:sz w:val="24"/>
          <w:szCs w:val="28"/>
        </w:rPr>
      </w:pPr>
    </w:p>
    <w:p w14:paraId="39C2C247">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4DFCF306">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4E90D2FB">
      <w:pPr>
        <w:spacing w:line="500" w:lineRule="exact"/>
        <w:rPr>
          <w:rFonts w:ascii="宋体" w:hAnsi="宋体" w:cs="宋体"/>
          <w:color w:val="auto"/>
          <w:sz w:val="24"/>
          <w:szCs w:val="28"/>
        </w:rPr>
      </w:pPr>
    </w:p>
    <w:p w14:paraId="003BC3B5">
      <w:pPr>
        <w:spacing w:line="500" w:lineRule="exact"/>
        <w:rPr>
          <w:rFonts w:ascii="宋体" w:hAnsi="宋体" w:cs="宋体"/>
          <w:color w:val="auto"/>
          <w:sz w:val="24"/>
          <w:szCs w:val="28"/>
        </w:rPr>
      </w:pPr>
    </w:p>
    <w:p w14:paraId="2A1775E4">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                                            年     月     日</w:t>
      </w:r>
    </w:p>
    <w:p w14:paraId="08170DD1">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注：</w:t>
      </w:r>
    </w:p>
    <w:p w14:paraId="186A8EDC">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1.请投标人完整填写本表；</w:t>
      </w:r>
    </w:p>
    <w:p w14:paraId="73216D4E">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2.该表可扩展。</w:t>
      </w:r>
    </w:p>
    <w:p w14:paraId="46B44467">
      <w:pPr>
        <w:pStyle w:val="3"/>
        <w:pageBreakBefore/>
        <w:spacing w:line="500" w:lineRule="exact"/>
        <w:ind w:firstLine="562" w:firstLineChars="200"/>
        <w:rPr>
          <w:rFonts w:cs="宋体"/>
          <w:b/>
          <w:color w:val="auto"/>
          <w:szCs w:val="28"/>
        </w:rPr>
      </w:pPr>
      <w:bookmarkStart w:id="526" w:name="_Toc23774"/>
      <w:bookmarkStart w:id="527" w:name="_Toc15891"/>
      <w:bookmarkStart w:id="528" w:name="_Toc3224"/>
      <w:bookmarkStart w:id="529" w:name="_Toc21779"/>
      <w:bookmarkStart w:id="530" w:name="_Toc106030418"/>
      <w:bookmarkStart w:id="531" w:name="_Toc15573"/>
      <w:bookmarkStart w:id="532" w:name="_Toc493178790"/>
      <w:bookmarkStart w:id="533" w:name="_Toc14980"/>
      <w:bookmarkStart w:id="534" w:name="_Toc3836"/>
      <w:bookmarkStart w:id="535" w:name="_Toc75793541"/>
      <w:bookmarkStart w:id="536" w:name="_Toc29441"/>
      <w:bookmarkStart w:id="537" w:name="_Toc26723"/>
      <w:bookmarkStart w:id="538" w:name="_Toc21203"/>
      <w:bookmarkStart w:id="539" w:name="_Toc1842"/>
      <w:bookmarkStart w:id="540" w:name="_Toc2386"/>
      <w:bookmarkStart w:id="541" w:name="_Toc2784"/>
      <w:bookmarkStart w:id="542" w:name="_Toc13820"/>
      <w:bookmarkStart w:id="543" w:name="_Toc5166"/>
      <w:bookmarkStart w:id="544" w:name="_Toc7244"/>
      <w:bookmarkStart w:id="545" w:name="_Toc11188"/>
      <w:bookmarkStart w:id="546" w:name="_Toc31344"/>
      <w:r>
        <w:rPr>
          <w:rFonts w:hint="eastAsia" w:cs="宋体"/>
          <w:b/>
          <w:color w:val="auto"/>
          <w:szCs w:val="28"/>
        </w:rPr>
        <w:t>二、服务内容及需求文件</w:t>
      </w:r>
      <w:bookmarkEnd w:id="526"/>
      <w:bookmarkEnd w:id="527"/>
      <w:bookmarkEnd w:id="528"/>
      <w:bookmarkEnd w:id="529"/>
      <w:bookmarkEnd w:id="530"/>
      <w:bookmarkEnd w:id="531"/>
    </w:p>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p w14:paraId="5CDAAA11">
      <w:pPr>
        <w:snapToGrid w:val="0"/>
        <w:spacing w:line="400" w:lineRule="exact"/>
        <w:rPr>
          <w:rFonts w:ascii="宋体" w:hAnsi="宋体" w:cs="宋体"/>
          <w:color w:val="auto"/>
          <w:sz w:val="24"/>
          <w:szCs w:val="28"/>
        </w:rPr>
      </w:pPr>
    </w:p>
    <w:p w14:paraId="144C3E0A">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（一）服务条款差异表</w:t>
      </w:r>
    </w:p>
    <w:p w14:paraId="7D82CD37">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招标项目名称：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7D32A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ign w:val="center"/>
          </w:tcPr>
          <w:p w14:paraId="2A701D45">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序号</w:t>
            </w:r>
          </w:p>
        </w:tc>
        <w:tc>
          <w:tcPr>
            <w:tcW w:w="1542" w:type="pct"/>
            <w:noWrap/>
            <w:vAlign w:val="center"/>
          </w:tcPr>
          <w:p w14:paraId="7A77B0CE">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招标要求</w:t>
            </w:r>
          </w:p>
        </w:tc>
        <w:tc>
          <w:tcPr>
            <w:tcW w:w="1600" w:type="pct"/>
            <w:noWrap/>
            <w:vAlign w:val="center"/>
          </w:tcPr>
          <w:p w14:paraId="2038BBE4">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投标应答</w:t>
            </w:r>
          </w:p>
        </w:tc>
        <w:tc>
          <w:tcPr>
            <w:tcW w:w="1199" w:type="pct"/>
            <w:noWrap/>
            <w:vAlign w:val="center"/>
          </w:tcPr>
          <w:p w14:paraId="49922A5D">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差异说明</w:t>
            </w:r>
          </w:p>
        </w:tc>
      </w:tr>
      <w:tr w14:paraId="55B2B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0D21E3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61FEC1B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31DBAED">
            <w:pPr>
              <w:tabs>
                <w:tab w:val="left" w:pos="6300"/>
              </w:tabs>
              <w:snapToGrid w:val="0"/>
              <w:spacing w:line="500" w:lineRule="exact"/>
              <w:outlineLvl w:val="0"/>
              <w:rPr>
                <w:rFonts w:ascii="宋体" w:hAnsi="宋体" w:cs="宋体"/>
                <w:color w:val="auto"/>
                <w:sz w:val="21"/>
                <w:szCs w:val="21"/>
              </w:rPr>
            </w:pPr>
          </w:p>
        </w:tc>
        <w:tc>
          <w:tcPr>
            <w:tcW w:w="1199" w:type="pct"/>
            <w:noWrap/>
            <w:vAlign w:val="center"/>
          </w:tcPr>
          <w:p w14:paraId="6B58F99E">
            <w:pPr>
              <w:tabs>
                <w:tab w:val="left" w:pos="6300"/>
              </w:tabs>
              <w:snapToGrid w:val="0"/>
              <w:spacing w:line="500" w:lineRule="exact"/>
              <w:jc w:val="center"/>
              <w:outlineLvl w:val="0"/>
              <w:rPr>
                <w:rFonts w:ascii="宋体" w:hAnsi="宋体" w:cs="宋体"/>
                <w:color w:val="auto"/>
                <w:sz w:val="21"/>
                <w:szCs w:val="21"/>
              </w:rPr>
            </w:pPr>
          </w:p>
        </w:tc>
      </w:tr>
      <w:tr w14:paraId="181F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4A838E7">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19A4C99">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93BF766">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211FA53">
            <w:pPr>
              <w:tabs>
                <w:tab w:val="left" w:pos="6300"/>
              </w:tabs>
              <w:snapToGrid w:val="0"/>
              <w:spacing w:line="500" w:lineRule="exact"/>
              <w:jc w:val="center"/>
              <w:outlineLvl w:val="0"/>
              <w:rPr>
                <w:rFonts w:ascii="宋体" w:hAnsi="宋体" w:cs="宋体"/>
                <w:color w:val="auto"/>
                <w:sz w:val="21"/>
                <w:szCs w:val="21"/>
              </w:rPr>
            </w:pPr>
          </w:p>
        </w:tc>
      </w:tr>
      <w:tr w14:paraId="0F9FA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F6A17D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7981F722">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274A03D">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E57F003">
            <w:pPr>
              <w:tabs>
                <w:tab w:val="left" w:pos="6300"/>
              </w:tabs>
              <w:snapToGrid w:val="0"/>
              <w:spacing w:line="500" w:lineRule="exact"/>
              <w:jc w:val="center"/>
              <w:outlineLvl w:val="0"/>
              <w:rPr>
                <w:rFonts w:ascii="宋体" w:hAnsi="宋体" w:cs="宋体"/>
                <w:color w:val="auto"/>
                <w:sz w:val="21"/>
                <w:szCs w:val="21"/>
              </w:rPr>
            </w:pPr>
          </w:p>
        </w:tc>
      </w:tr>
      <w:tr w14:paraId="0C98F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6C779D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2B944FB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3100208">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53B7ED7">
            <w:pPr>
              <w:tabs>
                <w:tab w:val="left" w:pos="6300"/>
              </w:tabs>
              <w:snapToGrid w:val="0"/>
              <w:spacing w:line="500" w:lineRule="exact"/>
              <w:jc w:val="center"/>
              <w:outlineLvl w:val="0"/>
              <w:rPr>
                <w:rFonts w:ascii="宋体" w:hAnsi="宋体" w:cs="宋体"/>
                <w:color w:val="auto"/>
                <w:sz w:val="21"/>
                <w:szCs w:val="21"/>
              </w:rPr>
            </w:pPr>
          </w:p>
        </w:tc>
      </w:tr>
      <w:tr w14:paraId="6837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1389DD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3FDCE88">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D883E56">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16D1B66">
            <w:pPr>
              <w:tabs>
                <w:tab w:val="left" w:pos="6300"/>
              </w:tabs>
              <w:snapToGrid w:val="0"/>
              <w:spacing w:line="500" w:lineRule="exact"/>
              <w:jc w:val="center"/>
              <w:outlineLvl w:val="0"/>
              <w:rPr>
                <w:rFonts w:ascii="宋体" w:hAnsi="宋体" w:cs="宋体"/>
                <w:color w:val="auto"/>
                <w:sz w:val="21"/>
                <w:szCs w:val="21"/>
              </w:rPr>
            </w:pPr>
          </w:p>
        </w:tc>
      </w:tr>
      <w:tr w14:paraId="426CB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274A77EE">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9123C3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BCF5F7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B28C916">
            <w:pPr>
              <w:tabs>
                <w:tab w:val="left" w:pos="6300"/>
              </w:tabs>
              <w:snapToGrid w:val="0"/>
              <w:spacing w:line="500" w:lineRule="exact"/>
              <w:jc w:val="center"/>
              <w:outlineLvl w:val="0"/>
              <w:rPr>
                <w:rFonts w:ascii="宋体" w:hAnsi="宋体" w:cs="宋体"/>
                <w:color w:val="auto"/>
                <w:sz w:val="21"/>
                <w:szCs w:val="21"/>
              </w:rPr>
            </w:pPr>
          </w:p>
        </w:tc>
      </w:tr>
      <w:tr w14:paraId="4DDF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E37E49E">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75AC36B3">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97D3D5E">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F4FB948">
            <w:pPr>
              <w:tabs>
                <w:tab w:val="left" w:pos="6300"/>
              </w:tabs>
              <w:snapToGrid w:val="0"/>
              <w:spacing w:line="500" w:lineRule="exact"/>
              <w:jc w:val="center"/>
              <w:outlineLvl w:val="0"/>
              <w:rPr>
                <w:rFonts w:ascii="宋体" w:hAnsi="宋体" w:cs="宋体"/>
                <w:color w:val="auto"/>
                <w:sz w:val="21"/>
                <w:szCs w:val="21"/>
              </w:rPr>
            </w:pPr>
          </w:p>
        </w:tc>
      </w:tr>
      <w:tr w14:paraId="700E6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7B9B05A">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2EA2856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F3577F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3F7E28C">
            <w:pPr>
              <w:tabs>
                <w:tab w:val="left" w:pos="6300"/>
              </w:tabs>
              <w:snapToGrid w:val="0"/>
              <w:spacing w:line="500" w:lineRule="exact"/>
              <w:jc w:val="center"/>
              <w:outlineLvl w:val="0"/>
              <w:rPr>
                <w:rFonts w:ascii="宋体" w:hAnsi="宋体" w:cs="宋体"/>
                <w:color w:val="auto"/>
                <w:sz w:val="21"/>
                <w:szCs w:val="21"/>
              </w:rPr>
            </w:pPr>
          </w:p>
        </w:tc>
      </w:tr>
      <w:tr w14:paraId="41FD6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792127F3">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F486BDF">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1642A0FB">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1437CDFD">
            <w:pPr>
              <w:tabs>
                <w:tab w:val="left" w:pos="6300"/>
              </w:tabs>
              <w:snapToGrid w:val="0"/>
              <w:spacing w:line="500" w:lineRule="exact"/>
              <w:jc w:val="center"/>
              <w:outlineLvl w:val="0"/>
              <w:rPr>
                <w:rFonts w:ascii="宋体" w:hAnsi="宋体" w:cs="宋体"/>
                <w:color w:val="auto"/>
                <w:sz w:val="21"/>
                <w:szCs w:val="21"/>
              </w:rPr>
            </w:pPr>
          </w:p>
        </w:tc>
      </w:tr>
      <w:tr w14:paraId="338A8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CA88C2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196CC6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F1940F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DB4A7ED">
            <w:pPr>
              <w:tabs>
                <w:tab w:val="left" w:pos="6300"/>
              </w:tabs>
              <w:snapToGrid w:val="0"/>
              <w:spacing w:line="500" w:lineRule="exact"/>
              <w:jc w:val="center"/>
              <w:outlineLvl w:val="0"/>
              <w:rPr>
                <w:rFonts w:ascii="宋体" w:hAnsi="宋体" w:cs="宋体"/>
                <w:color w:val="auto"/>
                <w:sz w:val="21"/>
                <w:szCs w:val="21"/>
              </w:rPr>
            </w:pPr>
          </w:p>
        </w:tc>
      </w:tr>
    </w:tbl>
    <w:p w14:paraId="11E53326">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4F74F938">
      <w:pPr>
        <w:spacing w:line="500" w:lineRule="exact"/>
        <w:rPr>
          <w:rFonts w:ascii="宋体" w:hAnsi="宋体" w:cs="宋体"/>
          <w:color w:val="auto"/>
          <w:sz w:val="24"/>
          <w:szCs w:val="28"/>
        </w:rPr>
      </w:pPr>
    </w:p>
    <w:p w14:paraId="56102274">
      <w:pPr>
        <w:spacing w:line="500" w:lineRule="exact"/>
        <w:ind w:firstLine="720" w:firstLineChars="300"/>
        <w:rPr>
          <w:rFonts w:ascii="宋体" w:hAnsi="宋体" w:cs="宋体"/>
          <w:color w:val="auto"/>
          <w:sz w:val="24"/>
          <w:szCs w:val="28"/>
        </w:rPr>
      </w:pPr>
      <w:r>
        <w:rPr>
          <w:rFonts w:hint="eastAsia" w:ascii="宋体" w:hAnsi="宋体" w:cs="宋体"/>
          <w:color w:val="auto"/>
          <w:sz w:val="24"/>
          <w:szCs w:val="28"/>
        </w:rPr>
        <w:t>（投标人公章）                               （签署或盖章）</w:t>
      </w:r>
    </w:p>
    <w:p w14:paraId="3187D5D0">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szCs w:val="28"/>
        </w:rPr>
        <w:t xml:space="preserve">                                            年     月     日</w:t>
      </w:r>
    </w:p>
    <w:p w14:paraId="1F1D54AD">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注：</w:t>
      </w:r>
    </w:p>
    <w:p w14:paraId="0AF570A7">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1.本表即为对本项目“第二篇  项目服务需求”中所列条款进行比较和响应，应逐条如实填写，“投标应答”中必须列出具体数值或内容。如投标人未应答或只注明“符合”、“满足”等类似无具体内容的表述，将视为不满足招标文件要求；</w:t>
      </w:r>
    </w:p>
    <w:p w14:paraId="674966F2">
      <w:pPr>
        <w:tabs>
          <w:tab w:val="left" w:pos="6300"/>
        </w:tabs>
        <w:snapToGrid w:val="0"/>
        <w:spacing w:line="500" w:lineRule="exact"/>
        <w:ind w:firstLine="570"/>
        <w:rPr>
          <w:rFonts w:ascii="宋体" w:hAnsi="宋体" w:cs="宋体"/>
          <w:color w:val="auto"/>
          <w:sz w:val="24"/>
          <w:szCs w:val="28"/>
        </w:rPr>
      </w:pPr>
      <w:r>
        <w:rPr>
          <w:rFonts w:hint="eastAsia" w:ascii="宋体" w:hAnsi="宋体" w:cs="宋体"/>
          <w:color w:val="auto"/>
          <w:sz w:val="24"/>
        </w:rPr>
        <w:t>2.本表可扩展。</w:t>
      </w:r>
    </w:p>
    <w:p w14:paraId="038AA7F9">
      <w:pPr>
        <w:tabs>
          <w:tab w:val="left" w:pos="6300"/>
        </w:tabs>
        <w:snapToGrid w:val="0"/>
        <w:spacing w:line="500" w:lineRule="exact"/>
        <w:ind w:firstLine="570"/>
        <w:rPr>
          <w:rFonts w:ascii="宋体" w:hAnsi="宋体" w:cs="宋体"/>
          <w:color w:val="auto"/>
          <w:sz w:val="24"/>
          <w:szCs w:val="28"/>
        </w:rPr>
      </w:pPr>
    </w:p>
    <w:p w14:paraId="7E950F79">
      <w:pPr>
        <w:tabs>
          <w:tab w:val="left" w:pos="6300"/>
        </w:tabs>
        <w:snapToGrid w:val="0"/>
        <w:spacing w:line="500" w:lineRule="exact"/>
        <w:ind w:firstLine="570"/>
        <w:rPr>
          <w:rFonts w:ascii="宋体" w:hAnsi="宋体" w:cs="宋体"/>
          <w:color w:val="auto"/>
          <w:sz w:val="24"/>
        </w:rPr>
      </w:pPr>
    </w:p>
    <w:p w14:paraId="0E0C8B8C">
      <w:pPr>
        <w:tabs>
          <w:tab w:val="left" w:pos="6300"/>
        </w:tabs>
        <w:snapToGrid w:val="0"/>
        <w:spacing w:line="500" w:lineRule="exact"/>
        <w:ind w:firstLine="570"/>
        <w:rPr>
          <w:rFonts w:ascii="宋体" w:hAnsi="宋体" w:cs="宋体"/>
          <w:color w:val="auto"/>
          <w:sz w:val="24"/>
        </w:rPr>
      </w:pPr>
    </w:p>
    <w:p w14:paraId="140A3828">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（二）其他资料（格式自定）</w:t>
      </w:r>
    </w:p>
    <w:p w14:paraId="0B7F4D30">
      <w:pPr>
        <w:snapToGrid w:val="0"/>
        <w:spacing w:before="120" w:beforeLines="50" w:line="500" w:lineRule="exact"/>
        <w:ind w:firstLine="1205" w:firstLineChars="400"/>
        <w:rPr>
          <w:rFonts w:ascii="宋体" w:hAnsi="宋体" w:cs="宋体"/>
          <w:b/>
          <w:color w:val="auto"/>
          <w:sz w:val="30"/>
          <w:szCs w:val="30"/>
        </w:rPr>
      </w:pPr>
    </w:p>
    <w:p w14:paraId="224033EC">
      <w:pPr>
        <w:snapToGrid w:val="0"/>
        <w:spacing w:before="120" w:beforeLines="50" w:line="500" w:lineRule="exact"/>
        <w:ind w:firstLine="1205" w:firstLineChars="400"/>
        <w:rPr>
          <w:rFonts w:ascii="宋体" w:hAnsi="宋体" w:cs="宋体"/>
          <w:b/>
          <w:color w:val="auto"/>
          <w:sz w:val="30"/>
          <w:szCs w:val="30"/>
        </w:rPr>
      </w:pPr>
    </w:p>
    <w:p w14:paraId="5A49542E">
      <w:pPr>
        <w:snapToGrid w:val="0"/>
        <w:spacing w:before="120" w:beforeLines="50" w:line="500" w:lineRule="exact"/>
        <w:ind w:firstLine="1205" w:firstLineChars="400"/>
        <w:rPr>
          <w:rFonts w:ascii="宋体" w:hAnsi="宋体" w:cs="宋体"/>
          <w:b/>
          <w:color w:val="auto"/>
          <w:sz w:val="30"/>
          <w:szCs w:val="30"/>
        </w:rPr>
      </w:pPr>
    </w:p>
    <w:p w14:paraId="22A09A80">
      <w:pPr>
        <w:snapToGrid w:val="0"/>
        <w:spacing w:before="120" w:beforeLines="50" w:line="500" w:lineRule="exact"/>
        <w:ind w:firstLine="1205" w:firstLineChars="400"/>
        <w:rPr>
          <w:rFonts w:ascii="宋体" w:hAnsi="宋体" w:cs="宋体"/>
          <w:b/>
          <w:color w:val="auto"/>
          <w:sz w:val="30"/>
          <w:szCs w:val="30"/>
        </w:rPr>
      </w:pPr>
    </w:p>
    <w:p w14:paraId="708125CE">
      <w:pPr>
        <w:snapToGrid w:val="0"/>
        <w:spacing w:before="120" w:beforeLines="50" w:line="500" w:lineRule="exact"/>
        <w:ind w:firstLine="1205" w:firstLineChars="400"/>
        <w:rPr>
          <w:rFonts w:ascii="宋体" w:hAnsi="宋体" w:cs="宋体"/>
          <w:b/>
          <w:color w:val="auto"/>
          <w:sz w:val="30"/>
          <w:szCs w:val="30"/>
        </w:rPr>
      </w:pPr>
    </w:p>
    <w:p w14:paraId="7C361FF0">
      <w:pPr>
        <w:snapToGrid w:val="0"/>
        <w:spacing w:before="120" w:beforeLines="50" w:line="500" w:lineRule="exact"/>
        <w:ind w:firstLine="1205" w:firstLineChars="400"/>
        <w:rPr>
          <w:rFonts w:ascii="宋体" w:hAnsi="宋体" w:cs="宋体"/>
          <w:b/>
          <w:color w:val="auto"/>
          <w:sz w:val="30"/>
          <w:szCs w:val="30"/>
        </w:rPr>
      </w:pPr>
    </w:p>
    <w:p w14:paraId="60B661C0">
      <w:pPr>
        <w:snapToGrid w:val="0"/>
        <w:spacing w:before="120" w:beforeLines="50" w:line="500" w:lineRule="exact"/>
        <w:ind w:firstLine="1205" w:firstLineChars="400"/>
        <w:rPr>
          <w:rFonts w:ascii="宋体" w:hAnsi="宋体" w:cs="宋体"/>
          <w:b/>
          <w:color w:val="auto"/>
          <w:sz w:val="30"/>
          <w:szCs w:val="30"/>
        </w:rPr>
      </w:pPr>
    </w:p>
    <w:p w14:paraId="02CDE4F7">
      <w:pPr>
        <w:snapToGrid w:val="0"/>
        <w:spacing w:before="120" w:beforeLines="50" w:line="500" w:lineRule="exact"/>
        <w:ind w:firstLine="1205" w:firstLineChars="400"/>
        <w:rPr>
          <w:rFonts w:ascii="宋体" w:hAnsi="宋体" w:cs="宋体"/>
          <w:b/>
          <w:color w:val="auto"/>
          <w:sz w:val="30"/>
          <w:szCs w:val="30"/>
        </w:rPr>
      </w:pPr>
    </w:p>
    <w:p w14:paraId="1A4DB85C">
      <w:pPr>
        <w:snapToGrid w:val="0"/>
        <w:spacing w:before="120" w:beforeLines="50" w:line="500" w:lineRule="exact"/>
        <w:ind w:firstLine="1205" w:firstLineChars="400"/>
        <w:rPr>
          <w:rFonts w:ascii="宋体" w:hAnsi="宋体" w:cs="宋体"/>
          <w:b/>
          <w:color w:val="auto"/>
          <w:sz w:val="30"/>
          <w:szCs w:val="30"/>
        </w:rPr>
      </w:pPr>
    </w:p>
    <w:p w14:paraId="1590B7D7">
      <w:pPr>
        <w:snapToGrid w:val="0"/>
        <w:spacing w:before="120" w:beforeLines="50" w:line="500" w:lineRule="exact"/>
        <w:ind w:firstLine="1205" w:firstLineChars="400"/>
        <w:rPr>
          <w:rFonts w:ascii="宋体" w:hAnsi="宋体" w:cs="宋体"/>
          <w:b/>
          <w:color w:val="auto"/>
          <w:sz w:val="30"/>
          <w:szCs w:val="30"/>
        </w:rPr>
      </w:pPr>
    </w:p>
    <w:p w14:paraId="24FD6A56">
      <w:pPr>
        <w:snapToGrid w:val="0"/>
        <w:spacing w:before="120" w:beforeLines="50" w:line="500" w:lineRule="exact"/>
        <w:ind w:firstLine="1205" w:firstLineChars="400"/>
        <w:rPr>
          <w:rFonts w:ascii="宋体" w:hAnsi="宋体" w:cs="宋体"/>
          <w:b/>
          <w:color w:val="auto"/>
          <w:sz w:val="30"/>
          <w:szCs w:val="30"/>
        </w:rPr>
      </w:pPr>
    </w:p>
    <w:p w14:paraId="40955ECE">
      <w:pPr>
        <w:snapToGrid w:val="0"/>
        <w:spacing w:before="120" w:beforeLines="50" w:line="500" w:lineRule="exact"/>
        <w:ind w:firstLine="1205" w:firstLineChars="400"/>
        <w:rPr>
          <w:rFonts w:ascii="宋体" w:hAnsi="宋体" w:cs="宋体"/>
          <w:b/>
          <w:color w:val="auto"/>
          <w:sz w:val="30"/>
          <w:szCs w:val="30"/>
        </w:rPr>
      </w:pPr>
    </w:p>
    <w:p w14:paraId="2233A6BC">
      <w:pPr>
        <w:snapToGrid w:val="0"/>
        <w:spacing w:before="120" w:beforeLines="50" w:line="500" w:lineRule="exact"/>
        <w:ind w:firstLine="1205" w:firstLineChars="400"/>
        <w:rPr>
          <w:rFonts w:ascii="宋体" w:hAnsi="宋体" w:cs="宋体"/>
          <w:b/>
          <w:color w:val="auto"/>
          <w:sz w:val="30"/>
          <w:szCs w:val="30"/>
        </w:rPr>
      </w:pPr>
    </w:p>
    <w:p w14:paraId="0264633A">
      <w:pPr>
        <w:snapToGrid w:val="0"/>
        <w:spacing w:before="120" w:beforeLines="50" w:line="500" w:lineRule="exact"/>
        <w:ind w:firstLine="1205" w:firstLineChars="400"/>
        <w:rPr>
          <w:rFonts w:ascii="宋体" w:hAnsi="宋体" w:cs="宋体"/>
          <w:b/>
          <w:color w:val="auto"/>
          <w:sz w:val="30"/>
          <w:szCs w:val="30"/>
        </w:rPr>
      </w:pPr>
    </w:p>
    <w:p w14:paraId="79AB7ED2">
      <w:pPr>
        <w:snapToGrid w:val="0"/>
        <w:spacing w:before="120" w:beforeLines="50" w:line="500" w:lineRule="exact"/>
        <w:ind w:firstLine="1205" w:firstLineChars="400"/>
        <w:rPr>
          <w:rFonts w:ascii="宋体" w:hAnsi="宋体" w:cs="宋体"/>
          <w:b/>
          <w:color w:val="auto"/>
          <w:sz w:val="30"/>
          <w:szCs w:val="30"/>
        </w:rPr>
      </w:pPr>
    </w:p>
    <w:p w14:paraId="75E553EF">
      <w:pPr>
        <w:snapToGrid w:val="0"/>
        <w:spacing w:before="120" w:beforeLines="50" w:line="500" w:lineRule="exact"/>
        <w:ind w:firstLine="1205" w:firstLineChars="400"/>
        <w:rPr>
          <w:rFonts w:ascii="宋体" w:hAnsi="宋体" w:cs="宋体"/>
          <w:b/>
          <w:color w:val="auto"/>
          <w:sz w:val="30"/>
          <w:szCs w:val="30"/>
        </w:rPr>
      </w:pPr>
    </w:p>
    <w:p w14:paraId="2FC27EEF">
      <w:pPr>
        <w:snapToGrid w:val="0"/>
        <w:spacing w:before="120" w:beforeLines="50" w:line="500" w:lineRule="exact"/>
        <w:ind w:firstLine="1205" w:firstLineChars="400"/>
        <w:rPr>
          <w:rFonts w:ascii="宋体" w:hAnsi="宋体" w:cs="宋体"/>
          <w:b/>
          <w:color w:val="auto"/>
          <w:sz w:val="30"/>
          <w:szCs w:val="30"/>
        </w:rPr>
      </w:pPr>
    </w:p>
    <w:p w14:paraId="7AD22929">
      <w:pPr>
        <w:pStyle w:val="23"/>
        <w:ind w:firstLine="560"/>
        <w:rPr>
          <w:rFonts w:ascii="宋体" w:hAnsi="宋体" w:cs="宋体"/>
          <w:color w:val="auto"/>
        </w:rPr>
      </w:pPr>
    </w:p>
    <w:p w14:paraId="32165CD6">
      <w:pPr>
        <w:snapToGrid w:val="0"/>
        <w:spacing w:before="120" w:beforeLines="50" w:line="500" w:lineRule="exact"/>
        <w:ind w:firstLine="1205" w:firstLineChars="400"/>
        <w:rPr>
          <w:rFonts w:ascii="宋体" w:hAnsi="宋体" w:cs="宋体"/>
          <w:b/>
          <w:color w:val="auto"/>
          <w:sz w:val="30"/>
          <w:szCs w:val="30"/>
        </w:rPr>
      </w:pPr>
    </w:p>
    <w:p w14:paraId="26344ED1">
      <w:pPr>
        <w:pStyle w:val="6"/>
        <w:rPr>
          <w:rFonts w:ascii="宋体" w:hAnsi="宋体" w:eastAsia="宋体" w:cs="宋体"/>
          <w:b/>
          <w:color w:val="auto"/>
          <w:sz w:val="30"/>
          <w:szCs w:val="30"/>
        </w:rPr>
      </w:pPr>
    </w:p>
    <w:p w14:paraId="17D6BED5">
      <w:pPr>
        <w:rPr>
          <w:rFonts w:ascii="宋体" w:hAnsi="宋体" w:cs="宋体"/>
          <w:b/>
          <w:color w:val="auto"/>
          <w:sz w:val="30"/>
          <w:szCs w:val="30"/>
        </w:rPr>
      </w:pPr>
    </w:p>
    <w:p w14:paraId="73A00955">
      <w:pPr>
        <w:pStyle w:val="6"/>
        <w:rPr>
          <w:rFonts w:ascii="宋体" w:hAnsi="宋体" w:eastAsia="宋体" w:cs="宋体"/>
          <w:b/>
          <w:color w:val="auto"/>
          <w:sz w:val="30"/>
          <w:szCs w:val="30"/>
        </w:rPr>
      </w:pPr>
    </w:p>
    <w:p w14:paraId="0868ABA0">
      <w:pPr>
        <w:pStyle w:val="6"/>
        <w:rPr>
          <w:rFonts w:ascii="宋体" w:hAnsi="宋体" w:eastAsia="宋体" w:cs="宋体"/>
          <w:b/>
          <w:color w:val="auto"/>
          <w:sz w:val="30"/>
          <w:szCs w:val="30"/>
        </w:rPr>
      </w:pPr>
    </w:p>
    <w:p w14:paraId="22EB1CCF">
      <w:pPr>
        <w:rPr>
          <w:rFonts w:ascii="宋体" w:hAnsi="宋体" w:cs="宋体"/>
          <w:b/>
          <w:color w:val="auto"/>
          <w:sz w:val="30"/>
          <w:szCs w:val="30"/>
        </w:rPr>
      </w:pPr>
    </w:p>
    <w:p w14:paraId="119AAF83">
      <w:pPr>
        <w:rPr>
          <w:rFonts w:ascii="宋体" w:hAnsi="宋体" w:cs="宋体"/>
          <w:color w:val="auto"/>
        </w:rPr>
      </w:pPr>
    </w:p>
    <w:p w14:paraId="456663C6">
      <w:pPr>
        <w:snapToGrid w:val="0"/>
        <w:spacing w:before="120" w:beforeLines="50" w:line="500" w:lineRule="exact"/>
        <w:rPr>
          <w:rFonts w:ascii="宋体" w:hAnsi="宋体" w:cs="宋体"/>
          <w:color w:val="auto"/>
          <w:szCs w:val="28"/>
        </w:rPr>
      </w:pPr>
      <w:r>
        <w:rPr>
          <w:rFonts w:hint="eastAsia" w:ascii="宋体" w:hAnsi="宋体" w:cs="宋体"/>
          <w:b/>
          <w:color w:val="auto"/>
          <w:sz w:val="30"/>
          <w:szCs w:val="30"/>
        </w:rPr>
        <w:t>三</w:t>
      </w:r>
      <w:r>
        <w:rPr>
          <w:rFonts w:hint="eastAsia" w:ascii="宋体" w:hAnsi="宋体" w:cs="宋体"/>
          <w:b/>
          <w:color w:val="auto"/>
          <w:szCs w:val="28"/>
        </w:rPr>
        <w:t>、商务文件</w:t>
      </w:r>
    </w:p>
    <w:p w14:paraId="11E776CD">
      <w:pPr>
        <w:snapToGrid w:val="0"/>
        <w:spacing w:before="120" w:beforeLines="50" w:line="500" w:lineRule="exact"/>
        <w:jc w:val="center"/>
        <w:rPr>
          <w:rFonts w:ascii="宋体" w:hAnsi="宋体" w:cs="宋体"/>
          <w:color w:val="auto"/>
          <w:szCs w:val="28"/>
        </w:rPr>
      </w:pPr>
      <w:r>
        <w:rPr>
          <w:rFonts w:hint="eastAsia" w:ascii="宋体" w:hAnsi="宋体" w:cs="宋体"/>
          <w:color w:val="auto"/>
          <w:szCs w:val="28"/>
        </w:rPr>
        <w:t>（一）投标函（格式）</w:t>
      </w:r>
    </w:p>
    <w:p w14:paraId="60F5BF19">
      <w:pPr>
        <w:spacing w:line="500" w:lineRule="exact"/>
        <w:rPr>
          <w:rFonts w:ascii="宋体" w:hAnsi="宋体" w:cs="宋体"/>
          <w:color w:val="auto"/>
          <w:sz w:val="24"/>
          <w:szCs w:val="28"/>
        </w:rPr>
      </w:pPr>
    </w:p>
    <w:p w14:paraId="116CDD30">
      <w:pPr>
        <w:spacing w:line="500" w:lineRule="exact"/>
        <w:ind w:firstLine="480" w:firstLineChars="200"/>
        <w:rPr>
          <w:rFonts w:ascii="宋体" w:hAnsi="宋体" w:cs="宋体"/>
          <w:color w:val="auto"/>
          <w:sz w:val="24"/>
          <w:szCs w:val="28"/>
          <w:u w:val="single"/>
        </w:rPr>
      </w:pPr>
      <w:r>
        <w:rPr>
          <w:rFonts w:hint="eastAsia" w:ascii="宋体" w:hAnsi="宋体" w:cs="宋体"/>
          <w:color w:val="auto"/>
          <w:sz w:val="24"/>
          <w:szCs w:val="28"/>
        </w:rPr>
        <w:t>招标项目名称：</w:t>
      </w:r>
    </w:p>
    <w:p w14:paraId="77F9DA94">
      <w:pPr>
        <w:spacing w:line="500" w:lineRule="exact"/>
        <w:rPr>
          <w:rFonts w:ascii="宋体" w:hAnsi="宋体" w:cs="宋体"/>
          <w:color w:val="auto"/>
          <w:sz w:val="24"/>
          <w:szCs w:val="28"/>
        </w:rPr>
      </w:pPr>
    </w:p>
    <w:p w14:paraId="767DD503">
      <w:pPr>
        <w:tabs>
          <w:tab w:val="left" w:pos="6300"/>
        </w:tabs>
        <w:snapToGrid w:val="0"/>
        <w:spacing w:line="500" w:lineRule="exact"/>
        <w:rPr>
          <w:rFonts w:ascii="宋体" w:hAnsi="宋体" w:cs="宋体"/>
          <w:color w:val="auto"/>
          <w:sz w:val="24"/>
          <w:szCs w:val="28"/>
        </w:rPr>
      </w:pPr>
      <w:r>
        <w:rPr>
          <w:rFonts w:hint="eastAsia" w:ascii="宋体" w:hAnsi="宋体" w:cs="宋体"/>
          <w:color w:val="auto"/>
          <w:sz w:val="24"/>
          <w:szCs w:val="28"/>
        </w:rPr>
        <w:t>致：（采购代理机构名称）：</w:t>
      </w:r>
    </w:p>
    <w:p w14:paraId="5EAEC53B">
      <w:pPr>
        <w:snapToGrid w:val="0"/>
        <w:spacing w:before="120" w:beforeLines="50" w:line="500" w:lineRule="exact"/>
        <w:ind w:firstLine="480" w:firstLineChars="200"/>
        <w:rPr>
          <w:rFonts w:ascii="宋体" w:hAnsi="宋体" w:cs="宋体"/>
          <w:color w:val="auto"/>
          <w:sz w:val="24"/>
          <w:szCs w:val="28"/>
        </w:rPr>
      </w:pPr>
      <w:r>
        <w:rPr>
          <w:rFonts w:hint="eastAsia" w:ascii="宋体" w:hAnsi="宋体" w:cs="宋体"/>
          <w:color w:val="auto"/>
          <w:sz w:val="24"/>
          <w:szCs w:val="28"/>
        </w:rPr>
        <w:t>（投标人名称）系中华人民共和国合法企业，注册地址：。我方就参加本次投标有关事项郑重声明如下：</w:t>
      </w:r>
    </w:p>
    <w:p w14:paraId="331764E4">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一、我方完全理解并接受该项目招标文件所有要求。</w:t>
      </w:r>
    </w:p>
    <w:p w14:paraId="2B66238F">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二、我方提交的所有投标文件、资料都是准确和真实的，如有虚假或隐瞒，我方愿意承担一切法律责任。</w:t>
      </w:r>
    </w:p>
    <w:p w14:paraId="3475C2EB">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三、我方承诺按照招标文件要求，提供招标项目的服务。</w:t>
      </w:r>
    </w:p>
    <w:p w14:paraId="152D4E28">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四、我方按招标文件要求提交的投标文件为：投标文件正本1份，副本1份</w:t>
      </w:r>
      <w:r>
        <w:rPr>
          <w:rFonts w:hint="eastAsia" w:ascii="宋体" w:hAnsi="宋体" w:cs="宋体"/>
          <w:color w:val="auto"/>
          <w:sz w:val="24"/>
          <w:szCs w:val="28"/>
          <w:lang w:eastAsia="zh-CN"/>
        </w:rPr>
        <w:t>，</w:t>
      </w:r>
      <w:r>
        <w:rPr>
          <w:rFonts w:hint="eastAsia" w:ascii="宋体" w:hAnsi="宋体" w:cs="宋体"/>
          <w:color w:val="auto"/>
          <w:sz w:val="24"/>
          <w:szCs w:val="28"/>
          <w:lang w:val="en-US" w:eastAsia="zh-CN"/>
        </w:rPr>
        <w:t>U盘1份</w:t>
      </w:r>
      <w:r>
        <w:rPr>
          <w:rFonts w:hint="eastAsia" w:ascii="宋体" w:hAnsi="宋体" w:cs="宋体"/>
          <w:color w:val="auto"/>
          <w:sz w:val="24"/>
          <w:szCs w:val="28"/>
        </w:rPr>
        <w:t>。</w:t>
      </w:r>
    </w:p>
    <w:p w14:paraId="4F297527">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五、我方承诺：本次投标的投标有效期为</w:t>
      </w:r>
      <w:r>
        <w:rPr>
          <w:rFonts w:hint="eastAsia" w:ascii="宋体" w:hAnsi="宋体" w:cs="宋体"/>
          <w:color w:val="auto"/>
          <w:sz w:val="24"/>
        </w:rPr>
        <w:t>投标截止时间</w:t>
      </w:r>
      <w:r>
        <w:rPr>
          <w:rFonts w:hint="eastAsia" w:ascii="宋体" w:hAnsi="宋体" w:cs="宋体"/>
          <w:color w:val="auto"/>
          <w:sz w:val="24"/>
          <w:szCs w:val="28"/>
        </w:rPr>
        <w:t>起90天。</w:t>
      </w:r>
    </w:p>
    <w:p w14:paraId="10FE24DA">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六、我方投标报价为闭口价。即在投标有效期和合同有效期内，该报价固定不变。</w:t>
      </w:r>
    </w:p>
    <w:p w14:paraId="25286749">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七、如果我方中标，我方将履行招标文件中规定的各项要求以及我方投标文件的各项承诺，按《中华人民共和国政府采购法》、《中华人民共和国民法典》及合同约定条款承担我方责任。</w:t>
      </w:r>
    </w:p>
    <w:p w14:paraId="21B06080">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八、我方未</w:t>
      </w:r>
      <w:r>
        <w:rPr>
          <w:rFonts w:hint="eastAsia" w:ascii="宋体" w:hAnsi="宋体" w:cs="宋体"/>
          <w:color w:val="auto"/>
          <w:sz w:val="24"/>
          <w:szCs w:val="24"/>
        </w:rPr>
        <w:t>为采购项目提供整体设计、规范编制或者项目管理、监理、检测等服务。</w:t>
      </w:r>
    </w:p>
    <w:p w14:paraId="1AB1AF8F">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九、我方理解，最低报价不是中标的唯一条件。</w:t>
      </w:r>
    </w:p>
    <w:p w14:paraId="1F50E6C5">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十、我方同意按有关规定及招标文件要求，交纳足额投标保证金。</w:t>
      </w:r>
    </w:p>
    <w:p w14:paraId="525B1FEA">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十一、若我方中标，愿意按有关规定及招标文件要求缴纳采购代理服务费。</w:t>
      </w:r>
    </w:p>
    <w:p w14:paraId="37342A28">
      <w:pPr>
        <w:tabs>
          <w:tab w:val="left" w:pos="6300"/>
        </w:tabs>
        <w:snapToGrid w:val="0"/>
        <w:spacing w:line="500" w:lineRule="exact"/>
        <w:ind w:firstLine="570"/>
        <w:rPr>
          <w:rFonts w:ascii="宋体" w:hAnsi="宋体" w:cs="宋体"/>
          <w:color w:val="auto"/>
          <w:sz w:val="24"/>
          <w:szCs w:val="28"/>
        </w:rPr>
      </w:pPr>
    </w:p>
    <w:p w14:paraId="2B201FC9">
      <w:pPr>
        <w:tabs>
          <w:tab w:val="left" w:pos="6300"/>
        </w:tabs>
        <w:snapToGrid w:val="0"/>
        <w:spacing w:line="500" w:lineRule="exact"/>
        <w:ind w:firstLine="5460" w:firstLineChars="2275"/>
        <w:rPr>
          <w:rFonts w:ascii="宋体" w:hAnsi="宋体" w:cs="宋体"/>
          <w:color w:val="auto"/>
          <w:sz w:val="24"/>
          <w:szCs w:val="28"/>
        </w:rPr>
      </w:pPr>
      <w:r>
        <w:rPr>
          <w:rFonts w:hint="eastAsia" w:ascii="宋体" w:hAnsi="宋体" w:cs="宋体"/>
          <w:color w:val="auto"/>
          <w:sz w:val="24"/>
          <w:szCs w:val="28"/>
        </w:rPr>
        <w:t>（投标人公章或自然人签署）</w:t>
      </w:r>
    </w:p>
    <w:p w14:paraId="28689C68">
      <w:pPr>
        <w:tabs>
          <w:tab w:val="left" w:pos="6300"/>
        </w:tabs>
        <w:snapToGrid w:val="0"/>
        <w:spacing w:line="500" w:lineRule="exact"/>
        <w:ind w:firstLine="5760" w:firstLineChars="2400"/>
        <w:rPr>
          <w:rFonts w:ascii="宋体" w:hAnsi="宋体" w:cs="宋体"/>
          <w:color w:val="auto"/>
          <w:szCs w:val="28"/>
        </w:rPr>
      </w:pPr>
      <w:r>
        <w:rPr>
          <w:rFonts w:hint="eastAsia" w:ascii="宋体" w:hAnsi="宋体" w:cs="宋体"/>
          <w:color w:val="auto"/>
          <w:sz w:val="24"/>
          <w:szCs w:val="28"/>
        </w:rPr>
        <w:t>年    月   日</w:t>
      </w:r>
    </w:p>
    <w:p w14:paraId="10E70074">
      <w:pPr>
        <w:snapToGrid w:val="0"/>
        <w:spacing w:line="400" w:lineRule="exact"/>
        <w:ind w:firstLine="560" w:firstLineChars="200"/>
        <w:rPr>
          <w:rFonts w:ascii="宋体" w:hAnsi="宋体" w:cs="宋体"/>
          <w:color w:val="auto"/>
          <w:sz w:val="24"/>
          <w:szCs w:val="28"/>
        </w:rPr>
      </w:pPr>
      <w:r>
        <w:rPr>
          <w:rFonts w:hint="eastAsia" w:ascii="宋体" w:hAnsi="宋体" w:cs="宋体"/>
          <w:color w:val="auto"/>
          <w:szCs w:val="44"/>
        </w:rPr>
        <w:br w:type="page"/>
      </w:r>
      <w:r>
        <w:rPr>
          <w:rFonts w:hint="eastAsia" w:ascii="宋体" w:hAnsi="宋体" w:cs="宋体"/>
          <w:color w:val="auto"/>
          <w:sz w:val="24"/>
          <w:szCs w:val="28"/>
        </w:rPr>
        <w:t>（二）商务条款差异表</w:t>
      </w:r>
    </w:p>
    <w:p w14:paraId="739261C4">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招标项目名称：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5224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ign w:val="center"/>
          </w:tcPr>
          <w:p w14:paraId="66258505">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序号</w:t>
            </w:r>
          </w:p>
        </w:tc>
        <w:tc>
          <w:tcPr>
            <w:tcW w:w="1542" w:type="pct"/>
            <w:noWrap/>
            <w:vAlign w:val="center"/>
          </w:tcPr>
          <w:p w14:paraId="41D0FFEE">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招标商务要求</w:t>
            </w:r>
          </w:p>
        </w:tc>
        <w:tc>
          <w:tcPr>
            <w:tcW w:w="1600" w:type="pct"/>
            <w:noWrap/>
            <w:vAlign w:val="center"/>
          </w:tcPr>
          <w:p w14:paraId="524CEB8E">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投标商务应答</w:t>
            </w:r>
          </w:p>
        </w:tc>
        <w:tc>
          <w:tcPr>
            <w:tcW w:w="1199" w:type="pct"/>
            <w:noWrap/>
            <w:vAlign w:val="center"/>
          </w:tcPr>
          <w:p w14:paraId="65F4F0DC">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差异说明</w:t>
            </w:r>
          </w:p>
        </w:tc>
      </w:tr>
      <w:tr w14:paraId="583D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7B8ED0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0DE32C1">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3D801DC">
            <w:pPr>
              <w:tabs>
                <w:tab w:val="left" w:pos="6300"/>
              </w:tabs>
              <w:snapToGrid w:val="0"/>
              <w:spacing w:line="500" w:lineRule="exact"/>
              <w:outlineLvl w:val="0"/>
              <w:rPr>
                <w:rFonts w:ascii="宋体" w:hAnsi="宋体" w:cs="宋体"/>
                <w:color w:val="auto"/>
                <w:sz w:val="21"/>
                <w:szCs w:val="21"/>
              </w:rPr>
            </w:pPr>
          </w:p>
        </w:tc>
        <w:tc>
          <w:tcPr>
            <w:tcW w:w="1199" w:type="pct"/>
            <w:noWrap/>
            <w:vAlign w:val="center"/>
          </w:tcPr>
          <w:p w14:paraId="40A4D80F">
            <w:pPr>
              <w:tabs>
                <w:tab w:val="left" w:pos="6300"/>
              </w:tabs>
              <w:snapToGrid w:val="0"/>
              <w:spacing w:line="500" w:lineRule="exact"/>
              <w:jc w:val="center"/>
              <w:outlineLvl w:val="0"/>
              <w:rPr>
                <w:rFonts w:ascii="宋体" w:hAnsi="宋体" w:cs="宋体"/>
                <w:color w:val="auto"/>
                <w:sz w:val="21"/>
                <w:szCs w:val="21"/>
              </w:rPr>
            </w:pPr>
          </w:p>
        </w:tc>
      </w:tr>
      <w:tr w14:paraId="5392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DA1151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C1CA7F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FF55195">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2775E1C">
            <w:pPr>
              <w:tabs>
                <w:tab w:val="left" w:pos="6300"/>
              </w:tabs>
              <w:snapToGrid w:val="0"/>
              <w:spacing w:line="500" w:lineRule="exact"/>
              <w:jc w:val="center"/>
              <w:outlineLvl w:val="0"/>
              <w:rPr>
                <w:rFonts w:ascii="宋体" w:hAnsi="宋体" w:cs="宋体"/>
                <w:color w:val="auto"/>
                <w:sz w:val="21"/>
                <w:szCs w:val="21"/>
              </w:rPr>
            </w:pPr>
          </w:p>
        </w:tc>
      </w:tr>
      <w:tr w14:paraId="795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DBBA54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15814BE">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88B24EB">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03C5C5C8">
            <w:pPr>
              <w:tabs>
                <w:tab w:val="left" w:pos="6300"/>
              </w:tabs>
              <w:snapToGrid w:val="0"/>
              <w:spacing w:line="500" w:lineRule="exact"/>
              <w:jc w:val="center"/>
              <w:outlineLvl w:val="0"/>
              <w:rPr>
                <w:rFonts w:ascii="宋体" w:hAnsi="宋体" w:cs="宋体"/>
                <w:color w:val="auto"/>
                <w:sz w:val="21"/>
                <w:szCs w:val="21"/>
              </w:rPr>
            </w:pPr>
          </w:p>
        </w:tc>
      </w:tr>
      <w:tr w14:paraId="44F84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D12E406">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7CE250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058A4F0">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F184D6E">
            <w:pPr>
              <w:tabs>
                <w:tab w:val="left" w:pos="6300"/>
              </w:tabs>
              <w:snapToGrid w:val="0"/>
              <w:spacing w:line="500" w:lineRule="exact"/>
              <w:jc w:val="center"/>
              <w:outlineLvl w:val="0"/>
              <w:rPr>
                <w:rFonts w:ascii="宋体" w:hAnsi="宋体" w:cs="宋体"/>
                <w:color w:val="auto"/>
                <w:sz w:val="21"/>
                <w:szCs w:val="21"/>
              </w:rPr>
            </w:pPr>
          </w:p>
        </w:tc>
      </w:tr>
      <w:tr w14:paraId="743E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277F34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8D9151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C403B9F">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D26EF09">
            <w:pPr>
              <w:tabs>
                <w:tab w:val="left" w:pos="6300"/>
              </w:tabs>
              <w:snapToGrid w:val="0"/>
              <w:spacing w:line="500" w:lineRule="exact"/>
              <w:jc w:val="center"/>
              <w:outlineLvl w:val="0"/>
              <w:rPr>
                <w:rFonts w:ascii="宋体" w:hAnsi="宋体" w:cs="宋体"/>
                <w:color w:val="auto"/>
                <w:sz w:val="21"/>
                <w:szCs w:val="21"/>
              </w:rPr>
            </w:pPr>
          </w:p>
        </w:tc>
      </w:tr>
      <w:tr w14:paraId="3CD5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204629C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27CB62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BB962B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7EC9142C">
            <w:pPr>
              <w:tabs>
                <w:tab w:val="left" w:pos="6300"/>
              </w:tabs>
              <w:snapToGrid w:val="0"/>
              <w:spacing w:line="500" w:lineRule="exact"/>
              <w:jc w:val="center"/>
              <w:outlineLvl w:val="0"/>
              <w:rPr>
                <w:rFonts w:ascii="宋体" w:hAnsi="宋体" w:cs="宋体"/>
                <w:color w:val="auto"/>
                <w:sz w:val="21"/>
                <w:szCs w:val="21"/>
              </w:rPr>
            </w:pPr>
          </w:p>
        </w:tc>
      </w:tr>
      <w:tr w14:paraId="34C4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FABEF74">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AC1D7A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6E5678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35F655AE">
            <w:pPr>
              <w:tabs>
                <w:tab w:val="left" w:pos="6300"/>
              </w:tabs>
              <w:snapToGrid w:val="0"/>
              <w:spacing w:line="500" w:lineRule="exact"/>
              <w:jc w:val="center"/>
              <w:outlineLvl w:val="0"/>
              <w:rPr>
                <w:rFonts w:ascii="宋体" w:hAnsi="宋体" w:cs="宋体"/>
                <w:color w:val="auto"/>
                <w:sz w:val="21"/>
                <w:szCs w:val="21"/>
              </w:rPr>
            </w:pPr>
          </w:p>
        </w:tc>
      </w:tr>
      <w:tr w14:paraId="70B8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B5AEE52">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ABF2FB7">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6C12569">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28C3433">
            <w:pPr>
              <w:tabs>
                <w:tab w:val="left" w:pos="6300"/>
              </w:tabs>
              <w:snapToGrid w:val="0"/>
              <w:spacing w:line="500" w:lineRule="exact"/>
              <w:jc w:val="center"/>
              <w:outlineLvl w:val="0"/>
              <w:rPr>
                <w:rFonts w:ascii="宋体" w:hAnsi="宋体" w:cs="宋体"/>
                <w:color w:val="auto"/>
                <w:sz w:val="21"/>
                <w:szCs w:val="21"/>
              </w:rPr>
            </w:pPr>
          </w:p>
        </w:tc>
      </w:tr>
      <w:tr w14:paraId="07A8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D022765">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7BE62B5">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0BDE348D">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3554FAF9">
            <w:pPr>
              <w:tabs>
                <w:tab w:val="left" w:pos="6300"/>
              </w:tabs>
              <w:snapToGrid w:val="0"/>
              <w:spacing w:line="500" w:lineRule="exact"/>
              <w:jc w:val="center"/>
              <w:outlineLvl w:val="0"/>
              <w:rPr>
                <w:rFonts w:ascii="宋体" w:hAnsi="宋体" w:cs="宋体"/>
                <w:color w:val="auto"/>
                <w:sz w:val="21"/>
                <w:szCs w:val="21"/>
              </w:rPr>
            </w:pPr>
          </w:p>
        </w:tc>
      </w:tr>
      <w:tr w14:paraId="3044F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D26106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939E188">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29018C7">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4E81727">
            <w:pPr>
              <w:tabs>
                <w:tab w:val="left" w:pos="6300"/>
              </w:tabs>
              <w:snapToGrid w:val="0"/>
              <w:spacing w:line="500" w:lineRule="exact"/>
              <w:jc w:val="center"/>
              <w:outlineLvl w:val="0"/>
              <w:rPr>
                <w:rFonts w:ascii="宋体" w:hAnsi="宋体" w:cs="宋体"/>
                <w:color w:val="auto"/>
                <w:sz w:val="21"/>
                <w:szCs w:val="21"/>
              </w:rPr>
            </w:pPr>
          </w:p>
        </w:tc>
      </w:tr>
      <w:tr w14:paraId="05B2D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8E64200">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EED2F86">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0C21D2A">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87C2110">
            <w:pPr>
              <w:tabs>
                <w:tab w:val="left" w:pos="6300"/>
              </w:tabs>
              <w:snapToGrid w:val="0"/>
              <w:spacing w:line="500" w:lineRule="exact"/>
              <w:jc w:val="center"/>
              <w:outlineLvl w:val="0"/>
              <w:rPr>
                <w:rFonts w:ascii="宋体" w:hAnsi="宋体" w:cs="宋体"/>
                <w:color w:val="auto"/>
                <w:sz w:val="21"/>
                <w:szCs w:val="21"/>
              </w:rPr>
            </w:pPr>
          </w:p>
        </w:tc>
      </w:tr>
      <w:tr w14:paraId="09B21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3055415">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213038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3FDDD8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1A627A23">
            <w:pPr>
              <w:tabs>
                <w:tab w:val="left" w:pos="6300"/>
              </w:tabs>
              <w:snapToGrid w:val="0"/>
              <w:spacing w:line="500" w:lineRule="exact"/>
              <w:jc w:val="center"/>
              <w:outlineLvl w:val="0"/>
              <w:rPr>
                <w:rFonts w:ascii="宋体" w:hAnsi="宋体" w:cs="宋体"/>
                <w:color w:val="auto"/>
                <w:sz w:val="21"/>
                <w:szCs w:val="21"/>
              </w:rPr>
            </w:pPr>
          </w:p>
        </w:tc>
      </w:tr>
      <w:tr w14:paraId="4D1D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7EC5266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47D91DF">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055A167E">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0EA06F7C">
            <w:pPr>
              <w:tabs>
                <w:tab w:val="left" w:pos="6300"/>
              </w:tabs>
              <w:snapToGrid w:val="0"/>
              <w:spacing w:line="500" w:lineRule="exact"/>
              <w:jc w:val="center"/>
              <w:outlineLvl w:val="0"/>
              <w:rPr>
                <w:rFonts w:ascii="宋体" w:hAnsi="宋体" w:cs="宋体"/>
                <w:color w:val="auto"/>
                <w:sz w:val="21"/>
                <w:szCs w:val="21"/>
              </w:rPr>
            </w:pPr>
          </w:p>
        </w:tc>
      </w:tr>
    </w:tbl>
    <w:p w14:paraId="0339C2D0">
      <w:pPr>
        <w:spacing w:line="500" w:lineRule="exact"/>
        <w:ind w:firstLine="600" w:firstLineChars="250"/>
        <w:rPr>
          <w:rFonts w:ascii="宋体" w:hAnsi="宋体" w:cs="宋体"/>
          <w:color w:val="auto"/>
          <w:sz w:val="24"/>
          <w:szCs w:val="28"/>
        </w:rPr>
      </w:pPr>
    </w:p>
    <w:p w14:paraId="754932A0">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63BDE946">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2122C866">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szCs w:val="28"/>
        </w:rPr>
        <w:t xml:space="preserve">                                            年     月     日</w:t>
      </w:r>
    </w:p>
    <w:p w14:paraId="4F3B931A">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注：</w:t>
      </w:r>
    </w:p>
    <w:p w14:paraId="7E256C2A">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1.本表即为对本项目“第三篇 项目商务需求”中所列条款进行比较和响应，应逐条如实填写，“投标商务应答”中必须列出具体数值或内容。如投标人未应答或只注明“符合”、“满足”等类似无具体内容的表述，将视为不满足招标文件要求；</w:t>
      </w:r>
    </w:p>
    <w:p w14:paraId="31194E8E">
      <w:pPr>
        <w:tabs>
          <w:tab w:val="left" w:pos="6300"/>
        </w:tabs>
        <w:snapToGrid w:val="0"/>
        <w:spacing w:line="500" w:lineRule="exact"/>
        <w:ind w:firstLine="570"/>
        <w:rPr>
          <w:rFonts w:ascii="宋体" w:hAnsi="宋体" w:cs="宋体"/>
          <w:b/>
          <w:color w:val="auto"/>
          <w:szCs w:val="28"/>
        </w:rPr>
      </w:pPr>
      <w:r>
        <w:rPr>
          <w:rFonts w:hint="eastAsia" w:ascii="宋体" w:hAnsi="宋体" w:cs="宋体"/>
          <w:color w:val="auto"/>
          <w:sz w:val="24"/>
        </w:rPr>
        <w:t>2.本表可扩展。</w:t>
      </w:r>
    </w:p>
    <w:p w14:paraId="792164A7">
      <w:pPr>
        <w:tabs>
          <w:tab w:val="left" w:pos="6300"/>
        </w:tabs>
        <w:snapToGrid w:val="0"/>
        <w:spacing w:line="500" w:lineRule="exact"/>
        <w:ind w:firstLine="570"/>
        <w:rPr>
          <w:rFonts w:ascii="宋体" w:hAnsi="宋体" w:cs="宋体"/>
          <w:color w:val="auto"/>
          <w:sz w:val="24"/>
          <w:szCs w:val="24"/>
        </w:rPr>
      </w:pPr>
    </w:p>
    <w:p w14:paraId="5999F36E">
      <w:pPr>
        <w:snapToGrid w:val="0"/>
        <w:spacing w:line="400" w:lineRule="exact"/>
        <w:rPr>
          <w:rFonts w:ascii="宋体" w:hAnsi="宋体" w:cs="宋体"/>
          <w:color w:val="auto"/>
          <w:sz w:val="24"/>
          <w:szCs w:val="28"/>
        </w:rPr>
      </w:pPr>
      <w:r>
        <w:rPr>
          <w:rFonts w:hint="eastAsia" w:ascii="宋体" w:hAnsi="宋体" w:cs="宋体"/>
          <w:color w:val="auto"/>
          <w:sz w:val="24"/>
          <w:szCs w:val="28"/>
        </w:rPr>
        <w:t>（三）其他商务资料</w:t>
      </w:r>
    </w:p>
    <w:p w14:paraId="12EF2FC2">
      <w:pPr>
        <w:snapToGrid w:val="0"/>
        <w:spacing w:line="400" w:lineRule="exact"/>
        <w:ind w:firstLine="480" w:firstLineChars="200"/>
        <w:rPr>
          <w:rFonts w:ascii="宋体" w:hAnsi="宋体" w:cs="宋体"/>
          <w:color w:val="auto"/>
          <w:sz w:val="24"/>
          <w:szCs w:val="28"/>
        </w:rPr>
      </w:pPr>
    </w:p>
    <w:p w14:paraId="4A4DC245">
      <w:pPr>
        <w:tabs>
          <w:tab w:val="left" w:pos="6300"/>
        </w:tabs>
        <w:snapToGrid w:val="0"/>
        <w:spacing w:line="500" w:lineRule="exact"/>
        <w:ind w:firstLine="560"/>
        <w:rPr>
          <w:rFonts w:ascii="宋体" w:hAnsi="宋体" w:cs="宋体"/>
          <w:color w:val="auto"/>
          <w:szCs w:val="28"/>
        </w:rPr>
      </w:pPr>
    </w:p>
    <w:p w14:paraId="4018F6CB">
      <w:pPr>
        <w:pStyle w:val="3"/>
        <w:pageBreakBefore/>
        <w:spacing w:line="500" w:lineRule="exact"/>
        <w:ind w:firstLine="562" w:firstLineChars="200"/>
        <w:rPr>
          <w:rFonts w:cs="宋体"/>
          <w:b/>
          <w:color w:val="auto"/>
          <w:szCs w:val="28"/>
        </w:rPr>
      </w:pPr>
      <w:bookmarkStart w:id="547" w:name="_Toc23915"/>
      <w:bookmarkStart w:id="548" w:name="_Toc27849"/>
      <w:bookmarkStart w:id="549" w:name="_Toc4624"/>
      <w:bookmarkStart w:id="550" w:name="_Toc11165"/>
      <w:bookmarkStart w:id="551" w:name="_Toc24540"/>
      <w:bookmarkStart w:id="552" w:name="_Toc29543"/>
      <w:bookmarkStart w:id="553" w:name="_Toc7042"/>
      <w:bookmarkStart w:id="554" w:name="_Toc493178792"/>
      <w:bookmarkStart w:id="555" w:name="_Toc3199"/>
      <w:bookmarkStart w:id="556" w:name="_Toc5854"/>
      <w:bookmarkStart w:id="557" w:name="_Toc106030420"/>
      <w:bookmarkStart w:id="558" w:name="_Toc492721041"/>
      <w:bookmarkStart w:id="559" w:name="_Toc29932"/>
      <w:bookmarkStart w:id="560" w:name="_Toc6978"/>
      <w:bookmarkStart w:id="561" w:name="_Toc19687"/>
      <w:bookmarkStart w:id="562" w:name="_Toc75793543"/>
      <w:bookmarkStart w:id="563" w:name="_Toc2395"/>
      <w:bookmarkStart w:id="564" w:name="_Toc30376"/>
      <w:r>
        <w:rPr>
          <w:rFonts w:hint="eastAsia" w:cs="宋体"/>
          <w:b/>
          <w:color w:val="auto"/>
          <w:szCs w:val="28"/>
        </w:rPr>
        <w:t>四、其他</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0039090A">
      <w:pPr>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其他与项目有关的资料（自附）</w:t>
      </w:r>
    </w:p>
    <w:p w14:paraId="7CAF0CB9">
      <w:pPr>
        <w:spacing w:line="400" w:lineRule="exact"/>
        <w:ind w:firstLine="480" w:firstLineChars="200"/>
        <w:rPr>
          <w:rFonts w:ascii="宋体" w:hAnsi="宋体" w:cs="宋体"/>
          <w:color w:val="auto"/>
          <w:sz w:val="24"/>
          <w:szCs w:val="28"/>
        </w:rPr>
      </w:pPr>
    </w:p>
    <w:p w14:paraId="6E220005">
      <w:pPr>
        <w:pStyle w:val="3"/>
        <w:pageBreakBefore/>
        <w:spacing w:line="500" w:lineRule="exact"/>
        <w:ind w:firstLine="562" w:firstLineChars="200"/>
        <w:rPr>
          <w:rFonts w:cs="宋体"/>
          <w:b/>
          <w:color w:val="auto"/>
          <w:szCs w:val="28"/>
        </w:rPr>
      </w:pPr>
      <w:bookmarkStart w:id="565" w:name="_Toc12509"/>
      <w:bookmarkStart w:id="566" w:name="_Toc17829"/>
      <w:bookmarkStart w:id="567" w:name="_Toc492721038"/>
      <w:bookmarkStart w:id="568" w:name="_Toc28432"/>
      <w:bookmarkStart w:id="569" w:name="_Toc23187"/>
      <w:bookmarkStart w:id="570" w:name="_Toc11324"/>
      <w:bookmarkStart w:id="571" w:name="_Toc106030421"/>
      <w:bookmarkStart w:id="572" w:name="_Toc4000"/>
      <w:bookmarkStart w:id="573" w:name="_Toc16577"/>
      <w:bookmarkStart w:id="574" w:name="_Toc17848"/>
      <w:bookmarkStart w:id="575" w:name="_Toc75793544"/>
      <w:bookmarkStart w:id="576" w:name="_Toc30988"/>
      <w:bookmarkStart w:id="577" w:name="_Toc30818"/>
      <w:bookmarkStart w:id="578" w:name="_Toc26381"/>
      <w:bookmarkStart w:id="579" w:name="_Toc493178793"/>
      <w:bookmarkStart w:id="580" w:name="_Toc6108"/>
      <w:bookmarkStart w:id="581" w:name="_Toc13249"/>
      <w:bookmarkStart w:id="582" w:name="_Toc21121"/>
      <w:r>
        <w:rPr>
          <w:rFonts w:hint="eastAsia" w:cs="宋体"/>
          <w:b/>
          <w:color w:val="auto"/>
          <w:szCs w:val="28"/>
        </w:rPr>
        <w:t>五、资格文件</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p>
    <w:p w14:paraId="46A28F09">
      <w:pPr>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（一）法人营业执照（副本）或事业单位法人证书（副本）或个体工商户营业执照或有效的自然人身份证明或社会团体法人登记证书复印件</w:t>
      </w:r>
    </w:p>
    <w:p w14:paraId="461280A7">
      <w:pPr>
        <w:tabs>
          <w:tab w:val="left" w:pos="6300"/>
        </w:tabs>
        <w:snapToGrid w:val="0"/>
        <w:spacing w:line="500" w:lineRule="exact"/>
        <w:ind w:firstLine="570"/>
        <w:rPr>
          <w:rFonts w:ascii="宋体" w:hAnsi="宋体" w:cs="宋体"/>
          <w:color w:val="auto"/>
        </w:rPr>
      </w:pPr>
    </w:p>
    <w:p w14:paraId="3446F26D">
      <w:pPr>
        <w:tabs>
          <w:tab w:val="left" w:pos="6300"/>
        </w:tabs>
        <w:snapToGrid w:val="0"/>
        <w:spacing w:line="500" w:lineRule="exact"/>
        <w:ind w:firstLine="570"/>
        <w:rPr>
          <w:rFonts w:ascii="宋体" w:hAnsi="宋体" w:cs="宋体"/>
          <w:color w:val="auto"/>
        </w:rPr>
      </w:pPr>
    </w:p>
    <w:p w14:paraId="21C0C955">
      <w:pPr>
        <w:tabs>
          <w:tab w:val="left" w:pos="6300"/>
        </w:tabs>
        <w:snapToGrid w:val="0"/>
        <w:spacing w:line="500" w:lineRule="exact"/>
        <w:ind w:firstLine="570"/>
        <w:rPr>
          <w:rFonts w:ascii="宋体" w:hAnsi="宋体" w:cs="宋体"/>
          <w:color w:val="auto"/>
        </w:rPr>
      </w:pPr>
    </w:p>
    <w:p w14:paraId="2C708762">
      <w:pPr>
        <w:tabs>
          <w:tab w:val="left" w:pos="6300"/>
        </w:tabs>
        <w:snapToGrid w:val="0"/>
        <w:spacing w:line="500" w:lineRule="exact"/>
        <w:ind w:firstLine="570"/>
        <w:rPr>
          <w:rFonts w:ascii="宋体" w:hAnsi="宋体" w:cs="宋体"/>
          <w:color w:val="auto"/>
        </w:rPr>
      </w:pPr>
    </w:p>
    <w:p w14:paraId="6E0F6741">
      <w:pPr>
        <w:tabs>
          <w:tab w:val="left" w:pos="6300"/>
        </w:tabs>
        <w:snapToGrid w:val="0"/>
        <w:spacing w:line="500" w:lineRule="exact"/>
        <w:ind w:firstLine="570"/>
        <w:rPr>
          <w:rFonts w:ascii="宋体" w:hAnsi="宋体" w:cs="宋体"/>
          <w:color w:val="auto"/>
        </w:rPr>
      </w:pPr>
    </w:p>
    <w:p w14:paraId="2CB6D44A">
      <w:pPr>
        <w:spacing w:line="400" w:lineRule="exact"/>
        <w:ind w:firstLine="560" w:firstLineChars="200"/>
        <w:rPr>
          <w:rFonts w:ascii="宋体" w:hAnsi="宋体" w:cs="宋体"/>
          <w:color w:val="auto"/>
        </w:rPr>
      </w:pPr>
    </w:p>
    <w:p w14:paraId="67B40A2B">
      <w:pPr>
        <w:spacing w:line="400" w:lineRule="exact"/>
        <w:rPr>
          <w:rFonts w:ascii="宋体" w:hAnsi="宋体" w:cs="宋体"/>
          <w:color w:val="auto"/>
          <w:sz w:val="24"/>
          <w:szCs w:val="24"/>
        </w:rPr>
      </w:pPr>
    </w:p>
    <w:p w14:paraId="5F683874">
      <w:pPr>
        <w:spacing w:line="400" w:lineRule="exact"/>
        <w:rPr>
          <w:rFonts w:ascii="宋体" w:hAnsi="宋体" w:cs="宋体"/>
          <w:color w:val="auto"/>
        </w:rPr>
      </w:pPr>
    </w:p>
    <w:p w14:paraId="224104F9">
      <w:pPr>
        <w:spacing w:line="400" w:lineRule="exact"/>
        <w:rPr>
          <w:rFonts w:ascii="宋体" w:hAnsi="宋体" w:cs="宋体"/>
          <w:color w:val="auto"/>
        </w:rPr>
      </w:pPr>
    </w:p>
    <w:p w14:paraId="72C384EB">
      <w:pPr>
        <w:spacing w:line="400" w:lineRule="exact"/>
        <w:rPr>
          <w:rFonts w:ascii="宋体" w:hAnsi="宋体" w:cs="宋体"/>
          <w:color w:val="auto"/>
        </w:rPr>
      </w:pPr>
    </w:p>
    <w:p w14:paraId="607772DC">
      <w:pPr>
        <w:spacing w:line="400" w:lineRule="exact"/>
        <w:rPr>
          <w:rFonts w:ascii="宋体" w:hAnsi="宋体" w:cs="宋体"/>
          <w:color w:val="auto"/>
        </w:rPr>
      </w:pPr>
    </w:p>
    <w:p w14:paraId="74CD941F">
      <w:pPr>
        <w:spacing w:line="400" w:lineRule="exact"/>
        <w:rPr>
          <w:rFonts w:ascii="宋体" w:hAnsi="宋体" w:cs="宋体"/>
          <w:color w:val="auto"/>
        </w:rPr>
      </w:pPr>
    </w:p>
    <w:p w14:paraId="5FCFC66E">
      <w:pPr>
        <w:spacing w:line="400" w:lineRule="exact"/>
        <w:rPr>
          <w:rFonts w:ascii="宋体" w:hAnsi="宋体" w:cs="宋体"/>
          <w:color w:val="auto"/>
        </w:rPr>
      </w:pPr>
    </w:p>
    <w:p w14:paraId="74052DD3">
      <w:pPr>
        <w:spacing w:line="400" w:lineRule="exact"/>
        <w:rPr>
          <w:rFonts w:ascii="宋体" w:hAnsi="宋体" w:cs="宋体"/>
          <w:color w:val="auto"/>
        </w:rPr>
      </w:pPr>
    </w:p>
    <w:p w14:paraId="59A996B5">
      <w:pPr>
        <w:spacing w:line="400" w:lineRule="exact"/>
        <w:rPr>
          <w:rFonts w:ascii="宋体" w:hAnsi="宋体" w:cs="宋体"/>
          <w:color w:val="auto"/>
        </w:rPr>
      </w:pPr>
    </w:p>
    <w:p w14:paraId="2DDAD54A">
      <w:pPr>
        <w:spacing w:line="400" w:lineRule="exact"/>
        <w:rPr>
          <w:rFonts w:ascii="宋体" w:hAnsi="宋体" w:cs="宋体"/>
          <w:color w:val="auto"/>
        </w:rPr>
      </w:pPr>
    </w:p>
    <w:p w14:paraId="3701BDD1">
      <w:pPr>
        <w:spacing w:line="400" w:lineRule="exact"/>
        <w:rPr>
          <w:rFonts w:ascii="宋体" w:hAnsi="宋体" w:cs="宋体"/>
          <w:color w:val="auto"/>
        </w:rPr>
      </w:pPr>
    </w:p>
    <w:p w14:paraId="0F552B6C">
      <w:pPr>
        <w:spacing w:line="400" w:lineRule="exact"/>
        <w:rPr>
          <w:rFonts w:ascii="宋体" w:hAnsi="宋体" w:cs="宋体"/>
          <w:color w:val="auto"/>
        </w:rPr>
      </w:pPr>
    </w:p>
    <w:p w14:paraId="7BB1E497">
      <w:pPr>
        <w:spacing w:line="400" w:lineRule="exact"/>
        <w:rPr>
          <w:rFonts w:ascii="宋体" w:hAnsi="宋体" w:cs="宋体"/>
          <w:color w:val="auto"/>
        </w:rPr>
      </w:pPr>
    </w:p>
    <w:p w14:paraId="68D91C1B">
      <w:pPr>
        <w:spacing w:line="400" w:lineRule="exact"/>
        <w:rPr>
          <w:rFonts w:ascii="宋体" w:hAnsi="宋体" w:cs="宋体"/>
          <w:color w:val="auto"/>
        </w:rPr>
      </w:pPr>
    </w:p>
    <w:p w14:paraId="498119D8">
      <w:pPr>
        <w:spacing w:line="400" w:lineRule="exact"/>
        <w:rPr>
          <w:rFonts w:ascii="宋体" w:hAnsi="宋体" w:cs="宋体"/>
          <w:color w:val="auto"/>
        </w:rPr>
      </w:pPr>
    </w:p>
    <w:p w14:paraId="0DD7E955">
      <w:pPr>
        <w:spacing w:line="400" w:lineRule="exact"/>
        <w:rPr>
          <w:rFonts w:ascii="宋体" w:hAnsi="宋体" w:cs="宋体"/>
          <w:color w:val="auto"/>
        </w:rPr>
      </w:pPr>
    </w:p>
    <w:p w14:paraId="25EA39F4">
      <w:pPr>
        <w:spacing w:line="400" w:lineRule="exact"/>
        <w:rPr>
          <w:rFonts w:ascii="宋体" w:hAnsi="宋体" w:cs="宋体"/>
          <w:color w:val="auto"/>
        </w:rPr>
      </w:pPr>
    </w:p>
    <w:p w14:paraId="264C4B38">
      <w:pPr>
        <w:spacing w:line="400" w:lineRule="exact"/>
        <w:rPr>
          <w:rFonts w:ascii="宋体" w:hAnsi="宋体" w:cs="宋体"/>
          <w:color w:val="auto"/>
        </w:rPr>
      </w:pPr>
    </w:p>
    <w:p w14:paraId="1DE01E1A">
      <w:pPr>
        <w:spacing w:line="400" w:lineRule="exact"/>
        <w:rPr>
          <w:rFonts w:ascii="宋体" w:hAnsi="宋体" w:cs="宋体"/>
          <w:color w:val="auto"/>
        </w:rPr>
      </w:pPr>
    </w:p>
    <w:p w14:paraId="09CCB594">
      <w:pPr>
        <w:spacing w:line="400" w:lineRule="exact"/>
        <w:rPr>
          <w:rFonts w:ascii="宋体" w:hAnsi="宋体" w:cs="宋体"/>
          <w:color w:val="auto"/>
        </w:rPr>
      </w:pPr>
    </w:p>
    <w:p w14:paraId="661C2E37">
      <w:pPr>
        <w:spacing w:line="400" w:lineRule="exact"/>
        <w:rPr>
          <w:rFonts w:ascii="宋体" w:hAnsi="宋体" w:cs="宋体"/>
          <w:color w:val="auto"/>
        </w:rPr>
      </w:pPr>
    </w:p>
    <w:p w14:paraId="2A0801A8">
      <w:pPr>
        <w:spacing w:line="400" w:lineRule="exact"/>
        <w:rPr>
          <w:rFonts w:ascii="宋体" w:hAnsi="宋体" w:cs="宋体"/>
          <w:color w:val="auto"/>
        </w:rPr>
      </w:pPr>
    </w:p>
    <w:p w14:paraId="05E8F224">
      <w:pPr>
        <w:spacing w:line="400" w:lineRule="exact"/>
        <w:rPr>
          <w:rFonts w:ascii="宋体" w:hAnsi="宋体" w:cs="宋体"/>
          <w:color w:val="auto"/>
        </w:rPr>
      </w:pPr>
    </w:p>
    <w:p w14:paraId="5A95E6CF">
      <w:pPr>
        <w:spacing w:line="400" w:lineRule="exact"/>
        <w:rPr>
          <w:rFonts w:ascii="宋体" w:hAnsi="宋体" w:cs="宋体"/>
          <w:color w:val="auto"/>
        </w:rPr>
      </w:pPr>
    </w:p>
    <w:p w14:paraId="43B6455A">
      <w:pPr>
        <w:spacing w:line="400" w:lineRule="exact"/>
        <w:rPr>
          <w:rFonts w:ascii="宋体" w:hAnsi="宋体" w:cs="宋体"/>
          <w:color w:val="auto"/>
        </w:rPr>
      </w:pPr>
    </w:p>
    <w:p w14:paraId="1D19BA48">
      <w:pPr>
        <w:spacing w:line="400" w:lineRule="exact"/>
        <w:rPr>
          <w:rFonts w:ascii="宋体" w:hAnsi="宋体" w:cs="宋体"/>
          <w:color w:val="auto"/>
        </w:rPr>
      </w:pPr>
    </w:p>
    <w:p w14:paraId="28411F6A">
      <w:pPr>
        <w:spacing w:line="400" w:lineRule="exact"/>
        <w:rPr>
          <w:rFonts w:ascii="宋体" w:hAnsi="宋体" w:cs="宋体"/>
          <w:color w:val="auto"/>
          <w:sz w:val="24"/>
          <w:szCs w:val="28"/>
        </w:rPr>
      </w:pPr>
      <w:r>
        <w:rPr>
          <w:rFonts w:hint="eastAsia" w:ascii="宋体" w:hAnsi="宋体" w:cs="宋体"/>
          <w:color w:val="auto"/>
          <w:sz w:val="24"/>
          <w:szCs w:val="28"/>
        </w:rPr>
        <w:t>（二）法定代表人身份证明书（格式）</w:t>
      </w:r>
    </w:p>
    <w:p w14:paraId="2EA030D5">
      <w:pPr>
        <w:tabs>
          <w:tab w:val="left" w:pos="6300"/>
        </w:tabs>
        <w:snapToGrid w:val="0"/>
        <w:spacing w:line="500" w:lineRule="exact"/>
        <w:ind w:firstLine="570"/>
        <w:rPr>
          <w:rFonts w:ascii="宋体" w:hAnsi="宋体" w:cs="宋体"/>
          <w:color w:val="auto"/>
          <w:sz w:val="24"/>
        </w:rPr>
      </w:pPr>
    </w:p>
    <w:p w14:paraId="1FBD5CB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招标项目名称：</w:t>
      </w:r>
    </w:p>
    <w:p w14:paraId="307B4CF5">
      <w:pPr>
        <w:tabs>
          <w:tab w:val="left" w:pos="6300"/>
        </w:tabs>
        <w:snapToGrid w:val="0"/>
        <w:spacing w:line="500" w:lineRule="exact"/>
        <w:ind w:firstLine="570"/>
        <w:rPr>
          <w:rFonts w:ascii="宋体" w:hAnsi="宋体" w:cs="宋体"/>
          <w:color w:val="auto"/>
          <w:sz w:val="24"/>
        </w:rPr>
      </w:pPr>
    </w:p>
    <w:p w14:paraId="2147D55E">
      <w:pPr>
        <w:tabs>
          <w:tab w:val="left" w:pos="6300"/>
        </w:tabs>
        <w:snapToGrid w:val="0"/>
        <w:spacing w:line="500" w:lineRule="exact"/>
        <w:rPr>
          <w:rFonts w:ascii="宋体" w:hAnsi="宋体" w:cs="宋体"/>
          <w:color w:val="auto"/>
          <w:sz w:val="24"/>
        </w:rPr>
      </w:pPr>
      <w:r>
        <w:rPr>
          <w:rFonts w:hint="eastAsia" w:ascii="宋体" w:hAnsi="宋体" w:cs="宋体"/>
          <w:color w:val="auto"/>
          <w:sz w:val="24"/>
        </w:rPr>
        <w:t>致：（采购代理机构名称）：</w:t>
      </w:r>
    </w:p>
    <w:p w14:paraId="2FD050D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（法定代表人姓名）在（投标人名称）任（职务名称）职务，是（投标人名称）的法定代表人。</w:t>
      </w:r>
    </w:p>
    <w:p w14:paraId="0C9F5B8D">
      <w:pPr>
        <w:tabs>
          <w:tab w:val="left" w:pos="6300"/>
        </w:tabs>
        <w:snapToGrid w:val="0"/>
        <w:spacing w:line="500" w:lineRule="exact"/>
        <w:ind w:firstLine="570"/>
        <w:rPr>
          <w:rFonts w:ascii="宋体" w:hAnsi="宋体" w:cs="宋体"/>
          <w:color w:val="auto"/>
          <w:sz w:val="24"/>
        </w:rPr>
      </w:pPr>
    </w:p>
    <w:p w14:paraId="5CDCF070">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特此证明。</w:t>
      </w:r>
    </w:p>
    <w:p w14:paraId="79250AF2">
      <w:pPr>
        <w:tabs>
          <w:tab w:val="left" w:pos="6300"/>
        </w:tabs>
        <w:snapToGrid w:val="0"/>
        <w:spacing w:line="500" w:lineRule="exact"/>
        <w:ind w:firstLine="570"/>
        <w:rPr>
          <w:rFonts w:ascii="宋体" w:hAnsi="宋体" w:cs="宋体"/>
          <w:color w:val="auto"/>
          <w:sz w:val="24"/>
        </w:rPr>
      </w:pPr>
    </w:p>
    <w:p w14:paraId="0145EBE9">
      <w:pPr>
        <w:tabs>
          <w:tab w:val="left" w:pos="6300"/>
        </w:tabs>
        <w:snapToGrid w:val="0"/>
        <w:spacing w:line="500" w:lineRule="exact"/>
        <w:ind w:firstLine="570"/>
        <w:rPr>
          <w:rFonts w:ascii="宋体" w:hAnsi="宋体" w:cs="宋体"/>
          <w:color w:val="auto"/>
          <w:sz w:val="24"/>
        </w:rPr>
      </w:pPr>
    </w:p>
    <w:p w14:paraId="17542C33">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 xml:space="preserve">                                             投标人：</w:t>
      </w:r>
    </w:p>
    <w:p w14:paraId="2D75D61A">
      <w:pPr>
        <w:tabs>
          <w:tab w:val="left" w:pos="6300"/>
        </w:tabs>
        <w:snapToGrid w:val="0"/>
        <w:spacing w:line="500" w:lineRule="exact"/>
        <w:ind w:firstLine="5848" w:firstLineChars="2437"/>
        <w:rPr>
          <w:rFonts w:ascii="宋体" w:hAnsi="宋体" w:cs="宋体"/>
          <w:color w:val="auto"/>
          <w:sz w:val="24"/>
        </w:rPr>
      </w:pPr>
      <w:r>
        <w:rPr>
          <w:rFonts w:hint="eastAsia" w:ascii="宋体" w:hAnsi="宋体" w:cs="宋体"/>
          <w:color w:val="auto"/>
          <w:sz w:val="24"/>
        </w:rPr>
        <w:t>（投标人公章）</w:t>
      </w:r>
    </w:p>
    <w:p w14:paraId="631A1C3A">
      <w:pPr>
        <w:tabs>
          <w:tab w:val="left" w:pos="6300"/>
        </w:tabs>
        <w:snapToGrid w:val="0"/>
        <w:spacing w:line="500" w:lineRule="exact"/>
        <w:ind w:firstLine="570"/>
        <w:rPr>
          <w:rFonts w:ascii="宋体" w:hAnsi="宋体" w:cs="宋体"/>
          <w:color w:val="auto"/>
          <w:sz w:val="24"/>
        </w:rPr>
      </w:pPr>
    </w:p>
    <w:p w14:paraId="2E506789">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 xml:space="preserve">                                             年   月   日</w:t>
      </w:r>
    </w:p>
    <w:p w14:paraId="147A7113">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法定代表人电话：XXXXXXX      电子邮箱：XXXXXX@XXXXX（若授权他人办理并签署投标文件的可不填写）</w:t>
      </w:r>
    </w:p>
    <w:p w14:paraId="599CA8C4">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（附：法定代表人身份证正反面复印件）</w:t>
      </w:r>
    </w:p>
    <w:p w14:paraId="7696D0D9">
      <w:pPr>
        <w:tabs>
          <w:tab w:val="left" w:pos="6300"/>
        </w:tabs>
        <w:snapToGrid w:val="0"/>
        <w:spacing w:line="500" w:lineRule="exact"/>
        <w:ind w:firstLine="570"/>
        <w:rPr>
          <w:rFonts w:ascii="宋体" w:hAnsi="宋体" w:cs="宋体"/>
          <w:color w:val="auto"/>
          <w:sz w:val="24"/>
        </w:rPr>
      </w:pPr>
    </w:p>
    <w:p w14:paraId="3F4B3322">
      <w:pPr>
        <w:tabs>
          <w:tab w:val="left" w:pos="6300"/>
        </w:tabs>
        <w:snapToGrid w:val="0"/>
        <w:spacing w:line="500" w:lineRule="exact"/>
        <w:ind w:firstLine="570"/>
        <w:rPr>
          <w:rFonts w:ascii="宋体" w:hAnsi="宋体" w:cs="宋体"/>
          <w:color w:val="auto"/>
          <w:sz w:val="24"/>
        </w:rPr>
      </w:pPr>
    </w:p>
    <w:p w14:paraId="29B12663">
      <w:pPr>
        <w:tabs>
          <w:tab w:val="left" w:pos="6300"/>
        </w:tabs>
        <w:snapToGrid w:val="0"/>
        <w:spacing w:line="500" w:lineRule="exact"/>
        <w:ind w:firstLine="570"/>
        <w:rPr>
          <w:rFonts w:ascii="宋体" w:hAnsi="宋体" w:cs="宋体"/>
          <w:color w:val="auto"/>
          <w:sz w:val="24"/>
        </w:rPr>
      </w:pPr>
    </w:p>
    <w:p w14:paraId="299D20DB">
      <w:pPr>
        <w:tabs>
          <w:tab w:val="left" w:pos="6300"/>
        </w:tabs>
        <w:snapToGrid w:val="0"/>
        <w:spacing w:line="500" w:lineRule="exact"/>
        <w:ind w:firstLine="570"/>
        <w:rPr>
          <w:rFonts w:ascii="宋体" w:hAnsi="宋体" w:cs="宋体"/>
          <w:color w:val="auto"/>
          <w:sz w:val="24"/>
        </w:rPr>
      </w:pPr>
    </w:p>
    <w:p w14:paraId="0D329DCD">
      <w:pPr>
        <w:tabs>
          <w:tab w:val="left" w:pos="6300"/>
        </w:tabs>
        <w:snapToGrid w:val="0"/>
        <w:spacing w:line="500" w:lineRule="exact"/>
        <w:ind w:firstLine="570"/>
        <w:rPr>
          <w:rFonts w:ascii="宋体" w:hAnsi="宋体" w:cs="宋体"/>
          <w:color w:val="auto"/>
          <w:sz w:val="24"/>
        </w:rPr>
      </w:pPr>
    </w:p>
    <w:p w14:paraId="450953B3">
      <w:pPr>
        <w:spacing w:line="400" w:lineRule="exact"/>
        <w:ind w:firstLine="560" w:firstLineChars="200"/>
        <w:rPr>
          <w:rFonts w:ascii="宋体" w:hAnsi="宋体" w:cs="宋体"/>
          <w:color w:val="auto"/>
          <w:sz w:val="24"/>
          <w:szCs w:val="28"/>
        </w:rPr>
      </w:pPr>
      <w:r>
        <w:rPr>
          <w:rFonts w:hint="eastAsia" w:ascii="宋体" w:hAnsi="宋体" w:cs="宋体"/>
          <w:color w:val="auto"/>
        </w:rPr>
        <w:br w:type="column"/>
      </w:r>
      <w:r>
        <w:rPr>
          <w:rFonts w:hint="eastAsia" w:ascii="宋体" w:hAnsi="宋体" w:cs="宋体"/>
          <w:color w:val="auto"/>
          <w:sz w:val="24"/>
          <w:szCs w:val="28"/>
        </w:rPr>
        <w:t>（三）法定代表人授权委托书（格式）</w:t>
      </w:r>
    </w:p>
    <w:p w14:paraId="5FB235CD">
      <w:pPr>
        <w:tabs>
          <w:tab w:val="left" w:pos="6300"/>
        </w:tabs>
        <w:snapToGrid w:val="0"/>
        <w:spacing w:line="500" w:lineRule="exact"/>
        <w:ind w:firstLine="570"/>
        <w:rPr>
          <w:rFonts w:ascii="宋体" w:hAnsi="宋体" w:cs="宋体"/>
          <w:color w:val="auto"/>
          <w:sz w:val="24"/>
        </w:rPr>
      </w:pPr>
    </w:p>
    <w:p w14:paraId="38F2702A">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szCs w:val="28"/>
        </w:rPr>
        <w:t>招标项目名称</w:t>
      </w:r>
      <w:r>
        <w:rPr>
          <w:rFonts w:hint="eastAsia" w:ascii="宋体" w:hAnsi="宋体" w:cs="宋体"/>
          <w:color w:val="auto"/>
          <w:sz w:val="24"/>
        </w:rPr>
        <w:t>：</w:t>
      </w:r>
    </w:p>
    <w:p w14:paraId="28DF5A1E">
      <w:pPr>
        <w:tabs>
          <w:tab w:val="left" w:pos="6300"/>
        </w:tabs>
        <w:snapToGrid w:val="0"/>
        <w:spacing w:line="500" w:lineRule="exact"/>
        <w:ind w:firstLine="570"/>
        <w:rPr>
          <w:rFonts w:ascii="宋体" w:hAnsi="宋体" w:cs="宋体"/>
          <w:color w:val="auto"/>
          <w:sz w:val="24"/>
        </w:rPr>
      </w:pPr>
    </w:p>
    <w:p w14:paraId="7744F96C">
      <w:pPr>
        <w:tabs>
          <w:tab w:val="left" w:pos="6300"/>
        </w:tabs>
        <w:snapToGrid w:val="0"/>
        <w:spacing w:line="500" w:lineRule="exact"/>
        <w:rPr>
          <w:rFonts w:ascii="宋体" w:hAnsi="宋体" w:cs="宋体"/>
          <w:color w:val="auto"/>
          <w:sz w:val="24"/>
        </w:rPr>
      </w:pPr>
      <w:r>
        <w:rPr>
          <w:rFonts w:hint="eastAsia" w:ascii="宋体" w:hAnsi="宋体" w:cs="宋体"/>
          <w:color w:val="auto"/>
          <w:sz w:val="24"/>
        </w:rPr>
        <w:t>致：（采购代理机构名称）：</w:t>
      </w:r>
    </w:p>
    <w:p w14:paraId="5F39C460">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（投标人法定代表人名称）是（投标人名称）的法定代表人，特授权（被授权人姓名及身份证代码）代表我单位全权办理上述项目的投标、谈判、签约等具体工作，并签署全部有关文件、协议及合同。</w:t>
      </w:r>
    </w:p>
    <w:p w14:paraId="75958C91">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我单位对被授权人的签署负全部责任。</w:t>
      </w:r>
    </w:p>
    <w:p w14:paraId="109A8183">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在撤消授权的书面通知以前，本授权书一直有效。被授权人在授权书有效期内签署的所有文件不因授权的撤消而失效。</w:t>
      </w:r>
    </w:p>
    <w:p w14:paraId="6E46288C">
      <w:pPr>
        <w:tabs>
          <w:tab w:val="left" w:pos="6300"/>
        </w:tabs>
        <w:snapToGrid w:val="0"/>
        <w:spacing w:line="500" w:lineRule="exact"/>
        <w:ind w:firstLine="570"/>
        <w:rPr>
          <w:rFonts w:ascii="宋体" w:hAnsi="宋体" w:cs="宋体"/>
          <w:color w:val="auto"/>
          <w:sz w:val="24"/>
        </w:rPr>
      </w:pPr>
    </w:p>
    <w:p w14:paraId="157B4777">
      <w:pPr>
        <w:tabs>
          <w:tab w:val="left" w:pos="6300"/>
        </w:tabs>
        <w:snapToGrid w:val="0"/>
        <w:spacing w:line="500" w:lineRule="exact"/>
        <w:ind w:firstLine="570"/>
        <w:rPr>
          <w:rFonts w:ascii="宋体" w:hAnsi="宋体" w:cs="宋体"/>
          <w:color w:val="auto"/>
          <w:sz w:val="24"/>
        </w:rPr>
      </w:pPr>
    </w:p>
    <w:p w14:paraId="186F2AB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被授权人：                                 投标人法定代表人：</w:t>
      </w:r>
    </w:p>
    <w:p w14:paraId="2A96D6A8">
      <w:pPr>
        <w:tabs>
          <w:tab w:val="left" w:pos="6300"/>
        </w:tabs>
        <w:snapToGrid w:val="0"/>
        <w:spacing w:line="500" w:lineRule="exact"/>
        <w:ind w:firstLine="570"/>
        <w:rPr>
          <w:rFonts w:ascii="宋体" w:hAnsi="宋体" w:cs="宋体"/>
          <w:color w:val="auto"/>
          <w:sz w:val="24"/>
          <w:szCs w:val="28"/>
        </w:rPr>
      </w:pPr>
      <w:r>
        <w:rPr>
          <w:rFonts w:hint="eastAsia" w:ascii="宋体" w:hAnsi="宋体" w:cs="宋体"/>
          <w:color w:val="auto"/>
          <w:sz w:val="24"/>
          <w:szCs w:val="28"/>
        </w:rPr>
        <w:t>（签署或盖章）                                （签署或盖章）</w:t>
      </w:r>
    </w:p>
    <w:p w14:paraId="452EADE8">
      <w:pPr>
        <w:tabs>
          <w:tab w:val="left" w:pos="6300"/>
        </w:tabs>
        <w:snapToGrid w:val="0"/>
        <w:spacing w:line="500" w:lineRule="exact"/>
        <w:ind w:firstLine="570"/>
        <w:rPr>
          <w:rFonts w:ascii="宋体" w:hAnsi="宋体" w:cs="宋体"/>
          <w:color w:val="auto"/>
          <w:sz w:val="24"/>
          <w:szCs w:val="28"/>
        </w:rPr>
      </w:pPr>
    </w:p>
    <w:p w14:paraId="66F6A21D">
      <w:pPr>
        <w:tabs>
          <w:tab w:val="left" w:pos="6300"/>
        </w:tabs>
        <w:snapToGrid w:val="0"/>
        <w:spacing w:line="500" w:lineRule="exact"/>
        <w:ind w:firstLine="570"/>
        <w:rPr>
          <w:rFonts w:ascii="宋体" w:hAnsi="宋体" w:cs="宋体"/>
          <w:color w:val="auto"/>
          <w:sz w:val="24"/>
        </w:rPr>
      </w:pPr>
    </w:p>
    <w:p w14:paraId="43CBED3F">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（附：被授权人身份证正反面复印件）</w:t>
      </w:r>
    </w:p>
    <w:p w14:paraId="22D72882">
      <w:pPr>
        <w:tabs>
          <w:tab w:val="left" w:pos="6300"/>
        </w:tabs>
        <w:snapToGrid w:val="0"/>
        <w:spacing w:line="500" w:lineRule="exact"/>
        <w:ind w:firstLine="570"/>
        <w:rPr>
          <w:rFonts w:ascii="宋体" w:hAnsi="宋体" w:cs="宋体"/>
          <w:color w:val="auto"/>
          <w:sz w:val="24"/>
        </w:rPr>
      </w:pPr>
    </w:p>
    <w:p w14:paraId="4FCE6C00">
      <w:pPr>
        <w:tabs>
          <w:tab w:val="left" w:pos="6300"/>
        </w:tabs>
        <w:snapToGrid w:val="0"/>
        <w:spacing w:line="500" w:lineRule="exact"/>
        <w:ind w:firstLine="570"/>
        <w:rPr>
          <w:rFonts w:ascii="宋体" w:hAnsi="宋体" w:cs="宋体"/>
          <w:color w:val="auto"/>
          <w:sz w:val="24"/>
        </w:rPr>
      </w:pPr>
    </w:p>
    <w:p w14:paraId="3AEBFB37">
      <w:pPr>
        <w:tabs>
          <w:tab w:val="left" w:pos="6300"/>
        </w:tabs>
        <w:snapToGrid w:val="0"/>
        <w:spacing w:line="500" w:lineRule="exact"/>
        <w:ind w:right="480" w:firstLine="570"/>
        <w:jc w:val="right"/>
        <w:rPr>
          <w:rFonts w:ascii="宋体" w:hAnsi="宋体" w:cs="宋体"/>
          <w:color w:val="auto"/>
          <w:sz w:val="24"/>
        </w:rPr>
      </w:pPr>
      <w:r>
        <w:rPr>
          <w:rFonts w:hint="eastAsia" w:ascii="宋体" w:hAnsi="宋体" w:cs="宋体"/>
          <w:color w:val="auto"/>
          <w:sz w:val="24"/>
        </w:rPr>
        <w:t>（投标人公章）</w:t>
      </w:r>
    </w:p>
    <w:p w14:paraId="4BC87333">
      <w:pPr>
        <w:tabs>
          <w:tab w:val="left" w:pos="6300"/>
        </w:tabs>
        <w:snapToGrid w:val="0"/>
        <w:spacing w:line="500" w:lineRule="exact"/>
        <w:ind w:right="480" w:firstLine="570"/>
        <w:jc w:val="right"/>
        <w:rPr>
          <w:rFonts w:ascii="宋体" w:hAnsi="宋体" w:cs="宋体"/>
          <w:color w:val="auto"/>
          <w:sz w:val="24"/>
        </w:rPr>
      </w:pPr>
      <w:r>
        <w:rPr>
          <w:rFonts w:hint="eastAsia" w:ascii="宋体" w:hAnsi="宋体" w:cs="宋体"/>
          <w:color w:val="auto"/>
          <w:sz w:val="24"/>
        </w:rPr>
        <w:t>年   月   日</w:t>
      </w:r>
    </w:p>
    <w:p w14:paraId="677808F2">
      <w:pPr>
        <w:tabs>
          <w:tab w:val="left" w:pos="6300"/>
        </w:tabs>
        <w:snapToGrid w:val="0"/>
        <w:spacing w:line="500" w:lineRule="exact"/>
        <w:ind w:right="720" w:firstLine="570"/>
        <w:jc w:val="right"/>
        <w:rPr>
          <w:rFonts w:ascii="宋体" w:hAnsi="宋体" w:cs="宋体"/>
          <w:color w:val="auto"/>
          <w:sz w:val="24"/>
        </w:rPr>
      </w:pPr>
    </w:p>
    <w:p w14:paraId="38EA3E8C">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被授权人电话：XXXXXXX     电子邮箱：XXXXXX@XXXXX（若法定代表人办理并签署投标文件的可不填写）</w:t>
      </w:r>
    </w:p>
    <w:p w14:paraId="6B343749">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注：</w:t>
      </w:r>
    </w:p>
    <w:p w14:paraId="08921124">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1.若为法定代表人办理并签署投标文件的，不提供此文件。</w:t>
      </w:r>
    </w:p>
    <w:p w14:paraId="3B9CC55A">
      <w:pPr>
        <w:spacing w:line="400" w:lineRule="exact"/>
        <w:ind w:firstLine="560" w:firstLineChars="200"/>
        <w:jc w:val="left"/>
        <w:rPr>
          <w:rFonts w:ascii="宋体" w:hAnsi="宋体" w:cs="宋体"/>
          <w:color w:val="auto"/>
          <w:sz w:val="24"/>
          <w:szCs w:val="24"/>
        </w:rPr>
      </w:pPr>
      <w:r>
        <w:rPr>
          <w:rFonts w:hint="eastAsia" w:ascii="宋体" w:hAnsi="宋体" w:cs="宋体"/>
          <w:color w:val="auto"/>
        </w:rPr>
        <w:br w:type="column"/>
      </w:r>
      <w:r>
        <w:rPr>
          <w:rFonts w:hint="eastAsia" w:ascii="宋体" w:hAnsi="宋体" w:cs="宋体"/>
          <w:color w:val="auto"/>
          <w:sz w:val="24"/>
          <w:szCs w:val="28"/>
        </w:rPr>
        <w:t>（四）基本资格条件承诺函</w:t>
      </w:r>
    </w:p>
    <w:p w14:paraId="0E7CA538">
      <w:pPr>
        <w:tabs>
          <w:tab w:val="left" w:pos="6300"/>
        </w:tabs>
        <w:snapToGrid w:val="0"/>
        <w:spacing w:line="500" w:lineRule="exact"/>
        <w:ind w:firstLine="643" w:firstLineChars="200"/>
        <w:jc w:val="center"/>
        <w:outlineLvl w:val="0"/>
        <w:rPr>
          <w:rFonts w:ascii="宋体" w:hAnsi="宋体" w:cs="宋体"/>
          <w:b/>
          <w:bCs/>
          <w:color w:val="auto"/>
          <w:sz w:val="32"/>
          <w:szCs w:val="32"/>
        </w:rPr>
      </w:pPr>
      <w:r>
        <w:rPr>
          <w:rFonts w:hint="eastAsia" w:ascii="宋体" w:hAnsi="宋体" w:cs="宋体"/>
          <w:b/>
          <w:bCs/>
          <w:color w:val="auto"/>
          <w:sz w:val="32"/>
          <w:szCs w:val="32"/>
        </w:rPr>
        <w:t>基本资格条件承诺函</w:t>
      </w:r>
    </w:p>
    <w:p w14:paraId="74EDBE62">
      <w:pPr>
        <w:tabs>
          <w:tab w:val="left" w:pos="6300"/>
        </w:tabs>
        <w:snapToGrid w:val="0"/>
        <w:spacing w:line="530" w:lineRule="exact"/>
        <w:rPr>
          <w:rFonts w:ascii="宋体" w:hAnsi="宋体" w:cs="宋体"/>
          <w:color w:val="auto"/>
          <w:sz w:val="24"/>
        </w:rPr>
      </w:pPr>
    </w:p>
    <w:p w14:paraId="3B24B77C">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致（采购代理机构名称）：</w:t>
      </w:r>
    </w:p>
    <w:p w14:paraId="7AADDAD3">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（投标人名称）郑重承诺：</w:t>
      </w:r>
    </w:p>
    <w:p w14:paraId="1B647BDB">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1.我方具有良好的商业信誉和健全的财务会计制度，具有履行合同所必需的设备和专业技术能力，具</w:t>
      </w:r>
      <w:r>
        <w:rPr>
          <w:rFonts w:hint="eastAsia" w:ascii="宋体" w:hAnsi="宋体" w:cs="宋体"/>
          <w:color w:val="auto"/>
          <w:sz w:val="24"/>
          <w:lang w:val="zh-CN"/>
        </w:rPr>
        <w:t>有依法缴纳税收和社会保障金的良好记录</w:t>
      </w:r>
      <w:r>
        <w:rPr>
          <w:rFonts w:hint="eastAsia" w:ascii="宋体" w:hAnsi="宋体" w:cs="宋体"/>
          <w:color w:val="auto"/>
          <w:sz w:val="24"/>
        </w:rPr>
        <w:t>，参加本项目采购活动前三年内无重大违法活动记录，在合同签订前后随时愿意提供相关证明材料。</w:t>
      </w:r>
    </w:p>
    <w:p w14:paraId="7E098BCF">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2.我方未列入在信用中国网站（www.creditchina.gov.cn）“失信被执行人”、“重大税收违法案件当事人名单”中，也未列入中国政府采购网（www.ccgp.gov.cn）“政府采购严重违法失信行为记录名单”中。</w:t>
      </w:r>
    </w:p>
    <w:p w14:paraId="2DDB8927">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3.我方在采购项目评审（评标）环节结束后，随时接受采购人、采购代理机构的检查验证，配合提供相关证明材料，证明符合《中华人民共和国政府采购法》规定的投标人基本资格条件。</w:t>
      </w:r>
    </w:p>
    <w:p w14:paraId="6AE36E00">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我方对以上承诺负全部法律责任。</w:t>
      </w:r>
    </w:p>
    <w:p w14:paraId="6BBF7506">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特此承诺。</w:t>
      </w:r>
    </w:p>
    <w:p w14:paraId="1B54C96D">
      <w:pPr>
        <w:tabs>
          <w:tab w:val="left" w:pos="6300"/>
        </w:tabs>
        <w:snapToGrid w:val="0"/>
        <w:spacing w:line="500" w:lineRule="exact"/>
        <w:ind w:firstLine="480" w:firstLineChars="200"/>
        <w:rPr>
          <w:rFonts w:ascii="宋体" w:hAnsi="宋体" w:cs="宋体"/>
          <w:color w:val="auto"/>
          <w:sz w:val="24"/>
        </w:rPr>
      </w:pPr>
    </w:p>
    <w:p w14:paraId="6A952DCD">
      <w:pPr>
        <w:tabs>
          <w:tab w:val="left" w:pos="6300"/>
        </w:tabs>
        <w:snapToGrid w:val="0"/>
        <w:spacing w:line="500" w:lineRule="exact"/>
        <w:ind w:firstLine="480" w:firstLineChars="200"/>
        <w:jc w:val="right"/>
        <w:rPr>
          <w:rFonts w:ascii="宋体" w:hAnsi="宋体" w:cs="宋体"/>
          <w:color w:val="auto"/>
          <w:sz w:val="24"/>
        </w:rPr>
      </w:pPr>
      <w:r>
        <w:rPr>
          <w:rFonts w:hint="eastAsia" w:ascii="宋体" w:hAnsi="宋体" w:cs="宋体"/>
          <w:color w:val="auto"/>
          <w:sz w:val="24"/>
        </w:rPr>
        <w:t>（投标人公章）</w:t>
      </w:r>
    </w:p>
    <w:p w14:paraId="3B6791B6">
      <w:pPr>
        <w:tabs>
          <w:tab w:val="left" w:pos="6300"/>
        </w:tabs>
        <w:snapToGrid w:val="0"/>
        <w:spacing w:line="500" w:lineRule="exact"/>
        <w:ind w:firstLine="480" w:firstLineChars="200"/>
        <w:jc w:val="right"/>
        <w:rPr>
          <w:rFonts w:ascii="宋体" w:hAnsi="宋体" w:cs="宋体"/>
          <w:color w:val="auto"/>
          <w:sz w:val="24"/>
        </w:rPr>
      </w:pPr>
      <w:r>
        <w:rPr>
          <w:rFonts w:hint="eastAsia" w:ascii="宋体" w:hAnsi="宋体" w:cs="宋体"/>
          <w:color w:val="auto"/>
          <w:sz w:val="24"/>
        </w:rPr>
        <w:t>年   月   日</w:t>
      </w:r>
    </w:p>
    <w:p w14:paraId="3BBC2A8C">
      <w:pPr>
        <w:snapToGrid w:val="0"/>
        <w:spacing w:line="440" w:lineRule="exact"/>
        <w:ind w:firstLine="480" w:firstLineChars="200"/>
        <w:rPr>
          <w:rFonts w:ascii="宋体" w:hAnsi="宋体" w:cs="宋体"/>
          <w:color w:val="auto"/>
          <w:sz w:val="24"/>
          <w:szCs w:val="24"/>
        </w:rPr>
      </w:pPr>
    </w:p>
    <w:p w14:paraId="1683D88E">
      <w:pPr>
        <w:spacing w:line="400" w:lineRule="exact"/>
        <w:rPr>
          <w:rFonts w:ascii="宋体" w:hAnsi="宋体" w:cs="宋体"/>
          <w:color w:val="auto"/>
        </w:rPr>
      </w:pPr>
    </w:p>
    <w:p w14:paraId="36FD0320">
      <w:pPr>
        <w:spacing w:line="400" w:lineRule="exact"/>
        <w:rPr>
          <w:rFonts w:ascii="宋体" w:hAnsi="宋体" w:cs="宋体"/>
          <w:color w:val="auto"/>
        </w:rPr>
      </w:pPr>
    </w:p>
    <w:p w14:paraId="53F91024">
      <w:pPr>
        <w:spacing w:line="400" w:lineRule="exact"/>
        <w:rPr>
          <w:rFonts w:ascii="宋体" w:hAnsi="宋体" w:cs="宋体"/>
          <w:color w:val="auto"/>
        </w:rPr>
      </w:pPr>
    </w:p>
    <w:p w14:paraId="736B3F4A">
      <w:pPr>
        <w:spacing w:line="400" w:lineRule="exact"/>
        <w:rPr>
          <w:rFonts w:ascii="宋体" w:hAnsi="宋体" w:cs="宋体"/>
          <w:color w:val="auto"/>
        </w:rPr>
      </w:pPr>
    </w:p>
    <w:p w14:paraId="2D1ED124">
      <w:pPr>
        <w:spacing w:line="400" w:lineRule="exact"/>
        <w:rPr>
          <w:rFonts w:ascii="宋体" w:hAnsi="宋体" w:cs="宋体"/>
          <w:color w:val="auto"/>
        </w:rPr>
      </w:pPr>
    </w:p>
    <w:p w14:paraId="1936B65B">
      <w:pPr>
        <w:spacing w:line="400" w:lineRule="exact"/>
        <w:rPr>
          <w:rFonts w:ascii="宋体" w:hAnsi="宋体" w:cs="宋体"/>
          <w:color w:val="auto"/>
        </w:rPr>
      </w:pPr>
    </w:p>
    <w:p w14:paraId="4AAEBD3A">
      <w:pPr>
        <w:spacing w:line="400" w:lineRule="exact"/>
        <w:rPr>
          <w:rFonts w:ascii="宋体" w:hAnsi="宋体" w:cs="宋体"/>
          <w:color w:val="auto"/>
        </w:rPr>
      </w:pPr>
    </w:p>
    <w:p w14:paraId="1FA95974">
      <w:pPr>
        <w:spacing w:line="400" w:lineRule="exact"/>
        <w:rPr>
          <w:rFonts w:ascii="宋体" w:hAnsi="宋体" w:cs="宋体"/>
          <w:color w:val="auto"/>
        </w:rPr>
      </w:pPr>
    </w:p>
    <w:p w14:paraId="3C7F34B7">
      <w:pPr>
        <w:tabs>
          <w:tab w:val="left" w:pos="6300"/>
        </w:tabs>
        <w:snapToGrid w:val="0"/>
        <w:spacing w:line="500" w:lineRule="exact"/>
        <w:ind w:firstLine="480" w:firstLineChars="200"/>
        <w:rPr>
          <w:rFonts w:ascii="宋体" w:hAnsi="宋体" w:cs="宋体"/>
          <w:color w:val="auto"/>
          <w:sz w:val="24"/>
          <w:szCs w:val="28"/>
        </w:rPr>
      </w:pPr>
    </w:p>
    <w:p w14:paraId="3FFFED51">
      <w:pPr>
        <w:tabs>
          <w:tab w:val="left" w:pos="6300"/>
        </w:tabs>
        <w:snapToGrid w:val="0"/>
        <w:spacing w:line="500" w:lineRule="exact"/>
        <w:ind w:firstLine="480" w:firstLineChars="200"/>
        <w:rPr>
          <w:rFonts w:ascii="宋体" w:hAnsi="宋体" w:cs="宋体"/>
          <w:color w:val="auto"/>
          <w:sz w:val="24"/>
          <w:szCs w:val="28"/>
        </w:rPr>
      </w:pPr>
    </w:p>
    <w:p w14:paraId="7D1D4825">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（五）特定资格条件证书或证明文件</w:t>
      </w:r>
    </w:p>
    <w:p w14:paraId="12F9A6D5">
      <w:pPr>
        <w:tabs>
          <w:tab w:val="left" w:pos="6300"/>
        </w:tabs>
        <w:snapToGrid w:val="0"/>
        <w:spacing w:line="500" w:lineRule="exact"/>
        <w:ind w:firstLine="570"/>
        <w:jc w:val="left"/>
        <w:rPr>
          <w:rFonts w:ascii="宋体" w:hAnsi="宋体" w:cs="宋体"/>
          <w:color w:val="auto"/>
          <w:sz w:val="24"/>
        </w:rPr>
      </w:pPr>
    </w:p>
    <w:p w14:paraId="01AC1E22">
      <w:pPr>
        <w:tabs>
          <w:tab w:val="left" w:pos="6300"/>
        </w:tabs>
        <w:snapToGrid w:val="0"/>
        <w:spacing w:line="500" w:lineRule="exact"/>
        <w:ind w:firstLine="570"/>
        <w:jc w:val="left"/>
        <w:rPr>
          <w:rFonts w:ascii="宋体" w:hAnsi="宋体" w:cs="宋体"/>
          <w:color w:val="auto"/>
          <w:sz w:val="24"/>
        </w:rPr>
      </w:pPr>
    </w:p>
    <w:p w14:paraId="4C3F692A">
      <w:pPr>
        <w:tabs>
          <w:tab w:val="left" w:pos="6300"/>
        </w:tabs>
        <w:snapToGrid w:val="0"/>
        <w:spacing w:line="500" w:lineRule="exact"/>
        <w:ind w:firstLine="570"/>
        <w:jc w:val="left"/>
        <w:rPr>
          <w:rFonts w:ascii="宋体" w:hAnsi="宋体" w:cs="宋体"/>
          <w:color w:val="auto"/>
          <w:sz w:val="24"/>
        </w:rPr>
      </w:pPr>
    </w:p>
    <w:p w14:paraId="7EFE5CE2">
      <w:pPr>
        <w:tabs>
          <w:tab w:val="left" w:pos="6300"/>
        </w:tabs>
        <w:snapToGrid w:val="0"/>
        <w:spacing w:line="500" w:lineRule="exact"/>
        <w:ind w:firstLine="570"/>
        <w:jc w:val="left"/>
        <w:rPr>
          <w:rFonts w:ascii="宋体" w:hAnsi="宋体" w:cs="宋体"/>
          <w:color w:val="auto"/>
          <w:sz w:val="24"/>
        </w:rPr>
      </w:pPr>
    </w:p>
    <w:p w14:paraId="169C149F">
      <w:pPr>
        <w:tabs>
          <w:tab w:val="left" w:pos="6300"/>
        </w:tabs>
        <w:snapToGrid w:val="0"/>
        <w:spacing w:line="500" w:lineRule="exact"/>
        <w:ind w:firstLine="570"/>
        <w:jc w:val="left"/>
        <w:rPr>
          <w:rFonts w:ascii="宋体" w:hAnsi="宋体" w:cs="宋体"/>
          <w:color w:val="auto"/>
          <w:sz w:val="24"/>
        </w:rPr>
      </w:pPr>
    </w:p>
    <w:p w14:paraId="2ADA0A8B">
      <w:pPr>
        <w:tabs>
          <w:tab w:val="left" w:pos="6300"/>
        </w:tabs>
        <w:snapToGrid w:val="0"/>
        <w:spacing w:line="500" w:lineRule="exact"/>
        <w:ind w:firstLine="570"/>
        <w:jc w:val="left"/>
        <w:rPr>
          <w:rFonts w:ascii="宋体" w:hAnsi="宋体" w:cs="宋体"/>
          <w:color w:val="auto"/>
          <w:sz w:val="24"/>
        </w:rPr>
      </w:pPr>
    </w:p>
    <w:p w14:paraId="7CDAE7FF">
      <w:pPr>
        <w:tabs>
          <w:tab w:val="left" w:pos="6300"/>
        </w:tabs>
        <w:snapToGrid w:val="0"/>
        <w:spacing w:line="500" w:lineRule="exact"/>
        <w:ind w:firstLine="570"/>
        <w:jc w:val="left"/>
        <w:rPr>
          <w:rFonts w:ascii="宋体" w:hAnsi="宋体" w:cs="宋体"/>
          <w:color w:val="auto"/>
          <w:sz w:val="24"/>
        </w:rPr>
      </w:pPr>
    </w:p>
    <w:p w14:paraId="66191F9D">
      <w:pPr>
        <w:tabs>
          <w:tab w:val="left" w:pos="6300"/>
        </w:tabs>
        <w:snapToGrid w:val="0"/>
        <w:spacing w:line="500" w:lineRule="exact"/>
        <w:ind w:firstLine="570"/>
        <w:jc w:val="left"/>
        <w:rPr>
          <w:rFonts w:ascii="宋体" w:hAnsi="宋体" w:cs="宋体"/>
          <w:color w:val="auto"/>
          <w:sz w:val="24"/>
        </w:rPr>
      </w:pPr>
    </w:p>
    <w:p w14:paraId="1ABCC9DD">
      <w:pPr>
        <w:tabs>
          <w:tab w:val="left" w:pos="6300"/>
        </w:tabs>
        <w:snapToGrid w:val="0"/>
        <w:spacing w:line="500" w:lineRule="exact"/>
        <w:ind w:firstLine="570"/>
        <w:jc w:val="left"/>
        <w:rPr>
          <w:rFonts w:ascii="宋体" w:hAnsi="宋体" w:cs="宋体"/>
          <w:color w:val="auto"/>
          <w:sz w:val="24"/>
        </w:rPr>
      </w:pPr>
    </w:p>
    <w:p w14:paraId="5D14D7FE">
      <w:pPr>
        <w:tabs>
          <w:tab w:val="left" w:pos="6300"/>
        </w:tabs>
        <w:snapToGrid w:val="0"/>
        <w:spacing w:line="500" w:lineRule="exact"/>
        <w:ind w:firstLine="570"/>
        <w:jc w:val="left"/>
        <w:rPr>
          <w:rFonts w:ascii="宋体" w:hAnsi="宋体" w:cs="宋体"/>
          <w:color w:val="auto"/>
          <w:sz w:val="24"/>
        </w:rPr>
      </w:pPr>
    </w:p>
    <w:p w14:paraId="51C2132C">
      <w:pPr>
        <w:tabs>
          <w:tab w:val="left" w:pos="6300"/>
        </w:tabs>
        <w:snapToGrid w:val="0"/>
        <w:spacing w:line="500" w:lineRule="exact"/>
        <w:jc w:val="left"/>
        <w:rPr>
          <w:rFonts w:ascii="宋体" w:hAnsi="宋体" w:cs="宋体"/>
          <w:color w:val="auto"/>
          <w:sz w:val="24"/>
        </w:rPr>
      </w:pPr>
    </w:p>
    <w:p w14:paraId="5A4761EB">
      <w:pPr>
        <w:pStyle w:val="23"/>
        <w:ind w:firstLine="480"/>
        <w:rPr>
          <w:rFonts w:ascii="宋体" w:hAnsi="宋体" w:cs="宋体"/>
          <w:color w:val="auto"/>
          <w:sz w:val="24"/>
        </w:rPr>
      </w:pPr>
    </w:p>
    <w:p w14:paraId="6D4DE8B2">
      <w:pPr>
        <w:pStyle w:val="23"/>
        <w:ind w:firstLine="480"/>
        <w:rPr>
          <w:rFonts w:ascii="宋体" w:hAnsi="宋体" w:cs="宋体"/>
          <w:color w:val="auto"/>
          <w:sz w:val="24"/>
        </w:rPr>
      </w:pPr>
    </w:p>
    <w:p w14:paraId="6269EA60">
      <w:pPr>
        <w:pStyle w:val="23"/>
        <w:ind w:firstLine="480"/>
        <w:rPr>
          <w:rFonts w:ascii="宋体" w:hAnsi="宋体" w:cs="宋体"/>
          <w:color w:val="auto"/>
          <w:sz w:val="24"/>
        </w:rPr>
      </w:pPr>
    </w:p>
    <w:p w14:paraId="0545CD1E">
      <w:pPr>
        <w:pStyle w:val="23"/>
        <w:ind w:firstLine="480"/>
        <w:rPr>
          <w:rFonts w:ascii="宋体" w:hAnsi="宋体" w:cs="宋体"/>
          <w:color w:val="auto"/>
          <w:sz w:val="24"/>
        </w:rPr>
      </w:pPr>
    </w:p>
    <w:p w14:paraId="7B4ED3A5">
      <w:pPr>
        <w:pStyle w:val="23"/>
        <w:ind w:firstLine="480"/>
        <w:rPr>
          <w:rFonts w:ascii="宋体" w:hAnsi="宋体" w:cs="宋体"/>
          <w:color w:val="auto"/>
          <w:sz w:val="24"/>
        </w:rPr>
      </w:pPr>
    </w:p>
    <w:p w14:paraId="053E6416">
      <w:pPr>
        <w:pStyle w:val="23"/>
        <w:ind w:firstLine="480"/>
        <w:rPr>
          <w:rFonts w:ascii="宋体" w:hAnsi="宋体" w:cs="宋体"/>
          <w:color w:val="auto"/>
          <w:sz w:val="24"/>
        </w:rPr>
      </w:pPr>
    </w:p>
    <w:p w14:paraId="2E6E6753">
      <w:pPr>
        <w:pStyle w:val="23"/>
        <w:ind w:firstLine="480"/>
        <w:rPr>
          <w:rFonts w:ascii="宋体" w:hAnsi="宋体" w:cs="宋体"/>
          <w:color w:val="auto"/>
          <w:sz w:val="24"/>
        </w:rPr>
      </w:pPr>
    </w:p>
    <w:p w14:paraId="0DD16E06">
      <w:pPr>
        <w:pStyle w:val="23"/>
        <w:ind w:firstLine="480"/>
        <w:rPr>
          <w:rFonts w:ascii="宋体" w:hAnsi="宋体" w:cs="宋体"/>
          <w:color w:val="auto"/>
          <w:sz w:val="24"/>
        </w:rPr>
      </w:pPr>
    </w:p>
    <w:p w14:paraId="0A045095">
      <w:pPr>
        <w:pStyle w:val="23"/>
        <w:ind w:firstLine="480"/>
        <w:rPr>
          <w:rFonts w:ascii="宋体" w:hAnsi="宋体" w:cs="宋体"/>
          <w:color w:val="auto"/>
          <w:sz w:val="24"/>
        </w:rPr>
      </w:pPr>
    </w:p>
    <w:p w14:paraId="1CFB4582">
      <w:pPr>
        <w:pStyle w:val="23"/>
        <w:ind w:firstLine="480"/>
        <w:rPr>
          <w:rFonts w:ascii="宋体" w:hAnsi="宋体" w:cs="宋体"/>
          <w:color w:val="auto"/>
          <w:sz w:val="24"/>
        </w:rPr>
      </w:pPr>
    </w:p>
    <w:p w14:paraId="264E5483">
      <w:pPr>
        <w:pStyle w:val="23"/>
        <w:ind w:firstLine="480"/>
        <w:rPr>
          <w:rFonts w:ascii="宋体" w:hAnsi="宋体" w:cs="宋体"/>
          <w:color w:val="auto"/>
          <w:sz w:val="24"/>
        </w:rPr>
      </w:pPr>
    </w:p>
    <w:p w14:paraId="60DF8F2D">
      <w:pPr>
        <w:tabs>
          <w:tab w:val="left" w:pos="6300"/>
        </w:tabs>
        <w:snapToGrid w:val="0"/>
        <w:spacing w:line="500" w:lineRule="exact"/>
        <w:ind w:firstLine="480" w:firstLineChars="200"/>
        <w:jc w:val="center"/>
        <w:outlineLvl w:val="0"/>
        <w:rPr>
          <w:rFonts w:ascii="宋体" w:hAnsi="宋体" w:cs="宋体"/>
          <w:color w:val="auto"/>
          <w:sz w:val="24"/>
        </w:rPr>
      </w:pPr>
      <w:r>
        <w:rPr>
          <w:rFonts w:hint="eastAsia" w:ascii="宋体" w:hAnsi="宋体" w:cs="宋体"/>
          <w:color w:val="auto"/>
          <w:sz w:val="24"/>
        </w:rPr>
        <w:t>（结束）</w:t>
      </w:r>
    </w:p>
    <w:p w14:paraId="61DA6739">
      <w:pPr>
        <w:rPr>
          <w:rFonts w:ascii="宋体" w:hAnsi="宋体" w:cs="宋体"/>
          <w:color w:val="auto"/>
        </w:rPr>
      </w:pPr>
    </w:p>
    <w:sectPr>
      <w:footerReference r:id="rId10" w:type="default"/>
      <w:type w:val="nextColumn"/>
      <w:pgSz w:w="11907" w:h="16840"/>
      <w:pgMar w:top="1134" w:right="1191" w:bottom="1134" w:left="1304" w:header="964"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仿宋_GB2312;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CC925">
    <w:pPr>
      <w:pStyle w:val="11"/>
      <w:jc w:val="center"/>
      <w:rPr>
        <w:sz w:val="24"/>
      </w:rPr>
    </w:pPr>
    <w:r>
      <w:rPr>
        <w:sz w:val="24"/>
      </w:rPr>
      <w:fldChar w:fldCharType="begin"/>
    </w:r>
    <w:r>
      <w:rPr>
        <w:rStyle w:val="21"/>
        <w:sz w:val="24"/>
      </w:rPr>
      <w:instrText xml:space="preserve"> PAGE </w:instrText>
    </w:r>
    <w:r>
      <w:rPr>
        <w:sz w:val="24"/>
      </w:rPr>
      <w:fldChar w:fldCharType="separate"/>
    </w:r>
    <w:r>
      <w:rPr>
        <w:rStyle w:val="21"/>
        <w:sz w:val="24"/>
      </w:rPr>
      <w:t>- 1 -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30873">
    <w:pPr>
      <w:pStyle w:val="11"/>
      <w:framePr w:wrap="around" w:vAnchor="text" w:hAnchor="margin" w:xAlign="center" w:y="1"/>
      <w:rPr>
        <w:rStyle w:val="21"/>
      </w:rPr>
    </w:pPr>
    <w:r>
      <w:fldChar w:fldCharType="begin"/>
    </w:r>
    <w:r>
      <w:rPr>
        <w:rStyle w:val="21"/>
      </w:rPr>
      <w:instrText xml:space="preserve">PAGE  </w:instrText>
    </w:r>
    <w:r>
      <w:fldChar w:fldCharType="end"/>
    </w:r>
  </w:p>
  <w:p w14:paraId="33765B28">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2C9E9">
    <w:pPr>
      <w:pStyle w:val="11"/>
      <w:rPr>
        <w:sz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97927">
    <w:pPr>
      <w:pStyle w:val="11"/>
      <w:jc w:val="center"/>
      <w:rPr>
        <w:rFonts w:ascii="宋体" w:hAnsi="宋体"/>
        <w:sz w:val="21"/>
        <w:szCs w:val="21"/>
      </w:rPr>
    </w:pPr>
    <w:r>
      <w:rPr>
        <w:rFonts w:ascii="宋体" w:hAnsi="宋体"/>
        <w:sz w:val="21"/>
        <w:szCs w:val="21"/>
      </w:rPr>
      <w:fldChar w:fldCharType="begin"/>
    </w:r>
    <w:r>
      <w:rPr>
        <w:rStyle w:val="21"/>
        <w:rFonts w:ascii="宋体" w:hAnsi="宋体"/>
        <w:sz w:val="21"/>
        <w:szCs w:val="21"/>
      </w:rPr>
      <w:instrText xml:space="preserve"> PAGE </w:instrText>
    </w:r>
    <w:r>
      <w:rPr>
        <w:rFonts w:ascii="宋体" w:hAnsi="宋体"/>
        <w:sz w:val="21"/>
        <w:szCs w:val="21"/>
      </w:rPr>
      <w:fldChar w:fldCharType="separate"/>
    </w:r>
    <w:r>
      <w:rPr>
        <w:rStyle w:val="21"/>
        <w:rFonts w:ascii="宋体" w:hAnsi="宋体"/>
        <w:sz w:val="21"/>
        <w:szCs w:val="21"/>
      </w:rPr>
      <w:t>- 18 -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29C89">
    <w:pPr>
      <w:pStyle w:val="11"/>
      <w:framePr w:wrap="around" w:vAnchor="text" w:hAnchor="margin" w:xAlign="center" w:y="1"/>
      <w:rPr>
        <w:rStyle w:val="21"/>
      </w:rPr>
    </w:pPr>
    <w:r>
      <w:fldChar w:fldCharType="begin"/>
    </w:r>
    <w:r>
      <w:rPr>
        <w:rStyle w:val="21"/>
      </w:rPr>
      <w:instrText xml:space="preserve">PAGE  </w:instrText>
    </w:r>
    <w:r>
      <w:fldChar w:fldCharType="end"/>
    </w:r>
  </w:p>
  <w:p w14:paraId="1521B459">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A56BD">
    <w:pPr>
      <w:pStyle w:val="11"/>
      <w:jc w:val="center"/>
      <w:rPr>
        <w:sz w:val="24"/>
      </w:rPr>
    </w:pPr>
    <w:r>
      <w:rPr>
        <w:sz w:val="24"/>
      </w:rPr>
      <w:fldChar w:fldCharType="begin"/>
    </w:r>
    <w:r>
      <w:rPr>
        <w:rStyle w:val="21"/>
        <w:sz w:val="24"/>
      </w:rPr>
      <w:instrText xml:space="preserve"> PAGE </w:instrText>
    </w:r>
    <w:r>
      <w:rPr>
        <w:sz w:val="24"/>
      </w:rPr>
      <w:fldChar w:fldCharType="separate"/>
    </w:r>
    <w:r>
      <w:rPr>
        <w:rStyle w:val="21"/>
        <w:sz w:val="24"/>
      </w:rPr>
      <w:t>- 19 -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DD7B2">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EAAD6">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chineseCountingThousand"/>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4"/>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53208E"/>
    <w:multiLevelType w:val="multilevel"/>
    <w:tmpl w:val="0053208E"/>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pStyle w:val="33"/>
      <w:suff w:val="nothing"/>
      <w:lvlText w:val=""/>
      <w:lvlJc w:val="left"/>
      <w:pPr>
        <w:tabs>
          <w:tab w:val="left" w:pos="0"/>
        </w:tabs>
        <w:ind w:left="0" w:firstLine="0"/>
      </w:pPr>
    </w:lvl>
    <w:lvl w:ilvl="3" w:tentative="0">
      <w:start w:val="1"/>
      <w:numFmt w:val="none"/>
      <w:pStyle w:val="32"/>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kYmNjYmU0NDUyZmY0ZGQ0NWIyYTI4NzE2MWQ4Y2QifQ=="/>
  </w:docVars>
  <w:rsids>
    <w:rsidRoot w:val="00F92968"/>
    <w:rsid w:val="000203E2"/>
    <w:rsid w:val="000F2F54"/>
    <w:rsid w:val="000F369C"/>
    <w:rsid w:val="001256C4"/>
    <w:rsid w:val="00132CB8"/>
    <w:rsid w:val="00137943"/>
    <w:rsid w:val="0014132E"/>
    <w:rsid w:val="001F2417"/>
    <w:rsid w:val="002043DE"/>
    <w:rsid w:val="00272642"/>
    <w:rsid w:val="002B3988"/>
    <w:rsid w:val="003B4CC9"/>
    <w:rsid w:val="003C2184"/>
    <w:rsid w:val="0048064F"/>
    <w:rsid w:val="006A0181"/>
    <w:rsid w:val="006B1E38"/>
    <w:rsid w:val="006F6472"/>
    <w:rsid w:val="007A792C"/>
    <w:rsid w:val="00917B74"/>
    <w:rsid w:val="00957199"/>
    <w:rsid w:val="00A43F70"/>
    <w:rsid w:val="00AD5C72"/>
    <w:rsid w:val="00B67BA8"/>
    <w:rsid w:val="00B80D9A"/>
    <w:rsid w:val="00BC6285"/>
    <w:rsid w:val="00BE0EB3"/>
    <w:rsid w:val="00C96D57"/>
    <w:rsid w:val="00CE53C5"/>
    <w:rsid w:val="00DC14B2"/>
    <w:rsid w:val="00DD2031"/>
    <w:rsid w:val="00E327BB"/>
    <w:rsid w:val="00EF6E2B"/>
    <w:rsid w:val="00EF7E03"/>
    <w:rsid w:val="00F92968"/>
    <w:rsid w:val="00FC2F0C"/>
    <w:rsid w:val="02096A9F"/>
    <w:rsid w:val="032B2417"/>
    <w:rsid w:val="03703275"/>
    <w:rsid w:val="043B199D"/>
    <w:rsid w:val="044F345F"/>
    <w:rsid w:val="04F1714E"/>
    <w:rsid w:val="06873AE9"/>
    <w:rsid w:val="06EE39C0"/>
    <w:rsid w:val="06F02A97"/>
    <w:rsid w:val="070F7012"/>
    <w:rsid w:val="07371BBF"/>
    <w:rsid w:val="08436C4F"/>
    <w:rsid w:val="08DC03A1"/>
    <w:rsid w:val="096C360D"/>
    <w:rsid w:val="0A586566"/>
    <w:rsid w:val="0B100B65"/>
    <w:rsid w:val="0B126995"/>
    <w:rsid w:val="0BA82483"/>
    <w:rsid w:val="0BDB1E57"/>
    <w:rsid w:val="0CBC51CF"/>
    <w:rsid w:val="0CFB4BD2"/>
    <w:rsid w:val="0E677C47"/>
    <w:rsid w:val="11E76422"/>
    <w:rsid w:val="1278758A"/>
    <w:rsid w:val="12B50C0C"/>
    <w:rsid w:val="130848A2"/>
    <w:rsid w:val="151D59B2"/>
    <w:rsid w:val="157A6213"/>
    <w:rsid w:val="16180394"/>
    <w:rsid w:val="167B7F56"/>
    <w:rsid w:val="17ED795D"/>
    <w:rsid w:val="19093103"/>
    <w:rsid w:val="1A6A1554"/>
    <w:rsid w:val="1CF31976"/>
    <w:rsid w:val="1E7C0B3A"/>
    <w:rsid w:val="1FBA579B"/>
    <w:rsid w:val="20046E5B"/>
    <w:rsid w:val="206F1815"/>
    <w:rsid w:val="214229D8"/>
    <w:rsid w:val="21ED1ABE"/>
    <w:rsid w:val="2367085C"/>
    <w:rsid w:val="23CB02C7"/>
    <w:rsid w:val="24BD3F7B"/>
    <w:rsid w:val="26A0180B"/>
    <w:rsid w:val="277B4EC8"/>
    <w:rsid w:val="27E777F0"/>
    <w:rsid w:val="281C498C"/>
    <w:rsid w:val="28A228A5"/>
    <w:rsid w:val="28B7736C"/>
    <w:rsid w:val="29372C21"/>
    <w:rsid w:val="2A781E8D"/>
    <w:rsid w:val="2B25571C"/>
    <w:rsid w:val="2B865235"/>
    <w:rsid w:val="2F977E38"/>
    <w:rsid w:val="34B95194"/>
    <w:rsid w:val="370D1700"/>
    <w:rsid w:val="37EB4421"/>
    <w:rsid w:val="3846569E"/>
    <w:rsid w:val="38A73969"/>
    <w:rsid w:val="38E726E0"/>
    <w:rsid w:val="3958538C"/>
    <w:rsid w:val="3A560D0F"/>
    <w:rsid w:val="3A5C0EAC"/>
    <w:rsid w:val="3CF70537"/>
    <w:rsid w:val="40E557F6"/>
    <w:rsid w:val="431900AB"/>
    <w:rsid w:val="44282A41"/>
    <w:rsid w:val="45672BF1"/>
    <w:rsid w:val="47CD3D5B"/>
    <w:rsid w:val="48086E11"/>
    <w:rsid w:val="488D7D14"/>
    <w:rsid w:val="48FC1B96"/>
    <w:rsid w:val="4A5F4E81"/>
    <w:rsid w:val="4A6A2A32"/>
    <w:rsid w:val="4B140834"/>
    <w:rsid w:val="4DF3347D"/>
    <w:rsid w:val="4DF8272D"/>
    <w:rsid w:val="4F786330"/>
    <w:rsid w:val="52093015"/>
    <w:rsid w:val="526B31E9"/>
    <w:rsid w:val="550B6AE8"/>
    <w:rsid w:val="55326F81"/>
    <w:rsid w:val="55E91296"/>
    <w:rsid w:val="570A5ABF"/>
    <w:rsid w:val="57B91DA5"/>
    <w:rsid w:val="589755C8"/>
    <w:rsid w:val="58A71987"/>
    <w:rsid w:val="595D2F18"/>
    <w:rsid w:val="598C5E36"/>
    <w:rsid w:val="5ACA1208"/>
    <w:rsid w:val="5DDC08C1"/>
    <w:rsid w:val="5EE435F7"/>
    <w:rsid w:val="604026D5"/>
    <w:rsid w:val="62BF462F"/>
    <w:rsid w:val="631F2E43"/>
    <w:rsid w:val="64267CB1"/>
    <w:rsid w:val="66CA032E"/>
    <w:rsid w:val="6A7B5033"/>
    <w:rsid w:val="6CB40479"/>
    <w:rsid w:val="6D0E596F"/>
    <w:rsid w:val="6D93126D"/>
    <w:rsid w:val="6E65094B"/>
    <w:rsid w:val="713277C0"/>
    <w:rsid w:val="71DD038D"/>
    <w:rsid w:val="721B13C4"/>
    <w:rsid w:val="73C52757"/>
    <w:rsid w:val="74870676"/>
    <w:rsid w:val="75011763"/>
    <w:rsid w:val="752175BA"/>
    <w:rsid w:val="76F1354A"/>
    <w:rsid w:val="777A5EA4"/>
    <w:rsid w:val="792C5912"/>
    <w:rsid w:val="79AC4B90"/>
    <w:rsid w:val="7B846EF5"/>
    <w:rsid w:val="7DD722F0"/>
    <w:rsid w:val="7DFF3FEB"/>
    <w:rsid w:val="7E0D2FBA"/>
    <w:rsid w:val="7F4212B7"/>
    <w:rsid w:val="7F6C34C7"/>
    <w:rsid w:val="7FDD79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3">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60" w:lineRule="auto"/>
      <w:ind w:firstLine="420"/>
    </w:pPr>
    <w:rPr>
      <w:sz w:val="24"/>
    </w:rPr>
  </w:style>
  <w:style w:type="paragraph" w:styleId="5">
    <w:name w:val="annotation text"/>
    <w:basedOn w:val="1"/>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6">
    <w:name w:val="Body Text"/>
    <w:basedOn w:val="1"/>
    <w:link w:val="29"/>
    <w:qFormat/>
    <w:uiPriority w:val="99"/>
    <w:rPr>
      <w:rFonts w:ascii="仿宋_GB2312" w:eastAsia="仿宋_GB2312"/>
      <w:sz w:val="32"/>
    </w:rPr>
  </w:style>
  <w:style w:type="paragraph" w:styleId="7">
    <w:name w:val="Body Text Indent"/>
    <w:basedOn w:val="1"/>
    <w:qFormat/>
    <w:uiPriority w:val="0"/>
    <w:pPr>
      <w:spacing w:line="700" w:lineRule="exact"/>
      <w:ind w:left="960"/>
    </w:pPr>
    <w:rPr>
      <w:sz w:val="44"/>
    </w:rPr>
  </w:style>
  <w:style w:type="paragraph" w:styleId="8">
    <w:name w:val="Plain Text"/>
    <w:basedOn w:val="1"/>
    <w:qFormat/>
    <w:uiPriority w:val="0"/>
    <w:pPr>
      <w:adjustRightInd w:val="0"/>
      <w:snapToGrid w:val="0"/>
      <w:spacing w:line="360" w:lineRule="auto"/>
    </w:pPr>
    <w:rPr>
      <w:rFonts w:ascii="宋体" w:hAnsi="Courier New"/>
      <w:sz w:val="21"/>
    </w:rPr>
  </w:style>
  <w:style w:type="paragraph" w:styleId="9">
    <w:name w:val="Date"/>
    <w:basedOn w:val="1"/>
    <w:next w:val="1"/>
    <w:qFormat/>
    <w:uiPriority w:val="0"/>
  </w:style>
  <w:style w:type="paragraph" w:styleId="10">
    <w:name w:val="Balloon Text"/>
    <w:basedOn w:val="1"/>
    <w:link w:val="28"/>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tabs>
        <w:tab w:val="left" w:pos="1260"/>
        <w:tab w:val="left" w:pos="1685"/>
        <w:tab w:val="right" w:leader="dot" w:pos="8400"/>
      </w:tabs>
      <w:spacing w:line="320" w:lineRule="exact"/>
      <w:ind w:firstLine="280" w:firstLineChars="100"/>
    </w:pPr>
    <w:rPr>
      <w:b/>
    </w:rPr>
  </w:style>
  <w:style w:type="paragraph" w:styleId="14">
    <w:name w:val="toc 2"/>
    <w:basedOn w:val="1"/>
    <w:next w:val="1"/>
    <w:qFormat/>
    <w:uiPriority w:val="39"/>
    <w:pPr>
      <w:tabs>
        <w:tab w:val="right" w:leader="dot" w:pos="8400"/>
      </w:tabs>
      <w:spacing w:line="440" w:lineRule="exact"/>
      <w:ind w:left="280" w:leftChars="100" w:right="-91" w:rightChars="-91"/>
    </w:pPr>
  </w:style>
  <w:style w:type="paragraph" w:styleId="15">
    <w:name w:val="Body Text 2"/>
    <w:basedOn w:val="1"/>
    <w:qFormat/>
    <w:uiPriority w:val="0"/>
    <w:pPr>
      <w:adjustRightInd w:val="0"/>
      <w:snapToGrid w:val="0"/>
      <w:spacing w:after="120" w:line="480" w:lineRule="auto"/>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7"/>
    <w:qFormat/>
    <w:uiPriority w:val="99"/>
    <w:pPr>
      <w:spacing w:after="120" w:line="240" w:lineRule="auto"/>
      <w:ind w:left="420" w:leftChars="200"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qFormat/>
    <w:uiPriority w:val="0"/>
  </w:style>
  <w:style w:type="character" w:styleId="22">
    <w:name w:val="Hyperlink"/>
    <w:qFormat/>
    <w:uiPriority w:val="99"/>
    <w:rPr>
      <w:color w:val="0000FF"/>
      <w:u w:val="single"/>
    </w:rPr>
  </w:style>
  <w:style w:type="paragraph" w:customStyle="1" w:styleId="23">
    <w:name w:val="标书正文1"/>
    <w:basedOn w:val="1"/>
    <w:qFormat/>
    <w:uiPriority w:val="99"/>
    <w:pPr>
      <w:spacing w:line="520" w:lineRule="exact"/>
      <w:ind w:firstLine="640" w:firstLineChars="200"/>
    </w:pPr>
  </w:style>
  <w:style w:type="paragraph" w:customStyle="1" w:styleId="24">
    <w:name w:val="标题 5（有编号）（绿盟科技）"/>
    <w:basedOn w:val="1"/>
    <w:next w:val="25"/>
    <w:qFormat/>
    <w:uiPriority w:val="0"/>
    <w:pPr>
      <w:keepNext/>
      <w:keepLines/>
      <w:numPr>
        <w:ilvl w:val="4"/>
        <w:numId w:val="1"/>
      </w:numPr>
      <w:spacing w:before="280" w:after="156" w:line="377" w:lineRule="auto"/>
      <w:outlineLvl w:val="4"/>
    </w:pPr>
    <w:rPr>
      <w:rFonts w:ascii="Arial" w:hAnsi="Arial" w:eastAsia="黑体"/>
      <w:b/>
      <w:kern w:val="0"/>
      <w:szCs w:val="28"/>
    </w:rPr>
  </w:style>
  <w:style w:type="paragraph" w:customStyle="1" w:styleId="25">
    <w:name w:val="正文（绿盟科技）"/>
    <w:qFormat/>
    <w:uiPriority w:val="0"/>
    <w:pPr>
      <w:spacing w:line="300" w:lineRule="auto"/>
    </w:pPr>
    <w:rPr>
      <w:rFonts w:ascii="Arial" w:hAnsi="Arial" w:eastAsia="宋体" w:cs="Times New Roman"/>
      <w:sz w:val="21"/>
      <w:szCs w:val="21"/>
      <w:lang w:val="en-US" w:eastAsia="zh-CN" w:bidi="ar-SA"/>
    </w:rPr>
  </w:style>
  <w:style w:type="character" w:customStyle="1" w:styleId="26">
    <w:name w:val="NormalCharacter"/>
    <w:qFormat/>
    <w:uiPriority w:val="0"/>
  </w:style>
  <w:style w:type="paragraph" w:customStyle="1" w:styleId="27">
    <w:name w:val="图例"/>
    <w:basedOn w:val="1"/>
    <w:qFormat/>
    <w:uiPriority w:val="0"/>
    <w:pPr>
      <w:spacing w:line="360" w:lineRule="auto"/>
      <w:jc w:val="center"/>
    </w:pPr>
    <w:rPr>
      <w:rFonts w:eastAsia="仿宋_GB2312"/>
      <w:b/>
      <w:sz w:val="24"/>
    </w:rPr>
  </w:style>
  <w:style w:type="character" w:customStyle="1" w:styleId="28">
    <w:name w:val="批注框文本 Char"/>
    <w:basedOn w:val="20"/>
    <w:link w:val="10"/>
    <w:qFormat/>
    <w:uiPriority w:val="0"/>
    <w:rPr>
      <w:rFonts w:ascii="Times New Roman" w:hAnsi="Times New Roman" w:eastAsia="宋体" w:cs="Times New Roman"/>
      <w:kern w:val="2"/>
      <w:sz w:val="18"/>
      <w:szCs w:val="18"/>
    </w:rPr>
  </w:style>
  <w:style w:type="character" w:customStyle="1" w:styleId="29">
    <w:name w:val="正文文本 Char"/>
    <w:basedOn w:val="20"/>
    <w:link w:val="6"/>
    <w:qFormat/>
    <w:uiPriority w:val="99"/>
    <w:rPr>
      <w:rFonts w:ascii="仿宋_GB2312" w:hAnsi="Times New Roman" w:eastAsia="仿宋_GB2312" w:cs="Times New Roman"/>
      <w:kern w:val="2"/>
      <w:sz w:val="32"/>
    </w:rPr>
  </w:style>
  <w:style w:type="paragraph" w:customStyle="1" w:styleId="30">
    <w:name w:val="正文1"/>
    <w:basedOn w:val="31"/>
    <w:next w:val="1"/>
    <w:qFormat/>
    <w:uiPriority w:val="0"/>
    <w:pPr>
      <w:spacing w:line="300" w:lineRule="auto"/>
    </w:pPr>
    <w:rPr>
      <w:sz w:val="24"/>
    </w:rPr>
  </w:style>
  <w:style w:type="paragraph" w:customStyle="1" w:styleId="31">
    <w:name w:val="正文11"/>
    <w:next w:val="32"/>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32">
    <w:name w:val="标题 41"/>
    <w:basedOn w:val="31"/>
    <w:next w:val="31"/>
    <w:unhideWhenUsed/>
    <w:qFormat/>
    <w:uiPriority w:val="9"/>
    <w:pPr>
      <w:keepNext/>
      <w:keepLines/>
      <w:numPr>
        <w:ilvl w:val="3"/>
        <w:numId w:val="2"/>
      </w:numPr>
      <w:spacing w:line="372" w:lineRule="auto"/>
      <w:outlineLvl w:val="3"/>
    </w:pPr>
    <w:rPr>
      <w:rFonts w:ascii="Arial" w:hAnsi="Arial" w:eastAsia="黑体" w:cs="Arial"/>
      <w:b/>
    </w:rPr>
  </w:style>
  <w:style w:type="paragraph" w:customStyle="1" w:styleId="33">
    <w:name w:val="标题 31"/>
    <w:basedOn w:val="31"/>
    <w:next w:val="31"/>
    <w:unhideWhenUsed/>
    <w:qFormat/>
    <w:uiPriority w:val="9"/>
    <w:pPr>
      <w:keepNext/>
      <w:keepLines/>
      <w:numPr>
        <w:ilvl w:val="2"/>
        <w:numId w:val="2"/>
      </w:numPr>
      <w:spacing w:line="408" w:lineRule="auto"/>
      <w:outlineLvl w:val="2"/>
    </w:pPr>
    <w:rPr>
      <w:b/>
      <w:sz w:val="32"/>
    </w:rPr>
  </w:style>
  <w:style w:type="paragraph" w:customStyle="1" w:styleId="34">
    <w:name w:val="正文文本1"/>
    <w:basedOn w:val="31"/>
    <w:next w:val="31"/>
    <w:qFormat/>
    <w:uiPriority w:val="0"/>
    <w:rPr>
      <w:rFonts w:ascii="仿宋_GB2312;仿宋" w:hAnsi="仿宋_GB2312;仿宋" w:eastAsia="仿宋_GB2312;仿宋"/>
      <w:sz w:val="32"/>
    </w:rPr>
  </w:style>
  <w:style w:type="paragraph" w:customStyle="1" w:styleId="35">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6">
    <w:name w:val="1"/>
    <w:basedOn w:val="1"/>
    <w:next w:val="8"/>
    <w:qFormat/>
    <w:uiPriority w:val="0"/>
    <w:rPr>
      <w:rFonts w:ascii="宋体" w:hAnsi="Courier New"/>
      <w:sz w:val="21"/>
    </w:rPr>
  </w:style>
  <w:style w:type="paragraph" w:customStyle="1" w:styleId="37">
    <w:name w:val="BodyText"/>
    <w:basedOn w:val="1"/>
    <w:next w:val="38"/>
    <w:qFormat/>
    <w:uiPriority w:val="0"/>
    <w:pPr>
      <w:textAlignment w:val="baseline"/>
    </w:pPr>
    <w:rPr>
      <w:rFonts w:ascii="仿宋_GB2312" w:eastAsia="仿宋_GB2312"/>
      <w:sz w:val="32"/>
    </w:rPr>
  </w:style>
  <w:style w:type="paragraph" w:customStyle="1" w:styleId="38">
    <w:name w:val="BodyTextIndent"/>
    <w:basedOn w:val="1"/>
    <w:qFormat/>
    <w:uiPriority w:val="0"/>
    <w:pPr>
      <w:spacing w:line="700" w:lineRule="exact"/>
      <w:ind w:left="960"/>
      <w:textAlignment w:val="baseline"/>
    </w:pPr>
    <w:rPr>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41DC4-D67C-4E41-8B9C-247B5FBC8453}">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34</Pages>
  <Words>14480</Words>
  <Characters>15131</Characters>
  <Lines>123</Lines>
  <Paragraphs>34</Paragraphs>
  <TotalTime>0</TotalTime>
  <ScaleCrop>false</ScaleCrop>
  <LinksUpToDate>false</LinksUpToDate>
  <CharactersWithSpaces>16053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2022-06-21T07:55:00Z</dcterms:created>
  <dc:creator>hejie</dc:creator>
  <cp:lastModifiedBy>胡桐</cp:lastModifiedBy>
  <cp:lastPrinted>2023-07-19T06:53:00Z</cp:lastPrinted>
  <dcterms:modified xsi:type="dcterms:W3CDTF">2025-07-29T09:58:16Z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5FEFEA7798E14330812270BCB8C42110_13</vt:lpwstr>
  </property>
  <property fmtid="{D5CDD505-2E9C-101B-9397-08002B2CF9AE}" pid="4" name="KSOTemplateDocerSaveRecord">
    <vt:lpwstr>eyJoZGlkIjoiODY2NmMwMmZhMmRkZmNlZmM3ZmVhN2Q1OGVmYWVmZmQiLCJ1c2VySWQiOiIyMjc5Njk5NzUifQ==</vt:lpwstr>
  </property>
</Properties>
</file>