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AE69521">
      <w:pPr>
        <w:spacing w:line="1600" w:lineRule="exact"/>
        <w:jc w:val="center"/>
        <w:outlineLvl w:val="0"/>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 xml:space="preserve">        </w:t>
      </w:r>
    </w:p>
    <w:p w14:paraId="303E8D1B">
      <w:pPr>
        <w:spacing w:line="1600" w:lineRule="exact"/>
        <w:jc w:val="center"/>
        <w:outlineLvl w:val="0"/>
        <w:rPr>
          <w:rFonts w:hint="default" w:ascii="宋体" w:hAnsi="宋体" w:eastAsia="宋体" w:cs="宋体"/>
          <w:color w:val="auto"/>
          <w:sz w:val="84"/>
          <w:szCs w:val="84"/>
          <w:highlight w:val="none"/>
          <w:lang w:val="en-US" w:eastAsia="zh-CN"/>
        </w:rPr>
      </w:pPr>
      <w:r>
        <w:rPr>
          <w:rFonts w:hint="eastAsia" w:ascii="宋体" w:hAnsi="宋体" w:cs="宋体"/>
          <w:color w:val="auto"/>
          <w:sz w:val="84"/>
          <w:szCs w:val="84"/>
          <w:highlight w:val="none"/>
          <w:lang w:val="en-US" w:eastAsia="zh-CN"/>
        </w:rPr>
        <w:t>竞争性比选文件</w:t>
      </w:r>
    </w:p>
    <w:p w14:paraId="59A6FDDE">
      <w:pPr>
        <w:pStyle w:val="23"/>
        <w:spacing w:line="500" w:lineRule="exact"/>
        <w:ind w:left="0"/>
        <w:jc w:val="center"/>
        <w:rPr>
          <w:rFonts w:hint="eastAsia" w:ascii="宋体" w:hAnsi="宋体" w:eastAsia="宋体" w:cs="宋体"/>
          <w:color w:val="auto"/>
          <w:sz w:val="32"/>
          <w:highlight w:val="none"/>
        </w:rPr>
      </w:pPr>
    </w:p>
    <w:p w14:paraId="64A8C44A">
      <w:pPr>
        <w:pStyle w:val="23"/>
        <w:spacing w:line="500" w:lineRule="exact"/>
        <w:ind w:left="0"/>
        <w:jc w:val="center"/>
        <w:rPr>
          <w:rFonts w:hint="eastAsia" w:ascii="宋体" w:hAnsi="宋体" w:eastAsia="宋体" w:cs="宋体"/>
          <w:color w:val="auto"/>
          <w:sz w:val="32"/>
          <w:highlight w:val="none"/>
        </w:rPr>
      </w:pPr>
    </w:p>
    <w:p w14:paraId="1000E4A5">
      <w:pPr>
        <w:pStyle w:val="23"/>
        <w:spacing w:line="500" w:lineRule="exact"/>
        <w:ind w:left="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（综合评分）</w:t>
      </w:r>
    </w:p>
    <w:p w14:paraId="2278073E">
      <w:pPr>
        <w:pStyle w:val="23"/>
        <w:spacing w:line="500" w:lineRule="exact"/>
        <w:ind w:left="0"/>
        <w:rPr>
          <w:rFonts w:hint="eastAsia" w:ascii="宋体" w:hAnsi="宋体" w:eastAsia="宋体" w:cs="宋体"/>
          <w:color w:val="auto"/>
          <w:sz w:val="32"/>
          <w:highlight w:val="none"/>
        </w:rPr>
      </w:pPr>
    </w:p>
    <w:p w14:paraId="4BA97FE6">
      <w:pPr>
        <w:pStyle w:val="23"/>
        <w:spacing w:line="500" w:lineRule="exact"/>
        <w:ind w:left="0"/>
        <w:jc w:val="center"/>
        <w:rPr>
          <w:rFonts w:hint="eastAsia" w:ascii="宋体" w:hAnsi="宋体" w:eastAsia="宋体" w:cs="宋体"/>
          <w:color w:val="auto"/>
          <w:sz w:val="32"/>
          <w:highlight w:val="none"/>
          <w:lang w:eastAsia="zh-CN"/>
        </w:rPr>
      </w:pPr>
      <w:r>
        <w:rPr>
          <w:rFonts w:hint="eastAsia" w:ascii="宋体" w:hAnsi="宋体" w:cs="宋体"/>
          <w:color w:val="auto"/>
          <w:sz w:val="32"/>
          <w:highlight w:val="none"/>
          <w:lang w:val="en-US" w:eastAsia="zh-CN"/>
        </w:rPr>
        <w:t>项目号：</w:t>
      </w:r>
      <w:r>
        <w:rPr>
          <w:rFonts w:hint="eastAsia" w:ascii="宋体" w:hAnsi="宋体" w:cs="宋体"/>
          <w:color w:val="auto"/>
          <w:sz w:val="32"/>
          <w:highlight w:val="none"/>
          <w:lang w:eastAsia="zh-CN"/>
        </w:rPr>
        <w:t>YCYZX2025023</w:t>
      </w:r>
    </w:p>
    <w:p w14:paraId="04D26689">
      <w:pPr>
        <w:snapToGrid w:val="0"/>
        <w:spacing w:line="360" w:lineRule="auto"/>
        <w:jc w:val="left"/>
        <w:rPr>
          <w:rFonts w:hint="eastAsia" w:ascii="宋体" w:hAnsi="宋体" w:eastAsia="宋体" w:cs="宋体"/>
          <w:color w:val="auto"/>
          <w:sz w:val="28"/>
          <w:szCs w:val="28"/>
          <w:highlight w:val="none"/>
        </w:rPr>
      </w:pPr>
    </w:p>
    <w:p w14:paraId="05387288">
      <w:pPr>
        <w:snapToGrid w:val="0"/>
        <w:spacing w:line="360" w:lineRule="auto"/>
        <w:jc w:val="center"/>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采购项目名称：</w:t>
      </w:r>
      <w:r>
        <w:rPr>
          <w:rFonts w:hint="eastAsia" w:ascii="宋体" w:hAnsi="宋体" w:cs="宋体"/>
          <w:b w:val="0"/>
          <w:bCs w:val="0"/>
          <w:color w:val="auto"/>
          <w:sz w:val="32"/>
          <w:szCs w:val="32"/>
          <w:highlight w:val="none"/>
          <w:lang w:eastAsia="zh-CN"/>
        </w:rPr>
        <w:t>中央花园ABCD区28台电梯改造工程</w:t>
      </w:r>
    </w:p>
    <w:p w14:paraId="6F26CBC7">
      <w:pPr>
        <w:jc w:val="left"/>
        <w:rPr>
          <w:rFonts w:hint="eastAsia" w:ascii="宋体" w:hAnsi="宋体" w:eastAsia="宋体" w:cs="宋体"/>
          <w:color w:val="auto"/>
          <w:sz w:val="30"/>
          <w:szCs w:val="30"/>
          <w:highlight w:val="none"/>
        </w:rPr>
      </w:pPr>
    </w:p>
    <w:p w14:paraId="6B1B473A">
      <w:pPr>
        <w:pStyle w:val="23"/>
        <w:spacing w:line="360" w:lineRule="auto"/>
        <w:ind w:left="0" w:firstLine="1200" w:firstLineChars="400"/>
        <w:jc w:val="left"/>
        <w:rPr>
          <w:rFonts w:hint="eastAsia" w:ascii="宋体" w:hAnsi="宋体" w:eastAsia="宋体" w:cs="宋体"/>
          <w:color w:val="auto"/>
          <w:sz w:val="30"/>
          <w:szCs w:val="30"/>
          <w:highlight w:val="none"/>
        </w:rPr>
      </w:pPr>
    </w:p>
    <w:p w14:paraId="2EB0BE75">
      <w:pPr>
        <w:pStyle w:val="23"/>
        <w:spacing w:line="360" w:lineRule="auto"/>
        <w:ind w:left="0" w:firstLine="1200" w:firstLineChars="400"/>
        <w:jc w:val="left"/>
        <w:rPr>
          <w:rFonts w:hint="eastAsia" w:ascii="宋体" w:hAnsi="宋体" w:eastAsia="宋体" w:cs="宋体"/>
          <w:color w:val="auto"/>
          <w:sz w:val="30"/>
          <w:szCs w:val="30"/>
          <w:highlight w:val="none"/>
        </w:rPr>
      </w:pPr>
    </w:p>
    <w:p w14:paraId="2DB6F639">
      <w:pPr>
        <w:pStyle w:val="23"/>
        <w:spacing w:line="360" w:lineRule="auto"/>
        <w:ind w:left="0" w:firstLine="1200" w:firstLineChars="400"/>
        <w:jc w:val="left"/>
        <w:rPr>
          <w:rFonts w:hint="eastAsia" w:ascii="宋体" w:hAnsi="宋体" w:eastAsia="宋体" w:cs="宋体"/>
          <w:color w:val="auto"/>
          <w:sz w:val="30"/>
          <w:szCs w:val="30"/>
          <w:highlight w:val="none"/>
        </w:rPr>
      </w:pPr>
    </w:p>
    <w:p w14:paraId="5801F682">
      <w:pPr>
        <w:pStyle w:val="23"/>
        <w:spacing w:line="360" w:lineRule="auto"/>
        <w:ind w:left="0" w:firstLine="1200" w:firstLineChars="400"/>
        <w:jc w:val="left"/>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t>采购人：</w:t>
      </w:r>
      <w:r>
        <w:rPr>
          <w:rFonts w:hint="eastAsia" w:ascii="宋体" w:hAnsi="宋体" w:cs="宋体"/>
          <w:color w:val="auto"/>
          <w:sz w:val="30"/>
          <w:szCs w:val="30"/>
          <w:highlight w:val="none"/>
          <w:lang w:eastAsia="zh-CN"/>
        </w:rPr>
        <w:t>金麟德昌行（重庆）物业管理有限公司</w:t>
      </w:r>
      <w:r>
        <w:rPr>
          <w:rFonts w:hint="eastAsia" w:ascii="宋体" w:hAnsi="宋体" w:eastAsia="宋体" w:cs="宋体"/>
          <w:color w:val="auto"/>
          <w:sz w:val="30"/>
          <w:szCs w:val="30"/>
          <w:highlight w:val="none"/>
        </w:rPr>
        <w:t xml:space="preserve"> </w:t>
      </w:r>
    </w:p>
    <w:p w14:paraId="3D70C82B">
      <w:pPr>
        <w:pStyle w:val="23"/>
        <w:spacing w:line="360" w:lineRule="auto"/>
        <w:ind w:left="0" w:firstLine="1200" w:firstLineChars="400"/>
        <w:jc w:val="left"/>
        <w:rPr>
          <w:rFonts w:hint="eastAsia" w:ascii="宋体" w:hAnsi="宋体" w:eastAsia="宋体" w:cs="宋体"/>
          <w:color w:val="auto"/>
          <w:sz w:val="30"/>
          <w:szCs w:val="30"/>
          <w:highlight w:val="none"/>
        </w:rPr>
      </w:pPr>
    </w:p>
    <w:p w14:paraId="0C05DC19">
      <w:pPr>
        <w:pStyle w:val="23"/>
        <w:spacing w:line="360" w:lineRule="auto"/>
        <w:ind w:left="0" w:firstLine="1200" w:firstLineChars="400"/>
        <w:jc w:val="left"/>
        <w:rPr>
          <w:rFonts w:hint="eastAsia" w:ascii="宋体" w:hAnsi="宋体" w:eastAsia="宋体" w:cs="宋体"/>
          <w:color w:val="auto"/>
          <w:sz w:val="30"/>
          <w:szCs w:val="30"/>
          <w:highlight w:val="none"/>
          <w:lang w:eastAsia="zh-CN"/>
        </w:rPr>
      </w:pPr>
      <w:r>
        <w:rPr>
          <w:rFonts w:hint="eastAsia" w:ascii="宋体" w:hAnsi="宋体" w:eastAsia="宋体" w:cs="宋体"/>
          <w:color w:val="auto"/>
          <w:sz w:val="30"/>
          <w:szCs w:val="30"/>
          <w:highlight w:val="none"/>
        </w:rPr>
        <w:t>采购代理机构：</w:t>
      </w:r>
      <w:r>
        <w:rPr>
          <w:rFonts w:hint="eastAsia" w:ascii="宋体" w:hAnsi="宋体" w:eastAsia="宋体" w:cs="宋体"/>
          <w:color w:val="auto"/>
          <w:sz w:val="30"/>
          <w:szCs w:val="30"/>
          <w:highlight w:val="none"/>
          <w:lang w:eastAsia="zh-CN"/>
        </w:rPr>
        <w:t>重庆渝诚扬工程咨询有限公司</w:t>
      </w:r>
    </w:p>
    <w:p w14:paraId="6C2DF7BB">
      <w:pPr>
        <w:pStyle w:val="22"/>
        <w:rPr>
          <w:rFonts w:hint="eastAsia" w:ascii="宋体" w:hAnsi="宋体" w:eastAsia="宋体" w:cs="宋体"/>
          <w:color w:val="auto"/>
          <w:sz w:val="30"/>
          <w:szCs w:val="30"/>
          <w:highlight w:val="none"/>
        </w:rPr>
      </w:pPr>
    </w:p>
    <w:p w14:paraId="4FE8F5F0">
      <w:pPr>
        <w:snapToGrid w:val="0"/>
        <w:spacing w:line="500" w:lineRule="exact"/>
        <w:jc w:val="center"/>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t>二○二</w:t>
      </w:r>
      <w:r>
        <w:rPr>
          <w:rFonts w:hint="eastAsia" w:ascii="宋体" w:hAnsi="宋体" w:cs="宋体"/>
          <w:color w:val="auto"/>
          <w:sz w:val="30"/>
          <w:szCs w:val="30"/>
          <w:highlight w:val="none"/>
          <w:lang w:val="en-US" w:eastAsia="zh-CN"/>
        </w:rPr>
        <w:t>五</w:t>
      </w:r>
      <w:r>
        <w:rPr>
          <w:rFonts w:hint="eastAsia" w:ascii="宋体" w:hAnsi="宋体" w:eastAsia="宋体" w:cs="宋体"/>
          <w:color w:val="auto"/>
          <w:sz w:val="30"/>
          <w:szCs w:val="30"/>
          <w:highlight w:val="none"/>
        </w:rPr>
        <w:t>年</w:t>
      </w:r>
      <w:r>
        <w:rPr>
          <w:rFonts w:hint="eastAsia" w:ascii="宋体" w:hAnsi="宋体" w:cs="宋体"/>
          <w:color w:val="auto"/>
          <w:sz w:val="30"/>
          <w:szCs w:val="30"/>
          <w:highlight w:val="none"/>
          <w:lang w:val="en-US" w:eastAsia="zh-CN"/>
        </w:rPr>
        <w:t>六</w:t>
      </w:r>
      <w:r>
        <w:rPr>
          <w:rFonts w:hint="eastAsia" w:ascii="宋体" w:hAnsi="宋体" w:eastAsia="宋体" w:cs="宋体"/>
          <w:color w:val="auto"/>
          <w:sz w:val="30"/>
          <w:szCs w:val="30"/>
          <w:highlight w:val="none"/>
        </w:rPr>
        <w:t>月</w:t>
      </w:r>
    </w:p>
    <w:p w14:paraId="47A678FF">
      <w:pPr>
        <w:rPr>
          <w:rFonts w:hint="eastAsia" w:ascii="宋体" w:hAnsi="宋体" w:eastAsia="宋体" w:cs="宋体"/>
          <w:color w:val="auto"/>
          <w:sz w:val="44"/>
          <w:szCs w:val="28"/>
          <w:highlight w:val="none"/>
        </w:rPr>
      </w:pPr>
      <w:r>
        <w:rPr>
          <w:rFonts w:hint="eastAsia" w:ascii="宋体" w:hAnsi="宋体" w:eastAsia="宋体" w:cs="宋体"/>
          <w:color w:val="auto"/>
          <w:sz w:val="44"/>
          <w:szCs w:val="28"/>
          <w:highlight w:val="none"/>
        </w:rPr>
        <w:br w:type="page"/>
      </w:r>
    </w:p>
    <w:p w14:paraId="19854244">
      <w:pPr>
        <w:spacing w:line="480" w:lineRule="exact"/>
        <w:jc w:val="center"/>
        <w:outlineLvl w:val="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目   录</w:t>
      </w:r>
    </w:p>
    <w:p w14:paraId="31B91EBC">
      <w:pPr>
        <w:pStyle w:val="47"/>
        <w:tabs>
          <w:tab w:val="right" w:leader="dot" w:pos="9412"/>
        </w:tabs>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_Toc32012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第一篇  采购邀请书</w:t>
      </w:r>
      <w:r>
        <w:tab/>
      </w:r>
      <w:r>
        <w:fldChar w:fldCharType="begin"/>
      </w:r>
      <w:r>
        <w:instrText xml:space="preserve"> PAGEREF _Toc32012 \h </w:instrText>
      </w:r>
      <w:r>
        <w:fldChar w:fldCharType="separate"/>
      </w:r>
      <w:r>
        <w:t>5</w:t>
      </w:r>
      <w:r>
        <w:fldChar w:fldCharType="end"/>
      </w:r>
      <w:r>
        <w:rPr>
          <w:rFonts w:hint="eastAsia" w:ascii="宋体" w:hAnsi="宋体" w:eastAsia="宋体" w:cs="宋体"/>
          <w:color w:val="auto"/>
          <w:szCs w:val="24"/>
          <w:highlight w:val="none"/>
        </w:rPr>
        <w:fldChar w:fldCharType="end"/>
      </w:r>
    </w:p>
    <w:p w14:paraId="15F2EB1C">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_Toc23222 </w:instrText>
      </w:r>
      <w:r>
        <w:rPr>
          <w:rFonts w:hint="eastAsia" w:ascii="宋体" w:hAnsi="宋体" w:eastAsia="宋体" w:cs="宋体"/>
          <w:szCs w:val="24"/>
          <w:highlight w:val="none"/>
        </w:rPr>
        <w:fldChar w:fldCharType="separate"/>
      </w:r>
      <w:r>
        <w:rPr>
          <w:rFonts w:hint="eastAsia" w:ascii="宋体" w:hAnsi="宋体" w:eastAsia="宋体" w:cs="宋体"/>
          <w:bCs/>
          <w:szCs w:val="24"/>
        </w:rPr>
        <w:t xml:space="preserve">一、 </w:t>
      </w:r>
      <w:r>
        <w:rPr>
          <w:rFonts w:hint="eastAsia" w:ascii="宋体" w:hAnsi="宋体" w:eastAsia="宋体" w:cs="宋体"/>
          <w:bCs/>
          <w:szCs w:val="24"/>
          <w:highlight w:val="none"/>
        </w:rPr>
        <w:t>项目</w:t>
      </w:r>
      <w:r>
        <w:rPr>
          <w:rFonts w:hint="eastAsia" w:ascii="宋体" w:hAnsi="宋体" w:eastAsia="宋体" w:cs="宋体"/>
          <w:bCs/>
          <w:szCs w:val="24"/>
          <w:highlight w:val="none"/>
          <w:lang w:val="en-US" w:eastAsia="zh-CN"/>
        </w:rPr>
        <w:t>内容</w:t>
      </w:r>
      <w:r>
        <w:tab/>
      </w:r>
      <w:r>
        <w:fldChar w:fldCharType="begin"/>
      </w:r>
      <w:r>
        <w:instrText xml:space="preserve"> PAGEREF _Toc23222 \h </w:instrText>
      </w:r>
      <w:r>
        <w:fldChar w:fldCharType="separate"/>
      </w:r>
      <w:r>
        <w:t>5</w:t>
      </w:r>
      <w:r>
        <w:fldChar w:fldCharType="end"/>
      </w:r>
      <w:r>
        <w:rPr>
          <w:rFonts w:hint="eastAsia" w:ascii="宋体" w:hAnsi="宋体" w:eastAsia="宋体" w:cs="宋体"/>
          <w:color w:val="auto"/>
          <w:szCs w:val="24"/>
          <w:highlight w:val="none"/>
        </w:rPr>
        <w:fldChar w:fldCharType="end"/>
      </w:r>
    </w:p>
    <w:p w14:paraId="4C0D852D">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_Toc18994 </w:instrText>
      </w:r>
      <w:r>
        <w:rPr>
          <w:rFonts w:hint="eastAsia" w:ascii="宋体" w:hAnsi="宋体" w:eastAsia="宋体" w:cs="宋体"/>
          <w:szCs w:val="24"/>
          <w:highlight w:val="none"/>
        </w:rPr>
        <w:fldChar w:fldCharType="separate"/>
      </w:r>
      <w:r>
        <w:rPr>
          <w:rFonts w:hint="eastAsia" w:ascii="宋体" w:hAnsi="宋体" w:eastAsia="宋体" w:cs="宋体"/>
          <w:bCs/>
          <w:szCs w:val="24"/>
          <w:highlight w:val="none"/>
        </w:rPr>
        <w:t>二、资金来源</w:t>
      </w:r>
      <w:r>
        <w:tab/>
      </w:r>
      <w:r>
        <w:fldChar w:fldCharType="begin"/>
      </w:r>
      <w:r>
        <w:instrText xml:space="preserve"> PAGEREF _Toc18994 \h </w:instrText>
      </w:r>
      <w:r>
        <w:fldChar w:fldCharType="separate"/>
      </w:r>
      <w:r>
        <w:t>5</w:t>
      </w:r>
      <w:r>
        <w:fldChar w:fldCharType="end"/>
      </w:r>
      <w:r>
        <w:rPr>
          <w:rFonts w:hint="eastAsia" w:ascii="宋体" w:hAnsi="宋体" w:eastAsia="宋体" w:cs="宋体"/>
          <w:color w:val="auto"/>
          <w:szCs w:val="24"/>
          <w:highlight w:val="none"/>
        </w:rPr>
        <w:fldChar w:fldCharType="end"/>
      </w:r>
    </w:p>
    <w:p w14:paraId="50F23B48">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_Toc2306 </w:instrText>
      </w:r>
      <w:r>
        <w:rPr>
          <w:rFonts w:hint="eastAsia" w:ascii="宋体" w:hAnsi="宋体" w:eastAsia="宋体" w:cs="宋体"/>
          <w:szCs w:val="24"/>
          <w:highlight w:val="none"/>
        </w:rPr>
        <w:fldChar w:fldCharType="separate"/>
      </w:r>
      <w:r>
        <w:rPr>
          <w:rFonts w:hint="eastAsia" w:ascii="宋体" w:hAnsi="宋体" w:eastAsia="宋体" w:cs="宋体"/>
          <w:bCs/>
          <w:szCs w:val="24"/>
          <w:highlight w:val="none"/>
          <w:lang w:val="en-US" w:eastAsia="zh-CN"/>
        </w:rPr>
        <w:t>三、供应商资格条件</w:t>
      </w:r>
      <w:r>
        <w:tab/>
      </w:r>
      <w:r>
        <w:fldChar w:fldCharType="begin"/>
      </w:r>
      <w:r>
        <w:instrText xml:space="preserve"> PAGEREF _Toc2306 \h </w:instrText>
      </w:r>
      <w:r>
        <w:fldChar w:fldCharType="separate"/>
      </w:r>
      <w:r>
        <w:t>5</w:t>
      </w:r>
      <w:r>
        <w:fldChar w:fldCharType="end"/>
      </w:r>
      <w:r>
        <w:rPr>
          <w:rFonts w:hint="eastAsia" w:ascii="宋体" w:hAnsi="宋体" w:eastAsia="宋体" w:cs="宋体"/>
          <w:color w:val="auto"/>
          <w:szCs w:val="24"/>
          <w:highlight w:val="none"/>
        </w:rPr>
        <w:fldChar w:fldCharType="end"/>
      </w:r>
    </w:p>
    <w:p w14:paraId="01046CD0">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_Toc28860 </w:instrText>
      </w:r>
      <w:r>
        <w:rPr>
          <w:rFonts w:hint="eastAsia" w:ascii="宋体" w:hAnsi="宋体" w:eastAsia="宋体" w:cs="宋体"/>
          <w:szCs w:val="24"/>
          <w:highlight w:val="none"/>
        </w:rPr>
        <w:fldChar w:fldCharType="separate"/>
      </w:r>
      <w:r>
        <w:rPr>
          <w:rFonts w:hint="eastAsia" w:ascii="宋体" w:hAnsi="宋体" w:eastAsia="宋体" w:cs="宋体"/>
          <w:bCs/>
          <w:szCs w:val="24"/>
          <w:highlight w:val="none"/>
        </w:rPr>
        <w:t>四、采购有关说明</w:t>
      </w:r>
      <w:r>
        <w:tab/>
      </w:r>
      <w:r>
        <w:fldChar w:fldCharType="begin"/>
      </w:r>
      <w:r>
        <w:instrText xml:space="preserve"> PAGEREF _Toc28860 \h </w:instrText>
      </w:r>
      <w:r>
        <w:fldChar w:fldCharType="separate"/>
      </w:r>
      <w:r>
        <w:t>5</w:t>
      </w:r>
      <w:r>
        <w:fldChar w:fldCharType="end"/>
      </w:r>
      <w:r>
        <w:rPr>
          <w:rFonts w:hint="eastAsia" w:ascii="宋体" w:hAnsi="宋体" w:eastAsia="宋体" w:cs="宋体"/>
          <w:color w:val="auto"/>
          <w:szCs w:val="24"/>
          <w:highlight w:val="none"/>
        </w:rPr>
        <w:fldChar w:fldCharType="end"/>
      </w:r>
    </w:p>
    <w:p w14:paraId="1A566D10">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_Toc10560 </w:instrText>
      </w:r>
      <w:r>
        <w:rPr>
          <w:rFonts w:hint="eastAsia" w:ascii="宋体" w:hAnsi="宋体" w:eastAsia="宋体" w:cs="宋体"/>
          <w:szCs w:val="24"/>
          <w:highlight w:val="none"/>
        </w:rPr>
        <w:fldChar w:fldCharType="separate"/>
      </w:r>
      <w:r>
        <w:rPr>
          <w:rFonts w:hint="eastAsia" w:ascii="宋体" w:hAnsi="宋体" w:eastAsia="宋体" w:cs="宋体"/>
          <w:bCs/>
          <w:szCs w:val="24"/>
          <w:highlight w:val="none"/>
        </w:rPr>
        <w:t>五、</w:t>
      </w:r>
      <w:r>
        <w:rPr>
          <w:rFonts w:hint="eastAsia" w:ascii="宋体" w:hAnsi="宋体" w:cs="宋体"/>
          <w:bCs/>
          <w:szCs w:val="24"/>
          <w:highlight w:val="none"/>
          <w:lang w:val="en-US" w:eastAsia="zh-CN"/>
        </w:rPr>
        <w:t>竞选保证金</w:t>
      </w:r>
      <w:r>
        <w:tab/>
      </w:r>
      <w:r>
        <w:fldChar w:fldCharType="begin"/>
      </w:r>
      <w:r>
        <w:instrText xml:space="preserve"> PAGEREF _Toc10560 \h </w:instrText>
      </w:r>
      <w:r>
        <w:fldChar w:fldCharType="separate"/>
      </w:r>
      <w:r>
        <w:t>6</w:t>
      </w:r>
      <w:r>
        <w:fldChar w:fldCharType="end"/>
      </w:r>
      <w:r>
        <w:rPr>
          <w:rFonts w:hint="eastAsia" w:ascii="宋体" w:hAnsi="宋体" w:eastAsia="宋体" w:cs="宋体"/>
          <w:color w:val="auto"/>
          <w:szCs w:val="24"/>
          <w:highlight w:val="none"/>
        </w:rPr>
        <w:fldChar w:fldCharType="end"/>
      </w:r>
    </w:p>
    <w:p w14:paraId="49BA0B54">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_Toc23560 </w:instrText>
      </w:r>
      <w:r>
        <w:rPr>
          <w:rFonts w:hint="eastAsia" w:ascii="宋体" w:hAnsi="宋体" w:eastAsia="宋体" w:cs="宋体"/>
          <w:szCs w:val="24"/>
          <w:highlight w:val="none"/>
        </w:rPr>
        <w:fldChar w:fldCharType="separate"/>
      </w:r>
      <w:r>
        <w:rPr>
          <w:rFonts w:hint="eastAsia" w:ascii="宋体" w:hAnsi="宋体" w:cs="宋体"/>
          <w:bCs/>
          <w:szCs w:val="24"/>
          <w:highlight w:val="none"/>
          <w:lang w:val="en-US" w:eastAsia="zh-CN"/>
        </w:rPr>
        <w:t>六</w:t>
      </w:r>
      <w:r>
        <w:rPr>
          <w:rFonts w:hint="eastAsia" w:ascii="宋体" w:hAnsi="宋体" w:eastAsia="宋体" w:cs="宋体"/>
          <w:bCs/>
          <w:szCs w:val="24"/>
          <w:highlight w:val="none"/>
          <w:lang w:val="en-US" w:eastAsia="zh-CN"/>
        </w:rPr>
        <w:t>、其它有关规定</w:t>
      </w:r>
      <w:r>
        <w:tab/>
      </w:r>
      <w:r>
        <w:fldChar w:fldCharType="begin"/>
      </w:r>
      <w:r>
        <w:instrText xml:space="preserve"> PAGEREF _Toc23560 \h </w:instrText>
      </w:r>
      <w:r>
        <w:fldChar w:fldCharType="separate"/>
      </w:r>
      <w:r>
        <w:t>7</w:t>
      </w:r>
      <w:r>
        <w:fldChar w:fldCharType="end"/>
      </w:r>
      <w:r>
        <w:rPr>
          <w:rFonts w:hint="eastAsia" w:ascii="宋体" w:hAnsi="宋体" w:eastAsia="宋体" w:cs="宋体"/>
          <w:color w:val="auto"/>
          <w:szCs w:val="24"/>
          <w:highlight w:val="none"/>
        </w:rPr>
        <w:fldChar w:fldCharType="end"/>
      </w:r>
    </w:p>
    <w:p w14:paraId="0E30F052">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_Toc27748 </w:instrText>
      </w:r>
      <w:r>
        <w:rPr>
          <w:rFonts w:hint="eastAsia" w:ascii="宋体" w:hAnsi="宋体" w:eastAsia="宋体" w:cs="宋体"/>
          <w:szCs w:val="24"/>
          <w:highlight w:val="none"/>
        </w:rPr>
        <w:fldChar w:fldCharType="separate"/>
      </w:r>
      <w:r>
        <w:rPr>
          <w:rFonts w:hint="eastAsia" w:ascii="宋体" w:hAnsi="宋体" w:cs="宋体"/>
          <w:bCs/>
          <w:szCs w:val="24"/>
          <w:highlight w:val="none"/>
          <w:lang w:val="en-US" w:eastAsia="zh-CN"/>
        </w:rPr>
        <w:t>七</w:t>
      </w:r>
      <w:r>
        <w:rPr>
          <w:rFonts w:hint="eastAsia" w:ascii="宋体" w:hAnsi="宋体" w:eastAsia="宋体" w:cs="宋体"/>
          <w:bCs/>
          <w:szCs w:val="24"/>
          <w:highlight w:val="none"/>
          <w:lang w:val="en-US" w:eastAsia="zh-CN"/>
        </w:rPr>
        <w:t>、联系方式</w:t>
      </w:r>
      <w:r>
        <w:tab/>
      </w:r>
      <w:r>
        <w:fldChar w:fldCharType="begin"/>
      </w:r>
      <w:r>
        <w:instrText xml:space="preserve"> PAGEREF _Toc27748 \h </w:instrText>
      </w:r>
      <w:r>
        <w:fldChar w:fldCharType="separate"/>
      </w:r>
      <w:r>
        <w:t>7</w:t>
      </w:r>
      <w:r>
        <w:fldChar w:fldCharType="end"/>
      </w:r>
      <w:r>
        <w:rPr>
          <w:rFonts w:hint="eastAsia" w:ascii="宋体" w:hAnsi="宋体" w:eastAsia="宋体" w:cs="宋体"/>
          <w:color w:val="auto"/>
          <w:szCs w:val="24"/>
          <w:highlight w:val="none"/>
        </w:rPr>
        <w:fldChar w:fldCharType="end"/>
      </w:r>
    </w:p>
    <w:p w14:paraId="04D67558">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_Toc18465 </w:instrText>
      </w:r>
      <w:r>
        <w:rPr>
          <w:rFonts w:hint="eastAsia" w:ascii="宋体" w:hAnsi="宋体" w:eastAsia="宋体" w:cs="宋体"/>
          <w:szCs w:val="24"/>
          <w:highlight w:val="none"/>
        </w:rPr>
        <w:fldChar w:fldCharType="separate"/>
      </w:r>
      <w:r>
        <w:rPr>
          <w:rFonts w:hint="eastAsia" w:ascii="宋体" w:hAnsi="宋体" w:cs="宋体"/>
          <w:bCs/>
          <w:szCs w:val="24"/>
          <w:highlight w:val="none"/>
          <w:lang w:val="en-US" w:eastAsia="zh-CN"/>
        </w:rPr>
        <w:t>八</w:t>
      </w:r>
      <w:r>
        <w:rPr>
          <w:rFonts w:hint="eastAsia" w:ascii="宋体" w:hAnsi="宋体" w:eastAsia="宋体" w:cs="宋体"/>
          <w:bCs/>
          <w:szCs w:val="24"/>
          <w:highlight w:val="none"/>
          <w:lang w:val="en-US" w:eastAsia="zh-CN"/>
        </w:rPr>
        <w:t>、</w:t>
      </w:r>
      <w:r>
        <w:rPr>
          <w:rFonts w:hint="eastAsia" w:ascii="宋体" w:hAnsi="宋体" w:eastAsia="宋体" w:cs="宋体"/>
          <w:bCs/>
          <w:szCs w:val="24"/>
          <w:highlight w:val="none"/>
        </w:rPr>
        <w:t>现场踏勘</w:t>
      </w:r>
      <w:r>
        <w:tab/>
      </w:r>
      <w:r>
        <w:fldChar w:fldCharType="begin"/>
      </w:r>
      <w:r>
        <w:instrText xml:space="preserve"> PAGEREF _Toc18465 \h </w:instrText>
      </w:r>
      <w:r>
        <w:fldChar w:fldCharType="separate"/>
      </w:r>
      <w:r>
        <w:t>7</w:t>
      </w:r>
      <w:r>
        <w:fldChar w:fldCharType="end"/>
      </w:r>
      <w:r>
        <w:rPr>
          <w:rFonts w:hint="eastAsia" w:ascii="宋体" w:hAnsi="宋体" w:eastAsia="宋体" w:cs="宋体"/>
          <w:color w:val="auto"/>
          <w:szCs w:val="24"/>
          <w:highlight w:val="none"/>
        </w:rPr>
        <w:fldChar w:fldCharType="end"/>
      </w:r>
    </w:p>
    <w:p w14:paraId="6F4DCED5">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_Toc14759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lang w:val="en-US" w:eastAsia="zh-CN"/>
        </w:rPr>
        <w:t>第二篇  项目服务需求</w:t>
      </w:r>
      <w:r>
        <w:tab/>
      </w:r>
      <w:r>
        <w:fldChar w:fldCharType="begin"/>
      </w:r>
      <w:r>
        <w:instrText xml:space="preserve"> PAGEREF _Toc14759 \h </w:instrText>
      </w:r>
      <w:r>
        <w:fldChar w:fldCharType="separate"/>
      </w:r>
      <w:r>
        <w:t>9</w:t>
      </w:r>
      <w:r>
        <w:fldChar w:fldCharType="end"/>
      </w:r>
      <w:r>
        <w:rPr>
          <w:rFonts w:hint="eastAsia" w:ascii="宋体" w:hAnsi="宋体" w:eastAsia="宋体" w:cs="宋体"/>
          <w:color w:val="auto"/>
          <w:szCs w:val="24"/>
          <w:highlight w:val="none"/>
        </w:rPr>
        <w:fldChar w:fldCharType="end"/>
      </w:r>
    </w:p>
    <w:p w14:paraId="17285D2D">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_Toc5455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一、项目基本概况介绍</w:t>
      </w:r>
      <w:r>
        <w:tab/>
      </w:r>
      <w:r>
        <w:fldChar w:fldCharType="begin"/>
      </w:r>
      <w:r>
        <w:instrText xml:space="preserve"> PAGEREF _Toc5455 \h </w:instrText>
      </w:r>
      <w:r>
        <w:fldChar w:fldCharType="separate"/>
      </w:r>
      <w:r>
        <w:t>9</w:t>
      </w:r>
      <w:r>
        <w:fldChar w:fldCharType="end"/>
      </w:r>
      <w:r>
        <w:rPr>
          <w:rFonts w:hint="eastAsia" w:ascii="宋体" w:hAnsi="宋体" w:eastAsia="宋体" w:cs="宋体"/>
          <w:color w:val="auto"/>
          <w:szCs w:val="24"/>
          <w:highlight w:val="none"/>
        </w:rPr>
        <w:fldChar w:fldCharType="end"/>
      </w:r>
    </w:p>
    <w:p w14:paraId="241C4F4A">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_Toc30300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※二、施工范围及施工工期</w:t>
      </w:r>
      <w:r>
        <w:tab/>
      </w:r>
      <w:r>
        <w:fldChar w:fldCharType="begin"/>
      </w:r>
      <w:r>
        <w:instrText xml:space="preserve"> PAGEREF _Toc30300 \h </w:instrText>
      </w:r>
      <w:r>
        <w:fldChar w:fldCharType="separate"/>
      </w:r>
      <w:r>
        <w:t>9</w:t>
      </w:r>
      <w:r>
        <w:fldChar w:fldCharType="end"/>
      </w:r>
      <w:r>
        <w:rPr>
          <w:rFonts w:hint="eastAsia" w:ascii="宋体" w:hAnsi="宋体" w:eastAsia="宋体" w:cs="宋体"/>
          <w:color w:val="auto"/>
          <w:szCs w:val="24"/>
          <w:highlight w:val="none"/>
        </w:rPr>
        <w:fldChar w:fldCharType="end"/>
      </w:r>
    </w:p>
    <w:p w14:paraId="099C69BC">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_Toc10520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三、服务及质量需求</w:t>
      </w:r>
      <w:r>
        <w:tab/>
      </w:r>
      <w:r>
        <w:fldChar w:fldCharType="begin"/>
      </w:r>
      <w:r>
        <w:instrText xml:space="preserve"> PAGEREF _Toc10520 \h </w:instrText>
      </w:r>
      <w:r>
        <w:fldChar w:fldCharType="separate"/>
      </w:r>
      <w:r>
        <w:t>9</w:t>
      </w:r>
      <w:r>
        <w:fldChar w:fldCharType="end"/>
      </w:r>
      <w:r>
        <w:rPr>
          <w:rFonts w:hint="eastAsia" w:ascii="宋体" w:hAnsi="宋体" w:eastAsia="宋体" w:cs="宋体"/>
          <w:color w:val="auto"/>
          <w:szCs w:val="24"/>
          <w:highlight w:val="none"/>
        </w:rPr>
        <w:fldChar w:fldCharType="end"/>
      </w:r>
    </w:p>
    <w:p w14:paraId="7F3640CF">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_Toc14695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※四、项目技术需求</w:t>
      </w:r>
      <w:r>
        <w:tab/>
      </w:r>
      <w:r>
        <w:fldChar w:fldCharType="begin"/>
      </w:r>
      <w:r>
        <w:instrText xml:space="preserve"> PAGEREF _Toc14695 \h </w:instrText>
      </w:r>
      <w:r>
        <w:fldChar w:fldCharType="separate"/>
      </w:r>
      <w:r>
        <w:t>10</w:t>
      </w:r>
      <w:r>
        <w:fldChar w:fldCharType="end"/>
      </w:r>
      <w:r>
        <w:rPr>
          <w:rFonts w:hint="eastAsia" w:ascii="宋体" w:hAnsi="宋体" w:eastAsia="宋体" w:cs="宋体"/>
          <w:color w:val="auto"/>
          <w:szCs w:val="24"/>
          <w:highlight w:val="none"/>
        </w:rPr>
        <w:fldChar w:fldCharType="end"/>
      </w:r>
    </w:p>
    <w:p w14:paraId="45273C1E">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_Toc20582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五、项目技术标准</w:t>
      </w:r>
      <w:r>
        <w:tab/>
      </w:r>
      <w:r>
        <w:fldChar w:fldCharType="begin"/>
      </w:r>
      <w:r>
        <w:instrText xml:space="preserve"> PAGEREF _Toc20582 \h </w:instrText>
      </w:r>
      <w:r>
        <w:fldChar w:fldCharType="separate"/>
      </w:r>
      <w:r>
        <w:t>13</w:t>
      </w:r>
      <w:r>
        <w:fldChar w:fldCharType="end"/>
      </w:r>
      <w:r>
        <w:rPr>
          <w:rFonts w:hint="eastAsia" w:ascii="宋体" w:hAnsi="宋体" w:eastAsia="宋体" w:cs="宋体"/>
          <w:color w:val="auto"/>
          <w:szCs w:val="24"/>
          <w:highlight w:val="none"/>
        </w:rPr>
        <w:fldChar w:fldCharType="end"/>
      </w:r>
    </w:p>
    <w:p w14:paraId="561B1A1C">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_Toc12120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六、其他要求</w:t>
      </w:r>
      <w:r>
        <w:tab/>
      </w:r>
      <w:r>
        <w:fldChar w:fldCharType="begin"/>
      </w:r>
      <w:r>
        <w:instrText xml:space="preserve"> PAGEREF _Toc12120 \h </w:instrText>
      </w:r>
      <w:r>
        <w:fldChar w:fldCharType="separate"/>
      </w:r>
      <w:r>
        <w:t>13</w:t>
      </w:r>
      <w:r>
        <w:fldChar w:fldCharType="end"/>
      </w:r>
      <w:r>
        <w:rPr>
          <w:rFonts w:hint="eastAsia" w:ascii="宋体" w:hAnsi="宋体" w:eastAsia="宋体" w:cs="宋体"/>
          <w:color w:val="auto"/>
          <w:szCs w:val="24"/>
          <w:highlight w:val="none"/>
        </w:rPr>
        <w:fldChar w:fldCharType="end"/>
      </w:r>
    </w:p>
    <w:p w14:paraId="6DB453C7">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_Toc29606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第三篇  项目商务需求</w:t>
      </w:r>
      <w:r>
        <w:tab/>
      </w:r>
      <w:r>
        <w:fldChar w:fldCharType="begin"/>
      </w:r>
      <w:r>
        <w:instrText xml:space="preserve"> PAGEREF _Toc29606 \h </w:instrText>
      </w:r>
      <w:r>
        <w:fldChar w:fldCharType="separate"/>
      </w:r>
      <w:r>
        <w:t>15</w:t>
      </w:r>
      <w:r>
        <w:fldChar w:fldCharType="end"/>
      </w:r>
      <w:r>
        <w:rPr>
          <w:rFonts w:hint="eastAsia" w:ascii="宋体" w:hAnsi="宋体" w:eastAsia="宋体" w:cs="宋体"/>
          <w:color w:val="auto"/>
          <w:szCs w:val="24"/>
          <w:highlight w:val="none"/>
        </w:rPr>
        <w:fldChar w:fldCharType="end"/>
      </w:r>
    </w:p>
    <w:p w14:paraId="2D0EB279">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_Toc23677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※一、计划工期、项目地点及验收方式</w:t>
      </w:r>
      <w:r>
        <w:tab/>
      </w:r>
      <w:r>
        <w:fldChar w:fldCharType="begin"/>
      </w:r>
      <w:r>
        <w:instrText xml:space="preserve"> PAGEREF _Toc23677 \h </w:instrText>
      </w:r>
      <w:r>
        <w:fldChar w:fldCharType="separate"/>
      </w:r>
      <w:r>
        <w:t>15</w:t>
      </w:r>
      <w:r>
        <w:fldChar w:fldCharType="end"/>
      </w:r>
      <w:r>
        <w:rPr>
          <w:rFonts w:hint="eastAsia" w:ascii="宋体" w:hAnsi="宋体" w:eastAsia="宋体" w:cs="宋体"/>
          <w:color w:val="auto"/>
          <w:szCs w:val="24"/>
          <w:highlight w:val="none"/>
        </w:rPr>
        <w:fldChar w:fldCharType="end"/>
      </w:r>
    </w:p>
    <w:p w14:paraId="4DD193E8">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_Toc13601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※二、报价要求</w:t>
      </w:r>
      <w:r>
        <w:tab/>
      </w:r>
      <w:r>
        <w:fldChar w:fldCharType="begin"/>
      </w:r>
      <w:r>
        <w:instrText xml:space="preserve"> PAGEREF _Toc13601 \h </w:instrText>
      </w:r>
      <w:r>
        <w:fldChar w:fldCharType="separate"/>
      </w:r>
      <w:r>
        <w:t>15</w:t>
      </w:r>
      <w:r>
        <w:fldChar w:fldCharType="end"/>
      </w:r>
      <w:r>
        <w:rPr>
          <w:rFonts w:hint="eastAsia" w:ascii="宋体" w:hAnsi="宋体" w:eastAsia="宋体" w:cs="宋体"/>
          <w:color w:val="auto"/>
          <w:szCs w:val="24"/>
          <w:highlight w:val="none"/>
        </w:rPr>
        <w:fldChar w:fldCharType="end"/>
      </w:r>
    </w:p>
    <w:p w14:paraId="4562E203">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_Toc5226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※三、结算原则</w:t>
      </w:r>
      <w:r>
        <w:tab/>
      </w:r>
      <w:r>
        <w:fldChar w:fldCharType="begin"/>
      </w:r>
      <w:r>
        <w:instrText xml:space="preserve"> PAGEREF _Toc5226 \h </w:instrText>
      </w:r>
      <w:r>
        <w:fldChar w:fldCharType="separate"/>
      </w:r>
      <w:r>
        <w:t>19</w:t>
      </w:r>
      <w:r>
        <w:fldChar w:fldCharType="end"/>
      </w:r>
      <w:r>
        <w:rPr>
          <w:rFonts w:hint="eastAsia" w:ascii="宋体" w:hAnsi="宋体" w:eastAsia="宋体" w:cs="宋体"/>
          <w:color w:val="auto"/>
          <w:szCs w:val="24"/>
          <w:highlight w:val="none"/>
        </w:rPr>
        <w:fldChar w:fldCharType="end"/>
      </w:r>
    </w:p>
    <w:p w14:paraId="13D86A6A">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_Toc4831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※四、付款方式</w:t>
      </w:r>
      <w:r>
        <w:tab/>
      </w:r>
      <w:r>
        <w:fldChar w:fldCharType="begin"/>
      </w:r>
      <w:r>
        <w:instrText xml:space="preserve"> PAGEREF _Toc4831 \h </w:instrText>
      </w:r>
      <w:r>
        <w:fldChar w:fldCharType="separate"/>
      </w:r>
      <w:r>
        <w:t>21</w:t>
      </w:r>
      <w:r>
        <w:fldChar w:fldCharType="end"/>
      </w:r>
      <w:r>
        <w:rPr>
          <w:rFonts w:hint="eastAsia" w:ascii="宋体" w:hAnsi="宋体" w:eastAsia="宋体" w:cs="宋体"/>
          <w:color w:val="auto"/>
          <w:szCs w:val="24"/>
          <w:highlight w:val="none"/>
        </w:rPr>
        <w:fldChar w:fldCharType="end"/>
      </w:r>
    </w:p>
    <w:p w14:paraId="687BF7A0">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_Toc31425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五、售后服务</w:t>
      </w:r>
      <w:r>
        <w:tab/>
      </w:r>
      <w:r>
        <w:fldChar w:fldCharType="begin"/>
      </w:r>
      <w:r>
        <w:instrText xml:space="preserve"> PAGEREF _Toc31425 \h </w:instrText>
      </w:r>
      <w:r>
        <w:fldChar w:fldCharType="separate"/>
      </w:r>
      <w:r>
        <w:t>21</w:t>
      </w:r>
      <w:r>
        <w:fldChar w:fldCharType="end"/>
      </w:r>
      <w:r>
        <w:rPr>
          <w:rFonts w:hint="eastAsia" w:ascii="宋体" w:hAnsi="宋体" w:eastAsia="宋体" w:cs="宋体"/>
          <w:color w:val="auto"/>
          <w:szCs w:val="24"/>
          <w:highlight w:val="none"/>
        </w:rPr>
        <w:fldChar w:fldCharType="end"/>
      </w:r>
    </w:p>
    <w:p w14:paraId="3D494146">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_Toc12492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六、知识产权</w:t>
      </w:r>
      <w:r>
        <w:tab/>
      </w:r>
      <w:r>
        <w:fldChar w:fldCharType="begin"/>
      </w:r>
      <w:r>
        <w:instrText xml:space="preserve"> PAGEREF _Toc12492 \h </w:instrText>
      </w:r>
      <w:r>
        <w:fldChar w:fldCharType="separate"/>
      </w:r>
      <w:r>
        <w:t>21</w:t>
      </w:r>
      <w:r>
        <w:fldChar w:fldCharType="end"/>
      </w:r>
      <w:r>
        <w:rPr>
          <w:rFonts w:hint="eastAsia" w:ascii="宋体" w:hAnsi="宋体" w:eastAsia="宋体" w:cs="宋体"/>
          <w:color w:val="auto"/>
          <w:szCs w:val="24"/>
          <w:highlight w:val="none"/>
        </w:rPr>
        <w:fldChar w:fldCharType="end"/>
      </w:r>
    </w:p>
    <w:p w14:paraId="3DE6FA1A">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_Toc16195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七、其他</w:t>
      </w:r>
      <w:r>
        <w:tab/>
      </w:r>
      <w:r>
        <w:fldChar w:fldCharType="begin"/>
      </w:r>
      <w:r>
        <w:instrText xml:space="preserve"> PAGEREF _Toc16195 \h </w:instrText>
      </w:r>
      <w:r>
        <w:fldChar w:fldCharType="separate"/>
      </w:r>
      <w:r>
        <w:t>21</w:t>
      </w:r>
      <w:r>
        <w:fldChar w:fldCharType="end"/>
      </w:r>
      <w:r>
        <w:rPr>
          <w:rFonts w:hint="eastAsia" w:ascii="宋体" w:hAnsi="宋体" w:eastAsia="宋体" w:cs="宋体"/>
          <w:color w:val="auto"/>
          <w:szCs w:val="24"/>
          <w:highlight w:val="none"/>
        </w:rPr>
        <w:fldChar w:fldCharType="end"/>
      </w:r>
    </w:p>
    <w:p w14:paraId="38FC08C8">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_Toc21766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 xml:space="preserve">第四篇 </w:t>
      </w:r>
      <w:r>
        <w:rPr>
          <w:rFonts w:hint="eastAsia" w:ascii="宋体" w:hAnsi="宋体" w:eastAsia="宋体" w:cs="宋体"/>
          <w:bCs/>
          <w:szCs w:val="28"/>
          <w:highlight w:val="none"/>
          <w:lang w:val="en-US" w:eastAsia="zh-CN"/>
        </w:rPr>
        <w:t>竞争性比选</w:t>
      </w:r>
      <w:r>
        <w:rPr>
          <w:rFonts w:hint="eastAsia" w:ascii="宋体" w:hAnsi="宋体" w:eastAsia="宋体" w:cs="宋体"/>
          <w:bCs/>
          <w:szCs w:val="28"/>
          <w:highlight w:val="none"/>
        </w:rPr>
        <w:t>程序及方法、评审标准、响应无效和采购终止</w:t>
      </w:r>
      <w:r>
        <w:tab/>
      </w:r>
      <w:r>
        <w:fldChar w:fldCharType="begin"/>
      </w:r>
      <w:r>
        <w:instrText xml:space="preserve"> PAGEREF _Toc21766 \h </w:instrText>
      </w:r>
      <w:r>
        <w:fldChar w:fldCharType="separate"/>
      </w:r>
      <w:r>
        <w:t>22</w:t>
      </w:r>
      <w:r>
        <w:fldChar w:fldCharType="end"/>
      </w:r>
      <w:r>
        <w:rPr>
          <w:rFonts w:hint="eastAsia" w:ascii="宋体" w:hAnsi="宋体" w:eastAsia="宋体" w:cs="宋体"/>
          <w:color w:val="auto"/>
          <w:szCs w:val="24"/>
          <w:highlight w:val="none"/>
        </w:rPr>
        <w:fldChar w:fldCharType="end"/>
      </w:r>
    </w:p>
    <w:p w14:paraId="36F45053">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_Toc6006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一、竞争性比选程序及方法</w:t>
      </w:r>
      <w:r>
        <w:tab/>
      </w:r>
      <w:r>
        <w:fldChar w:fldCharType="begin"/>
      </w:r>
      <w:r>
        <w:instrText xml:space="preserve"> PAGEREF _Toc6006 \h </w:instrText>
      </w:r>
      <w:r>
        <w:fldChar w:fldCharType="separate"/>
      </w:r>
      <w:r>
        <w:t>22</w:t>
      </w:r>
      <w:r>
        <w:fldChar w:fldCharType="end"/>
      </w:r>
      <w:r>
        <w:rPr>
          <w:rFonts w:hint="eastAsia" w:ascii="宋体" w:hAnsi="宋体" w:eastAsia="宋体" w:cs="宋体"/>
          <w:color w:val="auto"/>
          <w:szCs w:val="24"/>
          <w:highlight w:val="none"/>
        </w:rPr>
        <w:fldChar w:fldCharType="end"/>
      </w:r>
    </w:p>
    <w:p w14:paraId="36ED61A5">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_Toc12141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二、评审标准</w:t>
      </w:r>
      <w:r>
        <w:tab/>
      </w:r>
      <w:r>
        <w:fldChar w:fldCharType="begin"/>
      </w:r>
      <w:r>
        <w:instrText xml:space="preserve"> PAGEREF _Toc12141 \h </w:instrText>
      </w:r>
      <w:r>
        <w:fldChar w:fldCharType="separate"/>
      </w:r>
      <w:r>
        <w:t>24</w:t>
      </w:r>
      <w:r>
        <w:fldChar w:fldCharType="end"/>
      </w:r>
      <w:r>
        <w:rPr>
          <w:rFonts w:hint="eastAsia" w:ascii="宋体" w:hAnsi="宋体" w:eastAsia="宋体" w:cs="宋体"/>
          <w:color w:val="auto"/>
          <w:szCs w:val="24"/>
          <w:highlight w:val="none"/>
        </w:rPr>
        <w:fldChar w:fldCharType="end"/>
      </w:r>
    </w:p>
    <w:p w14:paraId="00D48FAE">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_Toc19039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三、响应无效</w:t>
      </w:r>
      <w:r>
        <w:tab/>
      </w:r>
      <w:r>
        <w:fldChar w:fldCharType="begin"/>
      </w:r>
      <w:r>
        <w:instrText xml:space="preserve"> PAGEREF _Toc19039 \h </w:instrText>
      </w:r>
      <w:r>
        <w:fldChar w:fldCharType="separate"/>
      </w:r>
      <w:r>
        <w:t>27</w:t>
      </w:r>
      <w:r>
        <w:fldChar w:fldCharType="end"/>
      </w:r>
      <w:r>
        <w:rPr>
          <w:rFonts w:hint="eastAsia" w:ascii="宋体" w:hAnsi="宋体" w:eastAsia="宋体" w:cs="宋体"/>
          <w:color w:val="auto"/>
          <w:szCs w:val="24"/>
          <w:highlight w:val="none"/>
        </w:rPr>
        <w:fldChar w:fldCharType="end"/>
      </w:r>
    </w:p>
    <w:p w14:paraId="1C290CB6">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_Toc3829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四、采购终止</w:t>
      </w:r>
      <w:r>
        <w:tab/>
      </w:r>
      <w:r>
        <w:fldChar w:fldCharType="begin"/>
      </w:r>
      <w:r>
        <w:instrText xml:space="preserve"> PAGEREF _Toc3829 \h </w:instrText>
      </w:r>
      <w:r>
        <w:fldChar w:fldCharType="separate"/>
      </w:r>
      <w:r>
        <w:t>28</w:t>
      </w:r>
      <w:r>
        <w:fldChar w:fldCharType="end"/>
      </w:r>
      <w:r>
        <w:rPr>
          <w:rFonts w:hint="eastAsia" w:ascii="宋体" w:hAnsi="宋体" w:eastAsia="宋体" w:cs="宋体"/>
          <w:color w:val="auto"/>
          <w:szCs w:val="24"/>
          <w:highlight w:val="none"/>
        </w:rPr>
        <w:fldChar w:fldCharType="end"/>
      </w:r>
    </w:p>
    <w:p w14:paraId="46CC24E4">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_Toc1824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第五篇  供应商须知</w:t>
      </w:r>
      <w:r>
        <w:tab/>
      </w:r>
      <w:r>
        <w:fldChar w:fldCharType="begin"/>
      </w:r>
      <w:r>
        <w:instrText xml:space="preserve"> PAGEREF _Toc1824 \h </w:instrText>
      </w:r>
      <w:r>
        <w:fldChar w:fldCharType="separate"/>
      </w:r>
      <w:r>
        <w:t>29</w:t>
      </w:r>
      <w:r>
        <w:fldChar w:fldCharType="end"/>
      </w:r>
      <w:r>
        <w:rPr>
          <w:rFonts w:hint="eastAsia" w:ascii="宋体" w:hAnsi="宋体" w:eastAsia="宋体" w:cs="宋体"/>
          <w:color w:val="auto"/>
          <w:szCs w:val="24"/>
          <w:highlight w:val="none"/>
        </w:rPr>
        <w:fldChar w:fldCharType="end"/>
      </w:r>
    </w:p>
    <w:p w14:paraId="61C95E0F">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_Toc31306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一、竞选费用</w:t>
      </w:r>
      <w:r>
        <w:tab/>
      </w:r>
      <w:r>
        <w:fldChar w:fldCharType="begin"/>
      </w:r>
      <w:r>
        <w:instrText xml:space="preserve"> PAGEREF _Toc31306 \h </w:instrText>
      </w:r>
      <w:r>
        <w:fldChar w:fldCharType="separate"/>
      </w:r>
      <w:r>
        <w:t>29</w:t>
      </w:r>
      <w:r>
        <w:fldChar w:fldCharType="end"/>
      </w:r>
      <w:r>
        <w:rPr>
          <w:rFonts w:hint="eastAsia" w:ascii="宋体" w:hAnsi="宋体" w:eastAsia="宋体" w:cs="宋体"/>
          <w:color w:val="auto"/>
          <w:szCs w:val="24"/>
          <w:highlight w:val="none"/>
        </w:rPr>
        <w:fldChar w:fldCharType="end"/>
      </w:r>
    </w:p>
    <w:p w14:paraId="0D954D81">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_Toc17789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二、竞争性比选文件</w:t>
      </w:r>
      <w:r>
        <w:tab/>
      </w:r>
      <w:r>
        <w:fldChar w:fldCharType="begin"/>
      </w:r>
      <w:r>
        <w:instrText xml:space="preserve"> PAGEREF _Toc17789 \h </w:instrText>
      </w:r>
      <w:r>
        <w:fldChar w:fldCharType="separate"/>
      </w:r>
      <w:r>
        <w:t>29</w:t>
      </w:r>
      <w:r>
        <w:fldChar w:fldCharType="end"/>
      </w:r>
      <w:r>
        <w:rPr>
          <w:rFonts w:hint="eastAsia" w:ascii="宋体" w:hAnsi="宋体" w:eastAsia="宋体" w:cs="宋体"/>
          <w:color w:val="auto"/>
          <w:szCs w:val="24"/>
          <w:highlight w:val="none"/>
        </w:rPr>
        <w:fldChar w:fldCharType="end"/>
      </w:r>
    </w:p>
    <w:p w14:paraId="674C99FE">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_Toc3775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三、竞争性比选要求</w:t>
      </w:r>
      <w:r>
        <w:tab/>
      </w:r>
      <w:r>
        <w:fldChar w:fldCharType="begin"/>
      </w:r>
      <w:r>
        <w:instrText xml:space="preserve"> PAGEREF _Toc3775 \h </w:instrText>
      </w:r>
      <w:r>
        <w:fldChar w:fldCharType="separate"/>
      </w:r>
      <w:r>
        <w:t>29</w:t>
      </w:r>
      <w:r>
        <w:fldChar w:fldCharType="end"/>
      </w:r>
      <w:r>
        <w:rPr>
          <w:rFonts w:hint="eastAsia" w:ascii="宋体" w:hAnsi="宋体" w:eastAsia="宋体" w:cs="宋体"/>
          <w:color w:val="auto"/>
          <w:szCs w:val="24"/>
          <w:highlight w:val="none"/>
        </w:rPr>
        <w:fldChar w:fldCharType="end"/>
      </w:r>
    </w:p>
    <w:p w14:paraId="5B88BE7F">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_Toc10133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四、成交供应商的确认和变更</w:t>
      </w:r>
      <w:r>
        <w:tab/>
      </w:r>
      <w:r>
        <w:fldChar w:fldCharType="begin"/>
      </w:r>
      <w:r>
        <w:instrText xml:space="preserve"> PAGEREF _Toc10133 \h </w:instrText>
      </w:r>
      <w:r>
        <w:fldChar w:fldCharType="separate"/>
      </w:r>
      <w:r>
        <w:t>31</w:t>
      </w:r>
      <w:r>
        <w:fldChar w:fldCharType="end"/>
      </w:r>
      <w:r>
        <w:rPr>
          <w:rFonts w:hint="eastAsia" w:ascii="宋体" w:hAnsi="宋体" w:eastAsia="宋体" w:cs="宋体"/>
          <w:color w:val="auto"/>
          <w:szCs w:val="24"/>
          <w:highlight w:val="none"/>
        </w:rPr>
        <w:fldChar w:fldCharType="end"/>
      </w:r>
    </w:p>
    <w:p w14:paraId="6C77F063">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_Toc24491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五、成交通知</w:t>
      </w:r>
      <w:r>
        <w:tab/>
      </w:r>
      <w:r>
        <w:fldChar w:fldCharType="begin"/>
      </w:r>
      <w:r>
        <w:instrText xml:space="preserve"> PAGEREF _Toc24491 \h </w:instrText>
      </w:r>
      <w:r>
        <w:fldChar w:fldCharType="separate"/>
      </w:r>
      <w:r>
        <w:t>31</w:t>
      </w:r>
      <w:r>
        <w:fldChar w:fldCharType="end"/>
      </w:r>
      <w:r>
        <w:rPr>
          <w:rFonts w:hint="eastAsia" w:ascii="宋体" w:hAnsi="宋体" w:eastAsia="宋体" w:cs="宋体"/>
          <w:color w:val="auto"/>
          <w:szCs w:val="24"/>
          <w:highlight w:val="none"/>
        </w:rPr>
        <w:fldChar w:fldCharType="end"/>
      </w:r>
    </w:p>
    <w:p w14:paraId="6AFF7163">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_Toc20050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六、采购代理服务费</w:t>
      </w:r>
      <w:r>
        <w:tab/>
      </w:r>
      <w:r>
        <w:fldChar w:fldCharType="begin"/>
      </w:r>
      <w:r>
        <w:instrText xml:space="preserve"> PAGEREF _Toc20050 \h </w:instrText>
      </w:r>
      <w:r>
        <w:fldChar w:fldCharType="separate"/>
      </w:r>
      <w:r>
        <w:t>31</w:t>
      </w:r>
      <w:r>
        <w:fldChar w:fldCharType="end"/>
      </w:r>
      <w:r>
        <w:rPr>
          <w:rFonts w:hint="eastAsia" w:ascii="宋体" w:hAnsi="宋体" w:eastAsia="宋体" w:cs="宋体"/>
          <w:color w:val="auto"/>
          <w:szCs w:val="24"/>
          <w:highlight w:val="none"/>
        </w:rPr>
        <w:fldChar w:fldCharType="end"/>
      </w:r>
    </w:p>
    <w:p w14:paraId="7A510C90">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_Toc8597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七、签订合同</w:t>
      </w:r>
      <w:r>
        <w:tab/>
      </w:r>
      <w:r>
        <w:fldChar w:fldCharType="begin"/>
      </w:r>
      <w:r>
        <w:instrText xml:space="preserve"> PAGEREF _Toc8597 \h </w:instrText>
      </w:r>
      <w:r>
        <w:fldChar w:fldCharType="separate"/>
      </w:r>
      <w:r>
        <w:t>31</w:t>
      </w:r>
      <w:r>
        <w:fldChar w:fldCharType="end"/>
      </w:r>
      <w:r>
        <w:rPr>
          <w:rFonts w:hint="eastAsia" w:ascii="宋体" w:hAnsi="宋体" w:eastAsia="宋体" w:cs="宋体"/>
          <w:color w:val="auto"/>
          <w:szCs w:val="24"/>
          <w:highlight w:val="none"/>
        </w:rPr>
        <w:fldChar w:fldCharType="end"/>
      </w:r>
    </w:p>
    <w:p w14:paraId="3805235D">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_Toc24151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第六篇  格式合同</w:t>
      </w:r>
      <w:r>
        <w:tab/>
      </w:r>
      <w:r>
        <w:fldChar w:fldCharType="begin"/>
      </w:r>
      <w:r>
        <w:instrText xml:space="preserve"> PAGEREF _Toc24151 \h </w:instrText>
      </w:r>
      <w:r>
        <w:fldChar w:fldCharType="separate"/>
      </w:r>
      <w:r>
        <w:t>33</w:t>
      </w:r>
      <w:r>
        <w:fldChar w:fldCharType="end"/>
      </w:r>
      <w:r>
        <w:rPr>
          <w:rFonts w:hint="eastAsia" w:ascii="宋体" w:hAnsi="宋体" w:eastAsia="宋体" w:cs="宋体"/>
          <w:color w:val="auto"/>
          <w:szCs w:val="24"/>
          <w:highlight w:val="none"/>
        </w:rPr>
        <w:fldChar w:fldCharType="end"/>
      </w:r>
    </w:p>
    <w:p w14:paraId="126B4966">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_Toc2017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第七篇  响应文件编制要求</w:t>
      </w:r>
      <w:r>
        <w:tab/>
      </w:r>
      <w:r>
        <w:fldChar w:fldCharType="begin"/>
      </w:r>
      <w:r>
        <w:instrText xml:space="preserve"> PAGEREF _Toc2017 \h </w:instrText>
      </w:r>
      <w:r>
        <w:fldChar w:fldCharType="separate"/>
      </w:r>
      <w:r>
        <w:t>35</w:t>
      </w:r>
      <w:r>
        <w:fldChar w:fldCharType="end"/>
      </w:r>
      <w:r>
        <w:rPr>
          <w:rFonts w:hint="eastAsia" w:ascii="宋体" w:hAnsi="宋体" w:eastAsia="宋体" w:cs="宋体"/>
          <w:color w:val="auto"/>
          <w:szCs w:val="24"/>
          <w:highlight w:val="none"/>
        </w:rPr>
        <w:fldChar w:fldCharType="end"/>
      </w:r>
    </w:p>
    <w:p w14:paraId="424569DC">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_Toc8574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一、经济部分</w:t>
      </w:r>
      <w:r>
        <w:tab/>
      </w:r>
      <w:r>
        <w:fldChar w:fldCharType="begin"/>
      </w:r>
      <w:r>
        <w:instrText xml:space="preserve"> PAGEREF _Toc8574 \h </w:instrText>
      </w:r>
      <w:r>
        <w:fldChar w:fldCharType="separate"/>
      </w:r>
      <w:r>
        <w:t>37</w:t>
      </w:r>
      <w:r>
        <w:fldChar w:fldCharType="end"/>
      </w:r>
      <w:r>
        <w:rPr>
          <w:rFonts w:hint="eastAsia" w:ascii="宋体" w:hAnsi="宋体" w:eastAsia="宋体" w:cs="宋体"/>
          <w:color w:val="auto"/>
          <w:szCs w:val="24"/>
          <w:highlight w:val="none"/>
        </w:rPr>
        <w:fldChar w:fldCharType="end"/>
      </w:r>
    </w:p>
    <w:p w14:paraId="19C850B9">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_Toc12518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二、服务部分</w:t>
      </w:r>
      <w:r>
        <w:tab/>
      </w:r>
      <w:r>
        <w:fldChar w:fldCharType="begin"/>
      </w:r>
      <w:r>
        <w:instrText xml:space="preserve"> PAGEREF _Toc12518 \h </w:instrText>
      </w:r>
      <w:r>
        <w:fldChar w:fldCharType="separate"/>
      </w:r>
      <w:r>
        <w:t>39</w:t>
      </w:r>
      <w:r>
        <w:fldChar w:fldCharType="end"/>
      </w:r>
      <w:r>
        <w:rPr>
          <w:rFonts w:hint="eastAsia" w:ascii="宋体" w:hAnsi="宋体" w:eastAsia="宋体" w:cs="宋体"/>
          <w:color w:val="auto"/>
          <w:szCs w:val="24"/>
          <w:highlight w:val="none"/>
        </w:rPr>
        <w:fldChar w:fldCharType="end"/>
      </w:r>
    </w:p>
    <w:p w14:paraId="4876DDB8">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_Toc20769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三、商务部分</w:t>
      </w:r>
      <w:r>
        <w:tab/>
      </w:r>
      <w:r>
        <w:fldChar w:fldCharType="begin"/>
      </w:r>
      <w:r>
        <w:instrText xml:space="preserve"> PAGEREF _Toc20769 \h </w:instrText>
      </w:r>
      <w:r>
        <w:fldChar w:fldCharType="separate"/>
      </w:r>
      <w:r>
        <w:t>41</w:t>
      </w:r>
      <w:r>
        <w:fldChar w:fldCharType="end"/>
      </w:r>
      <w:r>
        <w:rPr>
          <w:rFonts w:hint="eastAsia" w:ascii="宋体" w:hAnsi="宋体" w:eastAsia="宋体" w:cs="宋体"/>
          <w:color w:val="auto"/>
          <w:szCs w:val="24"/>
          <w:highlight w:val="none"/>
        </w:rPr>
        <w:fldChar w:fldCharType="end"/>
      </w:r>
    </w:p>
    <w:p w14:paraId="4268F543">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_Toc7047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四、资格条件及其他</w:t>
      </w:r>
      <w:r>
        <w:tab/>
      </w:r>
      <w:r>
        <w:fldChar w:fldCharType="begin"/>
      </w:r>
      <w:r>
        <w:instrText xml:space="preserve"> PAGEREF _Toc7047 \h </w:instrText>
      </w:r>
      <w:r>
        <w:fldChar w:fldCharType="separate"/>
      </w:r>
      <w:r>
        <w:t>43</w:t>
      </w:r>
      <w:r>
        <w:fldChar w:fldCharType="end"/>
      </w:r>
      <w:r>
        <w:rPr>
          <w:rFonts w:hint="eastAsia" w:ascii="宋体" w:hAnsi="宋体" w:eastAsia="宋体" w:cs="宋体"/>
          <w:color w:val="auto"/>
          <w:szCs w:val="24"/>
          <w:highlight w:val="none"/>
        </w:rPr>
        <w:fldChar w:fldCharType="end"/>
      </w:r>
    </w:p>
    <w:p w14:paraId="0EC60347">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_Toc14271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五、其他资料</w:t>
      </w:r>
      <w:r>
        <w:tab/>
      </w:r>
      <w:r>
        <w:fldChar w:fldCharType="begin"/>
      </w:r>
      <w:r>
        <w:instrText xml:space="preserve"> PAGEREF _Toc14271 \h </w:instrText>
      </w:r>
      <w:r>
        <w:fldChar w:fldCharType="separate"/>
      </w:r>
      <w:r>
        <w:t>48</w:t>
      </w:r>
      <w:r>
        <w:fldChar w:fldCharType="end"/>
      </w:r>
      <w:r>
        <w:rPr>
          <w:rFonts w:hint="eastAsia" w:ascii="宋体" w:hAnsi="宋体" w:eastAsia="宋体" w:cs="宋体"/>
          <w:color w:val="auto"/>
          <w:szCs w:val="24"/>
          <w:highlight w:val="none"/>
        </w:rPr>
        <w:fldChar w:fldCharType="end"/>
      </w:r>
    </w:p>
    <w:p w14:paraId="3CA7532D">
      <w:pPr>
        <w:jc w:val="center"/>
        <w:outlineLvl w:val="0"/>
        <w:rPr>
          <w:rFonts w:hint="eastAsia" w:ascii="宋体" w:hAnsi="宋体" w:eastAsia="宋体" w:cs="宋体"/>
          <w:color w:val="auto"/>
          <w:szCs w:val="24"/>
          <w:highlight w:val="none"/>
        </w:rPr>
      </w:pPr>
      <w:r>
        <w:rPr>
          <w:rFonts w:hint="eastAsia" w:ascii="宋体" w:hAnsi="宋体" w:eastAsia="宋体" w:cs="宋体"/>
          <w:color w:val="auto"/>
          <w:szCs w:val="24"/>
          <w:highlight w:val="none"/>
        </w:rPr>
        <w:fldChar w:fldCharType="end"/>
      </w:r>
    </w:p>
    <w:p w14:paraId="22F55E04">
      <w:pPr>
        <w:rPr>
          <w:rFonts w:hint="eastAsia" w:ascii="宋体" w:hAnsi="宋体" w:eastAsia="宋体" w:cs="宋体"/>
          <w:color w:val="auto"/>
          <w:szCs w:val="24"/>
          <w:highlight w:val="none"/>
        </w:rPr>
      </w:pPr>
      <w:r>
        <w:rPr>
          <w:rFonts w:hint="eastAsia" w:ascii="宋体" w:hAnsi="宋体" w:eastAsia="宋体" w:cs="宋体"/>
          <w:color w:val="auto"/>
          <w:szCs w:val="24"/>
          <w:highlight w:val="none"/>
        </w:rPr>
        <w:br w:type="page"/>
      </w:r>
      <w:bookmarkStart w:id="485" w:name="_GoBack"/>
      <w:bookmarkEnd w:id="485"/>
    </w:p>
    <w:p w14:paraId="01E31511">
      <w:pPr>
        <w:jc w:val="center"/>
        <w:outlineLvl w:val="0"/>
        <w:rPr>
          <w:rFonts w:hint="eastAsia" w:ascii="宋体" w:hAnsi="宋体" w:eastAsia="宋体" w:cs="宋体"/>
          <w:b/>
          <w:bCs/>
          <w:color w:val="auto"/>
          <w:sz w:val="44"/>
          <w:szCs w:val="44"/>
          <w:highlight w:val="none"/>
          <w:lang w:eastAsia="zh-CN"/>
        </w:rPr>
      </w:pPr>
      <w:r>
        <w:rPr>
          <w:rFonts w:hint="eastAsia" w:ascii="宋体" w:hAnsi="宋体" w:cs="宋体"/>
          <w:b/>
          <w:bCs/>
          <w:color w:val="auto"/>
          <w:sz w:val="44"/>
          <w:szCs w:val="44"/>
          <w:highlight w:val="none"/>
          <w:lang w:eastAsia="zh-CN"/>
        </w:rPr>
        <w:t>竞争性比选文件获取记录表</w:t>
      </w:r>
    </w:p>
    <w:tbl>
      <w:tblPr>
        <w:tblStyle w:val="60"/>
        <w:tblpPr w:leftFromText="180" w:rightFromText="180" w:vertAnchor="text" w:horzAnchor="page" w:tblpX="1833" w:tblpY="163"/>
        <w:tblOverlap w:val="never"/>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6"/>
        <w:gridCol w:w="1811"/>
        <w:gridCol w:w="1006"/>
        <w:gridCol w:w="3856"/>
      </w:tblGrid>
      <w:tr w14:paraId="44E606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566" w:type="dxa"/>
            <w:noWrap/>
            <w:vAlign w:val="center"/>
          </w:tcPr>
          <w:p w14:paraId="3373883C">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项目名称</w:t>
            </w:r>
          </w:p>
        </w:tc>
        <w:tc>
          <w:tcPr>
            <w:tcW w:w="6673" w:type="dxa"/>
            <w:gridSpan w:val="3"/>
            <w:noWrap/>
            <w:vAlign w:val="center"/>
          </w:tcPr>
          <w:p w14:paraId="3F36D628">
            <w:pPr>
              <w:jc w:val="left"/>
              <w:rPr>
                <w:rFonts w:hint="eastAsia" w:ascii="宋体" w:hAnsi="宋体" w:eastAsia="宋体" w:cs="宋体"/>
                <w:color w:val="auto"/>
                <w:sz w:val="22"/>
                <w:szCs w:val="22"/>
                <w:highlight w:val="none"/>
              </w:rPr>
            </w:pPr>
          </w:p>
        </w:tc>
      </w:tr>
      <w:tr w14:paraId="161480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1566" w:type="dxa"/>
            <w:noWrap/>
            <w:vAlign w:val="center"/>
          </w:tcPr>
          <w:p w14:paraId="57027285">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供应商名称</w:t>
            </w:r>
          </w:p>
        </w:tc>
        <w:tc>
          <w:tcPr>
            <w:tcW w:w="6673" w:type="dxa"/>
            <w:gridSpan w:val="3"/>
            <w:noWrap/>
            <w:vAlign w:val="bottom"/>
          </w:tcPr>
          <w:p w14:paraId="7CEC48BB">
            <w:pPr>
              <w:ind w:right="600" w:firstLine="2750" w:firstLineChars="125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（供应商公章）</w:t>
            </w:r>
          </w:p>
        </w:tc>
      </w:tr>
      <w:tr w14:paraId="5AC2F2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1566" w:type="dxa"/>
            <w:noWrap/>
            <w:vAlign w:val="center"/>
          </w:tcPr>
          <w:p w14:paraId="19757685">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联系人</w:t>
            </w:r>
          </w:p>
        </w:tc>
        <w:tc>
          <w:tcPr>
            <w:tcW w:w="1811" w:type="dxa"/>
            <w:noWrap/>
            <w:vAlign w:val="center"/>
          </w:tcPr>
          <w:p w14:paraId="3B724417">
            <w:pPr>
              <w:jc w:val="left"/>
              <w:rPr>
                <w:rFonts w:hint="eastAsia" w:ascii="宋体" w:hAnsi="宋体" w:eastAsia="宋体" w:cs="宋体"/>
                <w:color w:val="auto"/>
                <w:sz w:val="22"/>
                <w:szCs w:val="22"/>
                <w:highlight w:val="none"/>
              </w:rPr>
            </w:pPr>
          </w:p>
        </w:tc>
        <w:tc>
          <w:tcPr>
            <w:tcW w:w="1006" w:type="dxa"/>
            <w:noWrap/>
            <w:vAlign w:val="center"/>
          </w:tcPr>
          <w:p w14:paraId="3A168143">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手机</w:t>
            </w:r>
          </w:p>
        </w:tc>
        <w:tc>
          <w:tcPr>
            <w:tcW w:w="3856" w:type="dxa"/>
            <w:noWrap/>
            <w:vAlign w:val="center"/>
          </w:tcPr>
          <w:p w14:paraId="4AAB9C95">
            <w:pPr>
              <w:jc w:val="left"/>
              <w:rPr>
                <w:rFonts w:hint="eastAsia" w:ascii="宋体" w:hAnsi="宋体" w:eastAsia="宋体" w:cs="宋体"/>
                <w:color w:val="auto"/>
                <w:sz w:val="22"/>
                <w:szCs w:val="22"/>
                <w:highlight w:val="none"/>
              </w:rPr>
            </w:pPr>
          </w:p>
        </w:tc>
      </w:tr>
      <w:tr w14:paraId="52967F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1566" w:type="dxa"/>
            <w:noWrap/>
            <w:vAlign w:val="center"/>
          </w:tcPr>
          <w:p w14:paraId="560C5C25">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办公电话</w:t>
            </w:r>
          </w:p>
        </w:tc>
        <w:tc>
          <w:tcPr>
            <w:tcW w:w="1811" w:type="dxa"/>
            <w:noWrap/>
            <w:vAlign w:val="center"/>
          </w:tcPr>
          <w:p w14:paraId="1F08BF31">
            <w:pPr>
              <w:jc w:val="left"/>
              <w:rPr>
                <w:rFonts w:hint="eastAsia" w:ascii="宋体" w:hAnsi="宋体" w:eastAsia="宋体" w:cs="宋体"/>
                <w:color w:val="auto"/>
                <w:sz w:val="22"/>
                <w:szCs w:val="22"/>
                <w:highlight w:val="none"/>
              </w:rPr>
            </w:pPr>
          </w:p>
        </w:tc>
        <w:tc>
          <w:tcPr>
            <w:tcW w:w="1006" w:type="dxa"/>
            <w:noWrap/>
            <w:vAlign w:val="center"/>
          </w:tcPr>
          <w:p w14:paraId="529B02C3">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传真</w:t>
            </w:r>
          </w:p>
        </w:tc>
        <w:tc>
          <w:tcPr>
            <w:tcW w:w="3856" w:type="dxa"/>
            <w:noWrap/>
            <w:vAlign w:val="center"/>
          </w:tcPr>
          <w:p w14:paraId="45F34CCB">
            <w:pPr>
              <w:jc w:val="left"/>
              <w:rPr>
                <w:rFonts w:hint="eastAsia" w:ascii="宋体" w:hAnsi="宋体" w:eastAsia="宋体" w:cs="宋体"/>
                <w:color w:val="auto"/>
                <w:sz w:val="22"/>
                <w:szCs w:val="22"/>
                <w:highlight w:val="none"/>
              </w:rPr>
            </w:pPr>
          </w:p>
        </w:tc>
      </w:tr>
      <w:tr w14:paraId="27432F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566" w:type="dxa"/>
            <w:noWrap/>
            <w:vAlign w:val="center"/>
          </w:tcPr>
          <w:p w14:paraId="4492BA8D">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E-mail</w:t>
            </w:r>
          </w:p>
        </w:tc>
        <w:tc>
          <w:tcPr>
            <w:tcW w:w="6673" w:type="dxa"/>
            <w:gridSpan w:val="3"/>
            <w:noWrap/>
            <w:vAlign w:val="center"/>
          </w:tcPr>
          <w:p w14:paraId="1A75AC1B">
            <w:pPr>
              <w:jc w:val="left"/>
              <w:rPr>
                <w:rFonts w:hint="eastAsia" w:ascii="宋体" w:hAnsi="宋体" w:eastAsia="宋体" w:cs="宋体"/>
                <w:color w:val="auto"/>
                <w:sz w:val="22"/>
                <w:szCs w:val="22"/>
                <w:highlight w:val="none"/>
              </w:rPr>
            </w:pPr>
          </w:p>
        </w:tc>
      </w:tr>
      <w:tr w14:paraId="0C5B8C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566" w:type="dxa"/>
            <w:noWrap/>
            <w:vAlign w:val="center"/>
          </w:tcPr>
          <w:p w14:paraId="1003546F">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单位地址</w:t>
            </w:r>
          </w:p>
        </w:tc>
        <w:tc>
          <w:tcPr>
            <w:tcW w:w="6673" w:type="dxa"/>
            <w:gridSpan w:val="3"/>
            <w:noWrap/>
            <w:vAlign w:val="center"/>
          </w:tcPr>
          <w:p w14:paraId="7E29C02D">
            <w:pPr>
              <w:jc w:val="left"/>
              <w:rPr>
                <w:rFonts w:hint="eastAsia" w:ascii="宋体" w:hAnsi="宋体" w:eastAsia="宋体" w:cs="宋体"/>
                <w:color w:val="auto"/>
                <w:sz w:val="22"/>
                <w:szCs w:val="22"/>
                <w:highlight w:val="none"/>
              </w:rPr>
            </w:pPr>
          </w:p>
        </w:tc>
      </w:tr>
      <w:tr w14:paraId="52863A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1566" w:type="dxa"/>
            <w:noWrap/>
            <w:vAlign w:val="center"/>
          </w:tcPr>
          <w:p w14:paraId="35E20796">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获取时间</w:t>
            </w:r>
          </w:p>
        </w:tc>
        <w:tc>
          <w:tcPr>
            <w:tcW w:w="6673" w:type="dxa"/>
            <w:gridSpan w:val="3"/>
            <w:noWrap/>
            <w:vAlign w:val="center"/>
          </w:tcPr>
          <w:p w14:paraId="0B5C7D4F">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年   月   日</w:t>
            </w:r>
          </w:p>
        </w:tc>
      </w:tr>
      <w:tr w14:paraId="15FA50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1" w:hRule="atLeast"/>
        </w:trPr>
        <w:tc>
          <w:tcPr>
            <w:tcW w:w="1566" w:type="dxa"/>
            <w:noWrap/>
            <w:vAlign w:val="center"/>
          </w:tcPr>
          <w:p w14:paraId="38AD55DC">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备注</w:t>
            </w:r>
          </w:p>
        </w:tc>
        <w:tc>
          <w:tcPr>
            <w:tcW w:w="6673" w:type="dxa"/>
            <w:gridSpan w:val="3"/>
            <w:noWrap/>
            <w:vAlign w:val="center"/>
          </w:tcPr>
          <w:p w14:paraId="112C1C38">
            <w:pPr>
              <w:jc w:val="lef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供应商</w:t>
            </w:r>
            <w:r>
              <w:rPr>
                <w:rFonts w:hint="eastAsia" w:ascii="宋体" w:hAnsi="宋体" w:eastAsia="宋体" w:cs="宋体"/>
                <w:color w:val="auto"/>
                <w:sz w:val="22"/>
                <w:szCs w:val="22"/>
                <w:highlight w:val="none"/>
                <w:lang w:val="en-US" w:eastAsia="zh-CN"/>
              </w:rPr>
              <w:fldChar w:fldCharType="begin"/>
            </w:r>
            <w:r>
              <w:rPr>
                <w:rFonts w:hint="eastAsia" w:ascii="宋体" w:hAnsi="宋体" w:eastAsia="宋体" w:cs="宋体"/>
                <w:color w:val="auto"/>
                <w:sz w:val="22"/>
                <w:szCs w:val="22"/>
                <w:highlight w:val="none"/>
                <w:lang w:val="en-US" w:eastAsia="zh-CN"/>
              </w:rPr>
              <w:instrText xml:space="preserve"> HYPERLINK "mailto:扫描二维码付款，并将付款凭证及加盖公章的《竞争性磋商文件发售登记表》扫描发送至1006739550@qq.com视为预报名成功（购买时间截止至北京时间2023年10月" </w:instrText>
            </w:r>
            <w:r>
              <w:rPr>
                <w:rFonts w:hint="eastAsia" w:ascii="宋体" w:hAnsi="宋体" w:eastAsia="宋体" w:cs="宋体"/>
                <w:color w:val="auto"/>
                <w:sz w:val="22"/>
                <w:szCs w:val="22"/>
                <w:highlight w:val="none"/>
                <w:lang w:val="en-US" w:eastAsia="zh-CN"/>
              </w:rPr>
              <w:fldChar w:fldCharType="separate"/>
            </w:r>
            <w:r>
              <w:rPr>
                <w:rFonts w:hint="eastAsia" w:ascii="宋体" w:hAnsi="宋体" w:eastAsia="宋体" w:cs="宋体"/>
                <w:color w:val="auto"/>
                <w:sz w:val="22"/>
                <w:szCs w:val="22"/>
                <w:highlight w:val="none"/>
                <w:lang w:val="en-US" w:eastAsia="zh-CN"/>
              </w:rPr>
              <w:t>按照以下账号购买竞争性比选文件，</w:t>
            </w:r>
            <w:r>
              <w:rPr>
                <w:rFonts w:hint="default" w:ascii="宋体" w:hAnsi="宋体" w:eastAsia="宋体" w:cs="宋体"/>
                <w:color w:val="auto"/>
                <w:sz w:val="22"/>
                <w:szCs w:val="22"/>
                <w:highlight w:val="none"/>
                <w:lang w:val="en-US" w:eastAsia="zh-CN"/>
              </w:rPr>
              <w:t>竞争性比选文件费用每套500元（售后不退）</w:t>
            </w:r>
            <w:r>
              <w:rPr>
                <w:rFonts w:hint="eastAsia" w:ascii="宋体" w:hAnsi="宋体" w:eastAsia="宋体" w:cs="宋体"/>
                <w:color w:val="auto"/>
                <w:sz w:val="22"/>
                <w:szCs w:val="22"/>
                <w:highlight w:val="none"/>
                <w:lang w:val="en-US" w:eastAsia="zh-CN"/>
              </w:rPr>
              <w:t>，并将付款凭证及加盖公章的《</w:t>
            </w:r>
            <w:r>
              <w:rPr>
                <w:rFonts w:hint="eastAsia" w:ascii="宋体" w:hAnsi="宋体" w:cs="宋体"/>
                <w:color w:val="auto"/>
                <w:sz w:val="22"/>
                <w:szCs w:val="22"/>
                <w:highlight w:val="none"/>
                <w:lang w:val="en-US" w:eastAsia="zh-CN"/>
              </w:rPr>
              <w:t>竞争性比选文件获取记录表</w:t>
            </w:r>
            <w:r>
              <w:rPr>
                <w:rFonts w:hint="eastAsia" w:ascii="宋体" w:hAnsi="宋体" w:eastAsia="宋体" w:cs="宋体"/>
                <w:color w:val="auto"/>
                <w:sz w:val="22"/>
                <w:szCs w:val="22"/>
                <w:highlight w:val="none"/>
                <w:lang w:val="en-US" w:eastAsia="zh-CN"/>
              </w:rPr>
              <w:t>》扫描发送至413886936@qq.com（购买时间截止至北京时间2025年</w:t>
            </w:r>
            <w:r>
              <w:rPr>
                <w:rFonts w:hint="eastAsia" w:ascii="宋体" w:hAnsi="宋体" w:cs="宋体"/>
                <w:color w:val="auto"/>
                <w:sz w:val="22"/>
                <w:szCs w:val="22"/>
                <w:highlight w:val="none"/>
                <w:lang w:val="en-US" w:eastAsia="zh-CN"/>
              </w:rPr>
              <w:t>7</w:t>
            </w:r>
            <w:r>
              <w:rPr>
                <w:rFonts w:hint="eastAsia" w:ascii="宋体" w:hAnsi="宋体" w:eastAsia="宋体" w:cs="宋体"/>
                <w:color w:val="auto"/>
                <w:sz w:val="22"/>
                <w:szCs w:val="22"/>
                <w:highlight w:val="none"/>
                <w:lang w:val="en-US" w:eastAsia="zh-CN"/>
              </w:rPr>
              <w:t>月</w:t>
            </w:r>
            <w:r>
              <w:rPr>
                <w:rFonts w:hint="eastAsia" w:ascii="宋体" w:hAnsi="宋体" w:eastAsia="宋体" w:cs="宋体"/>
                <w:color w:val="auto"/>
                <w:sz w:val="22"/>
                <w:szCs w:val="22"/>
                <w:highlight w:val="none"/>
                <w:lang w:val="en-US" w:eastAsia="zh-CN"/>
              </w:rPr>
              <w:fldChar w:fldCharType="end"/>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lang w:val="en-US" w:eastAsia="zh-CN"/>
              </w:rPr>
              <w:t>日17:00，超过购买截止时间提供的报名表将不被接收）。</w:t>
            </w:r>
          </w:p>
          <w:p w14:paraId="53FDA197">
            <w:pPr>
              <w:jc w:val="lef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户  名：重庆渝诚扬工程咨询有限公司</w:t>
            </w:r>
          </w:p>
          <w:p w14:paraId="45AB9DC8">
            <w:pPr>
              <w:jc w:val="lef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 xml:space="preserve">开户行：中国工商银行股份有限公司重庆西永微电子产业园区支行 </w:t>
            </w:r>
          </w:p>
          <w:p w14:paraId="7CEBE0CD">
            <w:pPr>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账  号：3100025809100172085</w:t>
            </w:r>
          </w:p>
        </w:tc>
      </w:tr>
    </w:tbl>
    <w:p w14:paraId="4AE2FD4A">
      <w:pPr>
        <w:pStyle w:val="47"/>
        <w:tabs>
          <w:tab w:val="right" w:leader="dot" w:pos="9402"/>
        </w:tabs>
        <w:spacing w:line="480" w:lineRule="exact"/>
        <w:ind w:left="560"/>
        <w:jc w:val="center"/>
        <w:rPr>
          <w:rFonts w:hint="eastAsia" w:ascii="宋体" w:hAnsi="宋体" w:eastAsia="宋体" w:cs="宋体"/>
          <w:color w:val="auto"/>
          <w:sz w:val="18"/>
          <w:szCs w:val="22"/>
          <w:highlight w:val="none"/>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NumType w:fmt="decimal" w:start="1"/>
          <w:cols w:space="720" w:num="1"/>
          <w:docGrid w:linePitch="380" w:charSpace="-5735"/>
        </w:sectPr>
      </w:pPr>
    </w:p>
    <w:p w14:paraId="0AF84DBB">
      <w:pPr>
        <w:pStyle w:val="3"/>
        <w:spacing w:line="440" w:lineRule="exact"/>
        <w:jc w:val="center"/>
        <w:rPr>
          <w:rFonts w:hint="eastAsia" w:ascii="宋体" w:hAnsi="宋体" w:eastAsia="宋体" w:cs="宋体"/>
          <w:bCs/>
          <w:color w:val="auto"/>
          <w:sz w:val="28"/>
          <w:szCs w:val="28"/>
          <w:highlight w:val="none"/>
        </w:rPr>
      </w:pPr>
      <w:bookmarkStart w:id="0" w:name="_Toc12789052"/>
      <w:bookmarkStart w:id="1" w:name="_Toc32012"/>
      <w:bookmarkStart w:id="2" w:name="_Toc11641050"/>
      <w:r>
        <w:rPr>
          <w:rFonts w:hint="eastAsia" w:ascii="宋体" w:hAnsi="宋体" w:eastAsia="宋体" w:cs="宋体"/>
          <w:bCs/>
          <w:color w:val="auto"/>
          <w:sz w:val="28"/>
          <w:szCs w:val="28"/>
          <w:highlight w:val="none"/>
        </w:rPr>
        <w:t>第一篇  采购邀请书</w:t>
      </w:r>
      <w:bookmarkEnd w:id="0"/>
      <w:bookmarkEnd w:id="1"/>
      <w:bookmarkEnd w:id="2"/>
    </w:p>
    <w:p w14:paraId="5DA92023">
      <w:pPr>
        <w:snapToGrid w:val="0"/>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lang w:eastAsia="zh-CN"/>
        </w:rPr>
        <w:t>重庆渝诚扬工程咨询有限公司</w:t>
      </w:r>
      <w:r>
        <w:rPr>
          <w:rFonts w:hint="eastAsia" w:ascii="宋体" w:hAnsi="宋体" w:eastAsia="宋体" w:cs="宋体"/>
          <w:color w:val="auto"/>
          <w:sz w:val="24"/>
          <w:szCs w:val="24"/>
          <w:highlight w:val="none"/>
        </w:rPr>
        <w:t>（以下简称：采购代理机构）接受</w:t>
      </w:r>
      <w:r>
        <w:rPr>
          <w:rFonts w:hint="eastAsia" w:ascii="宋体" w:hAnsi="宋体" w:cs="宋体"/>
          <w:color w:val="auto"/>
          <w:sz w:val="24"/>
          <w:szCs w:val="24"/>
          <w:highlight w:val="none"/>
          <w:u w:val="single"/>
          <w:lang w:eastAsia="zh-CN"/>
        </w:rPr>
        <w:t>金麟德昌行（重庆）物业管理有限公司</w:t>
      </w:r>
      <w:r>
        <w:rPr>
          <w:rFonts w:hint="eastAsia" w:ascii="宋体" w:hAnsi="宋体" w:eastAsia="宋体" w:cs="宋体"/>
          <w:color w:val="auto"/>
          <w:sz w:val="24"/>
          <w:szCs w:val="24"/>
          <w:highlight w:val="none"/>
        </w:rPr>
        <w:t>的委托，对</w:t>
      </w:r>
      <w:r>
        <w:rPr>
          <w:rFonts w:hint="eastAsia" w:ascii="宋体" w:hAnsi="宋体" w:cs="宋体"/>
          <w:color w:val="auto"/>
          <w:sz w:val="24"/>
          <w:szCs w:val="24"/>
          <w:highlight w:val="none"/>
          <w:u w:val="single"/>
          <w:lang w:eastAsia="zh-CN"/>
        </w:rPr>
        <w:t>中央花园ABCD区28台电梯改造工程</w:t>
      </w:r>
      <w:r>
        <w:rPr>
          <w:rFonts w:hint="eastAsia" w:ascii="宋体" w:hAnsi="宋体" w:eastAsia="宋体" w:cs="宋体"/>
          <w:color w:val="auto"/>
          <w:sz w:val="24"/>
          <w:szCs w:val="24"/>
          <w:highlight w:val="none"/>
        </w:rPr>
        <w:t>进行</w:t>
      </w:r>
      <w:r>
        <w:rPr>
          <w:rFonts w:hint="eastAsia" w:ascii="宋体" w:hAnsi="宋体" w:cs="宋体"/>
          <w:color w:val="auto"/>
          <w:sz w:val="24"/>
          <w:szCs w:val="24"/>
          <w:highlight w:val="none"/>
          <w:lang w:val="en-US" w:eastAsia="zh-CN"/>
        </w:rPr>
        <w:t>竞争性比选</w:t>
      </w:r>
      <w:r>
        <w:rPr>
          <w:rFonts w:hint="eastAsia" w:ascii="宋体" w:hAnsi="宋体" w:eastAsia="宋体" w:cs="宋体"/>
          <w:color w:val="auto"/>
          <w:sz w:val="24"/>
          <w:szCs w:val="24"/>
          <w:highlight w:val="none"/>
        </w:rPr>
        <w:t>。欢迎有资格的供应商前来参与。</w:t>
      </w:r>
    </w:p>
    <w:p w14:paraId="751D9133">
      <w:pPr>
        <w:pStyle w:val="4"/>
        <w:numPr>
          <w:ilvl w:val="0"/>
          <w:numId w:val="14"/>
        </w:numPr>
        <w:spacing w:before="240" w:beforeLines="100" w:after="0" w:line="440" w:lineRule="exact"/>
        <w:rPr>
          <w:rFonts w:hint="eastAsia" w:ascii="宋体" w:hAnsi="宋体" w:eastAsia="宋体" w:cs="宋体"/>
          <w:bCs/>
          <w:color w:val="auto"/>
          <w:sz w:val="24"/>
          <w:szCs w:val="24"/>
          <w:highlight w:val="none"/>
        </w:rPr>
      </w:pPr>
      <w:bookmarkStart w:id="3" w:name="_Toc107408235"/>
      <w:bookmarkStart w:id="4" w:name="_Toc18263"/>
      <w:bookmarkStart w:id="5" w:name="_Toc26140"/>
      <w:bookmarkStart w:id="6" w:name="_Toc6192"/>
      <w:bookmarkStart w:id="7" w:name="_Toc20784"/>
      <w:bookmarkStart w:id="8" w:name="_Toc27864"/>
      <w:bookmarkStart w:id="9" w:name="_Toc21148"/>
      <w:bookmarkStart w:id="10" w:name="_Toc13891"/>
      <w:bookmarkStart w:id="11" w:name="_Toc16636"/>
      <w:bookmarkStart w:id="12" w:name="_Toc15246"/>
      <w:bookmarkStart w:id="13" w:name="_Toc28459"/>
      <w:bookmarkStart w:id="14" w:name="_Toc13064"/>
      <w:bookmarkStart w:id="15" w:name="_Toc30735"/>
      <w:bookmarkStart w:id="16" w:name="_Toc23222"/>
      <w:bookmarkStart w:id="17" w:name="_Toc19732"/>
      <w:bookmarkStart w:id="18" w:name="_Toc23510"/>
      <w:bookmarkStart w:id="19" w:name="_Toc12334"/>
      <w:bookmarkStart w:id="20" w:name="_Toc4416"/>
      <w:bookmarkStart w:id="21" w:name="_Toc6748"/>
      <w:bookmarkStart w:id="22" w:name="_Toc373860293"/>
      <w:bookmarkStart w:id="23" w:name="_Toc317775178"/>
      <w:r>
        <w:rPr>
          <w:rFonts w:hint="eastAsia" w:ascii="宋体" w:hAnsi="宋体" w:eastAsia="宋体" w:cs="宋体"/>
          <w:bCs/>
          <w:color w:val="auto"/>
          <w:sz w:val="24"/>
          <w:szCs w:val="24"/>
          <w:highlight w:val="none"/>
        </w:rPr>
        <w:t>项目</w:t>
      </w:r>
      <w:bookmarkEnd w:id="3"/>
      <w:r>
        <w:rPr>
          <w:rFonts w:hint="eastAsia" w:ascii="宋体" w:hAnsi="宋体" w:eastAsia="宋体" w:cs="宋体"/>
          <w:bCs/>
          <w:color w:val="auto"/>
          <w:sz w:val="24"/>
          <w:szCs w:val="24"/>
          <w:highlight w:val="none"/>
          <w:lang w:val="en-US" w:eastAsia="zh-CN"/>
        </w:rPr>
        <w:t>内容</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tbl>
      <w:tblPr>
        <w:tblStyle w:val="60"/>
        <w:tblW w:w="8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1"/>
        <w:gridCol w:w="2330"/>
        <w:gridCol w:w="1303"/>
        <w:gridCol w:w="1485"/>
      </w:tblGrid>
      <w:tr w14:paraId="2EEE7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2901" w:type="dxa"/>
            <w:noWrap w:val="0"/>
            <w:vAlign w:val="center"/>
          </w:tcPr>
          <w:p w14:paraId="30ADB1B1">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bookmarkStart w:id="24" w:name="_Toc10126"/>
            <w:bookmarkStart w:id="25" w:name="_Toc213"/>
            <w:bookmarkStart w:id="26" w:name="_Toc106207235"/>
            <w:bookmarkStart w:id="27" w:name="_Toc12195"/>
            <w:bookmarkStart w:id="28" w:name="_Toc17197"/>
            <w:bookmarkStart w:id="29" w:name="_Toc11550"/>
            <w:bookmarkStart w:id="30" w:name="_Toc107408237"/>
            <w:bookmarkStart w:id="31" w:name="_Toc1752"/>
            <w:r>
              <w:rPr>
                <w:rFonts w:hint="eastAsia" w:ascii="宋体" w:hAnsi="宋体" w:eastAsia="宋体" w:cs="宋体"/>
                <w:color w:val="auto"/>
                <w:kern w:val="2"/>
                <w:sz w:val="24"/>
                <w:szCs w:val="24"/>
                <w:highlight w:val="none"/>
                <w:lang w:val="en-US" w:eastAsia="zh-CN" w:bidi="ar-SA"/>
              </w:rPr>
              <w:t>项目名称</w:t>
            </w:r>
            <w:bookmarkEnd w:id="24"/>
            <w:bookmarkEnd w:id="25"/>
            <w:bookmarkEnd w:id="26"/>
            <w:bookmarkEnd w:id="27"/>
            <w:bookmarkEnd w:id="28"/>
            <w:bookmarkEnd w:id="29"/>
          </w:p>
        </w:tc>
        <w:tc>
          <w:tcPr>
            <w:tcW w:w="2330" w:type="dxa"/>
            <w:noWrap w:val="0"/>
            <w:vAlign w:val="center"/>
          </w:tcPr>
          <w:p w14:paraId="2FF99262">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bookmarkStart w:id="32" w:name="_Toc16479"/>
            <w:bookmarkStart w:id="33" w:name="_Toc2007"/>
            <w:bookmarkStart w:id="34" w:name="_Toc4251"/>
            <w:bookmarkStart w:id="35" w:name="_Toc12680"/>
            <w:bookmarkStart w:id="36" w:name="_Toc106207237"/>
            <w:bookmarkStart w:id="37" w:name="_Toc30577"/>
            <w:r>
              <w:rPr>
                <w:rFonts w:hint="eastAsia" w:ascii="宋体" w:hAnsi="宋体" w:eastAsia="宋体" w:cs="宋体"/>
                <w:color w:val="auto"/>
                <w:kern w:val="2"/>
                <w:sz w:val="24"/>
                <w:szCs w:val="24"/>
                <w:highlight w:val="none"/>
                <w:lang w:val="en-US" w:eastAsia="zh-CN" w:bidi="ar-SA"/>
              </w:rPr>
              <w:t>最高限价</w:t>
            </w:r>
            <w:bookmarkEnd w:id="32"/>
            <w:bookmarkEnd w:id="33"/>
            <w:bookmarkEnd w:id="34"/>
          </w:p>
          <w:p w14:paraId="48C295AB">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bookmarkStart w:id="38" w:name="_Toc31142"/>
            <w:bookmarkStart w:id="39" w:name="_Toc8705"/>
            <w:bookmarkStart w:id="40" w:name="_Toc6841"/>
            <w:r>
              <w:rPr>
                <w:rFonts w:hint="eastAsia" w:ascii="宋体" w:hAnsi="宋体" w:eastAsia="宋体" w:cs="宋体"/>
                <w:color w:val="auto"/>
                <w:kern w:val="2"/>
                <w:sz w:val="24"/>
                <w:szCs w:val="24"/>
                <w:highlight w:val="none"/>
                <w:lang w:val="en-US" w:eastAsia="zh-CN" w:bidi="ar-SA"/>
              </w:rPr>
              <w:t>（元）</w:t>
            </w:r>
            <w:bookmarkEnd w:id="35"/>
            <w:bookmarkEnd w:id="36"/>
            <w:bookmarkEnd w:id="37"/>
            <w:bookmarkEnd w:id="38"/>
            <w:bookmarkEnd w:id="39"/>
            <w:bookmarkEnd w:id="40"/>
          </w:p>
        </w:tc>
        <w:tc>
          <w:tcPr>
            <w:tcW w:w="1303" w:type="dxa"/>
            <w:noWrap w:val="0"/>
            <w:vAlign w:val="center"/>
          </w:tcPr>
          <w:p w14:paraId="28EB967C">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bookmarkStart w:id="41" w:name="_Toc18596"/>
            <w:bookmarkStart w:id="42" w:name="_Toc106207238"/>
            <w:bookmarkStart w:id="43" w:name="_Toc27457"/>
            <w:bookmarkStart w:id="44" w:name="_Toc19558"/>
            <w:bookmarkStart w:id="45" w:name="_Toc9225"/>
            <w:bookmarkStart w:id="46" w:name="_Toc24796"/>
            <w:r>
              <w:rPr>
                <w:rFonts w:hint="eastAsia" w:ascii="宋体" w:hAnsi="宋体" w:eastAsia="宋体" w:cs="宋体"/>
                <w:color w:val="auto"/>
                <w:kern w:val="2"/>
                <w:sz w:val="24"/>
                <w:szCs w:val="24"/>
                <w:highlight w:val="none"/>
                <w:lang w:val="en-US" w:eastAsia="zh-CN" w:bidi="ar-SA"/>
              </w:rPr>
              <w:t>竞选保证金</w:t>
            </w:r>
          </w:p>
          <w:p w14:paraId="52EB797A">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（万元）</w:t>
            </w:r>
          </w:p>
        </w:tc>
        <w:tc>
          <w:tcPr>
            <w:tcW w:w="1485" w:type="dxa"/>
            <w:noWrap w:val="0"/>
            <w:vAlign w:val="top"/>
          </w:tcPr>
          <w:p w14:paraId="09BD7193">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成交供应商</w:t>
            </w:r>
          </w:p>
          <w:p w14:paraId="0EC5B378">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数量</w:t>
            </w:r>
            <w:bookmarkEnd w:id="41"/>
            <w:bookmarkEnd w:id="42"/>
            <w:bookmarkEnd w:id="43"/>
            <w:bookmarkEnd w:id="44"/>
            <w:bookmarkEnd w:id="45"/>
            <w:bookmarkEnd w:id="46"/>
            <w:r>
              <w:rPr>
                <w:rFonts w:hint="eastAsia" w:ascii="宋体" w:hAnsi="宋体" w:eastAsia="宋体" w:cs="宋体"/>
                <w:color w:val="auto"/>
                <w:kern w:val="2"/>
                <w:sz w:val="24"/>
                <w:szCs w:val="24"/>
                <w:highlight w:val="none"/>
                <w:lang w:val="en-US" w:eastAsia="zh-CN" w:bidi="ar-SA"/>
              </w:rPr>
              <w:t>（名）</w:t>
            </w:r>
          </w:p>
        </w:tc>
      </w:tr>
      <w:tr w14:paraId="1C56D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2901" w:type="dxa"/>
            <w:noWrap w:val="0"/>
            <w:vAlign w:val="center"/>
          </w:tcPr>
          <w:p w14:paraId="2CDACBFB">
            <w:pPr>
              <w:pStyle w:val="23"/>
              <w:spacing w:line="400" w:lineRule="exact"/>
              <w:ind w:left="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中央花园ABCD区28台电梯改造工程</w:t>
            </w:r>
          </w:p>
        </w:tc>
        <w:tc>
          <w:tcPr>
            <w:tcW w:w="2330" w:type="dxa"/>
            <w:noWrap w:val="0"/>
            <w:vAlign w:val="center"/>
          </w:tcPr>
          <w:p w14:paraId="1F11BE1A">
            <w:pPr>
              <w:pStyle w:val="23"/>
              <w:spacing w:line="400" w:lineRule="exact"/>
              <w:ind w:left="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 xml:space="preserve">5040168.49 </w:t>
            </w:r>
          </w:p>
        </w:tc>
        <w:tc>
          <w:tcPr>
            <w:tcW w:w="1303" w:type="dxa"/>
            <w:noWrap w:val="0"/>
            <w:vAlign w:val="center"/>
          </w:tcPr>
          <w:p w14:paraId="1745796D">
            <w:pPr>
              <w:widowControl/>
              <w:spacing w:line="276" w:lineRule="auto"/>
              <w:jc w:val="center"/>
              <w:rPr>
                <w:rFonts w:hint="eastAsia" w:ascii="宋体" w:hAnsi="宋体" w:eastAsia="宋体" w:cs="宋体"/>
                <w:color w:val="auto"/>
                <w:kern w:val="2"/>
                <w:sz w:val="24"/>
                <w:szCs w:val="24"/>
                <w:highlight w:val="none"/>
                <w:lang w:val="en-US" w:eastAsia="zh-CN" w:bidi="ar-SA"/>
              </w:rPr>
            </w:pPr>
            <w:r>
              <w:rPr>
                <w:rFonts w:hint="eastAsia" w:asciiTheme="minorEastAsia" w:hAnsiTheme="minorEastAsia" w:eastAsiaTheme="minorEastAsia" w:cstheme="minorEastAsia"/>
                <w:color w:val="auto"/>
                <w:kern w:val="0"/>
                <w:sz w:val="21"/>
                <w:szCs w:val="21"/>
                <w:highlight w:val="none"/>
                <w:lang w:val="en-US" w:eastAsia="zh-CN"/>
              </w:rPr>
              <w:t>5</w:t>
            </w:r>
          </w:p>
        </w:tc>
        <w:tc>
          <w:tcPr>
            <w:tcW w:w="1485" w:type="dxa"/>
            <w:noWrap w:val="0"/>
            <w:vAlign w:val="top"/>
          </w:tcPr>
          <w:p w14:paraId="21DCBF6C">
            <w:pPr>
              <w:pStyle w:val="15"/>
              <w:spacing w:line="400" w:lineRule="exact"/>
              <w:ind w:firstLine="0"/>
              <w:jc w:val="center"/>
              <w:outlineLvl w:val="0"/>
              <w:rPr>
                <w:rFonts w:hint="eastAsia" w:ascii="宋体" w:hAnsi="宋体" w:eastAsia="宋体" w:cs="宋体"/>
                <w:color w:val="auto"/>
                <w:kern w:val="2"/>
                <w:sz w:val="24"/>
                <w:szCs w:val="24"/>
                <w:highlight w:val="none"/>
                <w:lang w:val="en-US" w:eastAsia="zh-CN" w:bidi="ar-SA"/>
              </w:rPr>
            </w:pPr>
          </w:p>
          <w:p w14:paraId="445E838F">
            <w:pPr>
              <w:pStyle w:val="15"/>
              <w:spacing w:line="400" w:lineRule="exact"/>
              <w:ind w:firstLine="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w:t>
            </w:r>
          </w:p>
          <w:p w14:paraId="14920DA2">
            <w:pPr>
              <w:pStyle w:val="15"/>
              <w:spacing w:line="400" w:lineRule="exact"/>
              <w:ind w:firstLine="0"/>
              <w:jc w:val="center"/>
              <w:outlineLvl w:val="0"/>
              <w:rPr>
                <w:rFonts w:hint="eastAsia" w:ascii="宋体" w:hAnsi="宋体" w:eastAsia="宋体" w:cs="宋体"/>
                <w:color w:val="auto"/>
                <w:kern w:val="2"/>
                <w:sz w:val="24"/>
                <w:szCs w:val="24"/>
                <w:highlight w:val="none"/>
                <w:lang w:val="en-US" w:eastAsia="zh-CN" w:bidi="ar-SA"/>
              </w:rPr>
            </w:pPr>
          </w:p>
        </w:tc>
      </w:tr>
    </w:tbl>
    <w:p w14:paraId="23F1C992">
      <w:pPr>
        <w:pStyle w:val="4"/>
        <w:spacing w:before="0" w:after="0" w:line="440" w:lineRule="exact"/>
        <w:rPr>
          <w:rFonts w:hint="eastAsia" w:ascii="宋体" w:hAnsi="宋体" w:eastAsia="宋体" w:cs="宋体"/>
          <w:bCs/>
          <w:color w:val="auto"/>
          <w:sz w:val="24"/>
          <w:szCs w:val="24"/>
          <w:highlight w:val="none"/>
        </w:rPr>
      </w:pPr>
      <w:bookmarkStart w:id="47" w:name="_Toc5792"/>
      <w:bookmarkStart w:id="48" w:name="_Toc5352"/>
      <w:bookmarkStart w:id="49" w:name="_Toc16005"/>
      <w:bookmarkStart w:id="50" w:name="_Toc1500"/>
      <w:bookmarkStart w:id="51" w:name="_Toc24001"/>
      <w:bookmarkStart w:id="52" w:name="_Toc2489"/>
      <w:bookmarkStart w:id="53" w:name="_Toc22418"/>
      <w:bookmarkStart w:id="54" w:name="_Toc1304"/>
      <w:bookmarkStart w:id="55" w:name="_Toc4977"/>
      <w:bookmarkStart w:id="56" w:name="_Toc28437"/>
      <w:bookmarkStart w:id="57" w:name="_Toc25366"/>
      <w:bookmarkStart w:id="58" w:name="_Toc11240"/>
      <w:bookmarkStart w:id="59" w:name="_Toc9154"/>
      <w:bookmarkStart w:id="60" w:name="_Toc18994"/>
      <w:bookmarkStart w:id="61" w:name="_Toc20368"/>
      <w:bookmarkStart w:id="62" w:name="_Toc20653"/>
      <w:bookmarkStart w:id="63" w:name="_Toc21557"/>
      <w:bookmarkStart w:id="64" w:name="_Toc20815"/>
      <w:r>
        <w:rPr>
          <w:rFonts w:hint="eastAsia" w:ascii="宋体" w:hAnsi="宋体" w:eastAsia="宋体" w:cs="宋体"/>
          <w:bCs/>
          <w:color w:val="auto"/>
          <w:sz w:val="24"/>
          <w:szCs w:val="24"/>
          <w:highlight w:val="none"/>
        </w:rPr>
        <w:t>二、资金来源</w:t>
      </w:r>
      <w:bookmarkEnd w:id="30"/>
      <w:bookmarkEnd w:id="31"/>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14:paraId="390D5BF8">
      <w:pPr>
        <w:spacing w:line="440" w:lineRule="exact"/>
        <w:ind w:firstLine="480" w:firstLineChars="200"/>
        <w:rPr>
          <w:rFonts w:hint="eastAsia" w:ascii="宋体" w:hAnsi="宋体" w:eastAsia="宋体" w:cs="宋体"/>
          <w:color w:val="auto"/>
          <w:sz w:val="24"/>
          <w:szCs w:val="24"/>
          <w:highlight w:val="none"/>
        </w:rPr>
      </w:pPr>
      <w:bookmarkStart w:id="65" w:name="_Toc27801"/>
      <w:bookmarkStart w:id="66" w:name="_Toc12915"/>
      <w:bookmarkStart w:id="67" w:name="_Toc494"/>
      <w:bookmarkStart w:id="68" w:name="_Toc26446"/>
      <w:bookmarkStart w:id="69" w:name="_Toc4555"/>
      <w:bookmarkStart w:id="70" w:name="_Toc11839"/>
      <w:bookmarkStart w:id="71" w:name="_Toc11934"/>
      <w:bookmarkStart w:id="72" w:name="_Toc4768"/>
      <w:bookmarkStart w:id="73" w:name="_Toc23434"/>
      <w:bookmarkStart w:id="74" w:name="_Toc30662"/>
      <w:bookmarkStart w:id="75" w:name="_Toc1996"/>
      <w:bookmarkStart w:id="76" w:name="_Toc8484"/>
      <w:bookmarkStart w:id="77" w:name="_Toc6630"/>
      <w:bookmarkStart w:id="78" w:name="_Toc23776"/>
      <w:bookmarkStart w:id="79" w:name="_Toc16625"/>
      <w:bookmarkStart w:id="80" w:name="_Toc29447"/>
      <w:bookmarkStart w:id="81" w:name="_Toc29745"/>
      <w:r>
        <w:rPr>
          <w:rFonts w:hint="eastAsia" w:ascii="宋体" w:hAnsi="宋体" w:cs="宋体"/>
          <w:color w:val="auto"/>
          <w:sz w:val="24"/>
          <w:szCs w:val="24"/>
          <w:highlight w:val="none"/>
          <w:lang w:val="en-US" w:eastAsia="zh-CN"/>
        </w:rPr>
        <w:t>大修基金以及财政补贴</w:t>
      </w:r>
      <w:r>
        <w:rPr>
          <w:rFonts w:hint="eastAsia" w:ascii="宋体" w:hAnsi="宋体" w:eastAsia="宋体" w:cs="宋体"/>
          <w:color w:val="auto"/>
          <w:sz w:val="24"/>
          <w:szCs w:val="24"/>
          <w:highlight w:val="none"/>
        </w:rPr>
        <w:t>。</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Start w:id="82" w:name="_Toc18111"/>
      <w:bookmarkStart w:id="83" w:name="_Toc107408238"/>
    </w:p>
    <w:p w14:paraId="3A55A4B0">
      <w:pPr>
        <w:pStyle w:val="4"/>
        <w:spacing w:before="0" w:after="0" w:line="440" w:lineRule="exact"/>
        <w:rPr>
          <w:rFonts w:hint="eastAsia" w:ascii="宋体" w:hAnsi="宋体" w:eastAsia="宋体" w:cs="宋体"/>
          <w:bCs/>
          <w:color w:val="auto"/>
          <w:sz w:val="24"/>
          <w:szCs w:val="24"/>
          <w:highlight w:val="none"/>
          <w:lang w:val="en-US" w:eastAsia="zh-CN"/>
        </w:rPr>
      </w:pPr>
      <w:bookmarkStart w:id="84" w:name="_Toc306"/>
      <w:bookmarkStart w:id="85" w:name="_Toc16370"/>
      <w:bookmarkStart w:id="86" w:name="_Toc13260"/>
      <w:bookmarkStart w:id="87" w:name="_Toc32592"/>
      <w:bookmarkStart w:id="88" w:name="_Toc9977"/>
      <w:bookmarkStart w:id="89" w:name="_Toc17129"/>
      <w:bookmarkStart w:id="90" w:name="_Toc14047"/>
      <w:bookmarkStart w:id="91" w:name="_Toc2292"/>
      <w:bookmarkStart w:id="92" w:name="_Toc27956"/>
      <w:bookmarkStart w:id="93" w:name="_Toc9351"/>
      <w:bookmarkStart w:id="94" w:name="_Toc14451"/>
      <w:bookmarkStart w:id="95" w:name="_Toc26280"/>
      <w:bookmarkStart w:id="96" w:name="_Toc3281"/>
      <w:bookmarkStart w:id="97" w:name="_Toc31815"/>
      <w:bookmarkStart w:id="98" w:name="_Toc2306"/>
      <w:bookmarkStart w:id="99" w:name="_Toc2715"/>
      <w:bookmarkStart w:id="100" w:name="_Toc2218"/>
      <w:bookmarkStart w:id="101" w:name="_Toc5996"/>
      <w:r>
        <w:rPr>
          <w:rFonts w:hint="eastAsia" w:ascii="宋体" w:hAnsi="宋体" w:eastAsia="宋体" w:cs="宋体"/>
          <w:bCs/>
          <w:color w:val="auto"/>
          <w:sz w:val="24"/>
          <w:szCs w:val="24"/>
          <w:highlight w:val="none"/>
          <w:lang w:val="en-US" w:eastAsia="zh-CN"/>
        </w:rPr>
        <w:t>三、供应商资格条件</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14:paraId="43AA987B">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（一）满足《中华人民共和国政府采购法》第二十二条规定；</w:t>
      </w:r>
    </w:p>
    <w:p w14:paraId="2B2FF442">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（二）落实政府采购政策需满足的资格要求：</w:t>
      </w:r>
      <w:r>
        <w:rPr>
          <w:rFonts w:hint="eastAsia" w:ascii="宋体" w:hAnsi="宋体" w:cs="宋体"/>
          <w:iCs/>
          <w:color w:val="auto"/>
          <w:sz w:val="24"/>
          <w:szCs w:val="24"/>
          <w:highlight w:val="none"/>
          <w:lang w:val="en-US" w:eastAsia="zh-CN"/>
        </w:rPr>
        <w:t>无</w:t>
      </w:r>
      <w:r>
        <w:rPr>
          <w:rFonts w:hint="eastAsia" w:ascii="宋体" w:hAnsi="宋体" w:eastAsia="宋体" w:cs="宋体"/>
          <w:color w:val="auto"/>
          <w:sz w:val="24"/>
          <w:szCs w:val="24"/>
          <w:highlight w:val="none"/>
        </w:rPr>
        <w:t>。</w:t>
      </w:r>
    </w:p>
    <w:p w14:paraId="1DE703D4">
      <w:pPr>
        <w:pageBreakBefore w:val="0"/>
        <w:widowControl w:val="0"/>
        <w:numPr>
          <w:ilvl w:val="0"/>
          <w:numId w:val="15"/>
        </w:numPr>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iCs/>
          <w:color w:val="auto"/>
          <w:sz w:val="24"/>
          <w:szCs w:val="24"/>
          <w:highlight w:val="none"/>
        </w:rPr>
        <w:t>本项目的特定资格要求：</w:t>
      </w:r>
    </w:p>
    <w:p w14:paraId="1DA8ACD3">
      <w:pPr>
        <w:pageBreakBefore w:val="0"/>
        <w:widowControl w:val="0"/>
        <w:numPr>
          <w:ilvl w:val="0"/>
          <w:numId w:val="0"/>
        </w:numPr>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1.若</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为所投电梯制造商的，须具有《中华人民共和国特种设备生产许可证》[许可项目为电梯制造（含安装、修理、改造）]，或具有《中华人民共和国特种设备制造许可证》（曳引驱动乘客电梯）B级及以上资质和《中华人民共和国特种设备安装改造维修（或修理）许可证》（电梯）[乘客电梯或曳引驱动乘客电梯B级及以上资质]（提供证书复印件加盖</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公章）。</w:t>
      </w:r>
    </w:p>
    <w:p w14:paraId="084A6151">
      <w:pPr>
        <w:numPr>
          <w:ilvl w:val="0"/>
          <w:numId w:val="0"/>
        </w:num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b w:val="0"/>
          <w:color w:val="auto"/>
          <w:kern w:val="2"/>
          <w:sz w:val="24"/>
          <w:szCs w:val="24"/>
          <w:highlight w:val="none"/>
          <w:lang w:val="en-US" w:eastAsia="zh-CN" w:bidi="ar-SA"/>
        </w:rPr>
        <w:t>2.若供应商非所投产品制造商的，所投产品制造商应具备以上要求1的前提下，供应商还须具有《中华人民共和国特种设备生产许可证》[许可项目为电梯安装（含修理）]或《中华人民共和国特种设备安装改造维修（或修理）许可证》（电梯）[乘客电梯或曳引驱动乘客电梯B级及以上资质]（提供证书复印件加盖供应商公章）</w:t>
      </w:r>
      <w:r>
        <w:rPr>
          <w:rFonts w:hint="eastAsia" w:ascii="宋体" w:hAnsi="宋体" w:eastAsia="宋体" w:cs="宋体"/>
          <w:color w:val="auto"/>
          <w:sz w:val="24"/>
          <w:szCs w:val="24"/>
          <w:highlight w:val="none"/>
        </w:rPr>
        <w:t>。</w:t>
      </w:r>
    </w:p>
    <w:p w14:paraId="19913791">
      <w:pPr>
        <w:pStyle w:val="4"/>
        <w:spacing w:before="0" w:after="0" w:line="440" w:lineRule="exact"/>
        <w:rPr>
          <w:rFonts w:hint="eastAsia" w:ascii="宋体" w:hAnsi="宋体" w:eastAsia="宋体" w:cs="宋体"/>
          <w:bCs/>
          <w:color w:val="auto"/>
          <w:sz w:val="24"/>
          <w:szCs w:val="24"/>
          <w:highlight w:val="none"/>
        </w:rPr>
      </w:pPr>
      <w:bookmarkStart w:id="102" w:name="_Toc277"/>
      <w:bookmarkStart w:id="103" w:name="_Toc13076"/>
      <w:bookmarkStart w:id="104" w:name="_Toc23721"/>
      <w:bookmarkStart w:id="105" w:name="_Toc24266"/>
      <w:bookmarkStart w:id="106" w:name="_Toc28548"/>
      <w:bookmarkStart w:id="107" w:name="_Toc26751"/>
      <w:bookmarkStart w:id="108" w:name="_Toc107408239"/>
      <w:bookmarkStart w:id="109" w:name="_Toc24077"/>
      <w:bookmarkStart w:id="110" w:name="_Toc24142"/>
      <w:bookmarkStart w:id="111" w:name="_Toc12531"/>
      <w:bookmarkStart w:id="112" w:name="_Toc15987"/>
      <w:bookmarkStart w:id="113" w:name="_Toc17233"/>
      <w:bookmarkStart w:id="114" w:name="_Toc23988"/>
      <w:bookmarkStart w:id="115" w:name="_Toc28860"/>
      <w:bookmarkStart w:id="116" w:name="_Toc14074"/>
      <w:bookmarkStart w:id="117" w:name="_Toc27931"/>
      <w:bookmarkStart w:id="118" w:name="_Toc29019"/>
      <w:bookmarkStart w:id="119" w:name="_Toc14824"/>
      <w:bookmarkStart w:id="120" w:name="_Toc24561"/>
      <w:r>
        <w:rPr>
          <w:rFonts w:hint="eastAsia" w:ascii="宋体" w:hAnsi="宋体" w:eastAsia="宋体" w:cs="宋体"/>
          <w:bCs/>
          <w:color w:val="auto"/>
          <w:sz w:val="24"/>
          <w:szCs w:val="24"/>
          <w:highlight w:val="none"/>
        </w:rPr>
        <w:t>四、采购有关说明</w:t>
      </w:r>
      <w:bookmarkEnd w:id="22"/>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4F0A63B7">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bookmarkStart w:id="121" w:name="_Toc27572"/>
      <w:bookmarkStart w:id="122" w:name="_Toc13746"/>
      <w:bookmarkStart w:id="123" w:name="_Toc373860294"/>
      <w:r>
        <w:rPr>
          <w:rFonts w:hint="eastAsia" w:ascii="宋体" w:hAnsi="宋体" w:cs="宋体"/>
          <w:color w:val="auto"/>
          <w:sz w:val="24"/>
          <w:szCs w:val="24"/>
          <w:highlight w:val="none"/>
          <w:lang w:val="en-US" w:eastAsia="zh-CN"/>
        </w:rPr>
        <w:t>（一）</w:t>
      </w:r>
      <w:r>
        <w:rPr>
          <w:rFonts w:hint="eastAsia" w:ascii="宋体" w:hAnsi="宋体" w:eastAsia="宋体" w:cs="宋体"/>
          <w:color w:val="auto"/>
          <w:sz w:val="24"/>
          <w:szCs w:val="24"/>
          <w:highlight w:val="none"/>
        </w:rPr>
        <w:t>本项目竞争性比选公告在行采家（www.gec123.com）网站上发布，凡有意参加的</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，可在行采家（www.gec123.com）网站下载或在代理机构领取竞争性比选文件、图纸、答疑、补遗等比选前的有关资料，不管下载与领取与否都视为</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全部知晓有关比选过程和事宜。</w:t>
      </w:r>
    </w:p>
    <w:p w14:paraId="38F4DE21">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（二）</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竞争性</w:t>
      </w:r>
      <w:r>
        <w:rPr>
          <w:rFonts w:hint="eastAsia" w:ascii="宋体" w:hAnsi="宋体" w:eastAsia="宋体" w:cs="宋体"/>
          <w:color w:val="auto"/>
          <w:sz w:val="24"/>
          <w:szCs w:val="24"/>
          <w:highlight w:val="none"/>
        </w:rPr>
        <w:t>比选文件费用每套</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00元（售后不退）。潜在</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于2025年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 xml:space="preserve"> 2 </w:t>
      </w:r>
      <w:r>
        <w:rPr>
          <w:rFonts w:hint="eastAsia" w:ascii="宋体" w:hAnsi="宋体" w:eastAsia="宋体" w:cs="宋体"/>
          <w:color w:val="auto"/>
          <w:sz w:val="24"/>
          <w:szCs w:val="24"/>
          <w:highlight w:val="none"/>
        </w:rPr>
        <w:t>日17:00前将《</w:t>
      </w:r>
      <w:r>
        <w:rPr>
          <w:rFonts w:hint="eastAsia" w:ascii="宋体" w:hAnsi="宋体" w:cs="宋体"/>
          <w:color w:val="auto"/>
          <w:sz w:val="24"/>
          <w:szCs w:val="24"/>
          <w:highlight w:val="none"/>
          <w:lang w:eastAsia="zh-CN"/>
        </w:rPr>
        <w:t>竞争性比选文件获取记录表</w:t>
      </w:r>
      <w:r>
        <w:rPr>
          <w:rFonts w:hint="eastAsia" w:ascii="宋体" w:hAnsi="宋体" w:eastAsia="宋体" w:cs="宋体"/>
          <w:color w:val="auto"/>
          <w:sz w:val="24"/>
          <w:szCs w:val="24"/>
          <w:highlight w:val="none"/>
        </w:rPr>
        <w:t>》加盖</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公章扫描后邮箱发送至</w:t>
      </w:r>
      <w:r>
        <w:rPr>
          <w:rFonts w:hint="eastAsia" w:ascii="宋体" w:hAnsi="宋体" w:cs="宋体"/>
          <w:color w:val="auto"/>
          <w:sz w:val="24"/>
          <w:szCs w:val="24"/>
          <w:highlight w:val="none"/>
          <w:lang w:eastAsia="zh-CN"/>
        </w:rPr>
        <w:t>413886936</w:t>
      </w:r>
      <w:r>
        <w:rPr>
          <w:rFonts w:hint="eastAsia" w:ascii="宋体" w:hAnsi="宋体" w:eastAsia="宋体" w:cs="宋体"/>
          <w:color w:val="auto"/>
          <w:sz w:val="24"/>
          <w:szCs w:val="24"/>
          <w:highlight w:val="none"/>
        </w:rPr>
        <w:t>@qq.com，逾期视为</w:t>
      </w:r>
      <w:r>
        <w:rPr>
          <w:rFonts w:hint="eastAsia" w:ascii="宋体" w:hAnsi="宋体" w:cs="宋体"/>
          <w:color w:val="auto"/>
          <w:sz w:val="24"/>
          <w:szCs w:val="24"/>
          <w:highlight w:val="none"/>
          <w:lang w:eastAsia="zh-CN"/>
        </w:rPr>
        <w:t>响应无效</w:t>
      </w:r>
      <w:r>
        <w:rPr>
          <w:rFonts w:hint="eastAsia" w:ascii="宋体" w:hAnsi="宋体" w:eastAsia="宋体" w:cs="宋体"/>
          <w:color w:val="auto"/>
          <w:sz w:val="24"/>
          <w:szCs w:val="24"/>
          <w:highlight w:val="none"/>
        </w:rPr>
        <w:t>。</w:t>
      </w:r>
    </w:p>
    <w:p w14:paraId="7633FA2C">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三</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从本公告发布之日起至2025年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日17时00分（北京时间）前向</w:t>
      </w:r>
      <w:r>
        <w:rPr>
          <w:rFonts w:hint="eastAsia" w:ascii="宋体" w:hAnsi="宋体" w:cs="宋体"/>
          <w:color w:val="auto"/>
          <w:sz w:val="24"/>
          <w:szCs w:val="24"/>
          <w:highlight w:val="none"/>
          <w:lang w:eastAsia="zh-CN"/>
        </w:rPr>
        <w:t>采购人</w:t>
      </w:r>
      <w:r>
        <w:rPr>
          <w:rFonts w:hint="eastAsia" w:ascii="宋体" w:hAnsi="宋体" w:eastAsia="宋体" w:cs="宋体"/>
          <w:color w:val="auto"/>
          <w:sz w:val="24"/>
          <w:szCs w:val="24"/>
          <w:highlight w:val="none"/>
        </w:rPr>
        <w:t>提出书面质疑（如有）并递交到</w:t>
      </w:r>
      <w:r>
        <w:rPr>
          <w:rFonts w:hint="eastAsia" w:ascii="宋体" w:hAnsi="宋体" w:cs="宋体"/>
          <w:color w:val="auto"/>
          <w:sz w:val="24"/>
          <w:szCs w:val="24"/>
          <w:highlight w:val="none"/>
          <w:lang w:eastAsia="zh-CN"/>
        </w:rPr>
        <w:t>采购人</w:t>
      </w:r>
      <w:r>
        <w:rPr>
          <w:rFonts w:hint="eastAsia" w:ascii="宋体" w:hAnsi="宋体" w:eastAsia="宋体" w:cs="宋体"/>
          <w:color w:val="auto"/>
          <w:sz w:val="24"/>
          <w:szCs w:val="24"/>
          <w:highlight w:val="none"/>
        </w:rPr>
        <w:t>或</w:t>
      </w:r>
      <w:r>
        <w:rPr>
          <w:rFonts w:hint="eastAsia" w:ascii="宋体" w:hAnsi="宋体" w:cs="宋体"/>
          <w:color w:val="auto"/>
          <w:sz w:val="24"/>
          <w:szCs w:val="24"/>
          <w:highlight w:val="none"/>
          <w:lang w:eastAsia="zh-CN"/>
        </w:rPr>
        <w:t>采购代理机构</w:t>
      </w:r>
      <w:r>
        <w:rPr>
          <w:rFonts w:hint="eastAsia" w:ascii="宋体" w:hAnsi="宋体" w:eastAsia="宋体" w:cs="宋体"/>
          <w:color w:val="auto"/>
          <w:sz w:val="24"/>
          <w:szCs w:val="24"/>
          <w:highlight w:val="none"/>
        </w:rPr>
        <w:t>，逾期将不再接收书面质疑。</w:t>
      </w:r>
    </w:p>
    <w:p w14:paraId="62E616EE">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四</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竞选时间地点及程序</w:t>
      </w:r>
    </w:p>
    <w:p w14:paraId="2532818B">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供应商须满足以下三种要件，其响应文件才被接受：</w:t>
      </w:r>
    </w:p>
    <w:p w14:paraId="7DB87285">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lang w:eastAsia="zh-CN"/>
        </w:rPr>
        <w:t>）按时在“行采家(https://www.gec123.com）”平台参与报价，并上传了电子响应文件</w:t>
      </w:r>
      <w:r>
        <w:rPr>
          <w:rFonts w:hint="eastAsia" w:ascii="宋体" w:hAnsi="宋体" w:eastAsia="宋体" w:cs="宋体"/>
          <w:color w:val="auto"/>
          <w:sz w:val="24"/>
          <w:szCs w:val="24"/>
          <w:highlight w:val="none"/>
        </w:rPr>
        <w:t>；</w:t>
      </w:r>
    </w:p>
    <w:p w14:paraId="0F5045CC">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按规定购买了</w:t>
      </w:r>
      <w:r>
        <w:rPr>
          <w:rFonts w:hint="eastAsia" w:ascii="宋体" w:hAnsi="宋体" w:cs="宋体"/>
          <w:color w:val="auto"/>
          <w:sz w:val="24"/>
          <w:szCs w:val="24"/>
          <w:highlight w:val="none"/>
          <w:lang w:val="en-US" w:eastAsia="zh-CN"/>
        </w:rPr>
        <w:t>竞争性</w:t>
      </w:r>
      <w:r>
        <w:rPr>
          <w:rFonts w:hint="eastAsia" w:ascii="宋体" w:hAnsi="宋体" w:eastAsia="宋体" w:cs="宋体"/>
          <w:color w:val="auto"/>
          <w:sz w:val="24"/>
          <w:szCs w:val="24"/>
          <w:highlight w:val="none"/>
        </w:rPr>
        <w:t>比选文件并回传了《</w:t>
      </w:r>
      <w:r>
        <w:rPr>
          <w:rFonts w:hint="eastAsia" w:ascii="宋体" w:hAnsi="宋体" w:cs="宋体"/>
          <w:color w:val="auto"/>
          <w:sz w:val="24"/>
          <w:szCs w:val="24"/>
          <w:highlight w:val="none"/>
          <w:lang w:eastAsia="zh-CN"/>
        </w:rPr>
        <w:t>竞争性比选文件获取记录表</w:t>
      </w:r>
      <w:r>
        <w:rPr>
          <w:rFonts w:hint="eastAsia" w:ascii="宋体" w:hAnsi="宋体" w:eastAsia="宋体" w:cs="宋体"/>
          <w:color w:val="auto"/>
          <w:sz w:val="24"/>
          <w:szCs w:val="24"/>
          <w:highlight w:val="none"/>
        </w:rPr>
        <w:t>》；</w:t>
      </w:r>
    </w:p>
    <w:p w14:paraId="307DFB84">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按时在现场递交了纸质响应文件。纸质响应文件</w:t>
      </w:r>
      <w:r>
        <w:rPr>
          <w:rFonts w:hint="eastAsia" w:ascii="宋体" w:hAnsi="宋体" w:cs="宋体"/>
          <w:color w:val="auto"/>
          <w:sz w:val="24"/>
          <w:szCs w:val="24"/>
          <w:highlight w:val="none"/>
          <w:lang w:val="en-US" w:eastAsia="zh-CN"/>
        </w:rPr>
        <w:t>正本1份，副本2份</w:t>
      </w:r>
      <w:r>
        <w:rPr>
          <w:rFonts w:hint="eastAsia" w:ascii="宋体" w:hAnsi="宋体" w:eastAsia="宋体" w:cs="宋体"/>
          <w:color w:val="auto"/>
          <w:sz w:val="24"/>
          <w:szCs w:val="24"/>
          <w:highlight w:val="none"/>
        </w:rPr>
        <w:t>，正本可为副本的复印件，若正本与副本不一致，以正本文件为准。</w:t>
      </w:r>
    </w:p>
    <w:p w14:paraId="677BD115">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2、电子</w:t>
      </w:r>
      <w:r>
        <w:rPr>
          <w:rFonts w:hint="eastAsia" w:ascii="宋体" w:hAnsi="宋体" w:eastAsia="宋体" w:cs="宋体"/>
          <w:color w:val="auto"/>
          <w:sz w:val="24"/>
          <w:szCs w:val="24"/>
          <w:highlight w:val="none"/>
        </w:rPr>
        <w:t>响应文件网上递交时间：2025年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日9:00-11:00在“行采家(https://www.gec123.com）”进行报价，并上传盖章签字齐全的电子响应文件。（若网上递交电子响应文件与现场递交纸质响应文件不一致，以现场递交纸质响应文件为准。特别注意：</w:t>
      </w:r>
      <w:r>
        <w:rPr>
          <w:rFonts w:hint="eastAsia" w:ascii="宋体" w:hAnsi="宋体" w:cs="宋体"/>
          <w:color w:val="auto"/>
          <w:sz w:val="24"/>
          <w:szCs w:val="24"/>
          <w:highlight w:val="none"/>
          <w:lang w:val="en-US" w:eastAsia="zh-CN"/>
        </w:rPr>
        <w:t>平台报价</w:t>
      </w:r>
      <w:r>
        <w:rPr>
          <w:rFonts w:hint="eastAsia" w:ascii="宋体" w:hAnsi="宋体" w:eastAsia="宋体" w:cs="宋体"/>
          <w:color w:val="auto"/>
          <w:sz w:val="24"/>
          <w:szCs w:val="24"/>
          <w:highlight w:val="none"/>
        </w:rPr>
        <w:t>与现场递交纸质响应文件竞</w:t>
      </w:r>
      <w:r>
        <w:rPr>
          <w:rFonts w:hint="eastAsia" w:ascii="宋体" w:hAnsi="宋体" w:cs="宋体"/>
          <w:color w:val="auto"/>
          <w:sz w:val="24"/>
          <w:szCs w:val="24"/>
          <w:highlight w:val="none"/>
          <w:lang w:val="en-US" w:eastAsia="zh-CN"/>
        </w:rPr>
        <w:t>选总</w:t>
      </w:r>
      <w:r>
        <w:rPr>
          <w:rFonts w:hint="eastAsia" w:ascii="宋体" w:hAnsi="宋体" w:eastAsia="宋体" w:cs="宋体"/>
          <w:color w:val="auto"/>
          <w:sz w:val="24"/>
          <w:szCs w:val="24"/>
          <w:highlight w:val="none"/>
        </w:rPr>
        <w:t>报价不一致的，评审小组对其响应作无效响应处理。）</w:t>
      </w:r>
    </w:p>
    <w:p w14:paraId="6250A911">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3、纸质</w:t>
      </w:r>
      <w:r>
        <w:rPr>
          <w:rFonts w:hint="eastAsia" w:ascii="宋体" w:hAnsi="宋体" w:eastAsia="宋体" w:cs="宋体"/>
          <w:color w:val="auto"/>
          <w:sz w:val="24"/>
          <w:szCs w:val="24"/>
          <w:highlight w:val="none"/>
        </w:rPr>
        <w:t>响应文件现场递交开始时间：2025年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日北京时间14:00。</w:t>
      </w:r>
    </w:p>
    <w:p w14:paraId="38B2F753">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4、纸质</w:t>
      </w:r>
      <w:r>
        <w:rPr>
          <w:rFonts w:hint="eastAsia" w:ascii="宋体" w:hAnsi="宋体" w:eastAsia="宋体" w:cs="宋体"/>
          <w:color w:val="auto"/>
          <w:sz w:val="24"/>
          <w:szCs w:val="24"/>
          <w:highlight w:val="none"/>
        </w:rPr>
        <w:t>响应文件现场递交截止时间：2025年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日北京时间14:30。</w:t>
      </w:r>
    </w:p>
    <w:p w14:paraId="7D514780">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纸质响应文件现场递交地点：曾家镇五里社区党群服务中心</w:t>
      </w:r>
      <w:r>
        <w:rPr>
          <w:rFonts w:hint="eastAsia" w:ascii="宋体" w:hAnsi="宋体" w:cs="宋体"/>
          <w:color w:val="auto"/>
          <w:sz w:val="24"/>
          <w:szCs w:val="24"/>
          <w:highlight w:val="none"/>
          <w:lang w:eastAsia="zh-CN"/>
        </w:rPr>
        <w:t>（重庆市沙坪坝区曾福路30号附3号）</w:t>
      </w:r>
      <w:r>
        <w:rPr>
          <w:rFonts w:hint="eastAsia" w:ascii="宋体" w:hAnsi="宋体" w:cs="宋体"/>
          <w:color w:val="auto"/>
          <w:sz w:val="24"/>
          <w:szCs w:val="24"/>
          <w:highlight w:val="none"/>
          <w:lang w:val="en-US" w:eastAsia="zh-CN"/>
        </w:rPr>
        <w:t>会议室</w:t>
      </w:r>
      <w:r>
        <w:rPr>
          <w:rFonts w:hint="eastAsia" w:ascii="宋体" w:hAnsi="宋体" w:eastAsia="宋体" w:cs="宋体"/>
          <w:color w:val="auto"/>
          <w:sz w:val="24"/>
          <w:szCs w:val="24"/>
          <w:highlight w:val="none"/>
        </w:rPr>
        <w:t>。</w:t>
      </w:r>
      <w:bookmarkEnd w:id="121"/>
      <w:bookmarkEnd w:id="122"/>
    </w:p>
    <w:p w14:paraId="274FCE30">
      <w:pPr>
        <w:pStyle w:val="4"/>
        <w:spacing w:before="0" w:after="0" w:line="440" w:lineRule="exact"/>
        <w:rPr>
          <w:rFonts w:hint="default" w:ascii="宋体" w:hAnsi="宋体" w:eastAsia="宋体" w:cs="宋体"/>
          <w:bCs/>
          <w:color w:val="auto"/>
          <w:sz w:val="24"/>
          <w:szCs w:val="24"/>
          <w:highlight w:val="none"/>
          <w:lang w:val="en-US" w:eastAsia="zh-CN"/>
        </w:rPr>
      </w:pPr>
      <w:bookmarkStart w:id="124" w:name="_Toc21699"/>
      <w:bookmarkStart w:id="125" w:name="_Toc21525"/>
      <w:bookmarkStart w:id="126" w:name="_Toc6877"/>
      <w:bookmarkStart w:id="127" w:name="_Toc2014"/>
      <w:bookmarkStart w:id="128" w:name="_Toc22892"/>
      <w:bookmarkStart w:id="129" w:name="_Toc15511"/>
      <w:bookmarkStart w:id="130" w:name="_Toc3669"/>
      <w:bookmarkStart w:id="131" w:name="_Toc7046"/>
      <w:bookmarkStart w:id="132" w:name="_Toc6088"/>
      <w:bookmarkStart w:id="133" w:name="_Toc23248"/>
      <w:bookmarkStart w:id="134" w:name="_Toc107408240"/>
      <w:bookmarkStart w:id="135" w:name="_Toc32233"/>
      <w:bookmarkStart w:id="136" w:name="_Toc13136"/>
      <w:bookmarkStart w:id="137" w:name="_Toc28469"/>
      <w:bookmarkStart w:id="138" w:name="_Toc16137"/>
      <w:bookmarkStart w:id="139" w:name="_Toc31582"/>
      <w:bookmarkStart w:id="140" w:name="_Toc30348"/>
      <w:bookmarkStart w:id="141" w:name="_Toc24037"/>
      <w:bookmarkStart w:id="142" w:name="_Toc10560"/>
      <w:r>
        <w:rPr>
          <w:rFonts w:hint="eastAsia" w:ascii="宋体" w:hAnsi="宋体" w:eastAsia="宋体" w:cs="宋体"/>
          <w:bCs/>
          <w:color w:val="auto"/>
          <w:sz w:val="24"/>
          <w:szCs w:val="24"/>
          <w:highlight w:val="none"/>
        </w:rPr>
        <w:t>五、</w:t>
      </w:r>
      <w:bookmarkEnd w:id="23"/>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r>
        <w:rPr>
          <w:rFonts w:hint="eastAsia" w:ascii="宋体" w:hAnsi="宋体" w:cs="宋体"/>
          <w:bCs/>
          <w:color w:val="auto"/>
          <w:sz w:val="24"/>
          <w:szCs w:val="24"/>
          <w:highlight w:val="none"/>
          <w:lang w:val="en-US" w:eastAsia="zh-CN"/>
        </w:rPr>
        <w:t>竞选保证金</w:t>
      </w:r>
      <w:bookmarkEnd w:id="142"/>
    </w:p>
    <w:p w14:paraId="404B89D7">
      <w:pPr>
        <w:snapToGrid w:val="0"/>
        <w:spacing w:line="440" w:lineRule="exact"/>
        <w:ind w:firstLine="360" w:firstLineChars="150"/>
        <w:rPr>
          <w:rFonts w:hint="eastAsia" w:ascii="宋体" w:hAnsi="宋体" w:eastAsia="宋体" w:cs="宋体"/>
          <w:color w:val="auto"/>
          <w:sz w:val="24"/>
          <w:szCs w:val="24"/>
          <w:highlight w:val="none"/>
        </w:rPr>
      </w:pPr>
      <w:bookmarkStart w:id="143" w:name="_Toc480882256"/>
      <w:r>
        <w:rPr>
          <w:rFonts w:hint="eastAsia" w:ascii="宋体" w:hAnsi="宋体" w:eastAsia="宋体" w:cs="宋体"/>
          <w:color w:val="auto"/>
          <w:sz w:val="24"/>
          <w:szCs w:val="24"/>
          <w:highlight w:val="none"/>
        </w:rPr>
        <w:t>（一）保证金递交</w:t>
      </w:r>
    </w:p>
    <w:p w14:paraId="44A2AED1">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供应商须按本项目规定的</w:t>
      </w:r>
      <w:r>
        <w:rPr>
          <w:rFonts w:hint="eastAsia" w:ascii="宋体" w:hAnsi="宋体" w:eastAsia="宋体" w:cs="宋体"/>
          <w:color w:val="auto"/>
          <w:sz w:val="24"/>
          <w:szCs w:val="24"/>
          <w:highlight w:val="none"/>
          <w:lang w:eastAsia="zh-CN"/>
        </w:rPr>
        <w:t>竞选保证金</w:t>
      </w:r>
      <w:r>
        <w:rPr>
          <w:rFonts w:hint="eastAsia" w:ascii="宋体" w:hAnsi="宋体" w:eastAsia="宋体" w:cs="宋体"/>
          <w:color w:val="auto"/>
          <w:sz w:val="24"/>
          <w:szCs w:val="24"/>
          <w:highlight w:val="none"/>
        </w:rPr>
        <w:t>金额进行缴纳（保证金金额</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5万元整</w:t>
      </w:r>
      <w:r>
        <w:rPr>
          <w:rFonts w:hint="eastAsia" w:ascii="宋体" w:hAnsi="宋体" w:eastAsia="宋体" w:cs="宋体"/>
          <w:color w:val="auto"/>
          <w:sz w:val="24"/>
          <w:szCs w:val="24"/>
          <w:highlight w:val="none"/>
        </w:rPr>
        <w:t>），参与本项目供应商须在</w:t>
      </w:r>
      <w:r>
        <w:rPr>
          <w:rFonts w:hint="eastAsia" w:ascii="宋体" w:hAnsi="宋体" w:cs="宋体"/>
          <w:color w:val="auto"/>
          <w:sz w:val="24"/>
          <w:szCs w:val="24"/>
          <w:highlight w:val="none"/>
          <w:lang w:val="en-US" w:eastAsia="zh-CN"/>
        </w:rPr>
        <w:t>网上</w:t>
      </w:r>
      <w:r>
        <w:rPr>
          <w:rFonts w:hint="eastAsia" w:ascii="宋体" w:hAnsi="宋体" w:eastAsia="宋体" w:cs="宋体"/>
          <w:color w:val="auto"/>
          <w:sz w:val="24"/>
          <w:szCs w:val="24"/>
          <w:highlight w:val="none"/>
        </w:rPr>
        <w:t>报价截止前通过对公转账的方式向以下账户缴纳</w:t>
      </w:r>
      <w:r>
        <w:rPr>
          <w:rFonts w:hint="eastAsia" w:ascii="宋体" w:hAnsi="宋体" w:cs="宋体"/>
          <w:color w:val="auto"/>
          <w:sz w:val="24"/>
          <w:szCs w:val="24"/>
          <w:highlight w:val="none"/>
          <w:lang w:val="en-US" w:eastAsia="zh-CN"/>
        </w:rPr>
        <w:t>竞选</w:t>
      </w:r>
      <w:r>
        <w:rPr>
          <w:rFonts w:hint="eastAsia" w:ascii="宋体" w:hAnsi="宋体" w:eastAsia="宋体" w:cs="宋体"/>
          <w:color w:val="auto"/>
          <w:sz w:val="24"/>
          <w:szCs w:val="24"/>
          <w:highlight w:val="none"/>
        </w:rPr>
        <w:t>保证金。</w:t>
      </w:r>
    </w:p>
    <w:p w14:paraId="48EA470E">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竞选保证金</w:t>
      </w:r>
      <w:r>
        <w:rPr>
          <w:rFonts w:hint="eastAsia" w:ascii="宋体" w:hAnsi="宋体" w:eastAsia="宋体" w:cs="宋体"/>
          <w:color w:val="auto"/>
          <w:sz w:val="24"/>
          <w:szCs w:val="24"/>
          <w:highlight w:val="none"/>
          <w:lang w:val="en-US" w:eastAsia="zh-CN"/>
        </w:rPr>
        <w:t>缴纳</w:t>
      </w:r>
      <w:r>
        <w:rPr>
          <w:rFonts w:hint="eastAsia" w:ascii="宋体" w:hAnsi="宋体" w:eastAsia="宋体" w:cs="宋体"/>
          <w:color w:val="auto"/>
          <w:sz w:val="24"/>
          <w:szCs w:val="24"/>
          <w:highlight w:val="none"/>
        </w:rPr>
        <w:t xml:space="preserve">账户： </w:t>
      </w:r>
    </w:p>
    <w:p w14:paraId="2B8998EF">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账户名：重庆渝诚扬工程咨询有限公司</w:t>
      </w:r>
    </w:p>
    <w:p w14:paraId="5419B885">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开户行：中国工商银行股份有限公司重庆西永微电子产业园区支行</w:t>
      </w:r>
    </w:p>
    <w:p w14:paraId="051FF011">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  号：3100025809100172085</w:t>
      </w:r>
    </w:p>
    <w:p w14:paraId="0ABE291A">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行  号：102653001395</w:t>
      </w:r>
    </w:p>
    <w:p w14:paraId="617DEA13">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各供应商在银行转账（电汇）时，须充分考虑银行转账（电汇）的时间差风险，一切风险供应商自已承担，如同城转账、异地转账或汇款、跨行转账或电汇的时间要求；</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rPr>
        <w:t>时，各供应商的具体到账情况均以</w:t>
      </w:r>
      <w:r>
        <w:rPr>
          <w:rFonts w:hint="eastAsia" w:ascii="宋体" w:hAnsi="宋体" w:eastAsia="宋体" w:cs="宋体"/>
          <w:color w:val="auto"/>
          <w:sz w:val="24"/>
          <w:szCs w:val="24"/>
          <w:highlight w:val="none"/>
          <w:lang w:eastAsia="zh-CN"/>
        </w:rPr>
        <w:t>竞选保证金</w:t>
      </w:r>
      <w:r>
        <w:rPr>
          <w:rFonts w:hint="eastAsia" w:ascii="宋体" w:hAnsi="宋体" w:eastAsia="宋体" w:cs="宋体"/>
          <w:color w:val="auto"/>
          <w:sz w:val="24"/>
          <w:szCs w:val="24"/>
          <w:highlight w:val="none"/>
        </w:rPr>
        <w:t>账户所出示的到账信息为准，否则</w:t>
      </w: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无效。</w:t>
      </w:r>
    </w:p>
    <w:p w14:paraId="3B4EB5DD">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保证金退还方式</w:t>
      </w:r>
    </w:p>
    <w:p w14:paraId="7E914366">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1.未成交供应商的保证金，在成交通知书发放后，由采购代理机构在五个工作日内按来款渠道直接退还。</w:t>
      </w:r>
    </w:p>
    <w:p w14:paraId="0D6AFFC3">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2.成交供应商的保证金，在成交供应商与采购人签订合同后，由采购代理机构在五个工作日内按资金来款渠道直接退还。</w:t>
      </w:r>
      <w:bookmarkStart w:id="144" w:name="_Toc23253410"/>
      <w:bookmarkStart w:id="145" w:name="_Toc23252720"/>
    </w:p>
    <w:p w14:paraId="4A80B10D">
      <w:pPr>
        <w:snapToGrid w:val="0"/>
        <w:spacing w:line="440" w:lineRule="exact"/>
        <w:ind w:firstLine="360" w:firstLineChars="150"/>
        <w:rPr>
          <w:rFonts w:hint="eastAsia"/>
          <w:color w:val="auto"/>
          <w:highlight w:val="none"/>
        </w:rPr>
      </w:pPr>
      <w:r>
        <w:rPr>
          <w:rFonts w:hint="eastAsia" w:ascii="宋体" w:hAnsi="宋体" w:eastAsia="宋体" w:cs="宋体"/>
          <w:color w:val="auto"/>
          <w:sz w:val="24"/>
          <w:szCs w:val="24"/>
          <w:highlight w:val="none"/>
          <w:lang w:eastAsia="zh-CN"/>
        </w:rPr>
        <w:t>竞选保证金</w:t>
      </w:r>
      <w:r>
        <w:rPr>
          <w:rFonts w:hint="eastAsia" w:ascii="宋体" w:hAnsi="宋体" w:eastAsia="宋体" w:cs="宋体"/>
          <w:color w:val="auto"/>
          <w:sz w:val="24"/>
          <w:szCs w:val="24"/>
          <w:highlight w:val="none"/>
        </w:rPr>
        <w:t>退还联系人：余老师。</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联系电话：</w:t>
      </w:r>
      <w:bookmarkEnd w:id="143"/>
      <w:bookmarkEnd w:id="144"/>
      <w:bookmarkEnd w:id="145"/>
      <w:r>
        <w:rPr>
          <w:rFonts w:hint="eastAsia" w:ascii="宋体" w:hAnsi="宋体" w:eastAsia="宋体" w:cs="宋体"/>
          <w:color w:val="auto"/>
          <w:sz w:val="24"/>
          <w:szCs w:val="24"/>
          <w:highlight w:val="none"/>
        </w:rPr>
        <w:t xml:space="preserve">（023）65477376 </w:t>
      </w:r>
    </w:p>
    <w:p w14:paraId="7C90D518">
      <w:pPr>
        <w:pStyle w:val="4"/>
        <w:spacing w:before="0" w:after="0" w:line="440" w:lineRule="exact"/>
        <w:rPr>
          <w:rFonts w:hint="eastAsia" w:ascii="宋体" w:hAnsi="宋体" w:eastAsia="宋体" w:cs="宋体"/>
          <w:bCs/>
          <w:color w:val="auto"/>
          <w:sz w:val="24"/>
          <w:szCs w:val="24"/>
          <w:highlight w:val="none"/>
          <w:lang w:val="en-US" w:eastAsia="zh-CN"/>
        </w:rPr>
      </w:pPr>
      <w:bookmarkStart w:id="146" w:name="_Toc23560"/>
      <w:r>
        <w:rPr>
          <w:rFonts w:hint="eastAsia" w:ascii="宋体" w:hAnsi="宋体" w:cs="宋体"/>
          <w:bCs/>
          <w:color w:val="auto"/>
          <w:sz w:val="24"/>
          <w:szCs w:val="24"/>
          <w:highlight w:val="none"/>
          <w:lang w:val="en-US" w:eastAsia="zh-CN"/>
        </w:rPr>
        <w:t>六</w:t>
      </w:r>
      <w:r>
        <w:rPr>
          <w:rFonts w:hint="eastAsia" w:ascii="宋体" w:hAnsi="宋体" w:eastAsia="宋体" w:cs="宋体"/>
          <w:bCs/>
          <w:color w:val="auto"/>
          <w:sz w:val="24"/>
          <w:szCs w:val="24"/>
          <w:highlight w:val="none"/>
          <w:lang w:val="en-US" w:eastAsia="zh-CN"/>
        </w:rPr>
        <w:t>、其它有关规定</w:t>
      </w:r>
      <w:bookmarkEnd w:id="146"/>
    </w:p>
    <w:p w14:paraId="68D89FAC">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（一）单位负责人为同一人或者存在直接控股、管理关系的不同供应商，不得参加同一合同项（分包）下的采购活动，否则均为响应无效。</w:t>
      </w:r>
    </w:p>
    <w:p w14:paraId="0F3CA562">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（二）本项目的补遗文件（如果有）一律在“行采家(https://www.gec123.com）”上发布，请各供应商注意下载；无论供应商下载与否，均视同供应商已知晓本项目补遗文件（如果有）的内容。</w:t>
      </w:r>
    </w:p>
    <w:p w14:paraId="71D24F5F">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w:t>
      </w:r>
      <w:r>
        <w:rPr>
          <w:rFonts w:hint="eastAsia" w:ascii="宋体" w:hAnsi="宋体" w:cs="宋体"/>
          <w:color w:val="auto"/>
          <w:sz w:val="24"/>
          <w:szCs w:val="24"/>
          <w:highlight w:val="none"/>
          <w:lang w:eastAsia="zh-CN"/>
        </w:rPr>
        <w:t>竞选费用</w:t>
      </w:r>
      <w:r>
        <w:rPr>
          <w:rFonts w:hint="eastAsia" w:ascii="宋体" w:hAnsi="宋体" w:eastAsia="宋体" w:cs="宋体"/>
          <w:color w:val="auto"/>
          <w:sz w:val="24"/>
          <w:szCs w:val="24"/>
          <w:highlight w:val="none"/>
        </w:rPr>
        <w:t>：无论</w:t>
      </w:r>
      <w:r>
        <w:rPr>
          <w:rFonts w:hint="eastAsia" w:ascii="宋体" w:hAnsi="宋体" w:cs="宋体"/>
          <w:color w:val="auto"/>
          <w:sz w:val="24"/>
          <w:szCs w:val="24"/>
          <w:highlight w:val="none"/>
          <w:lang w:val="en-US" w:eastAsia="zh-CN"/>
        </w:rPr>
        <w:t>竞选</w:t>
      </w:r>
      <w:r>
        <w:rPr>
          <w:rFonts w:hint="eastAsia" w:ascii="宋体" w:hAnsi="宋体" w:eastAsia="宋体" w:cs="宋体"/>
          <w:color w:val="auto"/>
          <w:sz w:val="24"/>
          <w:szCs w:val="24"/>
          <w:highlight w:val="none"/>
        </w:rPr>
        <w:t>结果如何，供应商参与本项目的所有费用均应由供应商自行承担。</w:t>
      </w:r>
    </w:p>
    <w:p w14:paraId="63D80A35">
      <w:pPr>
        <w:snapToGrid w:val="0"/>
        <w:spacing w:line="440" w:lineRule="exact"/>
        <w:ind w:firstLine="360" w:firstLineChars="150"/>
        <w:rPr>
          <w:rFonts w:hint="eastAsia" w:ascii="宋体" w:hAnsi="宋体" w:eastAsia="宋体" w:cs="宋体"/>
          <w:color w:val="auto"/>
          <w:sz w:val="24"/>
          <w:szCs w:val="24"/>
          <w:highlight w:val="none"/>
        </w:rPr>
      </w:pPr>
      <w:bookmarkStart w:id="147" w:name="_Toc480466700"/>
      <w:r>
        <w:rPr>
          <w:rFonts w:hint="eastAsia" w:ascii="宋体" w:hAnsi="宋体" w:eastAsia="宋体" w:cs="宋体"/>
          <w:color w:val="auto"/>
          <w:sz w:val="24"/>
          <w:szCs w:val="24"/>
          <w:highlight w:val="none"/>
        </w:rPr>
        <w:t>（四）本项目不接受联合体参与</w:t>
      </w:r>
      <w:r>
        <w:rPr>
          <w:rFonts w:hint="eastAsia" w:ascii="宋体" w:hAnsi="宋体" w:cs="宋体"/>
          <w:color w:val="auto"/>
          <w:sz w:val="24"/>
          <w:szCs w:val="24"/>
          <w:highlight w:val="none"/>
          <w:lang w:val="en-US" w:eastAsia="zh-CN"/>
        </w:rPr>
        <w:t>竞选</w:t>
      </w:r>
      <w:r>
        <w:rPr>
          <w:rFonts w:hint="eastAsia" w:ascii="宋体" w:hAnsi="宋体" w:eastAsia="宋体" w:cs="宋体"/>
          <w:color w:val="auto"/>
          <w:sz w:val="24"/>
          <w:szCs w:val="24"/>
          <w:highlight w:val="none"/>
        </w:rPr>
        <w:t>。</w:t>
      </w:r>
    </w:p>
    <w:p w14:paraId="19BAF415">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（五）供应商列入失信被执行人、重大税收违法案件当事人名单、政府采购严重违法失信行为记录名单及其他不符合《中华人民共和国政府采购法》第二十二条规定条件的供应商，将拒绝其参与采购活动。</w:t>
      </w:r>
      <w:bookmarkStart w:id="148" w:name="_Toc17714"/>
      <w:bookmarkStart w:id="149" w:name="_Toc2595"/>
      <w:bookmarkStart w:id="150" w:name="_Toc6913"/>
      <w:bookmarkStart w:id="151" w:name="_Toc22894"/>
      <w:bookmarkStart w:id="152" w:name="_Toc17212"/>
      <w:bookmarkStart w:id="153" w:name="_Toc107408242"/>
      <w:bookmarkStart w:id="154" w:name="_Toc15969"/>
      <w:bookmarkStart w:id="155" w:name="_Toc652"/>
      <w:bookmarkStart w:id="156" w:name="_Toc24777"/>
    </w:p>
    <w:p w14:paraId="78F48245">
      <w:pPr>
        <w:pStyle w:val="4"/>
        <w:spacing w:before="0" w:after="0" w:line="440" w:lineRule="exact"/>
        <w:rPr>
          <w:rFonts w:hint="eastAsia" w:ascii="宋体" w:hAnsi="宋体" w:eastAsia="宋体" w:cs="宋体"/>
          <w:bCs/>
          <w:color w:val="auto"/>
          <w:sz w:val="24"/>
          <w:szCs w:val="24"/>
          <w:highlight w:val="none"/>
          <w:lang w:val="en-US" w:eastAsia="zh-CN"/>
        </w:rPr>
      </w:pPr>
      <w:bookmarkStart w:id="157" w:name="_Toc27748"/>
      <w:r>
        <w:rPr>
          <w:rFonts w:hint="eastAsia" w:ascii="宋体" w:hAnsi="宋体" w:cs="宋体"/>
          <w:bCs/>
          <w:color w:val="auto"/>
          <w:sz w:val="24"/>
          <w:szCs w:val="24"/>
          <w:highlight w:val="none"/>
          <w:lang w:val="en-US" w:eastAsia="zh-CN"/>
        </w:rPr>
        <w:t>七</w:t>
      </w:r>
      <w:r>
        <w:rPr>
          <w:rFonts w:hint="eastAsia" w:ascii="宋体" w:hAnsi="宋体" w:eastAsia="宋体" w:cs="宋体"/>
          <w:bCs/>
          <w:color w:val="auto"/>
          <w:sz w:val="24"/>
          <w:szCs w:val="24"/>
          <w:highlight w:val="none"/>
          <w:lang w:val="en-US" w:eastAsia="zh-CN"/>
        </w:rPr>
        <w:t>、联系方式</w:t>
      </w:r>
      <w:bookmarkEnd w:id="147"/>
      <w:bookmarkEnd w:id="148"/>
      <w:bookmarkEnd w:id="149"/>
      <w:bookmarkEnd w:id="150"/>
      <w:bookmarkEnd w:id="151"/>
      <w:bookmarkEnd w:id="152"/>
      <w:bookmarkEnd w:id="153"/>
      <w:bookmarkEnd w:id="154"/>
      <w:bookmarkEnd w:id="155"/>
      <w:bookmarkEnd w:id="156"/>
      <w:bookmarkEnd w:id="157"/>
    </w:p>
    <w:p w14:paraId="1F7F3B90">
      <w:pPr>
        <w:snapToGrid w:val="0"/>
        <w:spacing w:line="440" w:lineRule="exact"/>
        <w:ind w:firstLine="240" w:firstLineChars="1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（一）采购人：</w:t>
      </w:r>
      <w:r>
        <w:rPr>
          <w:rFonts w:hint="eastAsia" w:ascii="宋体" w:hAnsi="宋体" w:cs="宋体"/>
          <w:color w:val="auto"/>
          <w:sz w:val="24"/>
          <w:szCs w:val="24"/>
          <w:highlight w:val="none"/>
          <w:lang w:eastAsia="zh-CN"/>
        </w:rPr>
        <w:t>金麟德昌行（重庆）物业管理有限公司</w:t>
      </w:r>
    </w:p>
    <w:p w14:paraId="477B707C">
      <w:pPr>
        <w:snapToGrid w:val="0"/>
        <w:spacing w:line="440" w:lineRule="exact"/>
        <w:ind w:firstLine="960" w:firstLineChars="4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lang w:val="en-US" w:eastAsia="zh-CN"/>
        </w:rPr>
        <w:t>王经理</w:t>
      </w:r>
    </w:p>
    <w:p w14:paraId="324E62ED">
      <w:pPr>
        <w:snapToGrid w:val="0"/>
        <w:spacing w:line="440" w:lineRule="exact"/>
        <w:ind w:firstLine="960" w:firstLineChars="4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电  话：13678435996</w:t>
      </w:r>
      <w:r>
        <w:rPr>
          <w:rFonts w:hint="eastAsia" w:ascii="宋体" w:hAnsi="宋体" w:cs="宋体"/>
          <w:color w:val="auto"/>
          <w:sz w:val="24"/>
          <w:szCs w:val="24"/>
          <w:highlight w:val="none"/>
          <w:lang w:val="en-US" w:eastAsia="zh-CN"/>
        </w:rPr>
        <w:t xml:space="preserve"> </w:t>
      </w:r>
    </w:p>
    <w:p w14:paraId="124A5834">
      <w:pPr>
        <w:snapToGrid w:val="0"/>
        <w:spacing w:line="440" w:lineRule="exact"/>
        <w:ind w:firstLine="960" w:firstLineChars="4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  址：重庆市沙坪坝区曾家镇麒雅中央A区物业办公室</w:t>
      </w:r>
      <w:r>
        <w:rPr>
          <w:rFonts w:hint="eastAsia" w:ascii="宋体" w:hAnsi="宋体" w:cs="宋体"/>
          <w:color w:val="auto"/>
          <w:sz w:val="24"/>
          <w:szCs w:val="24"/>
          <w:highlight w:val="none"/>
          <w:lang w:val="en-US" w:eastAsia="zh-CN"/>
        </w:rPr>
        <w:t xml:space="preserve">  </w:t>
      </w:r>
    </w:p>
    <w:p w14:paraId="269140F5">
      <w:pPr>
        <w:snapToGrid w:val="0"/>
        <w:spacing w:line="440" w:lineRule="exact"/>
        <w:ind w:firstLine="240" w:firstLineChars="1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（二）采购代理机构：</w:t>
      </w:r>
      <w:r>
        <w:rPr>
          <w:rFonts w:hint="eastAsia" w:ascii="宋体" w:hAnsi="宋体" w:eastAsia="宋体" w:cs="宋体"/>
          <w:color w:val="auto"/>
          <w:sz w:val="24"/>
          <w:szCs w:val="24"/>
          <w:highlight w:val="none"/>
          <w:lang w:eastAsia="zh-CN"/>
        </w:rPr>
        <w:t>重庆渝诚扬工程咨询有限公司</w:t>
      </w:r>
    </w:p>
    <w:p w14:paraId="32D0B04E">
      <w:pPr>
        <w:snapToGrid w:val="0"/>
        <w:spacing w:line="440" w:lineRule="exact"/>
        <w:ind w:firstLine="960" w:firstLineChars="4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lang w:val="en-US" w:eastAsia="zh-CN"/>
        </w:rPr>
        <w:t>余</w:t>
      </w:r>
      <w:r>
        <w:rPr>
          <w:rFonts w:hint="eastAsia" w:ascii="宋体" w:hAnsi="宋体" w:eastAsia="宋体" w:cs="宋体"/>
          <w:color w:val="auto"/>
          <w:sz w:val="24"/>
          <w:szCs w:val="24"/>
          <w:highlight w:val="none"/>
          <w:lang w:eastAsia="zh-CN"/>
        </w:rPr>
        <w:t>老师</w:t>
      </w:r>
      <w:r>
        <w:rPr>
          <w:rFonts w:hint="eastAsia" w:ascii="宋体" w:hAnsi="宋体" w:eastAsia="宋体" w:cs="宋体"/>
          <w:color w:val="auto"/>
          <w:sz w:val="24"/>
          <w:szCs w:val="24"/>
          <w:highlight w:val="none"/>
          <w:lang w:val="en-US" w:eastAsia="zh-CN"/>
        </w:rPr>
        <w:t xml:space="preserve">  </w:t>
      </w:r>
    </w:p>
    <w:p w14:paraId="61062327">
      <w:pPr>
        <w:snapToGrid w:val="0"/>
        <w:spacing w:line="440" w:lineRule="exact"/>
        <w:ind w:firstLine="960" w:firstLineChars="4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电</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话：</w:t>
      </w:r>
      <w:r>
        <w:rPr>
          <w:rFonts w:hint="eastAsia" w:ascii="宋体" w:hAnsi="宋体" w:eastAsia="宋体" w:cs="宋体"/>
          <w:color w:val="auto"/>
          <w:sz w:val="24"/>
          <w:szCs w:val="24"/>
          <w:highlight w:val="none"/>
          <w:lang w:val="en-US" w:eastAsia="zh-CN"/>
        </w:rPr>
        <w:t>023-65477376</w:t>
      </w:r>
    </w:p>
    <w:p w14:paraId="1280C3C9">
      <w:pPr>
        <w:snapToGrid w:val="0"/>
        <w:spacing w:line="440" w:lineRule="exact"/>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址：重庆市渝北区线外城市花园12栋31楼</w:t>
      </w:r>
    </w:p>
    <w:p w14:paraId="0A0FB475">
      <w:pPr>
        <w:pStyle w:val="4"/>
        <w:spacing w:before="0" w:after="0" w:line="440" w:lineRule="exact"/>
        <w:rPr>
          <w:rFonts w:hint="eastAsia" w:ascii="宋体" w:hAnsi="宋体" w:eastAsia="宋体" w:cs="宋体"/>
          <w:bCs/>
          <w:color w:val="auto"/>
          <w:sz w:val="24"/>
          <w:szCs w:val="24"/>
          <w:highlight w:val="none"/>
        </w:rPr>
      </w:pPr>
      <w:bookmarkStart w:id="158" w:name="_Toc2167"/>
      <w:bookmarkStart w:id="159" w:name="_Toc17597"/>
      <w:bookmarkStart w:id="160" w:name="_Toc15043"/>
      <w:bookmarkStart w:id="161" w:name="_Toc7831"/>
      <w:bookmarkStart w:id="162" w:name="_Toc23069"/>
      <w:bookmarkStart w:id="163" w:name="_Toc26375"/>
      <w:bookmarkStart w:id="164" w:name="_Toc26144"/>
      <w:bookmarkStart w:id="165" w:name="_Toc25356"/>
      <w:bookmarkStart w:id="166" w:name="_Toc16369"/>
      <w:bookmarkStart w:id="167" w:name="_Toc25812"/>
      <w:bookmarkStart w:id="168" w:name="_Toc22813"/>
      <w:bookmarkStart w:id="169" w:name="_Toc31253"/>
      <w:bookmarkStart w:id="170" w:name="_Toc4743"/>
      <w:bookmarkStart w:id="171" w:name="_Toc8555"/>
      <w:bookmarkStart w:id="172" w:name="_Toc8482"/>
      <w:bookmarkStart w:id="173" w:name="_Toc2547"/>
      <w:bookmarkStart w:id="174" w:name="_Toc18465"/>
      <w:r>
        <w:rPr>
          <w:rFonts w:hint="eastAsia" w:ascii="宋体" w:hAnsi="宋体" w:cs="宋体"/>
          <w:bCs/>
          <w:color w:val="auto"/>
          <w:sz w:val="24"/>
          <w:szCs w:val="24"/>
          <w:highlight w:val="none"/>
          <w:lang w:val="en-US" w:eastAsia="zh-CN"/>
        </w:rPr>
        <w:t>八</w:t>
      </w:r>
      <w:r>
        <w:rPr>
          <w:rFonts w:hint="eastAsia" w:ascii="宋体" w:hAnsi="宋体" w:eastAsia="宋体" w:cs="宋体"/>
          <w:bCs/>
          <w:color w:val="auto"/>
          <w:sz w:val="24"/>
          <w:szCs w:val="24"/>
          <w:highlight w:val="none"/>
          <w:lang w:val="en-US" w:eastAsia="zh-CN"/>
        </w:rPr>
        <w:t>、</w:t>
      </w:r>
      <w:r>
        <w:rPr>
          <w:rFonts w:hint="eastAsia" w:ascii="宋体" w:hAnsi="宋体" w:eastAsia="宋体" w:cs="宋体"/>
          <w:bCs/>
          <w:color w:val="auto"/>
          <w:sz w:val="24"/>
          <w:szCs w:val="24"/>
          <w:highlight w:val="none"/>
        </w:rPr>
        <w:t>现场踏勘</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p>
    <w:p w14:paraId="04BA9F96">
      <w:pPr>
        <w:snapToGrid w:val="0"/>
        <w:spacing w:line="400" w:lineRule="exact"/>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供应商自行前往现场踏勘以充分了解施工现场环境和潜在风险。踏勘现场所发生的所有费用（包含因踏勘现场而造成的死亡、人身伤害、财产损失和产生的其他费用）均由供应商自行承担。无论供应商是否踏勘过现场，均视为在响应文件递交截止时间之前踏勘过现场且对本项目潜在的风险和义务已完全了解，并在其响应文件中已充分考虑了本项目可能面临的不确定因素可能导致的风险。成交供应商不得以不完全了解施工现场情况为借口而提出延长工期或额外赔偿等要求。</w:t>
      </w:r>
    </w:p>
    <w:p w14:paraId="7D8D76B9">
      <w:pPr>
        <w:snapToGrid w:val="0"/>
        <w:spacing w:line="400" w:lineRule="exact"/>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采购人提供的有关资料和数据，仅供参考，采购人对潜在供应商由此而做出的推论、理解和结论概不负责。</w:t>
      </w:r>
    </w:p>
    <w:p w14:paraId="530BCAF2">
      <w:pPr>
        <w:snapToGrid w:val="0"/>
        <w:spacing w:line="400" w:lineRule="exact"/>
        <w:ind w:firstLine="480" w:firstLineChars="200"/>
        <w:rPr>
          <w:rFonts w:hint="eastAsia" w:ascii="宋体" w:hAnsi="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联系人：王经理</w:t>
      </w:r>
    </w:p>
    <w:p w14:paraId="5834B300">
      <w:pPr>
        <w:snapToGrid w:val="0"/>
        <w:spacing w:line="400" w:lineRule="exact"/>
        <w:ind w:firstLine="480" w:firstLineChars="200"/>
        <w:rPr>
          <w:rFonts w:hint="eastAsia" w:ascii="宋体" w:hAnsi="宋体" w:eastAsia="宋体" w:cs="宋体"/>
          <w:color w:val="auto"/>
          <w:kern w:val="2"/>
          <w:sz w:val="24"/>
          <w:szCs w:val="24"/>
          <w:highlight w:val="none"/>
          <w:lang w:val="en-US" w:eastAsia="zh-CN" w:bidi="ar-SA"/>
        </w:rPr>
        <w:sectPr>
          <w:pgSz w:w="11907" w:h="16840"/>
          <w:pgMar w:top="1134" w:right="1418" w:bottom="1134" w:left="1418" w:header="964" w:footer="992" w:gutter="0"/>
          <w:pgNumType w:fmt="decimal"/>
          <w:cols w:space="720" w:num="1"/>
          <w:docGrid w:linePitch="312" w:charSpace="0"/>
        </w:sectPr>
      </w:pPr>
      <w:r>
        <w:rPr>
          <w:rFonts w:hint="eastAsia" w:ascii="宋体" w:hAnsi="宋体" w:cs="宋体"/>
          <w:color w:val="auto"/>
          <w:kern w:val="2"/>
          <w:sz w:val="24"/>
          <w:szCs w:val="24"/>
          <w:highlight w:val="none"/>
          <w:lang w:val="en-US" w:eastAsia="zh-CN" w:bidi="ar-SA"/>
        </w:rPr>
        <w:t xml:space="preserve">电  话：13678435996 </w:t>
      </w:r>
    </w:p>
    <w:p w14:paraId="2D304AC3">
      <w:pPr>
        <w:pStyle w:val="3"/>
        <w:spacing w:line="440" w:lineRule="exact"/>
        <w:jc w:val="center"/>
        <w:rPr>
          <w:rFonts w:hint="eastAsia" w:ascii="宋体" w:hAnsi="宋体" w:eastAsia="宋体" w:cs="宋体"/>
          <w:bCs/>
          <w:color w:val="auto"/>
          <w:sz w:val="28"/>
          <w:szCs w:val="28"/>
          <w:highlight w:val="none"/>
        </w:rPr>
      </w:pPr>
      <w:bookmarkStart w:id="175" w:name="_Toc30428"/>
      <w:bookmarkStart w:id="176" w:name="_Toc5060"/>
      <w:bookmarkStart w:id="177" w:name="_Toc32229"/>
      <w:bookmarkStart w:id="178" w:name="_Toc14364"/>
      <w:bookmarkStart w:id="179" w:name="_Toc4179"/>
      <w:bookmarkStart w:id="180" w:name="_Toc2929"/>
      <w:bookmarkStart w:id="181" w:name="_Toc10794"/>
      <w:bookmarkStart w:id="182" w:name="_Toc11868"/>
      <w:bookmarkStart w:id="183" w:name="_Toc14759"/>
      <w:bookmarkStart w:id="184" w:name="_Toc13833"/>
      <w:bookmarkStart w:id="185" w:name="_Toc15637"/>
      <w:bookmarkStart w:id="186" w:name="_Toc27402"/>
      <w:bookmarkStart w:id="187" w:name="_Toc9509"/>
      <w:bookmarkStart w:id="188" w:name="_Toc20272"/>
      <w:bookmarkStart w:id="189" w:name="_Toc19283"/>
      <w:bookmarkStart w:id="190" w:name="_Toc25352"/>
      <w:bookmarkStart w:id="191" w:name="_Toc76462324"/>
      <w:bookmarkStart w:id="192" w:name="_Toc3034"/>
      <w:bookmarkStart w:id="193" w:name="_Toc27254"/>
      <w:bookmarkStart w:id="194" w:name="_Toc76462325"/>
      <w:bookmarkStart w:id="195" w:name="_Toc43195294"/>
      <w:bookmarkStart w:id="196" w:name="_Toc9339"/>
      <w:bookmarkStart w:id="197" w:name="_Toc16683570"/>
      <w:bookmarkStart w:id="198" w:name="_Toc344475123"/>
      <w:bookmarkStart w:id="199" w:name="_Toc414610283"/>
      <w:bookmarkStart w:id="200" w:name="_Toc43125367"/>
      <w:bookmarkStart w:id="201" w:name="_Toc513145917"/>
      <w:r>
        <w:rPr>
          <w:rFonts w:hint="eastAsia" w:ascii="宋体" w:hAnsi="宋体" w:eastAsia="宋体" w:cs="宋体"/>
          <w:bCs/>
          <w:color w:val="auto"/>
          <w:sz w:val="28"/>
          <w:szCs w:val="28"/>
          <w:highlight w:val="none"/>
          <w:lang w:val="en-US" w:eastAsia="zh-CN"/>
        </w:rPr>
        <w:t>第二篇  项目服务需求</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14:paraId="229E9EA7">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“※”标注的服务需求为符合性审查中的实质性要求，响应文件若不满足按无效响应处理。</w:t>
      </w:r>
    </w:p>
    <w:p w14:paraId="3400E831">
      <w:pPr>
        <w:pStyle w:val="4"/>
        <w:bidi w:val="0"/>
        <w:rPr>
          <w:rFonts w:hint="eastAsia" w:ascii="宋体" w:hAnsi="宋体" w:eastAsia="宋体" w:cs="宋体"/>
          <w:b/>
          <w:bCs/>
          <w:color w:val="auto"/>
          <w:kern w:val="2"/>
          <w:sz w:val="24"/>
          <w:szCs w:val="24"/>
          <w:highlight w:val="none"/>
          <w:lang w:val="en-US" w:eastAsia="zh-CN" w:bidi="ar-SA"/>
        </w:rPr>
      </w:pPr>
      <w:bookmarkStart w:id="202" w:name="_Toc3949"/>
      <w:bookmarkStart w:id="203" w:name="_Toc22767"/>
      <w:bookmarkStart w:id="204" w:name="_Toc26063"/>
      <w:bookmarkStart w:id="205" w:name="_Toc29823"/>
      <w:bookmarkStart w:id="206" w:name="_Toc16917"/>
      <w:bookmarkStart w:id="207" w:name="_Toc5455"/>
      <w:bookmarkStart w:id="208" w:name="_Toc10529"/>
      <w:bookmarkStart w:id="209" w:name="_Toc23878"/>
      <w:bookmarkStart w:id="210" w:name="_Toc7526"/>
      <w:bookmarkStart w:id="211" w:name="_Toc20215"/>
      <w:bookmarkStart w:id="212" w:name="_Toc31903"/>
      <w:bookmarkStart w:id="213" w:name="_Toc25064"/>
      <w:bookmarkStart w:id="214" w:name="_Toc23620"/>
      <w:bookmarkStart w:id="215" w:name="_Toc31707"/>
      <w:bookmarkStart w:id="216" w:name="_Toc1487"/>
      <w:bookmarkStart w:id="217" w:name="_Toc27523"/>
      <w:bookmarkStart w:id="218" w:name="_Toc18257"/>
      <w:bookmarkStart w:id="219" w:name="_Toc13386"/>
      <w:bookmarkStart w:id="220" w:name="_Toc18705"/>
      <w:r>
        <w:rPr>
          <w:rFonts w:hint="eastAsia" w:ascii="宋体" w:hAnsi="宋体" w:eastAsia="宋体" w:cs="宋体"/>
          <w:b/>
          <w:bCs/>
          <w:color w:val="auto"/>
          <w:kern w:val="2"/>
          <w:sz w:val="24"/>
          <w:szCs w:val="24"/>
          <w:highlight w:val="none"/>
          <w:lang w:val="en-US" w:eastAsia="zh-CN" w:bidi="ar-SA"/>
        </w:rPr>
        <w:t>一、项目基本概况介绍</w:t>
      </w:r>
      <w:bookmarkEnd w:id="194"/>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6"/>
        <w:gridCol w:w="3485"/>
      </w:tblGrid>
      <w:tr w14:paraId="452FE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5586" w:type="dxa"/>
            <w:noWrap w:val="0"/>
            <w:vAlign w:val="center"/>
          </w:tcPr>
          <w:p w14:paraId="3A594111">
            <w:pPr>
              <w:widowControl/>
              <w:jc w:val="center"/>
              <w:rPr>
                <w:rFonts w:hint="eastAsia" w:ascii="宋体" w:hAnsi="宋体" w:eastAsia="宋体" w:cs="宋体"/>
                <w:b/>
                <w:bCs/>
                <w:color w:val="auto"/>
                <w:kern w:val="0"/>
                <w:sz w:val="21"/>
                <w:szCs w:val="24"/>
                <w:highlight w:val="none"/>
              </w:rPr>
            </w:pPr>
            <w:r>
              <w:rPr>
                <w:rFonts w:hint="eastAsia" w:ascii="宋体" w:hAnsi="宋体" w:eastAsia="宋体" w:cs="宋体"/>
                <w:b/>
                <w:bCs/>
                <w:color w:val="auto"/>
                <w:kern w:val="0"/>
                <w:sz w:val="21"/>
                <w:szCs w:val="24"/>
                <w:highlight w:val="none"/>
              </w:rPr>
              <w:t>项目名称</w:t>
            </w:r>
          </w:p>
        </w:tc>
        <w:tc>
          <w:tcPr>
            <w:tcW w:w="3485" w:type="dxa"/>
            <w:noWrap w:val="0"/>
            <w:vAlign w:val="center"/>
          </w:tcPr>
          <w:p w14:paraId="781A4385">
            <w:pPr>
              <w:widowControl/>
              <w:jc w:val="center"/>
              <w:rPr>
                <w:rFonts w:hint="eastAsia" w:ascii="宋体" w:hAnsi="宋体" w:eastAsia="宋体" w:cs="宋体"/>
                <w:b/>
                <w:bCs/>
                <w:color w:val="auto"/>
                <w:kern w:val="0"/>
                <w:sz w:val="21"/>
                <w:szCs w:val="24"/>
                <w:highlight w:val="none"/>
              </w:rPr>
            </w:pPr>
            <w:r>
              <w:rPr>
                <w:rFonts w:hint="eastAsia" w:ascii="宋体" w:hAnsi="宋体" w:eastAsia="宋体" w:cs="宋体"/>
                <w:b/>
                <w:bCs/>
                <w:color w:val="auto"/>
                <w:kern w:val="0"/>
                <w:sz w:val="21"/>
                <w:szCs w:val="24"/>
                <w:highlight w:val="none"/>
              </w:rPr>
              <w:t>数量/单位</w:t>
            </w:r>
          </w:p>
        </w:tc>
      </w:tr>
      <w:tr w14:paraId="10A01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586" w:type="dxa"/>
            <w:noWrap w:val="0"/>
            <w:vAlign w:val="center"/>
          </w:tcPr>
          <w:p w14:paraId="5ED8D3FE">
            <w:pPr>
              <w:widowControl/>
              <w:jc w:val="center"/>
              <w:rPr>
                <w:rFonts w:hint="eastAsia" w:ascii="宋体" w:hAnsi="宋体" w:eastAsia="宋体" w:cs="宋体"/>
                <w:color w:val="auto"/>
                <w:kern w:val="0"/>
                <w:sz w:val="21"/>
                <w:szCs w:val="24"/>
                <w:highlight w:val="none"/>
              </w:rPr>
            </w:pPr>
            <w:r>
              <w:rPr>
                <w:rFonts w:hint="eastAsia" w:ascii="宋体" w:hAnsi="宋体" w:eastAsia="宋体" w:cs="宋体"/>
                <w:color w:val="auto"/>
                <w:kern w:val="0"/>
                <w:sz w:val="21"/>
                <w:szCs w:val="24"/>
                <w:highlight w:val="none"/>
                <w:lang w:eastAsia="zh-CN"/>
              </w:rPr>
              <w:t>中央花园ABCD区28台电梯改造工程</w:t>
            </w:r>
          </w:p>
        </w:tc>
        <w:tc>
          <w:tcPr>
            <w:tcW w:w="3485" w:type="dxa"/>
            <w:noWrap w:val="0"/>
            <w:vAlign w:val="center"/>
          </w:tcPr>
          <w:p w14:paraId="7C17CA6D">
            <w:pPr>
              <w:widowControl/>
              <w:jc w:val="center"/>
              <w:rPr>
                <w:rFonts w:hint="eastAsia" w:ascii="宋体" w:hAnsi="宋体" w:eastAsia="宋体" w:cs="宋体"/>
                <w:color w:val="auto"/>
                <w:kern w:val="0"/>
                <w:sz w:val="21"/>
                <w:szCs w:val="24"/>
                <w:highlight w:val="none"/>
              </w:rPr>
            </w:pPr>
            <w:r>
              <w:rPr>
                <w:rFonts w:hint="eastAsia" w:ascii="宋体" w:hAnsi="宋体" w:eastAsia="宋体" w:cs="宋体"/>
                <w:color w:val="auto"/>
                <w:kern w:val="0"/>
                <w:sz w:val="21"/>
                <w:szCs w:val="24"/>
                <w:highlight w:val="none"/>
              </w:rPr>
              <w:t>1项</w:t>
            </w:r>
          </w:p>
        </w:tc>
      </w:tr>
    </w:tbl>
    <w:p w14:paraId="5FFA219D">
      <w:pPr>
        <w:pStyle w:val="4"/>
        <w:bidi w:val="0"/>
        <w:rPr>
          <w:rFonts w:hint="eastAsia" w:ascii="宋体" w:hAnsi="宋体" w:eastAsia="宋体" w:cs="宋体"/>
          <w:b/>
          <w:bCs/>
          <w:color w:val="auto"/>
          <w:kern w:val="2"/>
          <w:sz w:val="24"/>
          <w:szCs w:val="24"/>
          <w:highlight w:val="none"/>
          <w:lang w:val="en-US" w:eastAsia="zh-CN" w:bidi="ar-SA"/>
        </w:rPr>
      </w:pPr>
      <w:bookmarkStart w:id="221" w:name="_Toc20967"/>
      <w:bookmarkStart w:id="222" w:name="_Toc97881375"/>
      <w:bookmarkStart w:id="223" w:name="_Toc30300"/>
      <w:bookmarkStart w:id="224" w:name="_Toc106121641"/>
      <w:bookmarkStart w:id="225" w:name="_Toc107841251"/>
      <w:bookmarkStart w:id="226" w:name="_Toc23826"/>
      <w:r>
        <w:rPr>
          <w:rFonts w:hint="eastAsia" w:ascii="宋体" w:hAnsi="宋体" w:eastAsia="宋体" w:cs="宋体"/>
          <w:b/>
          <w:bCs/>
          <w:color w:val="auto"/>
          <w:kern w:val="2"/>
          <w:sz w:val="24"/>
          <w:szCs w:val="24"/>
          <w:highlight w:val="none"/>
          <w:lang w:val="en-US" w:eastAsia="zh-CN" w:bidi="ar-SA"/>
        </w:rPr>
        <w:t>※二、施工范围及施工工期</w:t>
      </w:r>
      <w:bookmarkEnd w:id="221"/>
      <w:bookmarkEnd w:id="222"/>
      <w:bookmarkEnd w:id="223"/>
      <w:bookmarkEnd w:id="224"/>
      <w:bookmarkEnd w:id="225"/>
      <w:bookmarkEnd w:id="226"/>
    </w:p>
    <w:p w14:paraId="49C79DFF">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（一）施工范围：包括但不限于现场踏勘的实际情况</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工程量清单范围内所有内容，包含但不限于拆除原电梯、原机房整改，以及进行新电梯的设计、制造、运输、保险、现场保管、安装、调试、检验、土建施工、验收合格并交付采购人使用和日常维保等所有工程内容（即交钥匙工程）。</w:t>
      </w:r>
    </w:p>
    <w:p w14:paraId="59787394">
      <w:pPr>
        <w:numPr>
          <w:ilvl w:val="0"/>
          <w:numId w:val="0"/>
        </w:numPr>
        <w:shd w:val="clear" w:color="auto" w:fill="auto"/>
        <w:spacing w:line="400" w:lineRule="exact"/>
        <w:ind w:firstLine="480" w:firstLineChars="200"/>
        <w:rPr>
          <w:rFonts w:hint="eastAsia" w:ascii="宋体" w:hAnsi="宋体" w:eastAsia="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rPr>
        <w:t>（二）施工工期：</w:t>
      </w:r>
      <w:r>
        <w:rPr>
          <w:rFonts w:hint="eastAsia" w:ascii="宋体" w:hAnsi="宋体" w:eastAsia="宋体" w:cs="宋体"/>
          <w:color w:val="auto"/>
          <w:sz w:val="24"/>
          <w:szCs w:val="24"/>
          <w:highlight w:val="none"/>
          <w:shd w:val="clear" w:color="auto" w:fill="auto"/>
        </w:rPr>
        <w:t>本项目为交钥匙工程，采购合同签订后</w:t>
      </w:r>
      <w:r>
        <w:rPr>
          <w:rFonts w:hint="eastAsia" w:ascii="宋体" w:hAnsi="宋体" w:cs="宋体"/>
          <w:color w:val="auto"/>
          <w:sz w:val="24"/>
          <w:szCs w:val="24"/>
          <w:highlight w:val="none"/>
          <w:shd w:val="clear" w:color="auto" w:fill="auto"/>
          <w:lang w:val="en-US" w:eastAsia="zh-CN"/>
        </w:rPr>
        <w:t>90个日历日</w:t>
      </w:r>
      <w:r>
        <w:rPr>
          <w:rFonts w:hint="eastAsia" w:ascii="宋体" w:hAnsi="宋体" w:eastAsia="宋体" w:cs="宋体"/>
          <w:color w:val="auto"/>
          <w:sz w:val="24"/>
          <w:szCs w:val="24"/>
          <w:highlight w:val="none"/>
          <w:shd w:val="clear" w:color="auto" w:fill="auto"/>
        </w:rPr>
        <w:t>内完成交货、安装、调试，并通过验收。</w:t>
      </w:r>
    </w:p>
    <w:p w14:paraId="0B77A70B">
      <w:pPr>
        <w:shd w:val="clear" w:color="auto" w:fill="auto"/>
        <w:spacing w:line="400" w:lineRule="exact"/>
        <w:ind w:firstLine="480" w:firstLineChars="200"/>
        <w:rPr>
          <w:rFonts w:hint="eastAsia" w:ascii="宋体" w:hAnsi="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注：施工期间，成交供应商须保证楼栋有一台电梯正常使用及发生突发事件的应急处理。</w:t>
      </w:r>
    </w:p>
    <w:p w14:paraId="48BAB3AD">
      <w:pPr>
        <w:pStyle w:val="4"/>
        <w:bidi w:val="0"/>
        <w:rPr>
          <w:rFonts w:hint="eastAsia" w:ascii="宋体" w:hAnsi="宋体" w:eastAsia="宋体" w:cs="宋体"/>
          <w:b/>
          <w:bCs/>
          <w:color w:val="auto"/>
          <w:kern w:val="2"/>
          <w:sz w:val="24"/>
          <w:szCs w:val="24"/>
          <w:highlight w:val="none"/>
          <w:lang w:val="en-US" w:eastAsia="zh-CN" w:bidi="ar-SA"/>
        </w:rPr>
      </w:pPr>
      <w:bookmarkStart w:id="227" w:name="_Toc313536013"/>
      <w:bookmarkStart w:id="228" w:name="_Toc344475116"/>
      <w:bookmarkStart w:id="229" w:name="_Toc30135"/>
      <w:bookmarkStart w:id="230" w:name="_Toc25937"/>
      <w:bookmarkStart w:id="231" w:name="_Toc6591"/>
      <w:bookmarkStart w:id="232" w:name="_Toc19358"/>
      <w:bookmarkStart w:id="233" w:name="_Toc76462326"/>
      <w:bookmarkStart w:id="234" w:name="_Toc2158"/>
      <w:bookmarkStart w:id="235" w:name="_Toc8899"/>
      <w:bookmarkStart w:id="236" w:name="_Toc18042"/>
      <w:bookmarkStart w:id="237" w:name="_Toc28728"/>
      <w:bookmarkStart w:id="238" w:name="_Toc12206"/>
      <w:bookmarkStart w:id="239" w:name="_Toc10520"/>
      <w:bookmarkStart w:id="240" w:name="_Toc31523"/>
      <w:bookmarkStart w:id="241" w:name="_Toc20931"/>
      <w:bookmarkStart w:id="242" w:name="_Toc10203"/>
      <w:bookmarkStart w:id="243" w:name="_Toc21755"/>
      <w:bookmarkStart w:id="244" w:name="_Toc7768"/>
      <w:bookmarkStart w:id="245" w:name="_Toc17026"/>
      <w:bookmarkStart w:id="246" w:name="_Toc15490"/>
      <w:bookmarkStart w:id="247" w:name="_Toc26133"/>
      <w:bookmarkStart w:id="248" w:name="_Toc10113"/>
      <w:r>
        <w:rPr>
          <w:rFonts w:hint="eastAsia" w:ascii="宋体" w:hAnsi="宋体" w:eastAsia="宋体" w:cs="宋体"/>
          <w:b/>
          <w:bCs/>
          <w:color w:val="auto"/>
          <w:kern w:val="2"/>
          <w:sz w:val="24"/>
          <w:szCs w:val="24"/>
          <w:highlight w:val="none"/>
          <w:lang w:val="en-US" w:eastAsia="zh-CN" w:bidi="ar-SA"/>
        </w:rPr>
        <w:t>三、服务及质量</w:t>
      </w:r>
      <w:bookmarkEnd w:id="227"/>
      <w:bookmarkEnd w:id="228"/>
      <w:r>
        <w:rPr>
          <w:rFonts w:hint="eastAsia" w:ascii="宋体" w:hAnsi="宋体" w:eastAsia="宋体" w:cs="宋体"/>
          <w:b/>
          <w:bCs/>
          <w:color w:val="auto"/>
          <w:kern w:val="2"/>
          <w:sz w:val="24"/>
          <w:szCs w:val="24"/>
          <w:highlight w:val="none"/>
          <w:lang w:val="en-US" w:eastAsia="zh-CN" w:bidi="ar-SA"/>
        </w:rPr>
        <w:t>需求</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p>
    <w:p w14:paraId="0AF75A99">
      <w:pPr>
        <w:spacing w:line="4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（一）项目概况</w:t>
      </w:r>
    </w:p>
    <w:p w14:paraId="0B1AE6F5">
      <w:pPr>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本工程拟对重庆市沙坪坝区曾家镇中央花园ABCD区28台旧电梯进行拆除并重新安装（仅保留原电梯轨道、对重、轿架等部件）。</w:t>
      </w:r>
    </w:p>
    <w:p w14:paraId="4FEE767D">
      <w:pPr>
        <w:spacing w:line="400" w:lineRule="exact"/>
        <w:ind w:firstLine="482" w:firstLineChars="200"/>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lang w:eastAsia="zh-CN"/>
        </w:rPr>
        <w:t>※</w:t>
      </w:r>
      <w:r>
        <w:rPr>
          <w:rFonts w:hint="eastAsia" w:ascii="宋体" w:hAnsi="宋体" w:eastAsia="宋体" w:cs="宋体"/>
          <w:color w:val="auto"/>
          <w:sz w:val="24"/>
          <w:szCs w:val="24"/>
          <w:highlight w:val="none"/>
          <w:lang w:eastAsia="zh-CN"/>
        </w:rPr>
        <w:t>（二）工程质量要求及保证</w:t>
      </w:r>
    </w:p>
    <w:p w14:paraId="1E15E489">
      <w:pPr>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1.供应商改造安装共</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8台电梯（仅保留原电梯轨道、对重、轿架等部件）</w:t>
      </w:r>
      <w:r>
        <w:rPr>
          <w:rFonts w:hint="eastAsia" w:ascii="宋体" w:hAnsi="宋体" w:cs="宋体"/>
          <w:color w:val="auto"/>
          <w:sz w:val="24"/>
          <w:szCs w:val="24"/>
          <w:highlight w:val="none"/>
          <w:lang w:eastAsia="zh-CN"/>
        </w:rPr>
        <w:t>。</w:t>
      </w:r>
    </w:p>
    <w:p w14:paraId="01E1339E">
      <w:pPr>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.电梯轿厢安装排风（风扇）智能控制系统</w:t>
      </w:r>
      <w:r>
        <w:rPr>
          <w:rFonts w:hint="eastAsia" w:ascii="宋体" w:hAnsi="宋体" w:cs="宋体"/>
          <w:color w:val="auto"/>
          <w:sz w:val="24"/>
          <w:szCs w:val="24"/>
          <w:highlight w:val="none"/>
          <w:lang w:val="en-US" w:eastAsia="zh-CN"/>
        </w:rPr>
        <w:t>；新增轿厢监控系统，电瓶车阻止系统。</w:t>
      </w:r>
    </w:p>
    <w:p w14:paraId="147CE0C1">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.轿厢壁使用304发纹不锈钢，轿厢空间高度≥2.3米，轿厢照明采用多组LED节能照明，轿厢后侧安装一根不锈钢扶手，达到美观与舒适的效果。其中轿厢地板需用大理石材料装修。</w:t>
      </w:r>
    </w:p>
    <w:p w14:paraId="5EC45CEE">
      <w:pPr>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.机房新增机房钢制防火门，新增机房照明灯，保留机房承重梁，地面修复后做环氧地坪，标划警示线，墙面修补刷白翻新</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增设机房3P格力柜机空调。</w:t>
      </w:r>
    </w:p>
    <w:p w14:paraId="5ABE5A2F">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井道、层高、轿厢等尺寸仅供参考，最终以供应商现场实际勘察测量尺寸为准，供应商按现场实际勘察情况充分考虑纳入报价；采购人对设备参数（包含但不限于轿厢尺寸，装饰、照明等配置）最终确定后，成交供应商方可进行设备下单、制造。</w:t>
      </w:r>
    </w:p>
    <w:p w14:paraId="41D7B124">
      <w:pPr>
        <w:pStyle w:val="4"/>
        <w:bidi w:val="0"/>
        <w:rPr>
          <w:rFonts w:hint="eastAsia" w:ascii="宋体" w:hAnsi="宋体" w:eastAsia="宋体" w:cs="宋体"/>
          <w:b/>
          <w:bCs/>
          <w:color w:val="auto"/>
          <w:kern w:val="2"/>
          <w:sz w:val="24"/>
          <w:szCs w:val="24"/>
          <w:highlight w:val="none"/>
          <w:lang w:val="en-US" w:eastAsia="zh-CN" w:bidi="ar-SA"/>
        </w:rPr>
      </w:pPr>
      <w:bookmarkStart w:id="249" w:name="_Toc30030"/>
      <w:bookmarkStart w:id="250" w:name="_Toc31441"/>
      <w:bookmarkStart w:id="251" w:name="_Toc15751"/>
      <w:bookmarkStart w:id="252" w:name="_Toc14695"/>
      <w:r>
        <w:rPr>
          <w:rFonts w:hint="eastAsia" w:ascii="宋体" w:hAnsi="宋体" w:eastAsia="宋体" w:cs="宋体"/>
          <w:b/>
          <w:bCs/>
          <w:color w:val="auto"/>
          <w:kern w:val="2"/>
          <w:sz w:val="24"/>
          <w:szCs w:val="24"/>
          <w:highlight w:val="none"/>
          <w:lang w:val="en-US" w:eastAsia="zh-CN" w:bidi="ar-SA"/>
        </w:rPr>
        <w:t>※四、项目技术需求</w:t>
      </w:r>
      <w:bookmarkEnd w:id="249"/>
      <w:bookmarkEnd w:id="250"/>
      <w:bookmarkEnd w:id="251"/>
      <w:bookmarkEnd w:id="252"/>
    </w:p>
    <w:p w14:paraId="7BCAE83E">
      <w:pPr>
        <w:snapToGrid w:val="0"/>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乘客电梯参数表</w:t>
      </w:r>
    </w:p>
    <w:p w14:paraId="676534AD">
      <w:pPr>
        <w:pStyle w:val="22"/>
        <w:rPr>
          <w:rFonts w:hint="eastAsia"/>
          <w:color w:val="auto"/>
          <w:highlight w:val="none"/>
        </w:rPr>
      </w:pPr>
    </w:p>
    <w:tbl>
      <w:tblPr>
        <w:tblStyle w:val="60"/>
        <w:tblW w:w="9532" w:type="dxa"/>
        <w:tblInd w:w="247" w:type="dxa"/>
        <w:tblLayout w:type="fixed"/>
        <w:tblCellMar>
          <w:top w:w="0" w:type="dxa"/>
          <w:left w:w="108" w:type="dxa"/>
          <w:bottom w:w="0" w:type="dxa"/>
          <w:right w:w="108" w:type="dxa"/>
        </w:tblCellMar>
      </w:tblPr>
      <w:tblGrid>
        <w:gridCol w:w="493"/>
        <w:gridCol w:w="943"/>
        <w:gridCol w:w="999"/>
        <w:gridCol w:w="1065"/>
        <w:gridCol w:w="1236"/>
        <w:gridCol w:w="1006"/>
        <w:gridCol w:w="1911"/>
        <w:gridCol w:w="1879"/>
      </w:tblGrid>
      <w:tr w14:paraId="3445DA83">
        <w:tblPrEx>
          <w:tblCellMar>
            <w:top w:w="0" w:type="dxa"/>
            <w:left w:w="108" w:type="dxa"/>
            <w:bottom w:w="0" w:type="dxa"/>
            <w:right w:w="108" w:type="dxa"/>
          </w:tblCellMar>
        </w:tblPrEx>
        <w:trPr>
          <w:trHeight w:val="561"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3B7C7D35">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序号</w:t>
            </w:r>
          </w:p>
        </w:tc>
        <w:tc>
          <w:tcPr>
            <w:tcW w:w="943" w:type="dxa"/>
            <w:tcBorders>
              <w:top w:val="single" w:color="auto" w:sz="4" w:space="0"/>
              <w:left w:val="nil"/>
              <w:bottom w:val="single" w:color="auto" w:sz="4" w:space="0"/>
              <w:right w:val="single" w:color="auto" w:sz="4" w:space="0"/>
            </w:tcBorders>
            <w:noWrap/>
            <w:vAlign w:val="center"/>
          </w:tcPr>
          <w:p w14:paraId="764D1146">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梯号</w:t>
            </w:r>
          </w:p>
        </w:tc>
        <w:tc>
          <w:tcPr>
            <w:tcW w:w="999" w:type="dxa"/>
            <w:tcBorders>
              <w:top w:val="single" w:color="auto" w:sz="4" w:space="0"/>
              <w:left w:val="nil"/>
              <w:bottom w:val="single" w:color="auto" w:sz="4" w:space="0"/>
              <w:right w:val="single" w:color="auto" w:sz="4" w:space="0"/>
            </w:tcBorders>
            <w:noWrap w:val="0"/>
            <w:vAlign w:val="center"/>
          </w:tcPr>
          <w:p w14:paraId="56F74F88">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载重</w:t>
            </w:r>
          </w:p>
          <w:p w14:paraId="7EAE8997">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(kg)</w:t>
            </w:r>
          </w:p>
        </w:tc>
        <w:tc>
          <w:tcPr>
            <w:tcW w:w="1065" w:type="dxa"/>
            <w:tcBorders>
              <w:top w:val="single" w:color="auto" w:sz="4" w:space="0"/>
              <w:left w:val="nil"/>
              <w:bottom w:val="single" w:color="auto" w:sz="4" w:space="0"/>
              <w:right w:val="single" w:color="auto" w:sz="4" w:space="0"/>
            </w:tcBorders>
            <w:noWrap w:val="0"/>
            <w:vAlign w:val="center"/>
          </w:tcPr>
          <w:p w14:paraId="445C83D7">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速度</w:t>
            </w:r>
          </w:p>
          <w:p w14:paraId="69F4D747">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(m/s)</w:t>
            </w:r>
          </w:p>
        </w:tc>
        <w:tc>
          <w:tcPr>
            <w:tcW w:w="1236" w:type="dxa"/>
            <w:tcBorders>
              <w:top w:val="single" w:color="auto" w:sz="4" w:space="0"/>
              <w:left w:val="nil"/>
              <w:bottom w:val="single" w:color="auto" w:sz="4" w:space="0"/>
              <w:right w:val="single" w:color="auto" w:sz="4" w:space="0"/>
            </w:tcBorders>
            <w:noWrap/>
            <w:vAlign w:val="center"/>
          </w:tcPr>
          <w:p w14:paraId="4C452167">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层站门</w:t>
            </w:r>
          </w:p>
        </w:tc>
        <w:tc>
          <w:tcPr>
            <w:tcW w:w="1006" w:type="dxa"/>
            <w:tcBorders>
              <w:top w:val="single" w:color="auto" w:sz="4" w:space="0"/>
              <w:left w:val="nil"/>
              <w:bottom w:val="single" w:color="auto" w:sz="4" w:space="0"/>
              <w:right w:val="single" w:color="auto" w:sz="4" w:space="0"/>
            </w:tcBorders>
            <w:noWrap w:val="0"/>
            <w:vAlign w:val="center"/>
          </w:tcPr>
          <w:p w14:paraId="213F4E11">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数量(台)</w:t>
            </w:r>
          </w:p>
        </w:tc>
        <w:tc>
          <w:tcPr>
            <w:tcW w:w="1911" w:type="dxa"/>
            <w:tcBorders>
              <w:top w:val="single" w:color="auto" w:sz="4" w:space="0"/>
              <w:left w:val="nil"/>
              <w:bottom w:val="single" w:color="auto" w:sz="4" w:space="0"/>
              <w:right w:val="single" w:color="auto" w:sz="4" w:space="0"/>
            </w:tcBorders>
            <w:noWrap w:val="0"/>
            <w:vAlign w:val="center"/>
          </w:tcPr>
          <w:p w14:paraId="4ABB8BA2">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类型</w:t>
            </w:r>
          </w:p>
        </w:tc>
        <w:tc>
          <w:tcPr>
            <w:tcW w:w="1879" w:type="dxa"/>
            <w:tcBorders>
              <w:top w:val="single" w:color="auto" w:sz="4" w:space="0"/>
              <w:left w:val="nil"/>
              <w:bottom w:val="single" w:color="auto" w:sz="4" w:space="0"/>
              <w:right w:val="single" w:color="auto" w:sz="4" w:space="0"/>
            </w:tcBorders>
            <w:noWrap w:val="0"/>
            <w:vAlign w:val="center"/>
          </w:tcPr>
          <w:p w14:paraId="5220E417">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备注</w:t>
            </w:r>
          </w:p>
        </w:tc>
      </w:tr>
      <w:tr w14:paraId="3D1ECEEF">
        <w:tblPrEx>
          <w:tblCellMar>
            <w:top w:w="0" w:type="dxa"/>
            <w:left w:w="108" w:type="dxa"/>
            <w:bottom w:w="0" w:type="dxa"/>
            <w:right w:w="108" w:type="dxa"/>
          </w:tblCellMar>
        </w:tblPrEx>
        <w:trPr>
          <w:trHeight w:val="90"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76A318CA">
            <w:pPr>
              <w:snapToGrid w:val="0"/>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943" w:type="dxa"/>
            <w:tcBorders>
              <w:top w:val="single" w:color="auto" w:sz="4" w:space="0"/>
              <w:left w:val="nil"/>
              <w:bottom w:val="single" w:color="auto" w:sz="4" w:space="0"/>
              <w:right w:val="single" w:color="auto" w:sz="4" w:space="0"/>
            </w:tcBorders>
            <w:noWrap/>
            <w:vAlign w:val="center"/>
          </w:tcPr>
          <w:p w14:paraId="48BCCFA0">
            <w:pPr>
              <w:snapToGrid w:val="0"/>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A6-1</w:t>
            </w:r>
            <w:r>
              <w:rPr>
                <w:rFonts w:hint="eastAsia" w:ascii="宋体" w:hAnsi="宋体" w:cs="宋体"/>
                <w:color w:val="auto"/>
                <w:sz w:val="24"/>
                <w:szCs w:val="24"/>
                <w:highlight w:val="none"/>
              </w:rPr>
              <w:t>#</w:t>
            </w:r>
          </w:p>
        </w:tc>
        <w:tc>
          <w:tcPr>
            <w:tcW w:w="999" w:type="dxa"/>
            <w:tcBorders>
              <w:top w:val="single" w:color="auto" w:sz="4" w:space="0"/>
              <w:left w:val="nil"/>
              <w:bottom w:val="single" w:color="auto" w:sz="4" w:space="0"/>
              <w:right w:val="single" w:color="auto" w:sz="4" w:space="0"/>
            </w:tcBorders>
            <w:noWrap w:val="0"/>
            <w:vAlign w:val="center"/>
          </w:tcPr>
          <w:p w14:paraId="12728348">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nil"/>
              <w:bottom w:val="single" w:color="auto" w:sz="4" w:space="0"/>
              <w:right w:val="single" w:color="auto" w:sz="4" w:space="0"/>
            </w:tcBorders>
            <w:noWrap w:val="0"/>
            <w:vAlign w:val="center"/>
          </w:tcPr>
          <w:p w14:paraId="268F476B">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nil"/>
              <w:bottom w:val="single" w:color="auto" w:sz="4" w:space="0"/>
              <w:right w:val="single" w:color="auto" w:sz="4" w:space="0"/>
            </w:tcBorders>
            <w:noWrap/>
            <w:vAlign w:val="center"/>
          </w:tcPr>
          <w:p w14:paraId="38E60DEB">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23/23/23</w:t>
            </w:r>
          </w:p>
        </w:tc>
        <w:tc>
          <w:tcPr>
            <w:tcW w:w="1006" w:type="dxa"/>
            <w:tcBorders>
              <w:top w:val="single" w:color="auto" w:sz="4" w:space="0"/>
              <w:left w:val="nil"/>
              <w:bottom w:val="single" w:color="auto" w:sz="4" w:space="0"/>
              <w:right w:val="single" w:color="auto" w:sz="4" w:space="0"/>
            </w:tcBorders>
            <w:noWrap w:val="0"/>
            <w:vAlign w:val="center"/>
          </w:tcPr>
          <w:p w14:paraId="26EA1A33">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31AB408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restart"/>
            <w:tcBorders>
              <w:top w:val="single" w:color="auto" w:sz="4" w:space="0"/>
              <w:left w:val="nil"/>
              <w:right w:val="single" w:color="auto" w:sz="4" w:space="0"/>
            </w:tcBorders>
            <w:noWrap w:val="0"/>
            <w:vAlign w:val="center"/>
          </w:tcPr>
          <w:p w14:paraId="43E1017E">
            <w:pPr>
              <w:snapToGrid w:val="0"/>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中央花园</w:t>
            </w:r>
            <w:r>
              <w:rPr>
                <w:rFonts w:hint="eastAsia" w:ascii="宋体" w:hAnsi="宋体" w:cs="宋体"/>
                <w:color w:val="auto"/>
                <w:sz w:val="24"/>
                <w:szCs w:val="24"/>
                <w:highlight w:val="none"/>
                <w:lang w:val="en-US" w:eastAsia="zh-CN"/>
              </w:rPr>
              <w:t>A</w:t>
            </w:r>
            <w:r>
              <w:rPr>
                <w:rFonts w:hint="eastAsia" w:ascii="宋体" w:hAnsi="宋体" w:cs="宋体"/>
                <w:color w:val="auto"/>
                <w:sz w:val="24"/>
                <w:szCs w:val="24"/>
                <w:highlight w:val="none"/>
              </w:rPr>
              <w:t>区</w:t>
            </w:r>
            <w:r>
              <w:rPr>
                <w:rFonts w:hint="eastAsia" w:ascii="宋体" w:hAnsi="宋体" w:cs="宋体"/>
                <w:color w:val="auto"/>
                <w:sz w:val="24"/>
                <w:szCs w:val="24"/>
                <w:highlight w:val="none"/>
                <w:lang w:val="en-US" w:eastAsia="zh-CN"/>
              </w:rPr>
              <w:t>共6</w:t>
            </w:r>
            <w:r>
              <w:rPr>
                <w:rFonts w:hint="eastAsia" w:ascii="宋体" w:hAnsi="宋体" w:cs="宋体"/>
                <w:color w:val="auto"/>
                <w:sz w:val="24"/>
                <w:szCs w:val="24"/>
                <w:highlight w:val="none"/>
              </w:rPr>
              <w:t>栋</w:t>
            </w:r>
            <w:r>
              <w:rPr>
                <w:rFonts w:hint="eastAsia" w:ascii="宋体" w:hAnsi="宋体" w:cs="宋体"/>
                <w:color w:val="auto"/>
                <w:sz w:val="24"/>
                <w:szCs w:val="24"/>
                <w:highlight w:val="none"/>
                <w:lang w:val="en-US" w:eastAsia="zh-CN"/>
              </w:rPr>
              <w:t>12台</w:t>
            </w:r>
          </w:p>
        </w:tc>
      </w:tr>
      <w:tr w14:paraId="09531A9D">
        <w:tblPrEx>
          <w:tblCellMar>
            <w:top w:w="0" w:type="dxa"/>
            <w:left w:w="108" w:type="dxa"/>
            <w:bottom w:w="0" w:type="dxa"/>
            <w:right w:w="108" w:type="dxa"/>
          </w:tblCellMar>
        </w:tblPrEx>
        <w:trPr>
          <w:trHeight w:val="90"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47D5AE34">
            <w:pPr>
              <w:snapToGrid w:val="0"/>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p>
        </w:tc>
        <w:tc>
          <w:tcPr>
            <w:tcW w:w="943" w:type="dxa"/>
            <w:tcBorders>
              <w:top w:val="single" w:color="auto" w:sz="4" w:space="0"/>
              <w:left w:val="nil"/>
              <w:bottom w:val="single" w:color="auto" w:sz="4" w:space="0"/>
              <w:right w:val="single" w:color="auto" w:sz="4" w:space="0"/>
            </w:tcBorders>
            <w:noWrap/>
            <w:vAlign w:val="center"/>
          </w:tcPr>
          <w:p w14:paraId="38497D5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A6-2</w:t>
            </w:r>
            <w:r>
              <w:rPr>
                <w:rFonts w:hint="eastAsia" w:ascii="宋体" w:hAnsi="宋体" w:cs="宋体"/>
                <w:color w:val="auto"/>
                <w:sz w:val="24"/>
                <w:szCs w:val="24"/>
                <w:highlight w:val="none"/>
              </w:rPr>
              <w:t>#</w:t>
            </w:r>
          </w:p>
        </w:tc>
        <w:tc>
          <w:tcPr>
            <w:tcW w:w="999" w:type="dxa"/>
            <w:tcBorders>
              <w:top w:val="single" w:color="auto" w:sz="4" w:space="0"/>
              <w:left w:val="nil"/>
              <w:bottom w:val="single" w:color="auto" w:sz="4" w:space="0"/>
              <w:right w:val="single" w:color="auto" w:sz="4" w:space="0"/>
            </w:tcBorders>
            <w:noWrap w:val="0"/>
            <w:vAlign w:val="center"/>
          </w:tcPr>
          <w:p w14:paraId="276E9202">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nil"/>
              <w:bottom w:val="single" w:color="auto" w:sz="4" w:space="0"/>
              <w:right w:val="single" w:color="auto" w:sz="4" w:space="0"/>
            </w:tcBorders>
            <w:noWrap w:val="0"/>
            <w:vAlign w:val="center"/>
          </w:tcPr>
          <w:p w14:paraId="79F6B35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nil"/>
              <w:bottom w:val="single" w:color="auto" w:sz="4" w:space="0"/>
              <w:right w:val="single" w:color="auto" w:sz="4" w:space="0"/>
            </w:tcBorders>
            <w:noWrap/>
            <w:vAlign w:val="center"/>
          </w:tcPr>
          <w:p w14:paraId="21B989C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23/23/23</w:t>
            </w:r>
          </w:p>
        </w:tc>
        <w:tc>
          <w:tcPr>
            <w:tcW w:w="1006" w:type="dxa"/>
            <w:tcBorders>
              <w:top w:val="single" w:color="auto" w:sz="4" w:space="0"/>
              <w:left w:val="nil"/>
              <w:bottom w:val="single" w:color="auto" w:sz="4" w:space="0"/>
              <w:right w:val="single" w:color="auto" w:sz="4" w:space="0"/>
            </w:tcBorders>
            <w:noWrap w:val="0"/>
            <w:vAlign w:val="center"/>
          </w:tcPr>
          <w:p w14:paraId="01FF6C6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268D01F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07372830">
            <w:pPr>
              <w:snapToGrid w:val="0"/>
              <w:spacing w:line="360" w:lineRule="auto"/>
              <w:jc w:val="center"/>
              <w:rPr>
                <w:rFonts w:hint="eastAsia" w:ascii="宋体" w:hAnsi="宋体" w:cs="宋体"/>
                <w:color w:val="auto"/>
                <w:sz w:val="24"/>
                <w:szCs w:val="24"/>
                <w:highlight w:val="none"/>
              </w:rPr>
            </w:pPr>
          </w:p>
        </w:tc>
      </w:tr>
      <w:tr w14:paraId="4D39146D">
        <w:tblPrEx>
          <w:tblCellMar>
            <w:top w:w="0" w:type="dxa"/>
            <w:left w:w="108" w:type="dxa"/>
            <w:bottom w:w="0" w:type="dxa"/>
            <w:right w:w="108" w:type="dxa"/>
          </w:tblCellMar>
        </w:tblPrEx>
        <w:trPr>
          <w:trHeight w:val="90"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750078C5">
            <w:pPr>
              <w:snapToGrid w:val="0"/>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943" w:type="dxa"/>
            <w:tcBorders>
              <w:top w:val="single" w:color="auto" w:sz="4" w:space="0"/>
              <w:left w:val="nil"/>
              <w:bottom w:val="single" w:color="auto" w:sz="4" w:space="0"/>
              <w:right w:val="single" w:color="auto" w:sz="4" w:space="0"/>
            </w:tcBorders>
            <w:noWrap/>
            <w:vAlign w:val="center"/>
          </w:tcPr>
          <w:p w14:paraId="69E5905F">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A7-1</w:t>
            </w:r>
            <w:r>
              <w:rPr>
                <w:rFonts w:hint="eastAsia" w:ascii="宋体" w:hAnsi="宋体" w:cs="宋体"/>
                <w:color w:val="auto"/>
                <w:sz w:val="24"/>
                <w:szCs w:val="24"/>
                <w:highlight w:val="none"/>
              </w:rPr>
              <w:t>#</w:t>
            </w:r>
          </w:p>
        </w:tc>
        <w:tc>
          <w:tcPr>
            <w:tcW w:w="999" w:type="dxa"/>
            <w:tcBorders>
              <w:top w:val="single" w:color="auto" w:sz="4" w:space="0"/>
              <w:left w:val="nil"/>
              <w:bottom w:val="single" w:color="auto" w:sz="4" w:space="0"/>
              <w:right w:val="single" w:color="auto" w:sz="4" w:space="0"/>
            </w:tcBorders>
            <w:noWrap w:val="0"/>
            <w:vAlign w:val="center"/>
          </w:tcPr>
          <w:p w14:paraId="6E3E227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nil"/>
              <w:bottom w:val="single" w:color="auto" w:sz="4" w:space="0"/>
              <w:right w:val="single" w:color="auto" w:sz="4" w:space="0"/>
            </w:tcBorders>
            <w:noWrap w:val="0"/>
            <w:vAlign w:val="center"/>
          </w:tcPr>
          <w:p w14:paraId="5AD0823F">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nil"/>
              <w:bottom w:val="single" w:color="auto" w:sz="4" w:space="0"/>
              <w:right w:val="single" w:color="auto" w:sz="4" w:space="0"/>
            </w:tcBorders>
            <w:noWrap/>
            <w:vAlign w:val="center"/>
          </w:tcPr>
          <w:p w14:paraId="15000A4A">
            <w:pPr>
              <w:snapToGrid w:val="0"/>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1006" w:type="dxa"/>
            <w:tcBorders>
              <w:top w:val="single" w:color="auto" w:sz="4" w:space="0"/>
              <w:left w:val="nil"/>
              <w:bottom w:val="single" w:color="auto" w:sz="4" w:space="0"/>
              <w:right w:val="single" w:color="auto" w:sz="4" w:space="0"/>
            </w:tcBorders>
            <w:noWrap w:val="0"/>
            <w:vAlign w:val="center"/>
          </w:tcPr>
          <w:p w14:paraId="6706D2F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2C44661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5732EEFD">
            <w:pPr>
              <w:snapToGrid w:val="0"/>
              <w:spacing w:line="360" w:lineRule="auto"/>
              <w:jc w:val="center"/>
              <w:rPr>
                <w:rFonts w:hint="eastAsia" w:ascii="宋体" w:hAnsi="宋体" w:cs="宋体"/>
                <w:color w:val="auto"/>
                <w:sz w:val="24"/>
                <w:szCs w:val="24"/>
                <w:highlight w:val="none"/>
              </w:rPr>
            </w:pPr>
          </w:p>
        </w:tc>
      </w:tr>
      <w:tr w14:paraId="2814D35D">
        <w:tblPrEx>
          <w:tblCellMar>
            <w:top w:w="0" w:type="dxa"/>
            <w:left w:w="108" w:type="dxa"/>
            <w:bottom w:w="0" w:type="dxa"/>
            <w:right w:w="108" w:type="dxa"/>
          </w:tblCellMar>
        </w:tblPrEx>
        <w:trPr>
          <w:trHeight w:val="90"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1DABA566">
            <w:pPr>
              <w:snapToGrid w:val="0"/>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943" w:type="dxa"/>
            <w:tcBorders>
              <w:top w:val="single" w:color="auto" w:sz="4" w:space="0"/>
              <w:left w:val="nil"/>
              <w:bottom w:val="single" w:color="auto" w:sz="4" w:space="0"/>
              <w:right w:val="single" w:color="auto" w:sz="4" w:space="0"/>
            </w:tcBorders>
            <w:noWrap/>
            <w:vAlign w:val="center"/>
          </w:tcPr>
          <w:p w14:paraId="180C3D2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A7-2</w:t>
            </w:r>
            <w:r>
              <w:rPr>
                <w:rFonts w:hint="eastAsia" w:ascii="宋体" w:hAnsi="宋体" w:cs="宋体"/>
                <w:color w:val="auto"/>
                <w:sz w:val="24"/>
                <w:szCs w:val="24"/>
                <w:highlight w:val="none"/>
              </w:rPr>
              <w:t>#</w:t>
            </w:r>
          </w:p>
        </w:tc>
        <w:tc>
          <w:tcPr>
            <w:tcW w:w="999" w:type="dxa"/>
            <w:tcBorders>
              <w:top w:val="single" w:color="auto" w:sz="4" w:space="0"/>
              <w:left w:val="nil"/>
              <w:bottom w:val="single" w:color="auto" w:sz="4" w:space="0"/>
              <w:right w:val="single" w:color="auto" w:sz="4" w:space="0"/>
            </w:tcBorders>
            <w:noWrap w:val="0"/>
            <w:vAlign w:val="center"/>
          </w:tcPr>
          <w:p w14:paraId="08E242EE">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nil"/>
              <w:bottom w:val="single" w:color="auto" w:sz="4" w:space="0"/>
              <w:right w:val="single" w:color="auto" w:sz="4" w:space="0"/>
            </w:tcBorders>
            <w:noWrap w:val="0"/>
            <w:vAlign w:val="center"/>
          </w:tcPr>
          <w:p w14:paraId="1479030C">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nil"/>
              <w:bottom w:val="single" w:color="auto" w:sz="4" w:space="0"/>
              <w:right w:val="single" w:color="auto" w:sz="4" w:space="0"/>
            </w:tcBorders>
            <w:noWrap/>
            <w:vAlign w:val="center"/>
          </w:tcPr>
          <w:p w14:paraId="526C8F8B">
            <w:pPr>
              <w:snapToGrid w:val="0"/>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1006" w:type="dxa"/>
            <w:tcBorders>
              <w:top w:val="single" w:color="auto" w:sz="4" w:space="0"/>
              <w:left w:val="nil"/>
              <w:bottom w:val="single" w:color="auto" w:sz="4" w:space="0"/>
              <w:right w:val="single" w:color="auto" w:sz="4" w:space="0"/>
            </w:tcBorders>
            <w:noWrap w:val="0"/>
            <w:vAlign w:val="center"/>
          </w:tcPr>
          <w:p w14:paraId="5FD358CC">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306FD54B">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028B2C97">
            <w:pPr>
              <w:snapToGrid w:val="0"/>
              <w:spacing w:line="360" w:lineRule="auto"/>
              <w:jc w:val="center"/>
              <w:rPr>
                <w:rFonts w:hint="eastAsia" w:ascii="宋体" w:hAnsi="宋体" w:cs="宋体"/>
                <w:color w:val="auto"/>
                <w:sz w:val="24"/>
                <w:szCs w:val="24"/>
                <w:highlight w:val="none"/>
              </w:rPr>
            </w:pPr>
          </w:p>
        </w:tc>
      </w:tr>
      <w:tr w14:paraId="45C7EA36">
        <w:tblPrEx>
          <w:tblCellMar>
            <w:top w:w="0" w:type="dxa"/>
            <w:left w:w="108" w:type="dxa"/>
            <w:bottom w:w="0" w:type="dxa"/>
            <w:right w:w="108" w:type="dxa"/>
          </w:tblCellMar>
        </w:tblPrEx>
        <w:trPr>
          <w:trHeight w:val="90"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6341485D">
            <w:pPr>
              <w:snapToGrid w:val="0"/>
              <w:spacing w:line="360" w:lineRule="auto"/>
              <w:jc w:val="center"/>
              <w:rPr>
                <w:rFonts w:hint="eastAsia" w:ascii="宋体" w:hAnsi="宋体" w:eastAsia="宋体" w:cs="宋体"/>
                <w:b/>
                <w:bCs/>
                <w:color w:val="auto"/>
                <w:sz w:val="24"/>
                <w:szCs w:val="24"/>
                <w:highlight w:val="none"/>
                <w:lang w:eastAsia="zh-CN"/>
              </w:rPr>
            </w:pPr>
            <w:r>
              <w:rPr>
                <w:rFonts w:hint="eastAsia" w:ascii="宋体" w:hAnsi="宋体" w:cs="宋体"/>
                <w:color w:val="auto"/>
                <w:sz w:val="24"/>
                <w:szCs w:val="24"/>
                <w:highlight w:val="none"/>
                <w:lang w:val="en-US" w:eastAsia="zh-CN"/>
              </w:rPr>
              <w:t>5</w:t>
            </w:r>
          </w:p>
        </w:tc>
        <w:tc>
          <w:tcPr>
            <w:tcW w:w="943" w:type="dxa"/>
            <w:tcBorders>
              <w:top w:val="single" w:color="auto" w:sz="4" w:space="0"/>
              <w:left w:val="nil"/>
              <w:bottom w:val="single" w:color="auto" w:sz="4" w:space="0"/>
              <w:right w:val="single" w:color="auto" w:sz="4" w:space="0"/>
            </w:tcBorders>
            <w:noWrap/>
            <w:vAlign w:val="center"/>
          </w:tcPr>
          <w:p w14:paraId="47FE9FBE">
            <w:pPr>
              <w:snapToGrid w:val="0"/>
              <w:spacing w:line="360" w:lineRule="auto"/>
              <w:jc w:val="center"/>
              <w:rPr>
                <w:rFonts w:hint="eastAsia" w:ascii="宋体" w:hAnsi="宋体" w:cs="宋体"/>
                <w:b/>
                <w:bCs/>
                <w:color w:val="auto"/>
                <w:sz w:val="24"/>
                <w:szCs w:val="24"/>
                <w:highlight w:val="none"/>
              </w:rPr>
            </w:pPr>
            <w:r>
              <w:rPr>
                <w:rFonts w:hint="eastAsia" w:ascii="宋体" w:hAnsi="宋体" w:cs="宋体"/>
                <w:color w:val="auto"/>
                <w:sz w:val="24"/>
                <w:szCs w:val="24"/>
                <w:highlight w:val="none"/>
                <w:lang w:val="en-US" w:eastAsia="zh-CN"/>
              </w:rPr>
              <w:t>A8-1</w:t>
            </w:r>
            <w:r>
              <w:rPr>
                <w:rFonts w:hint="eastAsia" w:ascii="宋体" w:hAnsi="宋体" w:cs="宋体"/>
                <w:color w:val="auto"/>
                <w:sz w:val="24"/>
                <w:szCs w:val="24"/>
                <w:highlight w:val="none"/>
              </w:rPr>
              <w:t>#</w:t>
            </w:r>
          </w:p>
        </w:tc>
        <w:tc>
          <w:tcPr>
            <w:tcW w:w="999" w:type="dxa"/>
            <w:tcBorders>
              <w:top w:val="single" w:color="auto" w:sz="4" w:space="0"/>
              <w:left w:val="nil"/>
              <w:bottom w:val="single" w:color="auto" w:sz="4" w:space="0"/>
              <w:right w:val="single" w:color="auto" w:sz="4" w:space="0"/>
            </w:tcBorders>
            <w:noWrap w:val="0"/>
            <w:vAlign w:val="center"/>
          </w:tcPr>
          <w:p w14:paraId="0B7FD30B">
            <w:pPr>
              <w:snapToGrid w:val="0"/>
              <w:spacing w:line="360" w:lineRule="auto"/>
              <w:jc w:val="center"/>
              <w:rPr>
                <w:rFonts w:hint="eastAsia" w:ascii="宋体" w:hAnsi="宋体" w:cs="宋体"/>
                <w:b/>
                <w:bCs/>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nil"/>
              <w:bottom w:val="single" w:color="auto" w:sz="4" w:space="0"/>
              <w:right w:val="single" w:color="auto" w:sz="4" w:space="0"/>
            </w:tcBorders>
            <w:noWrap w:val="0"/>
            <w:vAlign w:val="center"/>
          </w:tcPr>
          <w:p w14:paraId="5447DE9D">
            <w:pPr>
              <w:snapToGrid w:val="0"/>
              <w:spacing w:line="360" w:lineRule="auto"/>
              <w:jc w:val="center"/>
              <w:rPr>
                <w:rFonts w:hint="eastAsia" w:ascii="宋体" w:hAnsi="宋体" w:cs="宋体"/>
                <w:b/>
                <w:bCs/>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nil"/>
              <w:bottom w:val="single" w:color="auto" w:sz="4" w:space="0"/>
              <w:right w:val="single" w:color="auto" w:sz="4" w:space="0"/>
            </w:tcBorders>
            <w:noWrap/>
            <w:vAlign w:val="center"/>
          </w:tcPr>
          <w:p w14:paraId="709FD312">
            <w:pPr>
              <w:snapToGrid w:val="0"/>
              <w:spacing w:line="360" w:lineRule="auto"/>
              <w:jc w:val="center"/>
              <w:rPr>
                <w:rFonts w:hint="default" w:ascii="宋体" w:hAnsi="宋体" w:eastAsia="宋体" w:cs="宋体"/>
                <w:b/>
                <w:bCs/>
                <w:color w:val="auto"/>
                <w:sz w:val="24"/>
                <w:szCs w:val="24"/>
                <w:highlight w:val="none"/>
                <w:lang w:val="en-US" w:eastAsia="zh-CN"/>
              </w:rPr>
            </w:pPr>
            <w:r>
              <w:rPr>
                <w:rFonts w:hint="eastAsia" w:ascii="宋体" w:hAnsi="宋体" w:cs="宋体"/>
                <w:color w:val="auto"/>
                <w:sz w:val="24"/>
                <w:szCs w:val="24"/>
                <w:highlight w:val="none"/>
                <w:lang w:val="en-US" w:eastAsia="zh-CN"/>
              </w:rPr>
              <w:t>18</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18</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18</w:t>
            </w:r>
          </w:p>
        </w:tc>
        <w:tc>
          <w:tcPr>
            <w:tcW w:w="1006" w:type="dxa"/>
            <w:tcBorders>
              <w:top w:val="single" w:color="auto" w:sz="4" w:space="0"/>
              <w:left w:val="nil"/>
              <w:bottom w:val="single" w:color="auto" w:sz="4" w:space="0"/>
              <w:right w:val="single" w:color="auto" w:sz="4" w:space="0"/>
            </w:tcBorders>
            <w:noWrap w:val="0"/>
            <w:vAlign w:val="center"/>
          </w:tcPr>
          <w:p w14:paraId="2E80C514">
            <w:pPr>
              <w:snapToGrid w:val="0"/>
              <w:spacing w:line="360" w:lineRule="auto"/>
              <w:jc w:val="center"/>
              <w:rPr>
                <w:rFonts w:hint="eastAsia" w:ascii="宋体" w:hAnsi="宋体" w:cs="宋体"/>
                <w:b/>
                <w:bCs/>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3511AA98">
            <w:pPr>
              <w:snapToGrid w:val="0"/>
              <w:spacing w:line="360" w:lineRule="auto"/>
              <w:jc w:val="center"/>
              <w:rPr>
                <w:rFonts w:hint="eastAsia" w:ascii="宋体" w:hAnsi="宋体" w:cs="宋体"/>
                <w:b/>
                <w:bCs/>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7392732E">
            <w:pPr>
              <w:snapToGrid w:val="0"/>
              <w:spacing w:line="360" w:lineRule="auto"/>
              <w:jc w:val="center"/>
              <w:rPr>
                <w:rFonts w:hint="eastAsia" w:ascii="宋体" w:hAnsi="宋体" w:cs="宋体"/>
                <w:color w:val="auto"/>
                <w:sz w:val="24"/>
                <w:szCs w:val="24"/>
                <w:highlight w:val="none"/>
              </w:rPr>
            </w:pPr>
          </w:p>
        </w:tc>
      </w:tr>
      <w:tr w14:paraId="58B9E827">
        <w:tblPrEx>
          <w:tblCellMar>
            <w:top w:w="0" w:type="dxa"/>
            <w:left w:w="108" w:type="dxa"/>
            <w:bottom w:w="0" w:type="dxa"/>
            <w:right w:w="108" w:type="dxa"/>
          </w:tblCellMar>
        </w:tblPrEx>
        <w:trPr>
          <w:trHeight w:val="463"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07FA74E9">
            <w:pPr>
              <w:snapToGrid w:val="0"/>
              <w:spacing w:line="360" w:lineRule="auto"/>
              <w:jc w:val="center"/>
              <w:rPr>
                <w:rFonts w:hint="eastAsia" w:ascii="宋体" w:hAnsi="宋体" w:eastAsia="宋体" w:cs="宋体"/>
                <w:b/>
                <w:bCs/>
                <w:color w:val="auto"/>
                <w:sz w:val="24"/>
                <w:szCs w:val="24"/>
                <w:highlight w:val="none"/>
                <w:lang w:eastAsia="zh-CN"/>
              </w:rPr>
            </w:pPr>
            <w:r>
              <w:rPr>
                <w:rFonts w:hint="eastAsia" w:ascii="宋体" w:hAnsi="宋体" w:cs="宋体"/>
                <w:color w:val="auto"/>
                <w:sz w:val="24"/>
                <w:szCs w:val="24"/>
                <w:highlight w:val="none"/>
                <w:lang w:val="en-US" w:eastAsia="zh-CN"/>
              </w:rPr>
              <w:t>6</w:t>
            </w:r>
          </w:p>
        </w:tc>
        <w:tc>
          <w:tcPr>
            <w:tcW w:w="943" w:type="dxa"/>
            <w:tcBorders>
              <w:top w:val="single" w:color="auto" w:sz="4" w:space="0"/>
              <w:left w:val="nil"/>
              <w:bottom w:val="single" w:color="auto" w:sz="4" w:space="0"/>
              <w:right w:val="single" w:color="auto" w:sz="4" w:space="0"/>
            </w:tcBorders>
            <w:noWrap/>
            <w:vAlign w:val="center"/>
          </w:tcPr>
          <w:p w14:paraId="09461892">
            <w:pPr>
              <w:snapToGrid w:val="0"/>
              <w:spacing w:line="360" w:lineRule="auto"/>
              <w:jc w:val="center"/>
              <w:rPr>
                <w:rFonts w:hint="eastAsia" w:ascii="宋体" w:hAnsi="宋体" w:cs="宋体"/>
                <w:b/>
                <w:bCs/>
                <w:color w:val="auto"/>
                <w:sz w:val="24"/>
                <w:szCs w:val="24"/>
                <w:highlight w:val="none"/>
              </w:rPr>
            </w:pPr>
            <w:r>
              <w:rPr>
                <w:rFonts w:hint="eastAsia" w:ascii="宋体" w:hAnsi="宋体" w:cs="宋体"/>
                <w:color w:val="auto"/>
                <w:sz w:val="24"/>
                <w:szCs w:val="24"/>
                <w:highlight w:val="none"/>
                <w:lang w:val="en-US" w:eastAsia="zh-CN"/>
              </w:rPr>
              <w:t>A8-2</w:t>
            </w:r>
            <w:r>
              <w:rPr>
                <w:rFonts w:hint="eastAsia" w:ascii="宋体" w:hAnsi="宋体" w:cs="宋体"/>
                <w:color w:val="auto"/>
                <w:sz w:val="24"/>
                <w:szCs w:val="24"/>
                <w:highlight w:val="none"/>
              </w:rPr>
              <w:t>#</w:t>
            </w:r>
          </w:p>
        </w:tc>
        <w:tc>
          <w:tcPr>
            <w:tcW w:w="999" w:type="dxa"/>
            <w:tcBorders>
              <w:top w:val="single" w:color="auto" w:sz="4" w:space="0"/>
              <w:left w:val="nil"/>
              <w:bottom w:val="single" w:color="auto" w:sz="4" w:space="0"/>
              <w:right w:val="single" w:color="auto" w:sz="4" w:space="0"/>
            </w:tcBorders>
            <w:noWrap w:val="0"/>
            <w:vAlign w:val="center"/>
          </w:tcPr>
          <w:p w14:paraId="2E5A5A0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nil"/>
              <w:bottom w:val="single" w:color="auto" w:sz="4" w:space="0"/>
              <w:right w:val="single" w:color="auto" w:sz="4" w:space="0"/>
            </w:tcBorders>
            <w:noWrap w:val="0"/>
            <w:vAlign w:val="center"/>
          </w:tcPr>
          <w:p w14:paraId="653B17B7">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nil"/>
              <w:bottom w:val="single" w:color="auto" w:sz="4" w:space="0"/>
              <w:right w:val="single" w:color="auto" w:sz="4" w:space="0"/>
            </w:tcBorders>
            <w:noWrap/>
            <w:vAlign w:val="center"/>
          </w:tcPr>
          <w:p w14:paraId="044D317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18</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18</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18</w:t>
            </w:r>
          </w:p>
        </w:tc>
        <w:tc>
          <w:tcPr>
            <w:tcW w:w="1006" w:type="dxa"/>
            <w:tcBorders>
              <w:top w:val="single" w:color="auto" w:sz="4" w:space="0"/>
              <w:left w:val="nil"/>
              <w:bottom w:val="single" w:color="auto" w:sz="4" w:space="0"/>
              <w:right w:val="single" w:color="auto" w:sz="4" w:space="0"/>
            </w:tcBorders>
            <w:noWrap w:val="0"/>
            <w:vAlign w:val="center"/>
          </w:tcPr>
          <w:p w14:paraId="206F78D6">
            <w:pPr>
              <w:snapToGrid w:val="0"/>
              <w:spacing w:line="360" w:lineRule="auto"/>
              <w:jc w:val="center"/>
              <w:rPr>
                <w:rFonts w:hint="eastAsia" w:ascii="宋体" w:hAnsi="宋体" w:cs="宋体"/>
                <w:b/>
                <w:bCs/>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12ED7D26">
            <w:pPr>
              <w:snapToGrid w:val="0"/>
              <w:spacing w:line="360" w:lineRule="auto"/>
              <w:jc w:val="center"/>
              <w:rPr>
                <w:rFonts w:hint="eastAsia" w:ascii="宋体" w:hAnsi="宋体" w:cs="宋体"/>
                <w:b/>
                <w:bCs/>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5447C3DD">
            <w:pPr>
              <w:snapToGrid w:val="0"/>
              <w:spacing w:line="360" w:lineRule="auto"/>
              <w:jc w:val="center"/>
              <w:rPr>
                <w:rFonts w:hint="eastAsia" w:ascii="宋体" w:hAnsi="宋体" w:cs="宋体"/>
                <w:color w:val="auto"/>
                <w:sz w:val="24"/>
                <w:szCs w:val="24"/>
                <w:highlight w:val="none"/>
              </w:rPr>
            </w:pPr>
          </w:p>
        </w:tc>
      </w:tr>
      <w:tr w14:paraId="3532A401">
        <w:tblPrEx>
          <w:tblCellMar>
            <w:top w:w="0" w:type="dxa"/>
            <w:left w:w="108" w:type="dxa"/>
            <w:bottom w:w="0" w:type="dxa"/>
            <w:right w:w="108" w:type="dxa"/>
          </w:tblCellMar>
        </w:tblPrEx>
        <w:trPr>
          <w:trHeight w:val="90"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16D4A0B3">
            <w:pPr>
              <w:snapToGrid w:val="0"/>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7</w:t>
            </w:r>
          </w:p>
        </w:tc>
        <w:tc>
          <w:tcPr>
            <w:tcW w:w="943" w:type="dxa"/>
            <w:tcBorders>
              <w:top w:val="single" w:color="auto" w:sz="4" w:space="0"/>
              <w:left w:val="nil"/>
              <w:bottom w:val="single" w:color="auto" w:sz="4" w:space="0"/>
              <w:right w:val="single" w:color="auto" w:sz="4" w:space="0"/>
            </w:tcBorders>
            <w:noWrap/>
            <w:vAlign w:val="center"/>
          </w:tcPr>
          <w:p w14:paraId="25DA467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A9-1</w:t>
            </w:r>
            <w:r>
              <w:rPr>
                <w:rFonts w:hint="eastAsia" w:ascii="宋体" w:hAnsi="宋体" w:cs="宋体"/>
                <w:color w:val="auto"/>
                <w:sz w:val="24"/>
                <w:szCs w:val="24"/>
                <w:highlight w:val="none"/>
              </w:rPr>
              <w:t>#</w:t>
            </w:r>
          </w:p>
        </w:tc>
        <w:tc>
          <w:tcPr>
            <w:tcW w:w="999" w:type="dxa"/>
            <w:tcBorders>
              <w:top w:val="single" w:color="auto" w:sz="4" w:space="0"/>
              <w:left w:val="nil"/>
              <w:bottom w:val="single" w:color="auto" w:sz="4" w:space="0"/>
              <w:right w:val="single" w:color="auto" w:sz="4" w:space="0"/>
            </w:tcBorders>
            <w:noWrap w:val="0"/>
            <w:vAlign w:val="center"/>
          </w:tcPr>
          <w:p w14:paraId="55963DF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nil"/>
              <w:bottom w:val="single" w:color="auto" w:sz="4" w:space="0"/>
              <w:right w:val="single" w:color="auto" w:sz="4" w:space="0"/>
            </w:tcBorders>
            <w:noWrap w:val="0"/>
            <w:vAlign w:val="center"/>
          </w:tcPr>
          <w:p w14:paraId="7C0A065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nil"/>
              <w:bottom w:val="single" w:color="auto" w:sz="4" w:space="0"/>
              <w:right w:val="single" w:color="auto" w:sz="4" w:space="0"/>
            </w:tcBorders>
            <w:noWrap/>
            <w:vAlign w:val="center"/>
          </w:tcPr>
          <w:p w14:paraId="634F9D4A">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1006" w:type="dxa"/>
            <w:tcBorders>
              <w:top w:val="single" w:color="auto" w:sz="4" w:space="0"/>
              <w:left w:val="nil"/>
              <w:bottom w:val="single" w:color="auto" w:sz="4" w:space="0"/>
              <w:right w:val="single" w:color="auto" w:sz="4" w:space="0"/>
            </w:tcBorders>
            <w:noWrap w:val="0"/>
            <w:vAlign w:val="center"/>
          </w:tcPr>
          <w:p w14:paraId="5823521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04B7C47E">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62DBAB78">
            <w:pPr>
              <w:snapToGrid w:val="0"/>
              <w:spacing w:line="360" w:lineRule="auto"/>
              <w:jc w:val="center"/>
              <w:rPr>
                <w:rFonts w:hint="eastAsia" w:ascii="宋体" w:hAnsi="宋体" w:cs="宋体"/>
                <w:color w:val="auto"/>
                <w:sz w:val="24"/>
                <w:szCs w:val="24"/>
                <w:highlight w:val="none"/>
              </w:rPr>
            </w:pPr>
          </w:p>
        </w:tc>
      </w:tr>
      <w:tr w14:paraId="286268B0">
        <w:tblPrEx>
          <w:tblCellMar>
            <w:top w:w="0" w:type="dxa"/>
            <w:left w:w="108" w:type="dxa"/>
            <w:bottom w:w="0" w:type="dxa"/>
            <w:right w:w="108" w:type="dxa"/>
          </w:tblCellMar>
        </w:tblPrEx>
        <w:trPr>
          <w:trHeight w:val="476"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0F94FCFF">
            <w:pPr>
              <w:snapToGrid w:val="0"/>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8</w:t>
            </w:r>
          </w:p>
        </w:tc>
        <w:tc>
          <w:tcPr>
            <w:tcW w:w="943" w:type="dxa"/>
            <w:tcBorders>
              <w:top w:val="single" w:color="auto" w:sz="4" w:space="0"/>
              <w:left w:val="nil"/>
              <w:bottom w:val="single" w:color="auto" w:sz="4" w:space="0"/>
              <w:right w:val="single" w:color="auto" w:sz="4" w:space="0"/>
            </w:tcBorders>
            <w:noWrap/>
            <w:vAlign w:val="center"/>
          </w:tcPr>
          <w:p w14:paraId="328FA042">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A9-2</w:t>
            </w:r>
            <w:r>
              <w:rPr>
                <w:rFonts w:hint="eastAsia" w:ascii="宋体" w:hAnsi="宋体" w:cs="宋体"/>
                <w:color w:val="auto"/>
                <w:sz w:val="24"/>
                <w:szCs w:val="24"/>
                <w:highlight w:val="none"/>
              </w:rPr>
              <w:t>#</w:t>
            </w:r>
          </w:p>
        </w:tc>
        <w:tc>
          <w:tcPr>
            <w:tcW w:w="999" w:type="dxa"/>
            <w:tcBorders>
              <w:top w:val="single" w:color="auto" w:sz="4" w:space="0"/>
              <w:left w:val="nil"/>
              <w:bottom w:val="single" w:color="auto" w:sz="4" w:space="0"/>
              <w:right w:val="single" w:color="auto" w:sz="4" w:space="0"/>
            </w:tcBorders>
            <w:noWrap w:val="0"/>
            <w:vAlign w:val="center"/>
          </w:tcPr>
          <w:p w14:paraId="4512EF0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nil"/>
              <w:bottom w:val="single" w:color="auto" w:sz="4" w:space="0"/>
              <w:right w:val="single" w:color="auto" w:sz="4" w:space="0"/>
            </w:tcBorders>
            <w:noWrap w:val="0"/>
            <w:vAlign w:val="center"/>
          </w:tcPr>
          <w:p w14:paraId="3037BB4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nil"/>
              <w:bottom w:val="single" w:color="auto" w:sz="4" w:space="0"/>
              <w:right w:val="single" w:color="auto" w:sz="4" w:space="0"/>
            </w:tcBorders>
            <w:noWrap/>
            <w:vAlign w:val="center"/>
          </w:tcPr>
          <w:p w14:paraId="11251BB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1006" w:type="dxa"/>
            <w:tcBorders>
              <w:top w:val="single" w:color="auto" w:sz="4" w:space="0"/>
              <w:left w:val="nil"/>
              <w:bottom w:val="single" w:color="auto" w:sz="4" w:space="0"/>
              <w:right w:val="single" w:color="auto" w:sz="4" w:space="0"/>
            </w:tcBorders>
            <w:noWrap w:val="0"/>
            <w:vAlign w:val="center"/>
          </w:tcPr>
          <w:p w14:paraId="375E871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102E8323">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67019DD0">
            <w:pPr>
              <w:snapToGrid w:val="0"/>
              <w:spacing w:line="360" w:lineRule="auto"/>
              <w:jc w:val="center"/>
              <w:rPr>
                <w:rFonts w:hint="eastAsia" w:ascii="宋体" w:hAnsi="宋体" w:cs="宋体"/>
                <w:color w:val="auto"/>
                <w:sz w:val="24"/>
                <w:szCs w:val="24"/>
                <w:highlight w:val="none"/>
              </w:rPr>
            </w:pPr>
          </w:p>
        </w:tc>
      </w:tr>
      <w:tr w14:paraId="44D51FEC">
        <w:tblPrEx>
          <w:tblCellMar>
            <w:top w:w="0" w:type="dxa"/>
            <w:left w:w="108" w:type="dxa"/>
            <w:bottom w:w="0" w:type="dxa"/>
            <w:right w:w="108" w:type="dxa"/>
          </w:tblCellMar>
        </w:tblPrEx>
        <w:trPr>
          <w:trHeight w:val="472"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172C3ADA">
            <w:pPr>
              <w:snapToGrid w:val="0"/>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9</w:t>
            </w:r>
          </w:p>
        </w:tc>
        <w:tc>
          <w:tcPr>
            <w:tcW w:w="943" w:type="dxa"/>
            <w:tcBorders>
              <w:top w:val="single" w:color="auto" w:sz="4" w:space="0"/>
              <w:left w:val="nil"/>
              <w:bottom w:val="single" w:color="auto" w:sz="4" w:space="0"/>
              <w:right w:val="single" w:color="auto" w:sz="4" w:space="0"/>
            </w:tcBorders>
            <w:noWrap/>
            <w:vAlign w:val="center"/>
          </w:tcPr>
          <w:p w14:paraId="22988D38">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A10-1</w:t>
            </w:r>
            <w:r>
              <w:rPr>
                <w:rFonts w:hint="eastAsia" w:ascii="宋体" w:hAnsi="宋体" w:cs="宋体"/>
                <w:color w:val="auto"/>
                <w:sz w:val="24"/>
                <w:szCs w:val="24"/>
                <w:highlight w:val="none"/>
              </w:rPr>
              <w:t>#</w:t>
            </w:r>
          </w:p>
        </w:tc>
        <w:tc>
          <w:tcPr>
            <w:tcW w:w="999" w:type="dxa"/>
            <w:tcBorders>
              <w:top w:val="single" w:color="auto" w:sz="4" w:space="0"/>
              <w:left w:val="nil"/>
              <w:bottom w:val="single" w:color="auto" w:sz="4" w:space="0"/>
              <w:right w:val="single" w:color="auto" w:sz="4" w:space="0"/>
            </w:tcBorders>
            <w:noWrap w:val="0"/>
            <w:vAlign w:val="center"/>
          </w:tcPr>
          <w:p w14:paraId="603E3C47">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nil"/>
              <w:bottom w:val="single" w:color="auto" w:sz="4" w:space="0"/>
              <w:right w:val="single" w:color="auto" w:sz="4" w:space="0"/>
            </w:tcBorders>
            <w:noWrap w:val="0"/>
            <w:vAlign w:val="center"/>
          </w:tcPr>
          <w:p w14:paraId="04DFD59B">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nil"/>
              <w:bottom w:val="single" w:color="auto" w:sz="4" w:space="0"/>
              <w:right w:val="single" w:color="auto" w:sz="4" w:space="0"/>
            </w:tcBorders>
            <w:noWrap/>
            <w:vAlign w:val="center"/>
          </w:tcPr>
          <w:p w14:paraId="474B147D">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1006" w:type="dxa"/>
            <w:tcBorders>
              <w:top w:val="single" w:color="auto" w:sz="4" w:space="0"/>
              <w:left w:val="nil"/>
              <w:bottom w:val="single" w:color="auto" w:sz="4" w:space="0"/>
              <w:right w:val="single" w:color="auto" w:sz="4" w:space="0"/>
            </w:tcBorders>
            <w:noWrap w:val="0"/>
            <w:vAlign w:val="center"/>
          </w:tcPr>
          <w:p w14:paraId="4367A1DF">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0E261E82">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75E60DB7">
            <w:pPr>
              <w:snapToGrid w:val="0"/>
              <w:spacing w:line="360" w:lineRule="auto"/>
              <w:jc w:val="center"/>
              <w:rPr>
                <w:rFonts w:hint="eastAsia" w:ascii="宋体" w:hAnsi="宋体" w:cs="宋体"/>
                <w:color w:val="auto"/>
                <w:sz w:val="24"/>
                <w:szCs w:val="24"/>
                <w:highlight w:val="none"/>
              </w:rPr>
            </w:pPr>
          </w:p>
        </w:tc>
      </w:tr>
      <w:tr w14:paraId="38A424FE">
        <w:tblPrEx>
          <w:tblCellMar>
            <w:top w:w="0" w:type="dxa"/>
            <w:left w:w="108" w:type="dxa"/>
            <w:bottom w:w="0" w:type="dxa"/>
            <w:right w:w="108" w:type="dxa"/>
          </w:tblCellMar>
        </w:tblPrEx>
        <w:trPr>
          <w:trHeight w:val="491"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3AEAEE38">
            <w:pPr>
              <w:snapToGrid w:val="0"/>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w:t>
            </w:r>
          </w:p>
        </w:tc>
        <w:tc>
          <w:tcPr>
            <w:tcW w:w="943" w:type="dxa"/>
            <w:tcBorders>
              <w:top w:val="single" w:color="auto" w:sz="4" w:space="0"/>
              <w:left w:val="nil"/>
              <w:bottom w:val="single" w:color="auto" w:sz="4" w:space="0"/>
              <w:right w:val="single" w:color="auto" w:sz="4" w:space="0"/>
            </w:tcBorders>
            <w:noWrap/>
            <w:vAlign w:val="center"/>
          </w:tcPr>
          <w:p w14:paraId="193A4C07">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A10-2</w:t>
            </w:r>
            <w:r>
              <w:rPr>
                <w:rFonts w:hint="eastAsia" w:ascii="宋体" w:hAnsi="宋体" w:cs="宋体"/>
                <w:color w:val="auto"/>
                <w:sz w:val="24"/>
                <w:szCs w:val="24"/>
                <w:highlight w:val="none"/>
              </w:rPr>
              <w:t>#</w:t>
            </w:r>
          </w:p>
        </w:tc>
        <w:tc>
          <w:tcPr>
            <w:tcW w:w="999" w:type="dxa"/>
            <w:tcBorders>
              <w:top w:val="single" w:color="auto" w:sz="4" w:space="0"/>
              <w:left w:val="nil"/>
              <w:bottom w:val="single" w:color="auto" w:sz="4" w:space="0"/>
              <w:right w:val="single" w:color="auto" w:sz="4" w:space="0"/>
            </w:tcBorders>
            <w:noWrap w:val="0"/>
            <w:vAlign w:val="center"/>
          </w:tcPr>
          <w:p w14:paraId="2913021E">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nil"/>
              <w:bottom w:val="single" w:color="auto" w:sz="4" w:space="0"/>
              <w:right w:val="single" w:color="auto" w:sz="4" w:space="0"/>
            </w:tcBorders>
            <w:noWrap w:val="0"/>
            <w:vAlign w:val="center"/>
          </w:tcPr>
          <w:p w14:paraId="5CBDE89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nil"/>
              <w:bottom w:val="single" w:color="auto" w:sz="4" w:space="0"/>
              <w:right w:val="single" w:color="auto" w:sz="4" w:space="0"/>
            </w:tcBorders>
            <w:noWrap/>
            <w:vAlign w:val="center"/>
          </w:tcPr>
          <w:p w14:paraId="0391A05B">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1006" w:type="dxa"/>
            <w:tcBorders>
              <w:top w:val="single" w:color="auto" w:sz="4" w:space="0"/>
              <w:left w:val="nil"/>
              <w:bottom w:val="single" w:color="auto" w:sz="4" w:space="0"/>
              <w:right w:val="single" w:color="auto" w:sz="4" w:space="0"/>
            </w:tcBorders>
            <w:noWrap w:val="0"/>
            <w:vAlign w:val="center"/>
          </w:tcPr>
          <w:p w14:paraId="410CB12B">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1F7D0E7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11268F22">
            <w:pPr>
              <w:snapToGrid w:val="0"/>
              <w:spacing w:line="360" w:lineRule="auto"/>
              <w:jc w:val="center"/>
              <w:rPr>
                <w:rFonts w:hint="eastAsia" w:ascii="宋体" w:hAnsi="宋体" w:cs="宋体"/>
                <w:color w:val="auto"/>
                <w:sz w:val="24"/>
                <w:szCs w:val="24"/>
                <w:highlight w:val="none"/>
              </w:rPr>
            </w:pPr>
          </w:p>
        </w:tc>
      </w:tr>
      <w:tr w14:paraId="358CD48E">
        <w:tblPrEx>
          <w:tblCellMar>
            <w:top w:w="0" w:type="dxa"/>
            <w:left w:w="108" w:type="dxa"/>
            <w:bottom w:w="0" w:type="dxa"/>
            <w:right w:w="108" w:type="dxa"/>
          </w:tblCellMar>
        </w:tblPrEx>
        <w:trPr>
          <w:trHeight w:val="492" w:hRule="atLeast"/>
        </w:trPr>
        <w:tc>
          <w:tcPr>
            <w:tcW w:w="493" w:type="dxa"/>
            <w:tcBorders>
              <w:top w:val="nil"/>
              <w:left w:val="single" w:color="auto" w:sz="4" w:space="0"/>
              <w:bottom w:val="single" w:color="auto" w:sz="4" w:space="0"/>
              <w:right w:val="single" w:color="auto" w:sz="4" w:space="0"/>
            </w:tcBorders>
            <w:noWrap w:val="0"/>
            <w:vAlign w:val="center"/>
          </w:tcPr>
          <w:p w14:paraId="1B85142D">
            <w:pPr>
              <w:snapToGrid w:val="0"/>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11</w:t>
            </w:r>
          </w:p>
        </w:tc>
        <w:tc>
          <w:tcPr>
            <w:tcW w:w="943" w:type="dxa"/>
            <w:tcBorders>
              <w:top w:val="nil"/>
              <w:left w:val="nil"/>
              <w:bottom w:val="single" w:color="auto" w:sz="4" w:space="0"/>
              <w:right w:val="single" w:color="auto" w:sz="4" w:space="0"/>
            </w:tcBorders>
            <w:noWrap w:val="0"/>
            <w:vAlign w:val="center"/>
          </w:tcPr>
          <w:p w14:paraId="33868FBC">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A11-1</w:t>
            </w:r>
            <w:r>
              <w:rPr>
                <w:rFonts w:hint="eastAsia" w:ascii="宋体" w:hAnsi="宋体" w:cs="宋体"/>
                <w:color w:val="auto"/>
                <w:sz w:val="24"/>
                <w:szCs w:val="24"/>
                <w:highlight w:val="none"/>
              </w:rPr>
              <w:t>#</w:t>
            </w:r>
          </w:p>
        </w:tc>
        <w:tc>
          <w:tcPr>
            <w:tcW w:w="999" w:type="dxa"/>
            <w:tcBorders>
              <w:top w:val="nil"/>
              <w:left w:val="nil"/>
              <w:bottom w:val="single" w:color="auto" w:sz="4" w:space="0"/>
              <w:right w:val="single" w:color="auto" w:sz="4" w:space="0"/>
            </w:tcBorders>
            <w:noWrap w:val="0"/>
            <w:vAlign w:val="center"/>
          </w:tcPr>
          <w:p w14:paraId="0D8ED4B5">
            <w:pPr>
              <w:snapToGrid w:val="0"/>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nil"/>
              <w:left w:val="nil"/>
              <w:bottom w:val="single" w:color="auto" w:sz="4" w:space="0"/>
              <w:right w:val="single" w:color="auto" w:sz="4" w:space="0"/>
            </w:tcBorders>
            <w:noWrap w:val="0"/>
            <w:vAlign w:val="center"/>
          </w:tcPr>
          <w:p w14:paraId="58B006BC">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nil"/>
              <w:left w:val="nil"/>
              <w:bottom w:val="single" w:color="auto" w:sz="4" w:space="0"/>
              <w:right w:val="single" w:color="auto" w:sz="4" w:space="0"/>
            </w:tcBorders>
            <w:noWrap w:val="0"/>
            <w:vAlign w:val="center"/>
          </w:tcPr>
          <w:p w14:paraId="4160136C">
            <w:pPr>
              <w:snapToGrid w:val="0"/>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p>
        </w:tc>
        <w:tc>
          <w:tcPr>
            <w:tcW w:w="1006" w:type="dxa"/>
            <w:tcBorders>
              <w:top w:val="nil"/>
              <w:left w:val="nil"/>
              <w:bottom w:val="single" w:color="auto" w:sz="4" w:space="0"/>
              <w:right w:val="single" w:color="auto" w:sz="4" w:space="0"/>
            </w:tcBorders>
            <w:noWrap w:val="0"/>
            <w:vAlign w:val="center"/>
          </w:tcPr>
          <w:p w14:paraId="21FDDCC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nil"/>
              <w:left w:val="nil"/>
              <w:bottom w:val="single" w:color="auto" w:sz="4" w:space="0"/>
              <w:right w:val="single" w:color="auto" w:sz="4" w:space="0"/>
            </w:tcBorders>
            <w:noWrap w:val="0"/>
            <w:vAlign w:val="center"/>
          </w:tcPr>
          <w:p w14:paraId="22E273A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0F86387D">
            <w:pPr>
              <w:snapToGrid w:val="0"/>
              <w:spacing w:line="360" w:lineRule="auto"/>
              <w:jc w:val="center"/>
              <w:rPr>
                <w:rFonts w:hint="eastAsia" w:ascii="宋体" w:hAnsi="宋体" w:cs="宋体"/>
                <w:color w:val="auto"/>
                <w:sz w:val="24"/>
                <w:szCs w:val="24"/>
                <w:highlight w:val="none"/>
              </w:rPr>
            </w:pPr>
          </w:p>
        </w:tc>
      </w:tr>
      <w:tr w14:paraId="22E99F09">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1039401B">
            <w:pPr>
              <w:snapToGrid w:val="0"/>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33B8F2F3">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A11-2</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1C5F5545">
            <w:pPr>
              <w:snapToGrid w:val="0"/>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39180EC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0CE40E33">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4DA67E1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278FA9E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bottom w:val="single" w:color="auto" w:sz="4" w:space="0"/>
              <w:right w:val="single" w:color="auto" w:sz="4" w:space="0"/>
            </w:tcBorders>
            <w:noWrap w:val="0"/>
            <w:vAlign w:val="center"/>
          </w:tcPr>
          <w:p w14:paraId="76DD0118">
            <w:pPr>
              <w:snapToGrid w:val="0"/>
              <w:spacing w:line="360" w:lineRule="auto"/>
              <w:jc w:val="center"/>
              <w:rPr>
                <w:rFonts w:hint="eastAsia" w:ascii="宋体" w:hAnsi="宋体" w:cs="宋体"/>
                <w:color w:val="auto"/>
                <w:sz w:val="24"/>
                <w:szCs w:val="24"/>
                <w:highlight w:val="none"/>
              </w:rPr>
            </w:pPr>
          </w:p>
        </w:tc>
      </w:tr>
      <w:tr w14:paraId="345B6AA2">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09572ACE">
            <w:pPr>
              <w:snapToGrid w:val="0"/>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13</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75271F8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B1-1</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2F17BCA2">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0314B5FF">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6175067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40DF149F">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1459EDDE">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restart"/>
            <w:tcBorders>
              <w:top w:val="single" w:color="auto" w:sz="4" w:space="0"/>
              <w:left w:val="single" w:color="auto" w:sz="4" w:space="0"/>
              <w:right w:val="single" w:color="auto" w:sz="4" w:space="0"/>
            </w:tcBorders>
            <w:noWrap w:val="0"/>
            <w:vAlign w:val="center"/>
          </w:tcPr>
          <w:p w14:paraId="4E119EB0">
            <w:pPr>
              <w:snapToGrid w:val="0"/>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中央花园</w:t>
            </w:r>
            <w:r>
              <w:rPr>
                <w:rFonts w:hint="eastAsia" w:ascii="宋体" w:hAnsi="宋体" w:cs="宋体"/>
                <w:color w:val="auto"/>
                <w:sz w:val="24"/>
                <w:szCs w:val="24"/>
                <w:highlight w:val="none"/>
                <w:lang w:val="en-US" w:eastAsia="zh-CN"/>
              </w:rPr>
              <w:t>B</w:t>
            </w:r>
            <w:r>
              <w:rPr>
                <w:rFonts w:hint="eastAsia" w:ascii="宋体" w:hAnsi="宋体" w:cs="宋体"/>
                <w:color w:val="auto"/>
                <w:sz w:val="24"/>
                <w:szCs w:val="24"/>
                <w:highlight w:val="none"/>
              </w:rPr>
              <w:t>区</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栋</w:t>
            </w:r>
            <w:r>
              <w:rPr>
                <w:rFonts w:hint="eastAsia" w:ascii="宋体" w:hAnsi="宋体" w:cs="宋体"/>
                <w:color w:val="auto"/>
                <w:sz w:val="24"/>
                <w:szCs w:val="24"/>
                <w:highlight w:val="none"/>
                <w:lang w:val="en-US" w:eastAsia="zh-CN"/>
              </w:rPr>
              <w:t>4台</w:t>
            </w:r>
          </w:p>
        </w:tc>
      </w:tr>
      <w:tr w14:paraId="708BB875">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04FDD4F6">
            <w:pPr>
              <w:snapToGrid w:val="0"/>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14</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6D6DF7E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B1-2</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7D78400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2722978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5831E56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5F2ECB12">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4A27663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right w:val="single" w:color="auto" w:sz="4" w:space="0"/>
            </w:tcBorders>
            <w:noWrap w:val="0"/>
            <w:vAlign w:val="center"/>
          </w:tcPr>
          <w:p w14:paraId="5266968B">
            <w:pPr>
              <w:snapToGrid w:val="0"/>
              <w:spacing w:line="360" w:lineRule="auto"/>
              <w:jc w:val="center"/>
              <w:rPr>
                <w:rFonts w:hint="eastAsia" w:ascii="宋体" w:hAnsi="宋体" w:cs="宋体"/>
                <w:color w:val="auto"/>
                <w:sz w:val="24"/>
                <w:szCs w:val="24"/>
                <w:highlight w:val="none"/>
              </w:rPr>
            </w:pPr>
          </w:p>
        </w:tc>
      </w:tr>
      <w:tr w14:paraId="61CE9A95">
        <w:tblPrEx>
          <w:tblCellMar>
            <w:top w:w="0" w:type="dxa"/>
            <w:left w:w="108" w:type="dxa"/>
            <w:bottom w:w="0" w:type="dxa"/>
            <w:right w:w="108" w:type="dxa"/>
          </w:tblCellMar>
        </w:tblPrEx>
        <w:trPr>
          <w:trHeight w:val="494"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27C33720">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15</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4416A05A">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B5-1</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19B66A4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4752C41A">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00122A58">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7AC2094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4311F658">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right w:val="single" w:color="auto" w:sz="4" w:space="0"/>
            </w:tcBorders>
            <w:noWrap w:val="0"/>
            <w:vAlign w:val="center"/>
          </w:tcPr>
          <w:p w14:paraId="3A539553">
            <w:pPr>
              <w:snapToGrid w:val="0"/>
              <w:spacing w:line="360" w:lineRule="auto"/>
              <w:jc w:val="center"/>
              <w:rPr>
                <w:rFonts w:hint="eastAsia" w:ascii="宋体" w:hAnsi="宋体" w:cs="宋体"/>
                <w:color w:val="auto"/>
                <w:sz w:val="24"/>
                <w:szCs w:val="24"/>
                <w:highlight w:val="none"/>
              </w:rPr>
            </w:pPr>
          </w:p>
        </w:tc>
      </w:tr>
      <w:tr w14:paraId="665045F5">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3F57E353">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16</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0F688DD7">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B5-2</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218B4B4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1C98709F">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172B36E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2D1F01CD">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57BD012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bottom w:val="single" w:color="auto" w:sz="4" w:space="0"/>
              <w:right w:val="single" w:color="auto" w:sz="4" w:space="0"/>
            </w:tcBorders>
            <w:noWrap w:val="0"/>
            <w:vAlign w:val="center"/>
          </w:tcPr>
          <w:p w14:paraId="5C0AFBE2">
            <w:pPr>
              <w:snapToGrid w:val="0"/>
              <w:spacing w:line="360" w:lineRule="auto"/>
              <w:jc w:val="center"/>
              <w:rPr>
                <w:rFonts w:hint="eastAsia" w:ascii="宋体" w:hAnsi="宋体" w:cs="宋体"/>
                <w:color w:val="auto"/>
                <w:sz w:val="24"/>
                <w:szCs w:val="24"/>
                <w:highlight w:val="none"/>
              </w:rPr>
            </w:pPr>
          </w:p>
        </w:tc>
      </w:tr>
      <w:tr w14:paraId="7572CB81">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217EA86B">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17</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673E66D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C15-1</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2772388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1BE9FFD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58B7C42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10D2CBFA">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70F7003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restart"/>
            <w:tcBorders>
              <w:top w:val="single" w:color="auto" w:sz="4" w:space="0"/>
              <w:left w:val="single" w:color="auto" w:sz="4" w:space="0"/>
              <w:right w:val="single" w:color="auto" w:sz="4" w:space="0"/>
            </w:tcBorders>
            <w:noWrap w:val="0"/>
            <w:vAlign w:val="center"/>
          </w:tcPr>
          <w:p w14:paraId="7688DD3A">
            <w:pPr>
              <w:snapToGrid w:val="0"/>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中央花园</w:t>
            </w:r>
            <w:r>
              <w:rPr>
                <w:rFonts w:hint="eastAsia" w:ascii="宋体" w:hAnsi="宋体" w:cs="宋体"/>
                <w:color w:val="auto"/>
                <w:sz w:val="24"/>
                <w:szCs w:val="24"/>
                <w:highlight w:val="none"/>
                <w:lang w:val="en-US" w:eastAsia="zh-CN"/>
              </w:rPr>
              <w:t>C</w:t>
            </w:r>
            <w:r>
              <w:rPr>
                <w:rFonts w:hint="eastAsia" w:ascii="宋体" w:hAnsi="宋体" w:cs="宋体"/>
                <w:color w:val="auto"/>
                <w:sz w:val="24"/>
                <w:szCs w:val="24"/>
                <w:highlight w:val="none"/>
              </w:rPr>
              <w:t>区</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栋</w:t>
            </w:r>
            <w:r>
              <w:rPr>
                <w:rFonts w:hint="eastAsia" w:ascii="宋体" w:hAnsi="宋体" w:cs="宋体"/>
                <w:color w:val="auto"/>
                <w:sz w:val="24"/>
                <w:szCs w:val="24"/>
                <w:highlight w:val="none"/>
                <w:lang w:val="en-US" w:eastAsia="zh-CN"/>
              </w:rPr>
              <w:t>6台</w:t>
            </w:r>
          </w:p>
        </w:tc>
      </w:tr>
      <w:tr w14:paraId="061D45D6">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561DD866">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18</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2CE72A9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C15-2</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2B60909A">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38D0D323">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35E08A0C">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553641F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771A2D82">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right w:val="single" w:color="auto" w:sz="4" w:space="0"/>
            </w:tcBorders>
            <w:noWrap w:val="0"/>
            <w:vAlign w:val="center"/>
          </w:tcPr>
          <w:p w14:paraId="036F4325">
            <w:pPr>
              <w:snapToGrid w:val="0"/>
              <w:spacing w:line="360" w:lineRule="auto"/>
              <w:jc w:val="center"/>
              <w:rPr>
                <w:rFonts w:hint="eastAsia" w:ascii="宋体" w:hAnsi="宋体" w:cs="宋体"/>
                <w:color w:val="auto"/>
                <w:sz w:val="24"/>
                <w:szCs w:val="24"/>
                <w:highlight w:val="none"/>
              </w:rPr>
            </w:pPr>
          </w:p>
        </w:tc>
      </w:tr>
      <w:tr w14:paraId="285E616A">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2C60A851">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19</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5490904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C16-1</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44D9D81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60136A0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40E3D09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75AD3802">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5868CE57">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right w:val="single" w:color="auto" w:sz="4" w:space="0"/>
            </w:tcBorders>
            <w:noWrap w:val="0"/>
            <w:vAlign w:val="center"/>
          </w:tcPr>
          <w:p w14:paraId="30A4BBDA">
            <w:pPr>
              <w:snapToGrid w:val="0"/>
              <w:spacing w:line="360" w:lineRule="auto"/>
              <w:jc w:val="center"/>
              <w:rPr>
                <w:rFonts w:hint="eastAsia" w:ascii="宋体" w:hAnsi="宋体" w:cs="宋体"/>
                <w:color w:val="auto"/>
                <w:sz w:val="24"/>
                <w:szCs w:val="24"/>
                <w:highlight w:val="none"/>
              </w:rPr>
            </w:pPr>
          </w:p>
        </w:tc>
      </w:tr>
      <w:tr w14:paraId="657370BD">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20D7EE45">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686C6763">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C16-2</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62C985BF">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249C00E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75F4917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02B5499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3CEF345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right w:val="single" w:color="auto" w:sz="4" w:space="0"/>
            </w:tcBorders>
            <w:noWrap w:val="0"/>
            <w:vAlign w:val="center"/>
          </w:tcPr>
          <w:p w14:paraId="5BF4B6A2">
            <w:pPr>
              <w:snapToGrid w:val="0"/>
              <w:spacing w:line="360" w:lineRule="auto"/>
              <w:jc w:val="center"/>
              <w:rPr>
                <w:rFonts w:hint="eastAsia" w:ascii="宋体" w:hAnsi="宋体" w:cs="宋体"/>
                <w:color w:val="auto"/>
                <w:sz w:val="24"/>
                <w:szCs w:val="24"/>
                <w:highlight w:val="none"/>
              </w:rPr>
            </w:pPr>
          </w:p>
        </w:tc>
      </w:tr>
      <w:tr w14:paraId="77830224">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6C37A4D1">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21</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606710FD">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C17-1</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0CCE8AAF">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16368CD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55C0ABB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3DD67F8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0610D242">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right w:val="single" w:color="auto" w:sz="4" w:space="0"/>
            </w:tcBorders>
            <w:noWrap w:val="0"/>
            <w:vAlign w:val="center"/>
          </w:tcPr>
          <w:p w14:paraId="04450EEE">
            <w:pPr>
              <w:snapToGrid w:val="0"/>
              <w:spacing w:line="360" w:lineRule="auto"/>
              <w:jc w:val="center"/>
              <w:rPr>
                <w:rFonts w:hint="eastAsia" w:ascii="宋体" w:hAnsi="宋体" w:cs="宋体"/>
                <w:color w:val="auto"/>
                <w:sz w:val="24"/>
                <w:szCs w:val="24"/>
                <w:highlight w:val="none"/>
              </w:rPr>
            </w:pPr>
          </w:p>
        </w:tc>
      </w:tr>
      <w:tr w14:paraId="49313814">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2481A642">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22</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5C718B5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C17-2</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4D97A7E7">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462B92E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5B01DDF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77D860F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65A98AE7">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bottom w:val="single" w:color="auto" w:sz="4" w:space="0"/>
              <w:right w:val="single" w:color="auto" w:sz="4" w:space="0"/>
            </w:tcBorders>
            <w:noWrap w:val="0"/>
            <w:vAlign w:val="center"/>
          </w:tcPr>
          <w:p w14:paraId="195D2891">
            <w:pPr>
              <w:snapToGrid w:val="0"/>
              <w:spacing w:line="360" w:lineRule="auto"/>
              <w:jc w:val="center"/>
              <w:rPr>
                <w:rFonts w:hint="eastAsia" w:ascii="宋体" w:hAnsi="宋体" w:cs="宋体"/>
                <w:color w:val="auto"/>
                <w:sz w:val="24"/>
                <w:szCs w:val="24"/>
                <w:highlight w:val="none"/>
              </w:rPr>
            </w:pPr>
          </w:p>
        </w:tc>
      </w:tr>
      <w:tr w14:paraId="20BF3F57">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6D41BF7B">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23</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688D01B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D12-1</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7A2D1B5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1D3611E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740AC8AC">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23/23/23</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3C88D50B">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1791A7DC">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restart"/>
            <w:tcBorders>
              <w:top w:val="single" w:color="auto" w:sz="4" w:space="0"/>
              <w:left w:val="single" w:color="auto" w:sz="4" w:space="0"/>
              <w:right w:val="single" w:color="auto" w:sz="4" w:space="0"/>
            </w:tcBorders>
            <w:noWrap w:val="0"/>
            <w:vAlign w:val="center"/>
          </w:tcPr>
          <w:p w14:paraId="5E2CB43C">
            <w:pPr>
              <w:snapToGrid w:val="0"/>
              <w:spacing w:line="360" w:lineRule="auto"/>
              <w:jc w:val="center"/>
              <w:rPr>
                <w:rFonts w:hint="eastAsia" w:ascii="宋体" w:hAnsi="宋体" w:cs="宋体"/>
                <w:color w:val="auto"/>
                <w:sz w:val="24"/>
                <w:szCs w:val="24"/>
                <w:highlight w:val="none"/>
              </w:rPr>
            </w:pPr>
          </w:p>
          <w:p w14:paraId="3B426C35">
            <w:pPr>
              <w:snapToGrid w:val="0"/>
              <w:spacing w:line="360" w:lineRule="auto"/>
              <w:jc w:val="center"/>
              <w:rPr>
                <w:rFonts w:hint="eastAsia" w:ascii="宋体" w:hAnsi="宋体" w:cs="宋体"/>
                <w:color w:val="auto"/>
                <w:sz w:val="24"/>
                <w:szCs w:val="24"/>
                <w:highlight w:val="none"/>
              </w:rPr>
            </w:pPr>
          </w:p>
          <w:p w14:paraId="58DB02B1">
            <w:pPr>
              <w:snapToGrid w:val="0"/>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中央花园</w:t>
            </w:r>
            <w:r>
              <w:rPr>
                <w:rFonts w:hint="eastAsia" w:ascii="宋体" w:hAnsi="宋体" w:cs="宋体"/>
                <w:color w:val="auto"/>
                <w:sz w:val="24"/>
                <w:szCs w:val="24"/>
                <w:highlight w:val="none"/>
                <w:lang w:val="en-US" w:eastAsia="zh-CN"/>
              </w:rPr>
              <w:t>D</w:t>
            </w:r>
            <w:r>
              <w:rPr>
                <w:rFonts w:hint="eastAsia" w:ascii="宋体" w:hAnsi="宋体" w:cs="宋体"/>
                <w:color w:val="auto"/>
                <w:sz w:val="24"/>
                <w:szCs w:val="24"/>
                <w:highlight w:val="none"/>
              </w:rPr>
              <w:t>区</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栋</w:t>
            </w:r>
            <w:r>
              <w:rPr>
                <w:rFonts w:hint="eastAsia" w:ascii="宋体" w:hAnsi="宋体" w:cs="宋体"/>
                <w:color w:val="auto"/>
                <w:sz w:val="24"/>
                <w:szCs w:val="24"/>
                <w:highlight w:val="none"/>
                <w:lang w:val="en-US" w:eastAsia="zh-CN"/>
              </w:rPr>
              <w:t>6台</w:t>
            </w:r>
          </w:p>
        </w:tc>
      </w:tr>
      <w:tr w14:paraId="5FDD3F9B">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7AF354E8">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24</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2EEC859D">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D12-2</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46ABC6E8">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207E14E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3C4F6BF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23/23/23</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5656137B">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3EFDADD3">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right w:val="single" w:color="auto" w:sz="4" w:space="0"/>
            </w:tcBorders>
            <w:noWrap w:val="0"/>
            <w:vAlign w:val="center"/>
          </w:tcPr>
          <w:p w14:paraId="28ECFD07">
            <w:pPr>
              <w:snapToGrid w:val="0"/>
              <w:spacing w:line="360" w:lineRule="auto"/>
              <w:jc w:val="center"/>
              <w:rPr>
                <w:rFonts w:hint="eastAsia" w:ascii="宋体" w:hAnsi="宋体" w:cs="宋体"/>
                <w:color w:val="auto"/>
                <w:sz w:val="24"/>
                <w:szCs w:val="24"/>
                <w:highlight w:val="none"/>
              </w:rPr>
            </w:pPr>
          </w:p>
        </w:tc>
      </w:tr>
      <w:tr w14:paraId="38646981">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25F131EF">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25</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490E8257">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D13-1</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544660F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277A6D6C">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701435A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23/23/23</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6A87BBED">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4408A91B">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right w:val="single" w:color="auto" w:sz="4" w:space="0"/>
            </w:tcBorders>
            <w:noWrap w:val="0"/>
            <w:vAlign w:val="center"/>
          </w:tcPr>
          <w:p w14:paraId="3F7230CE">
            <w:pPr>
              <w:snapToGrid w:val="0"/>
              <w:spacing w:line="360" w:lineRule="auto"/>
              <w:jc w:val="center"/>
              <w:rPr>
                <w:rFonts w:hint="eastAsia" w:ascii="宋体" w:hAnsi="宋体" w:cs="宋体"/>
                <w:color w:val="auto"/>
                <w:sz w:val="24"/>
                <w:szCs w:val="24"/>
                <w:highlight w:val="none"/>
              </w:rPr>
            </w:pPr>
          </w:p>
        </w:tc>
      </w:tr>
      <w:tr w14:paraId="1D060795">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504B3340">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26</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36765D12">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D13-2</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4F82AC1F">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39A7C74D">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31E35842">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23/23/23</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0DDA1EB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3C84904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right w:val="single" w:color="auto" w:sz="4" w:space="0"/>
            </w:tcBorders>
            <w:noWrap w:val="0"/>
            <w:vAlign w:val="center"/>
          </w:tcPr>
          <w:p w14:paraId="2E7458E2">
            <w:pPr>
              <w:snapToGrid w:val="0"/>
              <w:spacing w:line="360" w:lineRule="auto"/>
              <w:jc w:val="center"/>
              <w:rPr>
                <w:rFonts w:hint="eastAsia" w:ascii="宋体" w:hAnsi="宋体" w:cs="宋体"/>
                <w:color w:val="auto"/>
                <w:sz w:val="24"/>
                <w:szCs w:val="24"/>
                <w:highlight w:val="none"/>
              </w:rPr>
            </w:pPr>
          </w:p>
        </w:tc>
      </w:tr>
      <w:tr w14:paraId="5CA29810">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2705C7D2">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27</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48B83A0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D14-1</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431703CC">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580F4C4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64EBE4F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4A6210D3">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3E5395FD">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right w:val="single" w:color="auto" w:sz="4" w:space="0"/>
            </w:tcBorders>
            <w:noWrap w:val="0"/>
            <w:vAlign w:val="center"/>
          </w:tcPr>
          <w:p w14:paraId="3E6A2272">
            <w:pPr>
              <w:snapToGrid w:val="0"/>
              <w:spacing w:line="360" w:lineRule="auto"/>
              <w:jc w:val="center"/>
              <w:rPr>
                <w:rFonts w:hint="eastAsia" w:ascii="宋体" w:hAnsi="宋体" w:cs="宋体"/>
                <w:color w:val="auto"/>
                <w:sz w:val="24"/>
                <w:szCs w:val="24"/>
                <w:highlight w:val="none"/>
              </w:rPr>
            </w:pPr>
          </w:p>
        </w:tc>
      </w:tr>
      <w:tr w14:paraId="111B1827">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69095A20">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28</w:t>
            </w:r>
          </w:p>
        </w:tc>
        <w:tc>
          <w:tcPr>
            <w:tcW w:w="943" w:type="dxa"/>
            <w:tcBorders>
              <w:top w:val="single" w:color="auto" w:sz="4" w:space="0"/>
              <w:left w:val="single" w:color="auto" w:sz="4" w:space="0"/>
              <w:bottom w:val="single" w:color="auto" w:sz="4" w:space="0"/>
              <w:right w:val="single" w:color="auto" w:sz="4" w:space="0"/>
            </w:tcBorders>
            <w:noWrap w:val="0"/>
            <w:vAlign w:val="center"/>
          </w:tcPr>
          <w:p w14:paraId="758B80DE">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D14-2</w:t>
            </w:r>
            <w:r>
              <w:rPr>
                <w:rFonts w:hint="eastAsia" w:ascii="宋体" w:hAnsi="宋体" w:cs="宋体"/>
                <w:color w:val="auto"/>
                <w:sz w:val="24"/>
                <w:szCs w:val="24"/>
                <w:highlight w:val="none"/>
              </w:rPr>
              <w:t>#</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5BE80A67">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237F22B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6" w:type="dxa"/>
            <w:tcBorders>
              <w:top w:val="single" w:color="auto" w:sz="4" w:space="0"/>
              <w:left w:val="single" w:color="auto" w:sz="4" w:space="0"/>
              <w:bottom w:val="single" w:color="auto" w:sz="4" w:space="0"/>
              <w:right w:val="single" w:color="auto" w:sz="4" w:space="0"/>
            </w:tcBorders>
            <w:noWrap w:val="0"/>
            <w:vAlign w:val="center"/>
          </w:tcPr>
          <w:p w14:paraId="184D7AD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7394B6C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6E95791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bottom w:val="single" w:color="auto" w:sz="4" w:space="0"/>
              <w:right w:val="single" w:color="auto" w:sz="4" w:space="0"/>
            </w:tcBorders>
            <w:noWrap w:val="0"/>
            <w:vAlign w:val="center"/>
          </w:tcPr>
          <w:p w14:paraId="67DE429A">
            <w:pPr>
              <w:snapToGrid w:val="0"/>
              <w:spacing w:line="360" w:lineRule="auto"/>
              <w:jc w:val="center"/>
              <w:rPr>
                <w:rFonts w:hint="eastAsia" w:ascii="宋体" w:hAnsi="宋体" w:cs="宋体"/>
                <w:color w:val="auto"/>
                <w:sz w:val="24"/>
                <w:szCs w:val="24"/>
                <w:highlight w:val="none"/>
              </w:rPr>
            </w:pPr>
          </w:p>
        </w:tc>
      </w:tr>
    </w:tbl>
    <w:p w14:paraId="33967E2C">
      <w:pPr>
        <w:snapToGrid w:val="0"/>
        <w:spacing w:line="400" w:lineRule="exact"/>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1.技术规格参数</w:t>
      </w:r>
    </w:p>
    <w:p w14:paraId="166B2444">
      <w:pPr>
        <w:snapToGrid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1.1 电梯编号：详见“乘客电梯参数表”</w:t>
      </w:r>
    </w:p>
    <w:p w14:paraId="2408AC1E">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1.2 电梯类型：详见“乘客电梯参数表”</w:t>
      </w:r>
    </w:p>
    <w:p w14:paraId="208C4D77">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1.3 主机形式：永磁同步无齿轮曳引机</w:t>
      </w:r>
    </w:p>
    <w:p w14:paraId="271481C7">
      <w:pPr>
        <w:snapToGrid w:val="0"/>
        <w:spacing w:line="400" w:lineRule="exact"/>
        <w:ind w:firstLine="480" w:firstLineChars="200"/>
        <w:rPr>
          <w:rFonts w:hint="eastAsia"/>
          <w:color w:val="auto"/>
          <w:sz w:val="24"/>
          <w:szCs w:val="24"/>
          <w:highlight w:val="none"/>
        </w:rPr>
      </w:pPr>
      <w:r>
        <w:rPr>
          <w:rFonts w:hint="eastAsia" w:ascii="宋体" w:hAnsi="宋体" w:cs="宋体"/>
          <w:color w:val="auto"/>
          <w:sz w:val="24"/>
          <w:szCs w:val="24"/>
          <w:highlight w:val="none"/>
        </w:rPr>
        <w:t>1.4 电源电压：三相380V 50Hz；单相220V 50Hz；</w:t>
      </w:r>
    </w:p>
    <w:p w14:paraId="728B71B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1.5 操作方式：无司机</w:t>
      </w:r>
    </w:p>
    <w:p w14:paraId="799DAF6B">
      <w:pPr>
        <w:tabs>
          <w:tab w:val="left" w:pos="7467"/>
        </w:tabs>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1.6 控制方式：32位全电脑集选控制。</w:t>
      </w:r>
      <w:r>
        <w:rPr>
          <w:rFonts w:hint="eastAsia" w:ascii="宋体" w:hAnsi="宋体" w:cs="宋体"/>
          <w:color w:val="auto"/>
          <w:sz w:val="24"/>
          <w:szCs w:val="24"/>
          <w:highlight w:val="none"/>
        </w:rPr>
        <w:tab/>
      </w:r>
    </w:p>
    <w:p w14:paraId="7C56AAA8">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1.7 驱动方式：VVVF变频变压调速</w:t>
      </w:r>
    </w:p>
    <w:p w14:paraId="5758CB3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1.8 门机控制：VVVF变频门机，开关门时间可设置      </w:t>
      </w:r>
    </w:p>
    <w:p w14:paraId="3DB70372">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 平层精度：±5</w:t>
      </w:r>
      <w:r>
        <w:rPr>
          <w:rFonts w:hint="eastAsia" w:ascii="宋体" w:hAnsi="宋体" w:cs="宋体"/>
          <w:color w:val="auto"/>
          <w:sz w:val="24"/>
          <w:szCs w:val="24"/>
          <w:highlight w:val="none"/>
          <w:lang w:val="en-US" w:eastAsia="zh-CN"/>
        </w:rPr>
        <w:t>mm</w:t>
      </w:r>
      <w:r>
        <w:rPr>
          <w:rFonts w:hint="eastAsia" w:ascii="宋体" w:hAnsi="宋体" w:cs="宋体"/>
          <w:color w:val="auto"/>
          <w:sz w:val="24"/>
          <w:szCs w:val="24"/>
          <w:highlight w:val="none"/>
        </w:rPr>
        <w:t>（起制动加、减速度≤0.8m/s²）</w:t>
      </w:r>
    </w:p>
    <w:p w14:paraId="22BD3671">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1.10 噪音指标：开关门≤60dB，轿厢内≤54dB</w:t>
      </w:r>
    </w:p>
    <w:p w14:paraId="1F70CC7F">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1.11 振动加速度：水平方向及垂直方向均≤25cm/s²</w:t>
      </w:r>
    </w:p>
    <w:p w14:paraId="402C0056">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1.12 额定容量：1050kg</w:t>
      </w:r>
    </w:p>
    <w:p w14:paraId="104F8D51">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1.13 额定速度：1.75m/s</w:t>
      </w:r>
    </w:p>
    <w:p w14:paraId="0EB3F006">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 xml:space="preserve"> 主服务层/消防返回层：1F</w:t>
      </w:r>
    </w:p>
    <w:p w14:paraId="71E7CDED">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 xml:space="preserve"> 开门方式及开门宽高：中分</w:t>
      </w:r>
    </w:p>
    <w:p w14:paraId="31ACB7A4">
      <w:pPr>
        <w:snapToGrid w:val="0"/>
        <w:spacing w:line="400" w:lineRule="exact"/>
        <w:ind w:firstLine="482" w:firstLineChars="200"/>
        <w:rPr>
          <w:rFonts w:hint="eastAsia" w:ascii="宋体" w:hAnsi="宋体" w:cs="宋体"/>
          <w:color w:val="auto"/>
          <w:sz w:val="24"/>
          <w:szCs w:val="24"/>
          <w:highlight w:val="none"/>
        </w:rPr>
      </w:pPr>
      <w:r>
        <w:rPr>
          <w:rFonts w:hint="eastAsia" w:ascii="宋体" w:hAnsi="宋体" w:cs="宋体"/>
          <w:b/>
          <w:bCs/>
          <w:color w:val="auto"/>
          <w:sz w:val="24"/>
          <w:szCs w:val="24"/>
          <w:highlight w:val="none"/>
        </w:rPr>
        <w:t>2.轿厢轿门设计</w:t>
      </w:r>
      <w:r>
        <w:rPr>
          <w:rFonts w:hint="eastAsia" w:ascii="宋体" w:hAnsi="宋体" w:cs="宋体"/>
          <w:color w:val="auto"/>
          <w:sz w:val="24"/>
          <w:szCs w:val="24"/>
          <w:highlight w:val="none"/>
        </w:rPr>
        <w:t xml:space="preserve"> </w:t>
      </w:r>
    </w:p>
    <w:p w14:paraId="1E1A9BF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 轿厢净尺寸：根据各厂家设计，轿厢空间高度≥2.3米。</w:t>
      </w:r>
    </w:p>
    <w:p w14:paraId="484062AD">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2.2 轿厢天花：镜面不锈钢</w:t>
      </w:r>
    </w:p>
    <w:p w14:paraId="4CFE2B8F">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2.3 轿厢照明：LED照明 </w:t>
      </w:r>
    </w:p>
    <w:p w14:paraId="3CA373F7">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2.4 轿厢壁：发纹不锈钢</w:t>
      </w:r>
    </w:p>
    <w:p w14:paraId="11DC7754">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2.5 轿厢门：发纹不锈钢</w:t>
      </w:r>
    </w:p>
    <w:p w14:paraId="0B003FA9">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2.6 操纵面板：发纹不锈钢，按钮发纹不锈钢</w:t>
      </w:r>
    </w:p>
    <w:p w14:paraId="72FC53C8">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2.7 轿内显示器：液晶显示</w:t>
      </w:r>
    </w:p>
    <w:p w14:paraId="3010B970">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2.8 轿厢对讲、监控系统：要求轿厢、机房、消防中心、值班控制室及轿底能实现五方通话，内置式对讲装置和随行电缆配置专用高清监控视频。</w:t>
      </w:r>
    </w:p>
    <w:p w14:paraId="0991B22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2.9 通风设施：滚筒横流风扇 </w:t>
      </w:r>
    </w:p>
    <w:p w14:paraId="7F75AB4E">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2.10 轿厢地面：石材地板</w:t>
      </w:r>
    </w:p>
    <w:p w14:paraId="29A01BAB">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2.11 轿厢地坎：硬质铝合金地坎</w:t>
      </w:r>
    </w:p>
    <w:p w14:paraId="152626E0">
      <w:pPr>
        <w:snapToGrid w:val="0"/>
        <w:spacing w:line="400" w:lineRule="exact"/>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3.梯厅入口设计</w:t>
      </w:r>
    </w:p>
    <w:p w14:paraId="68731DD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3.1 厅门入口净尺寸：宽900mm×高2100mm</w:t>
      </w:r>
    </w:p>
    <w:p w14:paraId="62C5AA5A">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3.2 门套：首层为发纹不锈钢，其余每层小门套均为喷漆钢板</w:t>
      </w:r>
    </w:p>
    <w:p w14:paraId="3591466A">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3.3 梯厅门：首层发纹不锈钢，其余喷漆钢板</w:t>
      </w:r>
    </w:p>
    <w:p w14:paraId="6E42FDF5">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3.4 呼梯面板：发纹不锈钢，按钮发纹不锈钢</w:t>
      </w:r>
    </w:p>
    <w:p w14:paraId="707CA608">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3.5 梯厅地坎：硬质铝合金地坎</w:t>
      </w:r>
    </w:p>
    <w:p w14:paraId="67808A51">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3.6 梯厅位置召唤显示器：液晶显示</w:t>
      </w:r>
    </w:p>
    <w:p w14:paraId="230C3B5A">
      <w:pPr>
        <w:snapToGrid w:val="0"/>
        <w:spacing w:line="400" w:lineRule="exact"/>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4.安全保护措施要求（电梯应包括但不仅限于下列保护措施）：</w:t>
      </w:r>
    </w:p>
    <w:p w14:paraId="69AF53AB">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4.1 断相和错相保护措施</w:t>
      </w:r>
    </w:p>
    <w:p w14:paraId="4D19D815">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4.2 上、下终点开关和上、下极限开关保护措施</w:t>
      </w:r>
    </w:p>
    <w:p w14:paraId="2099BA9F">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4.3 缓冲器保护措施</w:t>
      </w:r>
    </w:p>
    <w:p w14:paraId="0C1DAC7C">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4.4 限速器保护</w:t>
      </w:r>
    </w:p>
    <w:p w14:paraId="51ADC92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4.5 紧急停止按钮保护</w:t>
      </w:r>
    </w:p>
    <w:p w14:paraId="6E59D63C">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4.6 层门安全保护措施</w:t>
      </w:r>
    </w:p>
    <w:p w14:paraId="53D0858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4.7 轿门安全保护措施</w:t>
      </w:r>
    </w:p>
    <w:p w14:paraId="3D413882">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4.8 上限轿厢配重冲顶保护</w:t>
      </w:r>
    </w:p>
    <w:p w14:paraId="5AD2E38E">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4.9 就近停靠</w:t>
      </w:r>
    </w:p>
    <w:p w14:paraId="5FA34D80">
      <w:pPr>
        <w:snapToGrid w:val="0"/>
        <w:spacing w:line="400" w:lineRule="exact"/>
        <w:ind w:firstLine="482" w:firstLineChars="200"/>
        <w:rPr>
          <w:rFonts w:hint="eastAsia" w:ascii="宋体" w:hAnsi="宋体" w:cs="宋体"/>
          <w:b/>
          <w:bCs/>
          <w:strike/>
          <w:dstrike w:val="0"/>
          <w:color w:val="auto"/>
          <w:sz w:val="24"/>
          <w:szCs w:val="24"/>
          <w:highlight w:val="none"/>
        </w:rPr>
      </w:pPr>
      <w:r>
        <w:rPr>
          <w:rFonts w:hint="eastAsia" w:ascii="宋体" w:hAnsi="宋体" w:cs="宋体"/>
          <w:b/>
          <w:bCs/>
          <w:color w:val="auto"/>
          <w:sz w:val="24"/>
          <w:szCs w:val="24"/>
          <w:highlight w:val="none"/>
        </w:rPr>
        <w:t>5.电梯功能要求：</w:t>
      </w:r>
    </w:p>
    <w:tbl>
      <w:tblPr>
        <w:tblStyle w:val="60"/>
        <w:tblW w:w="10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3800"/>
        <w:gridCol w:w="1115"/>
        <w:gridCol w:w="4005"/>
      </w:tblGrid>
      <w:tr w14:paraId="0CF05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CF4F6B5">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39294BF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功能名称</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74302FF1">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7401B2B7">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功能名称</w:t>
            </w:r>
          </w:p>
        </w:tc>
      </w:tr>
      <w:tr w14:paraId="131C8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0BE0F85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CD773CC">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防犯罪保护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5BB56DE3">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3</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4CD24278">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厅外、轿内显示</w:t>
            </w:r>
          </w:p>
        </w:tc>
      </w:tr>
      <w:tr w14:paraId="39147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73F56D9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E24926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防捣乱保护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1CFBE49F">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4</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4AD5530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数字式大厅、轿内显示</w:t>
            </w:r>
          </w:p>
        </w:tc>
      </w:tr>
      <w:tr w14:paraId="1A0C5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0EF90BF1">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7B158B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司机操作</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17B61DED">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5</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53B034D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五方通话</w:t>
            </w:r>
          </w:p>
        </w:tc>
      </w:tr>
      <w:tr w14:paraId="38DD2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590275DA">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71F5AB5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厅门等待</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4C9DF27">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6</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1AF30F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报警</w:t>
            </w:r>
          </w:p>
        </w:tc>
      </w:tr>
      <w:tr w14:paraId="0F6E9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0704A95C">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46DA46C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关门等待取消</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09083145">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7</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6031B7A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轿内LCD显示</w:t>
            </w:r>
          </w:p>
        </w:tc>
      </w:tr>
      <w:tr w14:paraId="78146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64C71DB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5F9CC2A1">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反向指令自动取消</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7E74225F">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8</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1D03B94D">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轿厢到站钟</w:t>
            </w:r>
          </w:p>
        </w:tc>
      </w:tr>
      <w:tr w14:paraId="7F2D0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78F1DD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07DBBB5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轿厢关门延时保护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6DCA6292">
            <w:pPr>
              <w:snapToGrid w:val="0"/>
              <w:spacing w:line="400" w:lineRule="exact"/>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29</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9C54893">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提前开门</w:t>
            </w:r>
          </w:p>
        </w:tc>
      </w:tr>
      <w:tr w14:paraId="73B2A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38EAC92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30CFF1F7">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轿厢开门保护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6654E4FF">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0</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573630E6">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再平层</w:t>
            </w:r>
          </w:p>
        </w:tc>
      </w:tr>
      <w:tr w14:paraId="03F88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A2F038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0396E3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轿厢关门保护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1656A13">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1</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5BEF7D58">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错误指令取消</w:t>
            </w:r>
          </w:p>
        </w:tc>
      </w:tr>
      <w:tr w14:paraId="52B04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BAF9C4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10</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318D811D">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满载直驶</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36B0EC3D">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2</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19CA2846">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大厅呼梯指令取消</w:t>
            </w:r>
          </w:p>
        </w:tc>
      </w:tr>
      <w:tr w14:paraId="07787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6B5D3F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11</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682F49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停梯开关</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0BE52D9C">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3</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2FEA8D6">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本层厅外开门</w:t>
            </w:r>
          </w:p>
        </w:tc>
      </w:tr>
      <w:tr w14:paraId="44E8F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6E03E7A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12</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4242D1E8">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自动泊梯</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6760E95B">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4</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51D0B6E1">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重新初始化运行</w:t>
            </w:r>
          </w:p>
        </w:tc>
      </w:tr>
      <w:tr w14:paraId="2A9D7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500E152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13</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25BEA42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全集选</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4F7FB5A0">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5</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4FE47027">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就近平层</w:t>
            </w:r>
          </w:p>
        </w:tc>
      </w:tr>
      <w:tr w14:paraId="5D4D4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12049A3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14</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26F25A4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自动返回基站</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6AA9AE8B">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6</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5DC9FDC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终端楼层保护</w:t>
            </w:r>
          </w:p>
        </w:tc>
      </w:tr>
      <w:tr w14:paraId="29C0A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0C3C2043">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15</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02E709BD">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光幕门保护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37A239F">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7</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2619C69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关门力矩保护</w:t>
            </w:r>
          </w:p>
        </w:tc>
      </w:tr>
      <w:tr w14:paraId="228AF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544957EA">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16</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C9B63E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轿顶检修</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3C087D3F">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8</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41E7783">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启动力矩补偿</w:t>
            </w:r>
          </w:p>
        </w:tc>
      </w:tr>
      <w:tr w14:paraId="6DE92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67178953">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17</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7F5FCE07">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机房紧急电动运行</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68E39DF0">
            <w:pPr>
              <w:snapToGrid w:val="0"/>
              <w:spacing w:line="400" w:lineRule="exact"/>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39</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6822162">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轿厢内紧急照明</w:t>
            </w:r>
          </w:p>
        </w:tc>
      </w:tr>
      <w:tr w14:paraId="0569D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561FF00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18</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058EF42">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轿内风扇照明系统</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96D92CB">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0</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BCEE191">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手动应急疏散装置</w:t>
            </w:r>
          </w:p>
        </w:tc>
      </w:tr>
      <w:tr w14:paraId="317E9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C06250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19</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6D8B72C4">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超载保护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7B335334">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1</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701DA25F">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紧急消防操作</w:t>
            </w:r>
          </w:p>
        </w:tc>
      </w:tr>
      <w:tr w14:paraId="48AA3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70FCE5A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20</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D0AE836">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开关门按钮</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E0AC8CB">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2</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D3980F6">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紧急消防迫降功能</w:t>
            </w:r>
          </w:p>
        </w:tc>
      </w:tr>
      <w:tr w14:paraId="4DF24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1E2027E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21</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31B15FC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轿内风扇自动控制</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06789024">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3</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2BDB07F2">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消防状态提醒显示</w:t>
            </w:r>
          </w:p>
        </w:tc>
      </w:tr>
      <w:tr w14:paraId="0BAA0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FD611AA">
            <w:pPr>
              <w:snapToGrid w:val="0"/>
              <w:spacing w:line="400" w:lineRule="exact"/>
              <w:ind w:firstLine="480" w:firstLineChars="200"/>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78ABFD0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厅、轿门分别控制</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44D875AF">
            <w:pPr>
              <w:snapToGrid w:val="0"/>
              <w:spacing w:line="400" w:lineRule="exact"/>
              <w:ind w:firstLine="480" w:firstLineChars="200"/>
              <w:jc w:val="center"/>
              <w:rPr>
                <w:rFonts w:hint="eastAsia" w:ascii="宋体" w:hAnsi="宋体" w:cs="宋体"/>
                <w:color w:val="auto"/>
                <w:sz w:val="24"/>
                <w:szCs w:val="24"/>
                <w:highlight w:val="none"/>
              </w:rPr>
            </w:pPr>
          </w:p>
        </w:tc>
        <w:tc>
          <w:tcPr>
            <w:tcW w:w="4005" w:type="dxa"/>
            <w:tcBorders>
              <w:top w:val="single" w:color="auto" w:sz="4" w:space="0"/>
              <w:left w:val="single" w:color="auto" w:sz="4" w:space="0"/>
              <w:bottom w:val="single" w:color="auto" w:sz="4" w:space="0"/>
              <w:right w:val="single" w:color="auto" w:sz="4" w:space="0"/>
            </w:tcBorders>
            <w:noWrap w:val="0"/>
            <w:vAlign w:val="center"/>
          </w:tcPr>
          <w:p w14:paraId="10FF85F9">
            <w:pPr>
              <w:snapToGrid w:val="0"/>
              <w:spacing w:line="400" w:lineRule="exact"/>
              <w:ind w:firstLine="480" w:firstLineChars="200"/>
              <w:jc w:val="center"/>
              <w:rPr>
                <w:rFonts w:hint="eastAsia" w:ascii="宋体" w:hAnsi="宋体" w:cs="宋体"/>
                <w:color w:val="auto"/>
                <w:sz w:val="24"/>
                <w:szCs w:val="24"/>
                <w:highlight w:val="none"/>
              </w:rPr>
            </w:pPr>
          </w:p>
        </w:tc>
      </w:tr>
    </w:tbl>
    <w:p w14:paraId="2A6EDCA4">
      <w:pPr>
        <w:pStyle w:val="4"/>
        <w:bidi w:val="0"/>
        <w:rPr>
          <w:rFonts w:hint="eastAsia" w:ascii="宋体" w:hAnsi="宋体" w:eastAsia="宋体" w:cs="宋体"/>
          <w:b/>
          <w:bCs/>
          <w:color w:val="auto"/>
          <w:kern w:val="2"/>
          <w:sz w:val="24"/>
          <w:szCs w:val="24"/>
          <w:highlight w:val="none"/>
          <w:lang w:val="en-US" w:eastAsia="zh-CN" w:bidi="ar-SA"/>
        </w:rPr>
      </w:pPr>
      <w:bookmarkStart w:id="253" w:name="_Toc20582"/>
      <w:bookmarkStart w:id="254" w:name="_Toc14970"/>
      <w:bookmarkStart w:id="255" w:name="_Toc12682"/>
      <w:r>
        <w:rPr>
          <w:rFonts w:hint="eastAsia" w:ascii="宋体" w:hAnsi="宋体" w:eastAsia="宋体" w:cs="宋体"/>
          <w:b/>
          <w:bCs/>
          <w:color w:val="auto"/>
          <w:kern w:val="2"/>
          <w:sz w:val="24"/>
          <w:szCs w:val="24"/>
          <w:highlight w:val="none"/>
          <w:lang w:val="en-US" w:eastAsia="zh-CN" w:bidi="ar-SA"/>
        </w:rPr>
        <w:t>五、项目技术标准</w:t>
      </w:r>
      <w:bookmarkEnd w:id="253"/>
      <w:bookmarkEnd w:id="254"/>
      <w:bookmarkEnd w:id="255"/>
    </w:p>
    <w:p w14:paraId="0BE69ABF">
      <w:pPr>
        <w:spacing w:line="400" w:lineRule="exact"/>
        <w:ind w:firstLine="480" w:firstLineChars="200"/>
        <w:outlineLvl w:val="1"/>
        <w:rPr>
          <w:rFonts w:hint="eastAsia" w:ascii="宋体" w:hAnsi="宋体" w:cs="宋体"/>
          <w:color w:val="auto"/>
          <w:sz w:val="24"/>
          <w:szCs w:val="24"/>
          <w:highlight w:val="none"/>
        </w:rPr>
      </w:pPr>
      <w:r>
        <w:rPr>
          <w:rFonts w:hint="eastAsia" w:ascii="宋体" w:hAnsi="宋体" w:cs="宋体"/>
          <w:color w:val="auto"/>
          <w:sz w:val="24"/>
          <w:szCs w:val="24"/>
          <w:highlight w:val="none"/>
        </w:rPr>
        <w:t>（一）质量标准</w:t>
      </w:r>
    </w:p>
    <w:p w14:paraId="61D87F09">
      <w:pPr>
        <w:spacing w:line="400" w:lineRule="exact"/>
        <w:ind w:firstLine="480" w:firstLineChars="200"/>
        <w:rPr>
          <w:rFonts w:hint="eastAsia" w:ascii="宋体" w:hAnsi="宋体" w:cs="宋体"/>
          <w:strike w:val="0"/>
          <w:dstrike w:val="0"/>
          <w:color w:val="auto"/>
          <w:sz w:val="24"/>
          <w:szCs w:val="24"/>
          <w:highlight w:val="none"/>
        </w:rPr>
      </w:pPr>
      <w:r>
        <w:rPr>
          <w:rFonts w:hint="eastAsia" w:ascii="宋体" w:hAnsi="宋体" w:cs="宋体"/>
          <w:strike w:val="0"/>
          <w:dstrike w:val="0"/>
          <w:color w:val="auto"/>
          <w:sz w:val="24"/>
          <w:szCs w:val="24"/>
          <w:highlight w:val="none"/>
        </w:rPr>
        <w:t xml:space="preserve">供应商须提供全新、合格产品。 </w:t>
      </w:r>
    </w:p>
    <w:p w14:paraId="6786A8FD">
      <w:pPr>
        <w:spacing w:line="400" w:lineRule="exact"/>
        <w:ind w:firstLine="480" w:firstLineChars="200"/>
        <w:outlineLvl w:val="1"/>
        <w:rPr>
          <w:rFonts w:hint="eastAsia" w:ascii="宋体" w:hAnsi="宋体" w:cs="宋体"/>
          <w:color w:val="auto"/>
          <w:sz w:val="24"/>
          <w:szCs w:val="24"/>
          <w:highlight w:val="none"/>
        </w:rPr>
      </w:pPr>
      <w:bookmarkStart w:id="256" w:name="_Toc4387"/>
      <w:r>
        <w:rPr>
          <w:rFonts w:hint="eastAsia" w:ascii="宋体" w:hAnsi="宋体" w:cs="宋体"/>
          <w:color w:val="auto"/>
          <w:sz w:val="24"/>
          <w:szCs w:val="24"/>
          <w:highlight w:val="none"/>
        </w:rPr>
        <w:t>（二）标准和规范要求</w:t>
      </w:r>
      <w:bookmarkEnd w:id="256"/>
    </w:p>
    <w:p w14:paraId="4A7A3F9C">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7588.1</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2020 电梯制造与安装安全规范 第1部分：乘客电梯和载货电梯；</w:t>
      </w:r>
    </w:p>
    <w:p w14:paraId="5E29EBED">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10060-</w:t>
      </w:r>
      <w:r>
        <w:rPr>
          <w:rFonts w:hint="eastAsia" w:ascii="宋体" w:hAnsi="宋体" w:cs="宋体"/>
          <w:color w:val="auto"/>
          <w:sz w:val="24"/>
          <w:szCs w:val="24"/>
          <w:highlight w:val="none"/>
          <w:lang w:val="en-US" w:eastAsia="zh-CN"/>
        </w:rPr>
        <w:t xml:space="preserve">2023 </w:t>
      </w:r>
      <w:r>
        <w:rPr>
          <w:rFonts w:hint="eastAsia" w:ascii="宋体" w:hAnsi="宋体" w:cs="宋体"/>
          <w:color w:val="auto"/>
          <w:sz w:val="24"/>
          <w:szCs w:val="24"/>
          <w:highlight w:val="none"/>
        </w:rPr>
        <w:t>电梯安装验收规范；</w:t>
      </w:r>
    </w:p>
    <w:p w14:paraId="09382C7E">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 50310-2002电梯工程施工质量验收规范；</w:t>
      </w:r>
    </w:p>
    <w:p w14:paraId="671A5442">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20900-2007 电梯、自动扶梯和自动人行道,风险评价和降低的方法；</w:t>
      </w:r>
    </w:p>
    <w:p w14:paraId="1066D74F">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10058-2023 电梯技术条件；</w:t>
      </w:r>
    </w:p>
    <w:p w14:paraId="6FF08429">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1005</w:t>
      </w: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-2023 电梯试验方法；</w:t>
      </w:r>
    </w:p>
    <w:p w14:paraId="0C5D1371">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8903-2018 电梯用钢丝绳；</w:t>
      </w:r>
    </w:p>
    <w:p w14:paraId="463B30C8">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24804-2023 提高在用电梯安全性的规范；</w:t>
      </w:r>
    </w:p>
    <w:p w14:paraId="2CF7E241">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国家有关特种设备质量监督与安全监察的规定；</w:t>
      </w:r>
    </w:p>
    <w:p w14:paraId="0262B042">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国家及行业其他有关标准、规程、规范；</w:t>
      </w:r>
    </w:p>
    <w:p w14:paraId="4E54A00A">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若有部分进口件的有关国外规范及法规与中国国家规范向抵触，应以中国国家现行法规为准。若有涵盖上述各项的最新国家及行业标准、规范，按最新标准、规范执行。</w:t>
      </w:r>
    </w:p>
    <w:p w14:paraId="6FBF78B0">
      <w:pPr>
        <w:pStyle w:val="4"/>
        <w:bidi w:val="0"/>
        <w:rPr>
          <w:rFonts w:hint="eastAsia" w:ascii="宋体" w:hAnsi="宋体" w:eastAsia="宋体" w:cs="宋体"/>
          <w:b/>
          <w:bCs/>
          <w:color w:val="auto"/>
          <w:kern w:val="2"/>
          <w:sz w:val="24"/>
          <w:szCs w:val="24"/>
          <w:highlight w:val="none"/>
          <w:lang w:val="en-US" w:eastAsia="zh-CN" w:bidi="ar-SA"/>
        </w:rPr>
      </w:pPr>
      <w:bookmarkStart w:id="257" w:name="_Toc8467"/>
      <w:bookmarkStart w:id="258" w:name="_Toc27859"/>
      <w:bookmarkStart w:id="259" w:name="_Toc17676"/>
      <w:bookmarkStart w:id="260" w:name="_Toc29459"/>
      <w:bookmarkStart w:id="261" w:name="_Toc12120"/>
      <w:r>
        <w:rPr>
          <w:rFonts w:hint="eastAsia" w:ascii="宋体" w:hAnsi="宋体" w:eastAsia="宋体" w:cs="宋体"/>
          <w:b/>
          <w:bCs/>
          <w:color w:val="auto"/>
          <w:kern w:val="2"/>
          <w:sz w:val="24"/>
          <w:szCs w:val="24"/>
          <w:highlight w:val="none"/>
          <w:lang w:val="en-US" w:eastAsia="zh-CN" w:bidi="ar-SA"/>
        </w:rPr>
        <w:t>六、</w:t>
      </w:r>
      <w:bookmarkEnd w:id="257"/>
      <w:bookmarkStart w:id="262" w:name="_Toc16343"/>
      <w:r>
        <w:rPr>
          <w:rFonts w:hint="eastAsia" w:ascii="宋体" w:hAnsi="宋体" w:eastAsia="宋体" w:cs="宋体"/>
          <w:b/>
          <w:bCs/>
          <w:color w:val="auto"/>
          <w:kern w:val="2"/>
          <w:sz w:val="24"/>
          <w:szCs w:val="24"/>
          <w:highlight w:val="none"/>
          <w:lang w:val="en-US" w:eastAsia="zh-CN" w:bidi="ar-SA"/>
        </w:rPr>
        <w:t>其他要求</w:t>
      </w:r>
      <w:bookmarkEnd w:id="258"/>
      <w:bookmarkEnd w:id="259"/>
      <w:bookmarkEnd w:id="260"/>
      <w:bookmarkEnd w:id="261"/>
      <w:bookmarkEnd w:id="262"/>
      <w:r>
        <w:rPr>
          <w:rFonts w:hint="eastAsia" w:ascii="宋体" w:hAnsi="宋体" w:eastAsia="宋体" w:cs="宋体"/>
          <w:b/>
          <w:bCs/>
          <w:color w:val="auto"/>
          <w:kern w:val="2"/>
          <w:sz w:val="24"/>
          <w:szCs w:val="24"/>
          <w:highlight w:val="none"/>
          <w:lang w:val="en-US" w:eastAsia="zh-CN" w:bidi="ar-SA"/>
        </w:rPr>
        <w:t xml:space="preserve"> </w:t>
      </w:r>
    </w:p>
    <w:p w14:paraId="27ECEC23">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（一）供应商施工人员、施工机械或在运输、装卸、施工途中对其他工程及邻近设备、管线、设施（含其他成品）等造成损坏，应由供应商负责修复原状及承担一切费用。</w:t>
      </w:r>
    </w:p>
    <w:p w14:paraId="52CF2C72">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供应商对施工安全（包含但不仅限于施工现场及施工周边的施工人身安全、行人安全等）负责，供应商的项目管理团队必须到现场加强对项目的管理，若发生安全事故及造成的经济损失，一切安全责任均由供应商全部承担，采购人不承担任何责任。</w:t>
      </w:r>
    </w:p>
    <w:p w14:paraId="42462743">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（三）供应商的工作人员在为采购人的服务期间，因疾病、工伤、意外伤害、疾病传染、劳动保护、职业病等所产生的一切费用，均由供应商自行负责。 </w:t>
      </w:r>
    </w:p>
    <w:p w14:paraId="6B02F2F0">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四）在履约服务期限内，供应商自行组织人员完成合同约定事务，并按国家法律法规的要求完善用工制度，供应商为完成合同约定事务自行聘请的人员工资、福利、社保等用工责任由供应商自行承担，因供应商未完善而引起的劳动争议由供应商自行负责。 </w:t>
      </w:r>
    </w:p>
    <w:p w14:paraId="4D58AC25">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（五）供应商人员因自身工作失误造成设备、现场、人员及其他损失由供应商自行负责，采购人不承担责任。</w:t>
      </w:r>
    </w:p>
    <w:p w14:paraId="662820BF">
      <w:pPr>
        <w:pageBreakBefore w:val="0"/>
        <w:widowControl w:val="0"/>
        <w:kinsoku/>
        <w:wordWrap/>
        <w:overflowPunct/>
        <w:topLinePunct w:val="0"/>
        <w:autoSpaceDE/>
        <w:autoSpaceDN/>
        <w:bidi w:val="0"/>
        <w:spacing w:line="400" w:lineRule="exact"/>
        <w:textAlignment w:val="auto"/>
        <w:rPr>
          <w:rFonts w:hint="eastAsia" w:ascii="宋体" w:hAnsi="宋体" w:eastAsia="宋体" w:cs="宋体"/>
          <w:b/>
          <w:bCs/>
          <w:color w:val="auto"/>
          <w:kern w:val="2"/>
          <w:sz w:val="24"/>
          <w:szCs w:val="24"/>
          <w:highlight w:val="none"/>
          <w:lang w:val="en-US" w:eastAsia="zh-CN" w:bidi="ar-SA"/>
        </w:rPr>
      </w:pPr>
      <w:bookmarkStart w:id="263" w:name="_Toc29684"/>
      <w:bookmarkStart w:id="264" w:name="_Toc24598"/>
      <w:r>
        <w:rPr>
          <w:rFonts w:hint="eastAsia" w:ascii="宋体" w:hAnsi="宋体" w:eastAsia="宋体" w:cs="宋体"/>
          <w:b/>
          <w:bCs/>
          <w:color w:val="auto"/>
          <w:kern w:val="2"/>
          <w:sz w:val="24"/>
          <w:szCs w:val="24"/>
          <w:highlight w:val="none"/>
          <w:lang w:val="en-US" w:eastAsia="zh-CN" w:bidi="ar-SA"/>
        </w:rPr>
        <w:t>七、</w:t>
      </w:r>
      <w:bookmarkEnd w:id="263"/>
      <w:bookmarkEnd w:id="264"/>
      <w:bookmarkStart w:id="265" w:name="_Toc28031"/>
      <w:bookmarkStart w:id="266" w:name="_Toc17339"/>
      <w:r>
        <w:rPr>
          <w:rFonts w:hint="eastAsia" w:ascii="宋体" w:hAnsi="宋体" w:eastAsia="宋体" w:cs="宋体"/>
          <w:b/>
          <w:bCs/>
          <w:color w:val="auto"/>
          <w:kern w:val="2"/>
          <w:sz w:val="24"/>
          <w:szCs w:val="24"/>
          <w:highlight w:val="none"/>
          <w:lang w:val="en-US" w:eastAsia="zh-CN" w:bidi="ar-SA"/>
        </w:rPr>
        <w:t>施工环境要求</w:t>
      </w:r>
      <w:bookmarkEnd w:id="265"/>
      <w:bookmarkEnd w:id="266"/>
    </w:p>
    <w:p w14:paraId="3BB97BF7">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（一）严格遵守相关规范化管理规定，施工过程中，施工区域始终保持完全完整封闭状态施工，除渣、运输等环节不得有粉尘污染。</w:t>
      </w:r>
    </w:p>
    <w:p w14:paraId="78918DB4">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（二）供应商须做到安全文明施工，做好施工噪声及扬尘控制等。</w:t>
      </w:r>
    </w:p>
    <w:p w14:paraId="2F621446">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p>
    <w:p w14:paraId="21A8099B">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sectPr>
          <w:footerReference r:id="rId8" w:type="default"/>
          <w:footerReference r:id="rId9" w:type="even"/>
          <w:pgSz w:w="11907" w:h="16840"/>
          <w:pgMar w:top="1134" w:right="1191" w:bottom="1134" w:left="1304" w:header="964" w:footer="992" w:gutter="0"/>
          <w:pgNumType w:fmt="decimal"/>
          <w:cols w:space="720" w:num="1"/>
          <w:docGrid w:linePitch="312" w:charSpace="0"/>
        </w:sectPr>
      </w:pPr>
    </w:p>
    <w:p w14:paraId="5ABCE839">
      <w:pPr>
        <w:pStyle w:val="3"/>
        <w:spacing w:line="440" w:lineRule="exact"/>
        <w:jc w:val="center"/>
        <w:rPr>
          <w:rFonts w:hint="eastAsia" w:ascii="宋体" w:hAnsi="宋体" w:eastAsia="宋体" w:cs="宋体"/>
          <w:bCs/>
          <w:color w:val="auto"/>
          <w:sz w:val="28"/>
          <w:szCs w:val="28"/>
          <w:highlight w:val="none"/>
        </w:rPr>
      </w:pPr>
      <w:bookmarkStart w:id="267" w:name="_Toc29606"/>
      <w:bookmarkStart w:id="268" w:name="_Toc6692"/>
      <w:bookmarkStart w:id="269" w:name="_Toc31987"/>
      <w:bookmarkStart w:id="270" w:name="_Toc12898"/>
      <w:bookmarkStart w:id="271" w:name="_Toc24768"/>
      <w:bookmarkStart w:id="272" w:name="_Toc6702"/>
      <w:bookmarkStart w:id="273" w:name="_Toc25336"/>
      <w:bookmarkStart w:id="274" w:name="_Toc26873"/>
      <w:bookmarkStart w:id="275" w:name="_Toc819"/>
      <w:bookmarkStart w:id="276" w:name="_Toc21295"/>
      <w:bookmarkStart w:id="277" w:name="_Toc17204"/>
      <w:bookmarkStart w:id="278" w:name="_Toc31792"/>
      <w:bookmarkStart w:id="279" w:name="_Toc76462327"/>
      <w:bookmarkStart w:id="280" w:name="_Toc2477"/>
      <w:bookmarkStart w:id="281" w:name="_Toc21581"/>
      <w:bookmarkStart w:id="282" w:name="_Toc9547"/>
      <w:bookmarkStart w:id="283" w:name="_Toc16401"/>
      <w:bookmarkStart w:id="284" w:name="_Toc11109"/>
      <w:bookmarkStart w:id="285" w:name="_Toc4737"/>
      <w:r>
        <w:rPr>
          <w:rFonts w:hint="eastAsia" w:ascii="宋体" w:hAnsi="宋体" w:eastAsia="宋体" w:cs="宋体"/>
          <w:bCs/>
          <w:color w:val="auto"/>
          <w:sz w:val="28"/>
          <w:szCs w:val="28"/>
          <w:highlight w:val="none"/>
        </w:rPr>
        <w:t>第三篇  项目商务需求</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p>
    <w:p w14:paraId="3F806053">
      <w:pPr>
        <w:pStyle w:val="35"/>
        <w:spacing w:line="400" w:lineRule="exact"/>
        <w:ind w:firstLine="480" w:firstLineChars="200"/>
        <w:rPr>
          <w:rFonts w:hint="eastAsia" w:ascii="宋体" w:hAnsi="宋体" w:eastAsia="宋体" w:cs="宋体"/>
          <w:color w:val="auto"/>
          <w:sz w:val="24"/>
          <w:szCs w:val="24"/>
          <w:highlight w:val="none"/>
        </w:rPr>
      </w:pPr>
      <w:bookmarkStart w:id="286" w:name="_Toc76462328"/>
      <w:bookmarkStart w:id="287" w:name="_Toc344475120"/>
      <w:r>
        <w:rPr>
          <w:rFonts w:hint="eastAsia" w:ascii="宋体" w:hAnsi="宋体" w:eastAsia="宋体" w:cs="宋体"/>
          <w:color w:val="auto"/>
          <w:sz w:val="24"/>
          <w:szCs w:val="24"/>
          <w:highlight w:val="none"/>
        </w:rPr>
        <w:t>“※”标注的商务需求为符合性审查中的实质性要求，响应文件若不满足按无效响应处理。</w:t>
      </w:r>
    </w:p>
    <w:bookmarkEnd w:id="286"/>
    <w:bookmarkEnd w:id="287"/>
    <w:p w14:paraId="6954C95C">
      <w:pPr>
        <w:pStyle w:val="4"/>
        <w:bidi w:val="0"/>
        <w:rPr>
          <w:rFonts w:hint="eastAsia" w:ascii="宋体" w:hAnsi="宋体" w:eastAsia="宋体" w:cs="宋体"/>
          <w:b/>
          <w:bCs/>
          <w:color w:val="auto"/>
          <w:kern w:val="2"/>
          <w:sz w:val="24"/>
          <w:szCs w:val="24"/>
          <w:highlight w:val="none"/>
          <w:lang w:val="en-US" w:eastAsia="zh-CN" w:bidi="ar-SA"/>
        </w:rPr>
      </w:pPr>
      <w:bookmarkStart w:id="288" w:name="_Toc101446110"/>
      <w:bookmarkStart w:id="289" w:name="_Toc29596"/>
      <w:bookmarkStart w:id="290" w:name="_Toc23677"/>
      <w:bookmarkStart w:id="291" w:name="_Toc97881378"/>
      <w:bookmarkStart w:id="292" w:name="_Toc18729"/>
      <w:bookmarkStart w:id="293" w:name="_Toc344475121"/>
      <w:bookmarkStart w:id="294" w:name="_Toc76462329"/>
      <w:r>
        <w:rPr>
          <w:rFonts w:hint="eastAsia" w:ascii="宋体" w:hAnsi="宋体" w:eastAsia="宋体" w:cs="宋体"/>
          <w:b/>
          <w:bCs/>
          <w:color w:val="auto"/>
          <w:kern w:val="2"/>
          <w:sz w:val="24"/>
          <w:szCs w:val="24"/>
          <w:highlight w:val="none"/>
          <w:lang w:val="en-US" w:eastAsia="zh-CN" w:bidi="ar-SA"/>
        </w:rPr>
        <w:t>※一、计划工期、项目地点及验收方式</w:t>
      </w:r>
      <w:bookmarkEnd w:id="288"/>
      <w:bookmarkEnd w:id="289"/>
      <w:bookmarkEnd w:id="290"/>
      <w:bookmarkEnd w:id="291"/>
      <w:bookmarkEnd w:id="292"/>
    </w:p>
    <w:p w14:paraId="28EF9959">
      <w:pPr>
        <w:numPr>
          <w:ilvl w:val="0"/>
          <w:numId w:val="16"/>
        </w:num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计划工期：本项目为交钥匙工程，采购合同签订后</w:t>
      </w:r>
      <w:r>
        <w:rPr>
          <w:rFonts w:hint="eastAsia" w:ascii="宋体" w:hAnsi="宋体" w:cs="宋体"/>
          <w:color w:val="auto"/>
          <w:sz w:val="24"/>
          <w:szCs w:val="24"/>
          <w:highlight w:val="none"/>
          <w:lang w:val="en-US" w:eastAsia="zh-CN"/>
        </w:rPr>
        <w:t>90个日历日</w:t>
      </w:r>
      <w:r>
        <w:rPr>
          <w:rFonts w:hint="eastAsia" w:ascii="宋体" w:hAnsi="宋体" w:eastAsia="宋体" w:cs="宋体"/>
          <w:color w:val="auto"/>
          <w:sz w:val="24"/>
          <w:szCs w:val="24"/>
          <w:highlight w:val="none"/>
        </w:rPr>
        <w:t>内完成交货、安装、调试</w:t>
      </w:r>
      <w:r>
        <w:rPr>
          <w:rFonts w:hint="eastAsia" w:ascii="宋体" w:hAnsi="宋体" w:eastAsia="宋体" w:cs="宋体"/>
          <w:color w:val="auto"/>
          <w:sz w:val="24"/>
          <w:szCs w:val="24"/>
          <w:highlight w:val="none"/>
          <w:shd w:val="clear" w:color="auto" w:fill="auto"/>
          <w:lang w:eastAsia="zh-CN"/>
        </w:rPr>
        <w:t>，并通过验收。</w:t>
      </w:r>
    </w:p>
    <w:p w14:paraId="234CB4B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注：施工期间，成交供应商须保证楼栋有一台电梯正常使用及发生突发事件的应急处理。</w:t>
      </w:r>
    </w:p>
    <w:p w14:paraId="2CA3668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（二）项目地点：曾家镇中央花园ABCD区（采购人指定地点）。</w:t>
      </w:r>
    </w:p>
    <w:p w14:paraId="4140205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（三）验收方式：</w:t>
      </w:r>
    </w:p>
    <w:p w14:paraId="0241553E">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1.货物到达现场后，成交供应商应在使用单位人员在场情况下当面开箱，共同清点、检查外观，作出开箱记录，双方签字确认。</w:t>
      </w:r>
    </w:p>
    <w:p w14:paraId="71CFE708">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2.成交供应商应保证货物到达采购人所在地完好无损，如有缺漏、损坏，由供应商负责调换、补齐或赔偿。</w:t>
      </w:r>
    </w:p>
    <w:p w14:paraId="1F9AD56F">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3.成交供应商应提供完备的技术资料、装箱单和合格证等，并派遣专业技术人员进行现场安装调试。验收合格条件如下：</w:t>
      </w:r>
    </w:p>
    <w:p w14:paraId="63830E20">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3.1设备技术参数与采购合同一致，性能指标达到规定的标准。</w:t>
      </w:r>
    </w:p>
    <w:p w14:paraId="0D29104A">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3.2货物技术资料、装箱单、合格证等资料齐全。</w:t>
      </w:r>
    </w:p>
    <w:p w14:paraId="20A256AC">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3.3在系统试运行期间所出现的问题得到解决，并运行正常。</w:t>
      </w:r>
    </w:p>
    <w:p w14:paraId="44685AD9">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3.4在规定时间内完成交货并验收，并经采购人确认。</w:t>
      </w:r>
    </w:p>
    <w:p w14:paraId="1ABAC1AA">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4.产品在安装调试并试运行符合要求后，才作为最终验收。</w:t>
      </w:r>
    </w:p>
    <w:p w14:paraId="5A5E7D3E">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5.供应商提供的货物未达到</w:t>
      </w:r>
      <w:r>
        <w:rPr>
          <w:rFonts w:hint="eastAsia" w:ascii="宋体" w:hAnsi="宋体"/>
          <w:color w:val="auto"/>
          <w:sz w:val="24"/>
          <w:szCs w:val="24"/>
          <w:highlight w:val="none"/>
          <w:lang w:eastAsia="zh-CN"/>
        </w:rPr>
        <w:t>竞争性比选文件</w:t>
      </w:r>
      <w:r>
        <w:rPr>
          <w:rFonts w:hint="eastAsia" w:ascii="宋体" w:hAnsi="宋体"/>
          <w:color w:val="auto"/>
          <w:sz w:val="24"/>
          <w:szCs w:val="24"/>
          <w:highlight w:val="none"/>
        </w:rPr>
        <w:t>规定要求，且对采购人造成损失的，由供应商承担一切责任，并赔偿所造成的损失。</w:t>
      </w:r>
    </w:p>
    <w:p w14:paraId="08292F1B">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6.采购人需要制造商对成交供应商交付的产品（包括质量、技术参数等）进行确认的，制造商应予以配合，并出具书面意见。</w:t>
      </w:r>
    </w:p>
    <w:p w14:paraId="12B69BF7">
      <w:pPr>
        <w:spacing w:line="400" w:lineRule="exact"/>
        <w:ind w:firstLine="480" w:firstLineChars="200"/>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7.</w:t>
      </w:r>
      <w:r>
        <w:rPr>
          <w:rFonts w:hint="eastAsia" w:ascii="宋体" w:hAnsi="宋体"/>
          <w:color w:val="auto"/>
          <w:sz w:val="24"/>
          <w:szCs w:val="24"/>
          <w:highlight w:val="none"/>
        </w:rPr>
        <w:t>产品包装材料归采购人所有。</w:t>
      </w:r>
    </w:p>
    <w:p w14:paraId="4F528367">
      <w:pPr>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8</w:t>
      </w:r>
      <w:r>
        <w:rPr>
          <w:rFonts w:hint="eastAsia" w:ascii="宋体" w:hAnsi="宋体"/>
          <w:color w:val="auto"/>
          <w:sz w:val="24"/>
          <w:szCs w:val="24"/>
          <w:highlight w:val="none"/>
        </w:rPr>
        <w:t>.</w:t>
      </w:r>
      <w:r>
        <w:rPr>
          <w:rFonts w:hint="eastAsia" w:ascii="宋体" w:hAnsi="宋体"/>
          <w:color w:val="auto"/>
          <w:sz w:val="24"/>
          <w:szCs w:val="24"/>
          <w:highlight w:val="none"/>
          <w:lang w:eastAsia="zh-CN"/>
        </w:rPr>
        <w:t>成交供应商</w:t>
      </w:r>
      <w:r>
        <w:rPr>
          <w:rFonts w:hint="eastAsia" w:ascii="宋体" w:hAnsi="宋体"/>
          <w:color w:val="auto"/>
          <w:sz w:val="24"/>
          <w:szCs w:val="24"/>
          <w:highlight w:val="none"/>
        </w:rPr>
        <w:t>应完成办理新电梯安装相关手续和新电梯验收投用的全部手续，</w:t>
      </w:r>
      <w:r>
        <w:rPr>
          <w:rFonts w:hint="eastAsia" w:ascii="宋体" w:hAnsi="宋体" w:cs="宋体"/>
          <w:color w:val="auto"/>
          <w:kern w:val="0"/>
          <w:sz w:val="24"/>
          <w:szCs w:val="24"/>
          <w:highlight w:val="none"/>
        </w:rPr>
        <w:t>并</w:t>
      </w:r>
      <w:r>
        <w:rPr>
          <w:rFonts w:hint="eastAsia" w:ascii="宋体" w:hAnsi="宋体" w:cs="宋体"/>
          <w:color w:val="auto"/>
          <w:kern w:val="0"/>
          <w:sz w:val="24"/>
          <w:szCs w:val="24"/>
          <w:highlight w:val="none"/>
          <w:lang w:val="en-US" w:eastAsia="zh-CN"/>
        </w:rPr>
        <w:t>取得</w:t>
      </w:r>
      <w:r>
        <w:rPr>
          <w:rFonts w:hint="eastAsia" w:ascii="宋体" w:hAnsi="宋体" w:cs="宋体"/>
          <w:color w:val="auto"/>
          <w:kern w:val="0"/>
          <w:sz w:val="24"/>
          <w:szCs w:val="24"/>
          <w:highlight w:val="none"/>
        </w:rPr>
        <w:t>运行许可证</w:t>
      </w:r>
      <w:r>
        <w:rPr>
          <w:rFonts w:hint="eastAsia" w:ascii="宋体" w:hAnsi="宋体" w:cs="宋体"/>
          <w:color w:val="auto"/>
          <w:kern w:val="0"/>
          <w:sz w:val="24"/>
          <w:szCs w:val="24"/>
          <w:highlight w:val="none"/>
          <w:lang w:eastAsia="zh-CN"/>
        </w:rPr>
        <w:t>。</w:t>
      </w:r>
    </w:p>
    <w:p w14:paraId="179E6977">
      <w:pPr>
        <w:pStyle w:val="4"/>
        <w:bidi w:val="0"/>
        <w:rPr>
          <w:rFonts w:hint="eastAsia" w:ascii="宋体" w:hAnsi="宋体" w:eastAsia="宋体" w:cs="宋体"/>
          <w:b/>
          <w:bCs/>
          <w:color w:val="auto"/>
          <w:kern w:val="2"/>
          <w:sz w:val="24"/>
          <w:szCs w:val="24"/>
          <w:highlight w:val="none"/>
          <w:lang w:val="en-US" w:eastAsia="zh-CN" w:bidi="ar-SA"/>
        </w:rPr>
      </w:pPr>
      <w:bookmarkStart w:id="295" w:name="_Toc13601"/>
      <w:bookmarkStart w:id="296" w:name="_Toc101446111"/>
      <w:bookmarkStart w:id="297" w:name="_Toc1421"/>
      <w:bookmarkStart w:id="298" w:name="_Toc28209"/>
      <w:r>
        <w:rPr>
          <w:rFonts w:hint="eastAsia" w:ascii="宋体" w:hAnsi="宋体" w:eastAsia="宋体" w:cs="宋体"/>
          <w:b/>
          <w:bCs/>
          <w:color w:val="auto"/>
          <w:kern w:val="2"/>
          <w:sz w:val="24"/>
          <w:szCs w:val="24"/>
          <w:highlight w:val="none"/>
          <w:lang w:val="en-US" w:eastAsia="zh-CN" w:bidi="ar-SA"/>
        </w:rPr>
        <w:t>※二、</w:t>
      </w:r>
      <w:bookmarkEnd w:id="293"/>
      <w:r>
        <w:rPr>
          <w:rFonts w:hint="eastAsia" w:ascii="宋体" w:hAnsi="宋体" w:eastAsia="宋体" w:cs="宋体"/>
          <w:b/>
          <w:bCs/>
          <w:color w:val="auto"/>
          <w:kern w:val="2"/>
          <w:sz w:val="24"/>
          <w:szCs w:val="24"/>
          <w:highlight w:val="none"/>
          <w:lang w:val="en-US" w:eastAsia="zh-CN" w:bidi="ar-SA"/>
        </w:rPr>
        <w:t>报价要求</w:t>
      </w:r>
      <w:bookmarkEnd w:id="294"/>
      <w:bookmarkEnd w:id="295"/>
      <w:bookmarkEnd w:id="296"/>
      <w:bookmarkEnd w:id="297"/>
      <w:bookmarkEnd w:id="298"/>
    </w:p>
    <w:p w14:paraId="3BAF962F">
      <w:pPr>
        <w:spacing w:line="400" w:lineRule="exact"/>
        <w:ind w:firstLine="480" w:firstLineChars="200"/>
        <w:rPr>
          <w:rFonts w:hint="eastAsia" w:ascii="宋体" w:hAnsi="宋体" w:eastAsia="宋体" w:cs="宋体"/>
          <w:color w:val="auto"/>
          <w:sz w:val="24"/>
          <w:szCs w:val="24"/>
          <w:highlight w:val="none"/>
        </w:rPr>
      </w:pPr>
      <w:bookmarkStart w:id="299" w:name="_Hlk144904280"/>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一</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本工程采用固定综合单价合同。</w:t>
      </w:r>
    </w:p>
    <w:p w14:paraId="180516C5">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范围：各供应商应按照</w:t>
      </w:r>
      <w:r>
        <w:rPr>
          <w:rFonts w:hint="eastAsia" w:ascii="宋体" w:hAnsi="宋体" w:eastAsia="宋体" w:cs="宋体"/>
          <w:color w:val="auto"/>
          <w:sz w:val="24"/>
          <w:szCs w:val="24"/>
          <w:highlight w:val="none"/>
          <w:lang w:eastAsia="zh-CN"/>
        </w:rPr>
        <w:t>采购范围</w:t>
      </w:r>
      <w:r>
        <w:rPr>
          <w:rFonts w:hint="eastAsia" w:ascii="宋体" w:hAnsi="宋体" w:eastAsia="宋体" w:cs="宋体"/>
          <w:color w:val="auto"/>
          <w:sz w:val="24"/>
          <w:szCs w:val="24"/>
          <w:highlight w:val="none"/>
        </w:rPr>
        <w:t>的规定，对采购人提供的工程量清单，结合</w:t>
      </w:r>
      <w:r>
        <w:rPr>
          <w:rFonts w:hint="eastAsia" w:ascii="宋体" w:hAnsi="宋体" w:eastAsia="宋体" w:cs="宋体"/>
          <w:color w:val="auto"/>
          <w:sz w:val="24"/>
          <w:szCs w:val="24"/>
          <w:highlight w:val="none"/>
          <w:lang w:val="en-US" w:eastAsia="zh-CN"/>
        </w:rPr>
        <w:t>现场踏勘的实际情况</w:t>
      </w:r>
      <w:r>
        <w:rPr>
          <w:rFonts w:hint="eastAsia" w:ascii="宋体" w:hAnsi="宋体" w:eastAsia="宋体" w:cs="宋体"/>
          <w:color w:val="auto"/>
          <w:sz w:val="24"/>
          <w:szCs w:val="24"/>
          <w:highlight w:val="none"/>
        </w:rPr>
        <w:t>予以自主报价。工程量清单中的工程量是用作</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的估算工程量，不作为最终结算的工程量。用于结算的工程量是供应商实际完成的，并按有关规定计量的合格工程量。</w:t>
      </w:r>
    </w:p>
    <w:p w14:paraId="44B5FF0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2.报价原则：</w:t>
      </w:r>
    </w:p>
    <w:p w14:paraId="6D41B152">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2.1</w:t>
      </w:r>
      <w:r>
        <w:rPr>
          <w:rFonts w:hint="eastAsia" w:ascii="宋体" w:hAnsi="宋体" w:eastAsia="宋体" w:cs="宋体"/>
          <w:color w:val="auto"/>
          <w:sz w:val="24"/>
          <w:szCs w:val="24"/>
          <w:highlight w:val="none"/>
        </w:rPr>
        <w:t>由供应商以</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、合同条件、工程量清单、本次</w:t>
      </w:r>
      <w:r>
        <w:rPr>
          <w:rFonts w:hint="eastAsia" w:ascii="宋体" w:hAnsi="宋体" w:eastAsia="宋体" w:cs="宋体"/>
          <w:color w:val="auto"/>
          <w:sz w:val="24"/>
          <w:szCs w:val="24"/>
          <w:highlight w:val="none"/>
          <w:lang w:eastAsia="zh-CN"/>
        </w:rPr>
        <w:t>采购范围</w:t>
      </w:r>
      <w:r>
        <w:rPr>
          <w:rFonts w:hint="eastAsia" w:ascii="宋体" w:hAnsi="宋体" w:eastAsia="宋体" w:cs="宋体"/>
          <w:color w:val="auto"/>
          <w:sz w:val="24"/>
          <w:szCs w:val="24"/>
          <w:highlight w:val="none"/>
        </w:rPr>
        <w:t>内的施工内容、现场踏勘的实际情况</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国家技术和经济规范及标准，按照工程量清单及说明、《建设工程工程量清单计价规范》（GB50500-2013）、《重庆市建设工程工程量清单计价规则》（CQQDGZ-2013）、《重庆市建设工程工程量清单计价指南》（2013）；定额执行《重庆市装饰装修工程计价定额》（CQZSDE-2018）、《重庆市房屋修缮工程计价定额》（CQFWXSDE-2018）、《重庆市安装工程计价定额》（CQAZDE-2018）、《重庆市建筑工程计价定额》（CQJZDE-2018）、《重庆市建设工程费用定额》（CQFYDE-2018）及其配套文件等为依据，由供应商结合自身实力、市场行情自主合理报价。</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应包括完成</w:t>
      </w:r>
      <w:r>
        <w:rPr>
          <w:rFonts w:hint="eastAsia" w:ascii="宋体" w:hAnsi="宋体" w:eastAsia="宋体" w:cs="宋体"/>
          <w:color w:val="auto"/>
          <w:sz w:val="24"/>
          <w:szCs w:val="24"/>
          <w:highlight w:val="none"/>
          <w:lang w:eastAsia="zh-CN"/>
        </w:rPr>
        <w:t>采购范围</w:t>
      </w:r>
      <w:r>
        <w:rPr>
          <w:rFonts w:hint="eastAsia" w:ascii="宋体" w:hAnsi="宋体" w:eastAsia="宋体" w:cs="宋体"/>
          <w:color w:val="auto"/>
          <w:sz w:val="24"/>
          <w:szCs w:val="24"/>
          <w:highlight w:val="none"/>
        </w:rPr>
        <w:t>内工程项目的人工费、材料费、机械费、企业管理费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风险费用、措施费（含安全文明施工费）、规费、税金等所有费用。采购人除此以外不支付其它费用。</w:t>
      </w:r>
    </w:p>
    <w:p w14:paraId="6D97F82A">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2.2</w:t>
      </w:r>
      <w:r>
        <w:rPr>
          <w:rFonts w:hint="eastAsia" w:ascii="宋体" w:hAnsi="宋体" w:eastAsia="宋体" w:cs="宋体"/>
          <w:color w:val="auto"/>
          <w:sz w:val="24"/>
          <w:szCs w:val="24"/>
          <w:highlight w:val="none"/>
          <w:lang w:val="en-US" w:eastAsia="zh-CN"/>
        </w:rPr>
        <w:t>供应商还应在报价中考虑</w:t>
      </w:r>
      <w:r>
        <w:rPr>
          <w:rFonts w:hint="eastAsia" w:ascii="宋体" w:hAnsi="宋体" w:eastAsia="宋体" w:cs="宋体"/>
          <w:color w:val="auto"/>
          <w:sz w:val="24"/>
          <w:szCs w:val="24"/>
          <w:highlight w:val="none"/>
          <w:lang w:eastAsia="zh-CN"/>
        </w:rPr>
        <w:t>预算编制费用、</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lang w:eastAsia="zh-CN"/>
        </w:rPr>
        <w:t>代理费用、评估费用、施工监管费用、竣工检验费用、结算审核费用</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预算编制费用</w:t>
      </w:r>
      <w:r>
        <w:rPr>
          <w:rFonts w:hint="eastAsia" w:ascii="宋体" w:hAnsi="宋体" w:cs="宋体"/>
          <w:color w:val="auto"/>
          <w:sz w:val="24"/>
          <w:szCs w:val="24"/>
          <w:highlight w:val="none"/>
          <w:lang w:val="en-US" w:eastAsia="zh-CN"/>
        </w:rPr>
        <w:t>按照</w:t>
      </w:r>
      <w:r>
        <w:rPr>
          <w:rFonts w:hint="eastAsia" w:ascii="宋体" w:hAnsi="宋体" w:eastAsia="宋体" w:cs="宋体"/>
          <w:color w:val="auto"/>
          <w:sz w:val="24"/>
          <w:szCs w:val="24"/>
          <w:highlight w:val="none"/>
          <w:lang w:eastAsia="zh-CN"/>
        </w:rPr>
        <w:t>600元/台</w:t>
      </w:r>
      <w:r>
        <w:rPr>
          <w:rFonts w:hint="eastAsia" w:ascii="宋体" w:hAnsi="宋体" w:cs="宋体"/>
          <w:color w:val="auto"/>
          <w:sz w:val="24"/>
          <w:szCs w:val="24"/>
          <w:highlight w:val="none"/>
          <w:lang w:val="en-US" w:eastAsia="zh-CN"/>
        </w:rPr>
        <w:t>计算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施工监管费用</w:t>
      </w:r>
      <w:r>
        <w:rPr>
          <w:rFonts w:hint="eastAsia" w:ascii="宋体" w:hAnsi="宋体" w:cs="宋体"/>
          <w:color w:val="auto"/>
          <w:sz w:val="24"/>
          <w:szCs w:val="24"/>
          <w:highlight w:val="none"/>
          <w:lang w:val="en-US" w:eastAsia="zh-CN"/>
        </w:rPr>
        <w:t>按照</w:t>
      </w:r>
      <w:r>
        <w:rPr>
          <w:rFonts w:hint="eastAsia" w:ascii="宋体" w:hAnsi="宋体" w:eastAsia="宋体" w:cs="宋体"/>
          <w:color w:val="auto"/>
          <w:sz w:val="24"/>
          <w:szCs w:val="24"/>
          <w:highlight w:val="none"/>
          <w:lang w:eastAsia="zh-CN"/>
        </w:rPr>
        <w:t>1500元/台</w:t>
      </w:r>
      <w:r>
        <w:rPr>
          <w:rFonts w:hint="eastAsia" w:ascii="宋体" w:hAnsi="宋体" w:cs="宋体"/>
          <w:color w:val="auto"/>
          <w:sz w:val="24"/>
          <w:szCs w:val="24"/>
          <w:highlight w:val="none"/>
          <w:lang w:val="en-US" w:eastAsia="zh-CN"/>
        </w:rPr>
        <w:t>计算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结算审核费用600元/台</w:t>
      </w:r>
      <w:r>
        <w:rPr>
          <w:rFonts w:hint="eastAsia" w:ascii="宋体" w:hAnsi="宋体" w:cs="宋体"/>
          <w:color w:val="auto"/>
          <w:sz w:val="24"/>
          <w:szCs w:val="24"/>
          <w:highlight w:val="none"/>
          <w:lang w:val="en-US" w:eastAsia="zh-CN"/>
        </w:rPr>
        <w:t>计算，</w:t>
      </w:r>
      <w:r>
        <w:rPr>
          <w:rFonts w:hint="eastAsia" w:ascii="宋体" w:hAnsi="宋体" w:eastAsia="宋体" w:cs="宋体"/>
          <w:color w:val="auto"/>
          <w:sz w:val="24"/>
          <w:szCs w:val="24"/>
          <w:highlight w:val="none"/>
          <w:lang w:eastAsia="zh-CN"/>
        </w:rPr>
        <w:t>评估费用</w:t>
      </w:r>
      <w:r>
        <w:rPr>
          <w:rFonts w:hint="eastAsia" w:ascii="宋体" w:hAnsi="宋体" w:cs="宋体"/>
          <w:color w:val="auto"/>
          <w:sz w:val="24"/>
          <w:szCs w:val="24"/>
          <w:highlight w:val="none"/>
          <w:lang w:val="en-US" w:eastAsia="zh-CN"/>
        </w:rPr>
        <w:t>按照2000元/台计算</w:t>
      </w:r>
      <w:r>
        <w:rPr>
          <w:rFonts w:hint="eastAsia" w:ascii="宋体" w:hAnsi="宋体" w:eastAsia="宋体" w:cs="宋体"/>
          <w:color w:val="auto"/>
          <w:sz w:val="24"/>
          <w:szCs w:val="24"/>
          <w:highlight w:val="none"/>
          <w:lang w:eastAsia="zh-CN"/>
        </w:rPr>
        <w:t>。</w:t>
      </w:r>
    </w:p>
    <w:p w14:paraId="004749A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本工程各分部分项工程量清单子项不论其对应的项目特征和工作内容是否描述完整，都将被认为已包括《建设工程工程量清单计价规范》（GB50500-2013）、《重庆市建设工程工程量清单计价规则》（CQQDGZ-2013）、《重庆市建设工程工程量清单计价指南》（2013）；定额执行《重庆市装饰装修工程计价定额》（CQZSDE-2018）、《重庆市房屋修缮工程计价定额》（CQFWXSDE-2018）、《重庆市安装工程计价定额》（CQAZDE-2018）、《重庆市建筑工程计价定额》（CQJZDE-2018）、《重庆市建设工程费用定额》（CQFYDE-2018）及其配套文件中相应项目编码和项目名称及</w:t>
      </w:r>
      <w:r>
        <w:rPr>
          <w:rFonts w:hint="eastAsia" w:ascii="宋体" w:hAnsi="宋体" w:eastAsia="宋体" w:cs="宋体"/>
          <w:color w:val="auto"/>
          <w:sz w:val="24"/>
          <w:szCs w:val="24"/>
          <w:highlight w:val="none"/>
          <w:lang w:val="en-US" w:eastAsia="zh-CN"/>
        </w:rPr>
        <w:t>现场踏勘的实际情况</w:t>
      </w:r>
      <w:r>
        <w:rPr>
          <w:rFonts w:hint="eastAsia" w:ascii="宋体" w:hAnsi="宋体" w:eastAsia="宋体" w:cs="宋体"/>
          <w:color w:val="auto"/>
          <w:sz w:val="24"/>
          <w:szCs w:val="24"/>
          <w:highlight w:val="none"/>
        </w:rPr>
        <w:t>、相关规范、标准、政策性文件、规定、限制和禁止使用通告等所有工程内容及完成此工作内容而必须的各种主要、辅助工作；综合单价应包括完成该子项所需的人工费、材料费、机械费、企业管理费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风险费用；措施费（不含安全文明施工费）包干使用；安全文明施工费应按照现行安全文明施工费计取及管理政策规定及《重庆市建设工程费用定额》（CQFYDE-2018）规定执行；安全文明施工措施费：根据“重庆市建设工程费用定额（2018）”执行；税金按照《重庆市城乡建设委员会关于建筑营业税改征增值税调整建设工程计价依据的通知》（渝建〔2016〕35号）和国家税务总局公告（2018）42号规定执行。成交后采购人无论任何因素不在对综合单价、措施费（不含安全文明施工费）进行调整。</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由分部分项工程费、措施项目费（含安全文明施工费）、其他项目费（暂估价和暂列金额）、规费、税金组成。</w:t>
      </w:r>
    </w:p>
    <w:p w14:paraId="3339D135">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.如发现工程量清单中的数量与</w:t>
      </w:r>
      <w:r>
        <w:rPr>
          <w:rFonts w:hint="eastAsia" w:ascii="宋体" w:hAnsi="宋体" w:eastAsia="宋体" w:cs="宋体"/>
          <w:color w:val="auto"/>
          <w:sz w:val="24"/>
          <w:szCs w:val="24"/>
          <w:highlight w:val="none"/>
          <w:lang w:val="en-US" w:eastAsia="zh-CN"/>
        </w:rPr>
        <w:t>现场踏勘的实际情况</w:t>
      </w:r>
      <w:r>
        <w:rPr>
          <w:rFonts w:hint="eastAsia" w:ascii="宋体" w:hAnsi="宋体" w:eastAsia="宋体" w:cs="宋体"/>
          <w:color w:val="auto"/>
          <w:sz w:val="24"/>
          <w:szCs w:val="24"/>
          <w:highlight w:val="none"/>
        </w:rPr>
        <w:t>数量不一致，应在</w:t>
      </w:r>
      <w:r>
        <w:rPr>
          <w:rFonts w:hint="eastAsia" w:ascii="宋体" w:hAnsi="宋体" w:eastAsia="宋体" w:cs="宋体"/>
          <w:color w:val="auto"/>
          <w:sz w:val="24"/>
          <w:szCs w:val="24"/>
          <w:highlight w:val="none"/>
          <w:lang w:val="en-US" w:eastAsia="zh-CN"/>
        </w:rPr>
        <w:t>比选</w:t>
      </w:r>
      <w:r>
        <w:rPr>
          <w:rFonts w:hint="eastAsia" w:ascii="宋体" w:hAnsi="宋体" w:eastAsia="宋体" w:cs="宋体"/>
          <w:color w:val="auto"/>
          <w:sz w:val="24"/>
          <w:szCs w:val="24"/>
          <w:highlight w:val="none"/>
        </w:rPr>
        <w:t>前书面通知采购人核查，除非采购人以补遗书的形式予以更正，否则，应以工程量清单中列出的数量为准。</w:t>
      </w:r>
    </w:p>
    <w:p w14:paraId="4D31EA0E">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.采购人在工程量清单中所列出的专业工程暂估价、暂列金额，供应商不得修改。否则，将被认定为无效。</w:t>
      </w:r>
    </w:p>
    <w:p w14:paraId="53628E43">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.工程量清单中的项、量、综合单价：</w:t>
      </w:r>
    </w:p>
    <w:p w14:paraId="11DA8F83">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.1除采购人对清单工程量主动补遗或对供应商质疑作修改外，供应商在编制</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时不得擅自变改采购人提供的分部分项工程量清单中的序号、项目编码、项目名称、项目特征、工程内容、工程量及计量单位，否则视为对</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不作实质性响应，其响应文件按无效处理。</w:t>
      </w:r>
    </w:p>
    <w:p w14:paraId="3BB67A3A">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.2供应商只有严格按采购人提供的《工程量清单》和本</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中提供的已标价工程量清单表格格式内所有项目进行报价，才能视为总体报价完整，不得出现漏项或增项，否则视为对</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不作实质性响应，其响应文件按无效处理。</w:t>
      </w:r>
    </w:p>
    <w:p w14:paraId="491AEBF9">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3报价空白或报价为零，则视为该子项的价款已包括在工程量清单其他子目的单价和合价中，成交后必须完成该子项工作内容，采购人不对该子项进行结算与支付；施工过程中，因采购人原因需要对报价空白或报价为零的项目减少实施工程量或不予实施，采购人将按</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时计价原则计算出该项目的综合单价以及相应的规费、措施费和税金，并据此从结算价中扣除。</w:t>
      </w:r>
    </w:p>
    <w:p w14:paraId="3AA83C49">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4本工程量清单的计量按照《重庆市建设工程工程量计算规则》（CQJLGZ-2013）、《建设工程工程量清单计价规范》(GB50500-2013)中相应细目的“工程量计算规则”中相应细目的“工程量计算规则”进行计算。工程数量按设计数量净值计算，凡施工过程中的材料损耗、消耗，无论材料由何方供应，也无论这些损耗是否包含在消耗定额内，均由供应商纳入相关工程量清单中的综合单价内。</w:t>
      </w:r>
    </w:p>
    <w:p w14:paraId="04210B7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.材料采购及报价</w:t>
      </w:r>
    </w:p>
    <w:p w14:paraId="59CA0E64">
      <w:pPr>
        <w:pStyle w:val="265"/>
        <w:spacing w:line="400" w:lineRule="exact"/>
        <w:ind w:firstLine="480" w:firstLineChars="200"/>
        <w:rPr>
          <w:rFonts w:hint="eastAsia" w:ascii="宋体" w:hAnsi="宋体" w:eastAsia="宋体" w:cs="宋体"/>
          <w:color w:val="auto"/>
          <w:sz w:val="24"/>
          <w:szCs w:val="24"/>
          <w:highlight w:val="none"/>
        </w:rPr>
      </w:pPr>
      <w:r>
        <w:rPr>
          <w:rFonts w:hint="eastAsia" w:hAnsi="宋体" w:cs="宋体"/>
          <w:color w:val="auto"/>
          <w:sz w:val="24"/>
          <w:szCs w:val="24"/>
          <w:highlight w:val="none"/>
          <w:lang w:val="en-US" w:eastAsia="zh-CN"/>
        </w:rPr>
        <w:t>7</w:t>
      </w:r>
      <w:r>
        <w:rPr>
          <w:rFonts w:hint="eastAsia" w:ascii="宋体" w:hAnsi="宋体" w:eastAsia="宋体" w:cs="宋体"/>
          <w:color w:val="auto"/>
          <w:sz w:val="24"/>
          <w:szCs w:val="24"/>
          <w:highlight w:val="none"/>
        </w:rPr>
        <w:t>.1本工程所需材料、设备由成交供应商采购，但所采购的材料必须符合国家规范标准、</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要求，并提供相应合格证明资料、质保书，同时须报采购人批准同意后方可采购。采购人认为成交供应商所使用的材料（设备）的质量品质存在缺陷，或者规范要求，不能适用于本项目，采购人有权要求更换调整，采购人不因更换材料（设备）品牌而调整材料（设备）的价格及其他相关费用；若成交供应商拒绝按采购人要求更换的，则该种材料（设备）将改为第三方供货，采购人将收取成交供应商该类材料（设备）费的20%作为违约金，并按采购人实际支付的货款从成交供应商的结算价款中予以扣除。</w:t>
      </w:r>
    </w:p>
    <w:p w14:paraId="50131BE0">
      <w:pPr>
        <w:pStyle w:val="265"/>
        <w:spacing w:line="400" w:lineRule="exact"/>
        <w:ind w:firstLine="480" w:firstLineChars="200"/>
        <w:rPr>
          <w:rFonts w:hint="eastAsia" w:ascii="宋体" w:hAnsi="宋体" w:eastAsia="宋体" w:cs="宋体"/>
          <w:color w:val="auto"/>
          <w:sz w:val="24"/>
          <w:szCs w:val="24"/>
          <w:highlight w:val="none"/>
        </w:rPr>
      </w:pPr>
      <w:r>
        <w:rPr>
          <w:rFonts w:hint="eastAsia" w:hAnsi="宋体" w:cs="宋体"/>
          <w:color w:val="auto"/>
          <w:sz w:val="24"/>
          <w:szCs w:val="24"/>
          <w:highlight w:val="none"/>
          <w:lang w:val="en-US" w:eastAsia="zh-CN"/>
        </w:rPr>
        <w:t>7</w:t>
      </w:r>
      <w:r>
        <w:rPr>
          <w:rFonts w:hint="eastAsia" w:ascii="宋体" w:hAnsi="宋体" w:eastAsia="宋体" w:cs="宋体"/>
          <w:color w:val="auto"/>
          <w:sz w:val="24"/>
          <w:szCs w:val="24"/>
          <w:highlight w:val="none"/>
        </w:rPr>
        <w:t>.2人工、材料费：人工参照成交当期《重庆市建设工程造价信息》信息价执行，材料价格参照成交当期《重庆市建设工程造价信息》信息价并结合市场价执行，供应商根据信息价格结合市场行情以及供应商的自身实力自主报价，成交后材料、设备价格均不作调整。同一种材料，同规格、型号材料报价必须一致，若评标时未发现，结算时按报价最低值计取。成交后，成交供应商自行承担其它材料价格涨跌风险，材料价格不调整。</w:t>
      </w:r>
    </w:p>
    <w:p w14:paraId="7D5B3EB9">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.3本工程所有成品、半成品、材料、设备运输距离由供应商根据自身情况及踏勘现场情况自行测算，纳入相应项目的综合单价中，成交后不调整。</w:t>
      </w:r>
    </w:p>
    <w:p w14:paraId="354DBC5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.4措施费（不含安全文明施工费）包干使用，结算时候不作调整。</w:t>
      </w:r>
    </w:p>
    <w:p w14:paraId="7178E567">
      <w:pPr>
        <w:pStyle w:val="265"/>
        <w:spacing w:line="400" w:lineRule="exact"/>
        <w:ind w:firstLine="480" w:firstLineChars="200"/>
        <w:rPr>
          <w:rFonts w:hint="eastAsia" w:ascii="宋体" w:hAnsi="宋体" w:eastAsia="宋体" w:cs="宋体"/>
          <w:color w:val="auto"/>
          <w:sz w:val="24"/>
          <w:szCs w:val="24"/>
          <w:highlight w:val="none"/>
        </w:rPr>
      </w:pPr>
      <w:r>
        <w:rPr>
          <w:rFonts w:hint="eastAsia" w:hAnsi="宋体" w:cs="宋体"/>
          <w:color w:val="auto"/>
          <w:sz w:val="24"/>
          <w:szCs w:val="24"/>
          <w:highlight w:val="none"/>
          <w:lang w:val="en-US" w:eastAsia="zh-CN"/>
        </w:rPr>
        <w:t>8</w:t>
      </w:r>
      <w:r>
        <w:rPr>
          <w:rFonts w:hint="eastAsia" w:ascii="宋体" w:hAnsi="宋体" w:eastAsia="宋体" w:cs="宋体"/>
          <w:color w:val="auto"/>
          <w:sz w:val="24"/>
          <w:szCs w:val="24"/>
          <w:highlight w:val="none"/>
        </w:rPr>
        <w:t>.安全文明施工措施费：由采购人根据《建设工程工程量清单计价规范》（GB50500-2013)、《重庆市建设工程工程量清单计价规则》（CQJJGZ-2013)、 《重庆市建设工程费用定额》（CQFYDE-2018）的相关规定和费用标准单列计算，安全文明施工费为暂定金额。供应商的竞争性</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函和工程量清单报价中的安全文明施工费必须按照采购人给出的暂定金额填报，否则视为对</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不作实质性响应，按无效响应处理。</w:t>
      </w:r>
    </w:p>
    <w:p w14:paraId="31C00CF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rPr>
        <w:t>.规费：按照《重庆市建设工程费用定额》（CQFYDE-2018）所规定费率执行。</w:t>
      </w:r>
    </w:p>
    <w:p w14:paraId="24293A04">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rPr>
        <w:t>.税金：按照《重庆市城乡建设委员会关于建筑营业税改征增值税调整建设工程计价依据的通知》（渝建〔2016〕35号）和国家税务总局公告（2018）42号规定，电梯设备及电梯井道安装按照“甲供工程”适用简易计税办法，设备费、土建及钢结构材料费、安装费，各项费用分别按开票时对应法定税率开具，合同总价不因国家税率调整发生变化。</w:t>
      </w:r>
    </w:p>
    <w:p w14:paraId="2CE15F94">
      <w:pPr>
        <w:spacing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1</w:t>
      </w:r>
      <w:r>
        <w:rPr>
          <w:rFonts w:hint="eastAsia" w:ascii="宋体" w:hAnsi="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.本工程设置总价最高限价，总价最高限价为5040168.49 元（含安全文明施工费</w:t>
      </w:r>
      <w:r>
        <w:rPr>
          <w:rFonts w:hint="eastAsia" w:ascii="宋体" w:hAnsi="宋体" w:eastAsia="宋体" w:cs="宋体"/>
          <w:b/>
          <w:bCs/>
          <w:color w:val="auto"/>
          <w:sz w:val="24"/>
          <w:szCs w:val="24"/>
          <w:highlight w:val="none"/>
          <w:lang w:val="en-US" w:eastAsia="zh-CN"/>
        </w:rPr>
        <w:t xml:space="preserve">   19816.92</w:t>
      </w:r>
      <w:r>
        <w:rPr>
          <w:rFonts w:hint="eastAsia" w:ascii="宋体" w:hAnsi="宋体" w:eastAsia="宋体" w:cs="宋体"/>
          <w:b/>
          <w:bCs/>
          <w:color w:val="auto"/>
          <w:sz w:val="24"/>
          <w:szCs w:val="24"/>
          <w:highlight w:val="none"/>
        </w:rPr>
        <w:t>元）</w:t>
      </w:r>
      <w:r>
        <w:rPr>
          <w:rFonts w:hint="eastAsia" w:ascii="宋体" w:hAnsi="宋体" w:eastAsia="宋体" w:cs="宋体"/>
          <w:color w:val="auto"/>
          <w:sz w:val="24"/>
          <w:szCs w:val="24"/>
          <w:highlight w:val="none"/>
        </w:rPr>
        <w:t>，供应商的</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不得超过本项目设置的最高限价，安全文明施工费、暂估价（如有）、暂列金额（如有）等不可竞争费用必须按给定金额填报不得浮动，否则，其响应文件按无效处理。</w:t>
      </w:r>
    </w:p>
    <w:p w14:paraId="516FB931">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.其他说明</w:t>
      </w:r>
    </w:p>
    <w:p w14:paraId="4A94FB1F">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.1竞争性</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函中的总报价必须与工程量清单报价表所报金额一致，若不一致，作无效处理；供应商不得对采购人发出的工程量清单的项、量进行修改或省略项目特征，否则按无效处理。</w:t>
      </w:r>
    </w:p>
    <w:p w14:paraId="5CE07D5E">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.2按政策和合同约定的应由成交供应商交纳的各种保险费由成交供应商自行投保，保险费由成交供应商承担并支付，并根据企业自身和本工程情况，测算包含在相应的报价中。</w:t>
      </w:r>
    </w:p>
    <w:p w14:paraId="7379885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.3 符合合同条款规定的全部费用应认为已被计入有标价的工程量清单所列各子目之中，未列子目不予计量的工作，其费用应视为已分摊在本合同工程的有关子目的单价或总价之中。</w:t>
      </w:r>
    </w:p>
    <w:p w14:paraId="41559794">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.4每一项目只允许有一个报价。任何有选择的报价将不予接受，其响应文件为无效。</w:t>
      </w:r>
    </w:p>
    <w:p w14:paraId="20471926">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.5各供应商对于相同的工程量清单（即工作内容和项目特征描述相同）报价须一致。若出现报价不一致，按无效处理。</w:t>
      </w:r>
    </w:p>
    <w:p w14:paraId="0A395121">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.6弃渣外运运距及处置费各供应商自行考虑，纳入分部分项工程量清单项目报价中，包干使用。</w:t>
      </w:r>
    </w:p>
    <w:p w14:paraId="1A44CFF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.7采购人提供水电接口，水电所有费用已包含在成交供应商</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中包干使用，结算时不作调整。为了不受停电影响延误工期，成交供应商应自行预备柴油发电机组，确保施工期间能正常使用，采购人不对其费用予以补偿。如停电，由成交供应商自行发电，成交供应商应自行考虑该因素的有关费用，采购人不对发电费用予以补偿。</w:t>
      </w:r>
    </w:p>
    <w:p w14:paraId="66514C67">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8供应商可以在响应文件递交截止时间前往现场踏勘以充分了解工地位置、地质情况、地下管网状况、进出场道路、交通管制、拆迁干扰、储存空间、装卸限制、水电接口、行车干扰、人行交通及任何其它足以影响承包价格的情况，任何因忽视或误解工地情况而导致的索赔或工期延长申请将不获批准。</w:t>
      </w:r>
    </w:p>
    <w:p w14:paraId="58BACC9A">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.9各供应商根据采购人提供的工程量清单和《重庆市建设工程费用定额》（CQFYDE-2018）规定的表格，结合本项目并根据实际情况填报工程量清单。</w:t>
      </w:r>
    </w:p>
    <w:p w14:paraId="5E4CC33C">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.10按政策和合同约定的应由成交供应商交纳的各种保险费由供应商自行投保，保险费由成交供应商承担并支付，各种规费、环保费、检测试验费并根据企业自身和本工程情况，测算包含在相应的报价中。</w:t>
      </w:r>
    </w:p>
    <w:p w14:paraId="49900991">
      <w:pPr>
        <w:pageBreakBefore w:val="0"/>
        <w:widowControl w:val="0"/>
        <w:kinsoku/>
        <w:wordWrap/>
        <w:overflowPunct/>
        <w:topLinePunct w:val="0"/>
        <w:autoSpaceDE/>
        <w:autoSpaceDN/>
        <w:bidi w:val="0"/>
        <w:spacing w:line="400" w:lineRule="exact"/>
        <w:ind w:firstLine="480"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cs="宋体"/>
          <w:color w:val="auto"/>
          <w:sz w:val="24"/>
          <w:szCs w:val="24"/>
          <w:highlight w:val="none"/>
          <w:lang w:val="en-US" w:eastAsia="zh-CN"/>
        </w:rPr>
        <w:t>13.本项目包含材料及设备的二次转运，包含旧电梯拆除及回收并抵扣旧电梯的回收价值。</w:t>
      </w:r>
    </w:p>
    <w:p w14:paraId="26EEFDF2">
      <w:pPr>
        <w:pStyle w:val="4"/>
        <w:bidi w:val="0"/>
        <w:rPr>
          <w:rFonts w:hint="eastAsia" w:ascii="宋体" w:hAnsi="宋体" w:eastAsia="宋体" w:cs="宋体"/>
          <w:b/>
          <w:bCs/>
          <w:color w:val="auto"/>
          <w:kern w:val="2"/>
          <w:sz w:val="24"/>
          <w:szCs w:val="24"/>
          <w:highlight w:val="none"/>
          <w:lang w:val="en-US" w:eastAsia="zh-CN" w:bidi="ar-SA"/>
        </w:rPr>
      </w:pPr>
      <w:bookmarkStart w:id="300" w:name="_Toc31531"/>
      <w:bookmarkStart w:id="301" w:name="_Toc26691"/>
      <w:bookmarkStart w:id="302" w:name="_Toc97881380"/>
      <w:bookmarkStart w:id="303" w:name="_Toc147936698"/>
      <w:bookmarkStart w:id="304" w:name="_Toc126740389"/>
      <w:bookmarkStart w:id="305" w:name="_Toc21060"/>
      <w:bookmarkStart w:id="306" w:name="_Toc5226"/>
      <w:r>
        <w:rPr>
          <w:rFonts w:hint="eastAsia" w:ascii="宋体" w:hAnsi="宋体" w:eastAsia="宋体" w:cs="宋体"/>
          <w:b/>
          <w:bCs/>
          <w:color w:val="auto"/>
          <w:kern w:val="2"/>
          <w:sz w:val="24"/>
          <w:szCs w:val="24"/>
          <w:highlight w:val="none"/>
          <w:lang w:val="en-US" w:eastAsia="zh-CN" w:bidi="ar-SA"/>
        </w:rPr>
        <w:t>※三、结算原则</w:t>
      </w:r>
      <w:bookmarkEnd w:id="300"/>
      <w:bookmarkEnd w:id="301"/>
      <w:bookmarkEnd w:id="302"/>
      <w:bookmarkEnd w:id="303"/>
      <w:bookmarkEnd w:id="304"/>
      <w:bookmarkEnd w:id="305"/>
      <w:bookmarkEnd w:id="306"/>
    </w:p>
    <w:p w14:paraId="43B038CA">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（一）本合同采用固定综合单价合同，综合单价不因工程量的增减（工程量的变化、施工方式的变化）而调整。除非合同另有约定，</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的工程量清单中的综合单价均已包含但不限于供应商为实施和完成合同工程量清单项目所需的人工费、材料费、机械费、企业管理费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风险费用。</w:t>
      </w:r>
    </w:p>
    <w:p w14:paraId="66A441F6">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（二）各部分的结算原则如下:</w:t>
      </w:r>
    </w:p>
    <w:p w14:paraId="2EEB01E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1.分部分项工程量清单结算总价:</w:t>
      </w:r>
    </w:p>
    <w:p w14:paraId="575F0A8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分部分项工程结算价=综合单价×子项工程量</w:t>
      </w:r>
    </w:p>
    <w:p w14:paraId="2E578490">
      <w:pPr>
        <w:spacing w:line="400" w:lineRule="exact"/>
        <w:ind w:firstLine="480" w:firstLineChars="200"/>
        <w:rPr>
          <w:rFonts w:hint="eastAsia" w:ascii="宋体" w:hAnsi="宋体" w:eastAsia="宋体" w:cs="宋体"/>
          <w:b/>
          <w:bCs/>
          <w:strike/>
          <w:dstrike w:val="0"/>
          <w:color w:val="auto"/>
          <w:sz w:val="24"/>
          <w:szCs w:val="24"/>
          <w:highlight w:val="none"/>
        </w:rPr>
      </w:pPr>
      <w:r>
        <w:rPr>
          <w:rFonts w:hint="eastAsia" w:ascii="宋体" w:hAnsi="宋体" w:eastAsia="宋体" w:cs="宋体"/>
          <w:color w:val="auto"/>
          <w:sz w:val="24"/>
          <w:szCs w:val="24"/>
          <w:highlight w:val="none"/>
        </w:rPr>
        <w:t>综合单价=供应商报价中分部分项清单中的综合单价</w:t>
      </w:r>
    </w:p>
    <w:p w14:paraId="4CB48EE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子项工程量:工程量计算以设计变更、有效签证资料(签字且盖章)及竣工图作为计算依据，按《重庆市建设工程工程量计算规则》（CQJLGZ-2013）、《建设工程工程量清单计价规范》（GB50500-2013）、《重庆市建设工程工程量清单计价规则》（CQQDGZ-2013）、《重庆市建设工程工程量清单计价指南》（2013）；定额执行《重庆市装饰装修工程计价定额》（CQZSDE-2018）、《重庆市房屋修缮工程计价定额》（CQFWXSDE-2018）、《重庆市安装工程计价定额》（CQAZDE-2018）、《重庆市建筑工程计价定额》（CQJZDE-2018）、《重庆市建设工程费用定额》（CQFYDE-2018）及其配套文件规定的计量规则计算的合格工程量作为结算依据。</w:t>
      </w:r>
    </w:p>
    <w:p w14:paraId="75F409F7">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2.设计变更费、新增项目</w:t>
      </w:r>
    </w:p>
    <w:p w14:paraId="3955D346">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当发生设计变更或新增项目，发包人及监理工程师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如有</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按照下列计价原则结算：</w:t>
      </w:r>
    </w:p>
    <w:p w14:paraId="012B6EC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①已标价工程量清单中有适用于变更工作的子目，采用该子目的综合单价。</w:t>
      </w:r>
    </w:p>
    <w:p w14:paraId="10AE4E66">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②已标价工程量清单中无适用于变更工程的子目，但有类似子目的，可在合理范围内参照类似子目的综合单价，对该子目主材的价格进行调整。主材调整原则:</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lang w:eastAsia="zh-CN"/>
        </w:rPr>
        <w:t>响应时</w:t>
      </w:r>
      <w:r>
        <w:rPr>
          <w:rFonts w:hint="eastAsia" w:ascii="宋体" w:hAnsi="宋体" w:eastAsia="宋体" w:cs="宋体"/>
          <w:color w:val="auto"/>
          <w:sz w:val="24"/>
          <w:szCs w:val="24"/>
          <w:highlight w:val="none"/>
        </w:rPr>
        <w:t>有的材料，调入时取</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lang w:eastAsia="zh-CN"/>
        </w:rPr>
        <w:t>响应报价</w:t>
      </w:r>
      <w:r>
        <w:rPr>
          <w:rFonts w:hint="eastAsia" w:ascii="宋体" w:hAnsi="宋体" w:eastAsia="宋体" w:cs="宋体"/>
          <w:color w:val="auto"/>
          <w:sz w:val="24"/>
          <w:szCs w:val="24"/>
          <w:highlight w:val="none"/>
        </w:rPr>
        <w:t>与</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rPr>
        <w:t>当期重庆市建设工程造价总站主办的《重庆工程造价信息》的低值；</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lang w:eastAsia="zh-CN"/>
        </w:rPr>
        <w:t>响应时</w:t>
      </w:r>
      <w:r>
        <w:rPr>
          <w:rFonts w:hint="eastAsia" w:ascii="宋体" w:hAnsi="宋体" w:eastAsia="宋体" w:cs="宋体"/>
          <w:color w:val="auto"/>
          <w:sz w:val="24"/>
          <w:szCs w:val="24"/>
          <w:highlight w:val="none"/>
        </w:rPr>
        <w:t>没有的材料，按发包人充分结合施工期市场核定的价格执行，并不高于施工同期《重庆工程造价信息》，调整后的综合单价作为类似子目的综合单价(类似项目由采购人确定，</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的人工、材料单价表作为合同附件)。</w:t>
      </w:r>
    </w:p>
    <w:p w14:paraId="0263A681">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已标价工程量清单中无适用或类似子目的综合单价，按国家技术和经济规范及标准、《重庆市建设工程工程量计算规则》（CQJLGZ－2013）、《建设工程工程量清单计价规范》（GB50500-2013）、《重庆市建设工程工程量清单计价规则》（CQQDGZ-2013）、《重庆市建设工程工程量清单计价指南》（2013）；定额执行《重庆市装饰装修工程计价定额》（CQZSDE-2018）、《重庆市房屋修缮工程计价定额》（CQFWXSDE-2018）、《重庆市安装工程计价定额》（CQAZDE-2018）、《重庆市建筑工程计价定额》（CQJZDE-2018）、《重庆市建设工程费用定额》（CQFYDE-2018）及其配套文件等（配套文件只执行合同签定之日前重庆市建委颁发的文件，合同签定之日后颁发的有关政策文件不予执行。）编制，再按成交总价与总价最高限价同比例进行下浮（其中人工价差、材料价差、未计价材料、不下浮）。其中人工工日、材料单价的确定原则：人工费按</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lang w:eastAsia="zh-CN"/>
        </w:rPr>
        <w:t>响应时</w:t>
      </w:r>
      <w:r>
        <w:rPr>
          <w:rFonts w:hint="eastAsia" w:ascii="宋体" w:hAnsi="宋体" w:eastAsia="宋体" w:cs="宋体"/>
          <w:color w:val="auto"/>
          <w:sz w:val="24"/>
          <w:szCs w:val="24"/>
          <w:highlight w:val="none"/>
        </w:rPr>
        <w:t>有的</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lang w:eastAsia="zh-CN"/>
        </w:rPr>
        <w:t>响应报价</w:t>
      </w:r>
      <w:r>
        <w:rPr>
          <w:rFonts w:hint="eastAsia" w:ascii="宋体" w:hAnsi="宋体" w:eastAsia="宋体" w:cs="宋体"/>
          <w:color w:val="auto"/>
          <w:sz w:val="24"/>
          <w:szCs w:val="24"/>
          <w:highlight w:val="none"/>
        </w:rPr>
        <w:t>执行，若供应商</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高于施工实施期《重庆工程造价信息》中对应的人工工日单价平均值（若发布的某一类别人工工日单价是区间值的，则按其算术平均值执行），则按施工实施期《重庆工程造价信息》中对应的人工工日单价平均值执行；材料结算价格：清单报价中已有的按响应文件中清单报价执行；清单报价中没有的按该项目施工期间的《重庆工程造价信息》信息价的算术平均价执行；</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rPr>
        <w:t xml:space="preserve">时没有的，发包人结合市场进行核定价格，且不高于施工同期《重庆工程造价信息》的价格。  </w:t>
      </w:r>
    </w:p>
    <w:p w14:paraId="3BEBCB6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3.安全文明施工费: 根据渝建发〔2014〕25号、《重庆市建设工程费用定额（2018）》</w:t>
      </w:r>
      <w:r>
        <w:rPr>
          <w:rFonts w:hint="eastAsia" w:ascii="宋体" w:hAnsi="宋体" w:eastAsia="宋体" w:cs="宋体"/>
          <w:color w:val="auto"/>
          <w:sz w:val="24"/>
          <w:szCs w:val="24"/>
          <w:highlight w:val="none"/>
          <w:lang w:eastAsia="zh-CN"/>
        </w:rPr>
        <w:t>、《重庆市建设工程安全文明施工费计取及使用管理规定》（2024 版）</w:t>
      </w:r>
      <w:r>
        <w:rPr>
          <w:rFonts w:hint="eastAsia" w:ascii="宋体" w:hAnsi="宋体" w:eastAsia="宋体" w:cs="宋体"/>
          <w:color w:val="auto"/>
          <w:sz w:val="24"/>
          <w:szCs w:val="24"/>
          <w:highlight w:val="none"/>
        </w:rPr>
        <w:t>并结合渝建〔2019〕143号文按“合格”标准计取。</w:t>
      </w:r>
    </w:p>
    <w:p w14:paraId="0BEB091D">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三</w:t>
      </w:r>
      <w:r>
        <w:rPr>
          <w:rFonts w:hint="eastAsia" w:ascii="宋体" w:hAnsi="宋体" w:eastAsia="宋体" w:cs="宋体"/>
          <w:color w:val="auto"/>
          <w:sz w:val="24"/>
          <w:szCs w:val="24"/>
          <w:highlight w:val="none"/>
        </w:rPr>
        <w:t>）最终结算原则</w:t>
      </w:r>
    </w:p>
    <w:p w14:paraId="144EDC08">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1.竣工结算价=Σ分部分项工程结算价+Σ措施项目结算价+Σ其他项目结算价±Σ价格调整（如有）±Σ变更、索赔与现场签证结算价±Σ奖励、罚金、违约金及其他费用+Σ规费+Σ税金。</w:t>
      </w:r>
    </w:p>
    <w:p w14:paraId="465D3EFF">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2.合同履行中,需追加与合同标的相同的货物、工程或者服务的，在不改变合同其他条款的前提下，可以与供应商协商签订补充合同，但所有补充合同的采购金额不得超过原合同采购金额的百分之十。 </w:t>
      </w:r>
    </w:p>
    <w:p w14:paraId="3C2D66D9">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3.工程量必须严格依据施工合同、竣工图纸等为依据，按照选用的标准、规范进行测算。</w:t>
      </w:r>
    </w:p>
    <w:p w14:paraId="614CFB4E">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4.工程量变更必须有业主和监理人员</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如有</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的签字确认意见，对于无变更凭证的工程量不予认可。</w:t>
      </w:r>
    </w:p>
    <w:p w14:paraId="0C645881">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5.工程量变更的计算依据、单位的取定、数字的取舍，应按建筑工程量计算规则等进行，必要时现场对实际工程量进行复核，以现场实测取得的数据为准。</w:t>
      </w:r>
    </w:p>
    <w:p w14:paraId="16B2012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6.成交供应商在工期内发生的任何用工风险均由供应商自己负责承担。</w:t>
      </w:r>
    </w:p>
    <w:p w14:paraId="6C72AD15">
      <w:pPr>
        <w:spacing w:line="400" w:lineRule="exact"/>
        <w:ind w:firstLine="482" w:firstLineChars="200"/>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rPr>
        <w:t>（</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rPr>
        <w:t>）本工程结算价最终以第三方机构审定金额为准</w:t>
      </w:r>
      <w:r>
        <w:rPr>
          <w:rFonts w:hint="eastAsia" w:ascii="宋体" w:hAnsi="宋体" w:eastAsia="宋体" w:cs="宋体"/>
          <w:b/>
          <w:bCs/>
          <w:color w:val="auto"/>
          <w:sz w:val="24"/>
          <w:szCs w:val="24"/>
          <w:highlight w:val="none"/>
          <w:lang w:val="en-US" w:eastAsia="zh-CN"/>
        </w:rPr>
        <w:t>且不超过本项目的预算金额。</w:t>
      </w:r>
    </w:p>
    <w:p w14:paraId="509E10DE">
      <w:pPr>
        <w:pStyle w:val="4"/>
        <w:bidi w:val="0"/>
        <w:rPr>
          <w:rFonts w:hint="eastAsia" w:ascii="宋体" w:hAnsi="宋体" w:eastAsia="宋体" w:cs="宋体"/>
          <w:b/>
          <w:bCs/>
          <w:color w:val="auto"/>
          <w:kern w:val="2"/>
          <w:sz w:val="24"/>
          <w:szCs w:val="24"/>
          <w:highlight w:val="none"/>
          <w:lang w:val="en-US" w:eastAsia="zh-CN" w:bidi="ar-SA"/>
        </w:rPr>
      </w:pPr>
      <w:bookmarkStart w:id="307" w:name="_Toc344475122"/>
      <w:bookmarkStart w:id="308" w:name="_Toc6728"/>
      <w:bookmarkStart w:id="309" w:name="_Toc26577"/>
      <w:bookmarkStart w:id="310" w:name="_Toc12618"/>
      <w:bookmarkStart w:id="311" w:name="_Toc4831"/>
      <w:bookmarkStart w:id="312" w:name="_Toc12614"/>
      <w:bookmarkStart w:id="313" w:name="_Toc147936699"/>
      <w:bookmarkStart w:id="314" w:name="_Toc24685"/>
      <w:bookmarkStart w:id="315" w:name="_Toc25172"/>
      <w:bookmarkStart w:id="316" w:name="_Toc12226"/>
      <w:bookmarkStart w:id="317" w:name="_Toc16113"/>
      <w:bookmarkStart w:id="318" w:name="_Toc5676"/>
      <w:bookmarkStart w:id="319" w:name="_Toc17569"/>
      <w:bookmarkStart w:id="320" w:name="_Toc5911"/>
      <w:bookmarkStart w:id="321" w:name="_Toc20702"/>
      <w:bookmarkStart w:id="322" w:name="_Toc15097"/>
      <w:bookmarkStart w:id="323" w:name="_Toc21449"/>
      <w:bookmarkStart w:id="324" w:name="_Toc76462330"/>
      <w:bookmarkStart w:id="325" w:name="_Toc26660"/>
      <w:bookmarkStart w:id="326" w:name="_Toc19119"/>
      <w:bookmarkStart w:id="327" w:name="_Toc14220"/>
      <w:bookmarkStart w:id="328" w:name="_Toc4333"/>
      <w:r>
        <w:rPr>
          <w:rFonts w:hint="eastAsia" w:ascii="宋体" w:hAnsi="宋体" w:eastAsia="宋体" w:cs="宋体"/>
          <w:b/>
          <w:bCs/>
          <w:color w:val="auto"/>
          <w:kern w:val="2"/>
          <w:sz w:val="24"/>
          <w:szCs w:val="24"/>
          <w:highlight w:val="none"/>
          <w:lang w:val="en-US" w:eastAsia="zh-CN" w:bidi="ar-SA"/>
        </w:rPr>
        <w:t>※四、付款方式</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29D4A5A4">
      <w:pPr>
        <w:pageBreakBefore w:val="0"/>
        <w:widowControl w:val="0"/>
        <w:kinsoku/>
        <w:wordWrap/>
        <w:overflowPunct/>
        <w:topLinePunct w:val="0"/>
        <w:autoSpaceDE/>
        <w:autoSpaceDN/>
        <w:bidi w:val="0"/>
        <w:snapToGrid w:val="0"/>
        <w:spacing w:line="400" w:lineRule="exact"/>
        <w:ind w:firstLine="5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一</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合同款项由政府补助</w:t>
      </w:r>
      <w:r>
        <w:rPr>
          <w:rFonts w:hint="eastAsia" w:ascii="宋体" w:hAnsi="宋体" w:eastAsia="宋体" w:cs="宋体"/>
          <w:color w:val="auto"/>
          <w:sz w:val="24"/>
          <w:szCs w:val="24"/>
          <w:highlight w:val="none"/>
          <w:lang w:val="en-US" w:eastAsia="zh-CN"/>
        </w:rPr>
        <w:t>和</w:t>
      </w:r>
      <w:r>
        <w:rPr>
          <w:rFonts w:hint="eastAsia" w:ascii="宋体" w:hAnsi="宋体" w:eastAsia="宋体" w:cs="宋体"/>
          <w:color w:val="auto"/>
          <w:sz w:val="24"/>
          <w:szCs w:val="24"/>
          <w:highlight w:val="none"/>
        </w:rPr>
        <w:t>大修基金两部分组成</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电梯安装结束且验收合格</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待采购人完成结算审核，</w:t>
      </w:r>
      <w:r>
        <w:rPr>
          <w:rFonts w:hint="eastAsia" w:ascii="宋体" w:hAnsi="宋体" w:eastAsia="宋体" w:cs="宋体"/>
          <w:color w:val="auto"/>
          <w:sz w:val="24"/>
          <w:szCs w:val="24"/>
          <w:highlight w:val="none"/>
        </w:rPr>
        <w:t>以审计单位最终的结算金额为准，</w:t>
      </w:r>
      <w:r>
        <w:rPr>
          <w:rFonts w:hint="eastAsia" w:ascii="宋体" w:hAnsi="宋体" w:cs="宋体"/>
          <w:color w:val="auto"/>
          <w:sz w:val="24"/>
          <w:szCs w:val="24"/>
          <w:highlight w:val="none"/>
          <w:lang w:val="en-US" w:eastAsia="zh-CN"/>
        </w:rPr>
        <w:t>支付结算金额的100%</w:t>
      </w:r>
      <w:r>
        <w:rPr>
          <w:rFonts w:hint="eastAsia" w:ascii="宋体" w:hAnsi="宋体" w:eastAsia="宋体" w:cs="宋体"/>
          <w:color w:val="auto"/>
          <w:sz w:val="24"/>
          <w:szCs w:val="24"/>
          <w:highlight w:val="none"/>
        </w:rPr>
        <w:t>给成交供应商。</w:t>
      </w:r>
    </w:p>
    <w:p w14:paraId="01D84E5B">
      <w:pPr>
        <w:pageBreakBefore w:val="0"/>
        <w:widowControl w:val="0"/>
        <w:kinsoku/>
        <w:wordWrap/>
        <w:overflowPunct/>
        <w:topLinePunct w:val="0"/>
        <w:autoSpaceDE/>
        <w:autoSpaceDN/>
        <w:bidi w:val="0"/>
        <w:snapToGrid w:val="0"/>
        <w:spacing w:line="400" w:lineRule="exact"/>
        <w:ind w:firstLine="5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项目完工并全额收回合同款项后，成交供应商</w:t>
      </w:r>
      <w:r>
        <w:rPr>
          <w:rFonts w:hint="eastAsia" w:ascii="宋体" w:hAnsi="宋体" w:eastAsia="宋体" w:cs="宋体"/>
          <w:color w:val="auto"/>
          <w:sz w:val="24"/>
          <w:szCs w:val="24"/>
          <w:highlight w:val="none"/>
          <w:lang w:val="en-US" w:eastAsia="zh-CN"/>
        </w:rPr>
        <w:t>向采购人交纳合同</w:t>
      </w:r>
      <w:r>
        <w:rPr>
          <w:rFonts w:hint="eastAsia" w:ascii="宋体" w:hAnsi="宋体" w:eastAsia="宋体" w:cs="宋体"/>
          <w:color w:val="auto"/>
          <w:sz w:val="24"/>
          <w:szCs w:val="24"/>
          <w:highlight w:val="none"/>
        </w:rPr>
        <w:t>金额3%的银行保函原件，1年后经采购人与成交供应商双方确认后方可无息退还。</w:t>
      </w:r>
    </w:p>
    <w:p w14:paraId="43F87F67">
      <w:pPr>
        <w:pStyle w:val="4"/>
        <w:bidi w:val="0"/>
        <w:rPr>
          <w:rFonts w:hint="default" w:ascii="宋体" w:hAnsi="宋体" w:eastAsia="宋体" w:cs="宋体"/>
          <w:b/>
          <w:bCs/>
          <w:color w:val="auto"/>
          <w:kern w:val="2"/>
          <w:sz w:val="24"/>
          <w:szCs w:val="24"/>
          <w:highlight w:val="none"/>
          <w:lang w:val="en-US" w:eastAsia="zh-CN" w:bidi="ar-SA"/>
        </w:rPr>
      </w:pPr>
      <w:bookmarkStart w:id="329" w:name="_Toc10559"/>
      <w:bookmarkStart w:id="330" w:name="_Toc31425"/>
      <w:bookmarkStart w:id="331" w:name="_Toc7809"/>
      <w:r>
        <w:rPr>
          <w:rFonts w:hint="eastAsia" w:ascii="宋体" w:hAnsi="宋体" w:eastAsia="宋体" w:cs="宋体"/>
          <w:b/>
          <w:bCs/>
          <w:color w:val="auto"/>
          <w:kern w:val="2"/>
          <w:sz w:val="24"/>
          <w:szCs w:val="24"/>
          <w:highlight w:val="none"/>
          <w:lang w:val="en-US" w:eastAsia="zh-CN" w:bidi="ar-SA"/>
        </w:rPr>
        <w:t>五、售后服务</w:t>
      </w:r>
      <w:bookmarkEnd w:id="329"/>
      <w:bookmarkEnd w:id="330"/>
      <w:bookmarkEnd w:id="331"/>
    </w:p>
    <w:p w14:paraId="2EE7C52C">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（一）由制造厂提供整梯质保期6年；免费维保每15日一次，共计24次。</w:t>
      </w:r>
    </w:p>
    <w:p w14:paraId="76711276">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整机质保时间以老旧电梯改造完成经市场监督管理局验收合格并颁发运行许可证后开始计算，在质保期内，电梯除不可抗拒因素（天灾）造成的零部件损坏外均由电梯制造厂负责免费更换和维修，整机质保期内，电梯由成交供应商负责维保。</w:t>
      </w:r>
    </w:p>
    <w:bookmarkEnd w:id="299"/>
    <w:p w14:paraId="0C093B85">
      <w:pPr>
        <w:pStyle w:val="4"/>
        <w:bidi w:val="0"/>
        <w:rPr>
          <w:rFonts w:hint="eastAsia" w:ascii="宋体" w:hAnsi="宋体" w:eastAsia="宋体" w:cs="宋体"/>
          <w:b/>
          <w:bCs/>
          <w:color w:val="auto"/>
          <w:kern w:val="2"/>
          <w:sz w:val="24"/>
          <w:szCs w:val="24"/>
          <w:highlight w:val="none"/>
          <w:lang w:val="en-US" w:eastAsia="zh-CN" w:bidi="ar-SA"/>
        </w:rPr>
      </w:pPr>
      <w:bookmarkStart w:id="332" w:name="_Toc24751"/>
      <w:bookmarkStart w:id="333" w:name="_Toc16865"/>
      <w:bookmarkStart w:id="334" w:name="_Toc7117"/>
      <w:bookmarkStart w:id="335" w:name="_Toc65660346"/>
      <w:bookmarkStart w:id="336" w:name="_Toc7228"/>
      <w:bookmarkStart w:id="337" w:name="_Toc14479"/>
      <w:bookmarkStart w:id="338" w:name="_Toc26947"/>
      <w:bookmarkStart w:id="339" w:name="_Toc12492"/>
      <w:bookmarkStart w:id="340" w:name="_Toc29756"/>
      <w:r>
        <w:rPr>
          <w:rFonts w:hint="eastAsia" w:ascii="宋体" w:hAnsi="宋体" w:eastAsia="宋体" w:cs="宋体"/>
          <w:b/>
          <w:bCs/>
          <w:color w:val="auto"/>
          <w:kern w:val="2"/>
          <w:sz w:val="24"/>
          <w:szCs w:val="24"/>
          <w:highlight w:val="none"/>
          <w:lang w:val="en-US" w:eastAsia="zh-CN" w:bidi="ar-SA"/>
        </w:rPr>
        <w:t>六、</w:t>
      </w:r>
      <w:bookmarkEnd w:id="332"/>
      <w:bookmarkEnd w:id="333"/>
      <w:bookmarkEnd w:id="334"/>
      <w:bookmarkEnd w:id="335"/>
      <w:bookmarkEnd w:id="336"/>
      <w:bookmarkStart w:id="341" w:name="_Toc344475124"/>
      <w:bookmarkStart w:id="342" w:name="_Toc485556233"/>
      <w:bookmarkStart w:id="343" w:name="_Toc58575220"/>
      <w:bookmarkStart w:id="344" w:name="_Toc485556277"/>
      <w:bookmarkStart w:id="345" w:name="_Toc485556499"/>
      <w:r>
        <w:rPr>
          <w:rFonts w:hint="eastAsia" w:ascii="宋体" w:hAnsi="宋体" w:eastAsia="宋体" w:cs="宋体"/>
          <w:b/>
          <w:bCs/>
          <w:color w:val="auto"/>
          <w:kern w:val="2"/>
          <w:sz w:val="24"/>
          <w:szCs w:val="24"/>
          <w:highlight w:val="none"/>
          <w:lang w:val="en-US" w:eastAsia="zh-CN" w:bidi="ar-SA"/>
        </w:rPr>
        <w:t>知识产权</w:t>
      </w:r>
      <w:bookmarkEnd w:id="337"/>
      <w:bookmarkEnd w:id="338"/>
      <w:bookmarkEnd w:id="339"/>
      <w:bookmarkEnd w:id="340"/>
    </w:p>
    <w:p w14:paraId="574DE2A1">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bookmarkEnd w:id="341"/>
    <w:p w14:paraId="6AD99242">
      <w:pPr>
        <w:pStyle w:val="4"/>
        <w:bidi w:val="0"/>
        <w:rPr>
          <w:rFonts w:hint="eastAsia" w:ascii="宋体" w:hAnsi="宋体" w:eastAsia="宋体" w:cs="宋体"/>
          <w:b/>
          <w:bCs/>
          <w:color w:val="auto"/>
          <w:kern w:val="2"/>
          <w:sz w:val="24"/>
          <w:szCs w:val="24"/>
          <w:highlight w:val="none"/>
          <w:lang w:val="en-US" w:eastAsia="zh-CN" w:bidi="ar-SA"/>
        </w:rPr>
      </w:pPr>
      <w:bookmarkStart w:id="346" w:name="_Toc17288"/>
      <w:bookmarkStart w:id="347" w:name="_Toc17293"/>
      <w:bookmarkStart w:id="348" w:name="_Toc22204"/>
      <w:bookmarkStart w:id="349" w:name="_Toc13614"/>
      <w:bookmarkStart w:id="350" w:name="_Toc9781"/>
      <w:bookmarkStart w:id="351" w:name="_Toc4755"/>
      <w:bookmarkStart w:id="352" w:name="_Toc16195"/>
      <w:bookmarkStart w:id="353" w:name="_Toc25290"/>
      <w:bookmarkStart w:id="354" w:name="_Toc344475125"/>
      <w:r>
        <w:rPr>
          <w:rFonts w:hint="eastAsia" w:ascii="宋体" w:hAnsi="宋体" w:eastAsia="宋体" w:cs="宋体"/>
          <w:b/>
          <w:bCs/>
          <w:color w:val="auto"/>
          <w:kern w:val="2"/>
          <w:sz w:val="24"/>
          <w:szCs w:val="24"/>
          <w:highlight w:val="none"/>
          <w:lang w:val="en-US" w:eastAsia="zh-CN" w:bidi="ar-SA"/>
        </w:rPr>
        <w:t>七、其他</w:t>
      </w:r>
      <w:bookmarkEnd w:id="342"/>
      <w:bookmarkEnd w:id="343"/>
      <w:bookmarkEnd w:id="344"/>
      <w:bookmarkEnd w:id="345"/>
      <w:bookmarkEnd w:id="346"/>
      <w:bookmarkEnd w:id="347"/>
      <w:bookmarkEnd w:id="348"/>
      <w:bookmarkEnd w:id="349"/>
      <w:bookmarkEnd w:id="350"/>
      <w:bookmarkEnd w:id="351"/>
      <w:bookmarkEnd w:id="352"/>
      <w:bookmarkEnd w:id="353"/>
    </w:p>
    <w:bookmarkEnd w:id="354"/>
    <w:p w14:paraId="27F6921D">
      <w:pPr>
        <w:pageBreakBefore w:val="0"/>
        <w:widowControl w:val="0"/>
        <w:kinsoku/>
        <w:wordWrap/>
        <w:overflowPunct/>
        <w:topLinePunct w:val="0"/>
        <w:autoSpaceDE/>
        <w:autoSpaceDN/>
        <w:bidi w:val="0"/>
        <w:snapToGrid w:val="0"/>
        <w:spacing w:line="400" w:lineRule="exact"/>
        <w:ind w:firstLine="540"/>
        <w:textAlignment w:val="auto"/>
        <w:rPr>
          <w:rFonts w:hint="eastAsia" w:ascii="宋体" w:hAnsi="宋体" w:eastAsia="宋体" w:cs="宋体"/>
          <w:color w:val="auto"/>
          <w:sz w:val="24"/>
          <w:szCs w:val="24"/>
          <w:highlight w:val="none"/>
        </w:rPr>
      </w:pPr>
      <w:bookmarkStart w:id="355" w:name="_Toc14275"/>
      <w:r>
        <w:rPr>
          <w:rFonts w:hint="eastAsia" w:ascii="宋体" w:hAnsi="宋体" w:cs="宋体"/>
          <w:color w:val="auto"/>
          <w:sz w:val="24"/>
          <w:szCs w:val="24"/>
          <w:highlight w:val="none"/>
        </w:rPr>
        <w:t>其他未尽事宜由供需双方在采购合同中详细约定</w:t>
      </w:r>
      <w:bookmarkEnd w:id="355"/>
      <w:r>
        <w:rPr>
          <w:rFonts w:hint="eastAsia" w:ascii="宋体" w:hAnsi="宋体" w:eastAsia="宋体" w:cs="宋体"/>
          <w:color w:val="auto"/>
          <w:sz w:val="24"/>
          <w:szCs w:val="24"/>
          <w:highlight w:val="none"/>
        </w:rPr>
        <w:t>。</w:t>
      </w:r>
    </w:p>
    <w:bookmarkEnd w:id="195"/>
    <w:bookmarkEnd w:id="196"/>
    <w:bookmarkEnd w:id="197"/>
    <w:bookmarkEnd w:id="198"/>
    <w:bookmarkEnd w:id="199"/>
    <w:bookmarkEnd w:id="200"/>
    <w:bookmarkEnd w:id="201"/>
    <w:p w14:paraId="21F6E618">
      <w:pPr>
        <w:rPr>
          <w:rFonts w:hint="eastAsia" w:ascii="宋体" w:hAnsi="宋体" w:eastAsia="宋体" w:cs="宋体"/>
          <w:color w:val="auto"/>
          <w:highlight w:val="none"/>
        </w:rPr>
      </w:pPr>
    </w:p>
    <w:p w14:paraId="20A922DD">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br w:type="page"/>
      </w:r>
    </w:p>
    <w:p w14:paraId="32BF6982">
      <w:pPr>
        <w:pStyle w:val="3"/>
        <w:spacing w:line="440" w:lineRule="exact"/>
        <w:jc w:val="center"/>
        <w:rPr>
          <w:rFonts w:hint="eastAsia" w:ascii="宋体" w:hAnsi="宋体" w:eastAsia="宋体" w:cs="宋体"/>
          <w:bCs/>
          <w:color w:val="auto"/>
          <w:sz w:val="28"/>
          <w:szCs w:val="28"/>
          <w:highlight w:val="none"/>
        </w:rPr>
      </w:pPr>
      <w:bookmarkStart w:id="356" w:name="_Toc21766"/>
      <w:r>
        <w:rPr>
          <w:rFonts w:hint="eastAsia" w:ascii="宋体" w:hAnsi="宋体" w:eastAsia="宋体" w:cs="宋体"/>
          <w:bCs/>
          <w:color w:val="auto"/>
          <w:sz w:val="28"/>
          <w:szCs w:val="28"/>
          <w:highlight w:val="none"/>
        </w:rPr>
        <w:t xml:space="preserve">第四篇 </w:t>
      </w:r>
      <w:r>
        <w:rPr>
          <w:rFonts w:hint="eastAsia" w:ascii="宋体" w:hAnsi="宋体" w:eastAsia="宋体" w:cs="宋体"/>
          <w:bCs/>
          <w:color w:val="auto"/>
          <w:sz w:val="28"/>
          <w:szCs w:val="28"/>
          <w:highlight w:val="none"/>
          <w:lang w:val="en-US" w:eastAsia="zh-CN"/>
        </w:rPr>
        <w:t>竞争性比选</w:t>
      </w:r>
      <w:r>
        <w:rPr>
          <w:rFonts w:hint="eastAsia" w:ascii="宋体" w:hAnsi="宋体" w:eastAsia="宋体" w:cs="宋体"/>
          <w:bCs/>
          <w:color w:val="auto"/>
          <w:sz w:val="28"/>
          <w:szCs w:val="28"/>
          <w:highlight w:val="none"/>
        </w:rPr>
        <w:t>程序及方法、评审标准、响应无效和采购终止</w:t>
      </w:r>
      <w:bookmarkEnd w:id="356"/>
    </w:p>
    <w:p w14:paraId="20439C83">
      <w:pPr>
        <w:pStyle w:val="4"/>
        <w:bidi w:val="0"/>
        <w:rPr>
          <w:rFonts w:hint="eastAsia" w:ascii="宋体" w:hAnsi="宋体" w:eastAsia="宋体" w:cs="宋体"/>
          <w:b/>
          <w:bCs/>
          <w:color w:val="auto"/>
          <w:kern w:val="2"/>
          <w:sz w:val="24"/>
          <w:szCs w:val="24"/>
          <w:highlight w:val="none"/>
          <w:lang w:val="en-US" w:eastAsia="zh-CN" w:bidi="ar-SA"/>
        </w:rPr>
      </w:pPr>
      <w:bookmarkStart w:id="357" w:name="_Toc6006"/>
      <w:r>
        <w:rPr>
          <w:rFonts w:hint="eastAsia" w:ascii="宋体" w:hAnsi="宋体" w:eastAsia="宋体" w:cs="宋体"/>
          <w:b/>
          <w:bCs/>
          <w:color w:val="auto"/>
          <w:kern w:val="2"/>
          <w:sz w:val="24"/>
          <w:szCs w:val="24"/>
          <w:highlight w:val="none"/>
          <w:lang w:val="en-US" w:eastAsia="zh-CN" w:bidi="ar-SA"/>
        </w:rPr>
        <w:t>一、竞争性比选程序及方法</w:t>
      </w:r>
      <w:bookmarkEnd w:id="357"/>
    </w:p>
    <w:p w14:paraId="68E65FD6">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评审小组对各供应商的资格条件、响应文件的有效性、完整性和响应程度进行审查。各供应商只有在完全符合要求的前提下，才能参与正式竞争性比选。</w:t>
      </w:r>
    </w:p>
    <w:p w14:paraId="13BB4D0A">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资格性检查。依据法律法规和</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文件的规定，对响应文件中的资格证明进行审查，以确定供应商是否具备</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资格。资格性检查资料表如下：</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3685"/>
        <w:gridCol w:w="4558"/>
      </w:tblGrid>
      <w:tr w14:paraId="1B342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14:paraId="60EC7F58">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4394" w:type="dxa"/>
            <w:gridSpan w:val="2"/>
            <w:vAlign w:val="center"/>
          </w:tcPr>
          <w:p w14:paraId="399DBEAE">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检查因素</w:t>
            </w:r>
          </w:p>
        </w:tc>
        <w:tc>
          <w:tcPr>
            <w:tcW w:w="4558" w:type="dxa"/>
            <w:vAlign w:val="center"/>
          </w:tcPr>
          <w:p w14:paraId="2C40C9C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检查内容</w:t>
            </w:r>
          </w:p>
        </w:tc>
      </w:tr>
      <w:tr w14:paraId="3214D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vAlign w:val="center"/>
          </w:tcPr>
          <w:p w14:paraId="464C424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709" w:type="dxa"/>
            <w:vMerge w:val="restart"/>
            <w:vAlign w:val="center"/>
          </w:tcPr>
          <w:p w14:paraId="3801BC7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供应商应符合的基本资格条件</w:t>
            </w:r>
          </w:p>
        </w:tc>
        <w:tc>
          <w:tcPr>
            <w:tcW w:w="3685" w:type="dxa"/>
            <w:vAlign w:val="center"/>
          </w:tcPr>
          <w:p w14:paraId="166AAE8B">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（1）具有独立承担民事责任的能力</w:t>
            </w:r>
          </w:p>
        </w:tc>
        <w:tc>
          <w:tcPr>
            <w:tcW w:w="4558" w:type="dxa"/>
            <w:vAlign w:val="center"/>
          </w:tcPr>
          <w:p w14:paraId="5B8E191D">
            <w:pPr>
              <w:snapToGrid w:val="0"/>
              <w:spacing w:line="480" w:lineRule="exact"/>
              <w:ind w:firstLine="240" w:firstLineChars="1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供应商法人营业执照（副本）或事业单位法人证书（副本）或个体工商户营业执照或有效的自然人身份证明（注</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eq \o\ac(○,2)</w:instrTex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 不具有独立法人的分公司、办事处等分支机构不能参加竞采。</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提供相关文件并加盖供应商公章。</w:t>
            </w:r>
            <w:r>
              <w:rPr>
                <w:rFonts w:hint="eastAsia" w:ascii="宋体" w:hAnsi="宋体" w:cs="宋体"/>
                <w:color w:val="auto"/>
                <w:sz w:val="24"/>
                <w:szCs w:val="24"/>
                <w:highlight w:val="none"/>
                <w:lang w:eastAsia="zh-CN"/>
              </w:rPr>
              <w:t>）</w:t>
            </w:r>
          </w:p>
          <w:p w14:paraId="5DD0D14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供应商法定代表人身份证明和法定代表人授权代表委托书。</w:t>
            </w:r>
          </w:p>
        </w:tc>
      </w:tr>
      <w:tr w14:paraId="693C4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2DAA46FD">
            <w:pPr>
              <w:snapToGrid w:val="0"/>
              <w:spacing w:line="480" w:lineRule="exact"/>
              <w:ind w:firstLine="240" w:firstLineChars="100"/>
              <w:rPr>
                <w:rFonts w:hint="eastAsia" w:ascii="宋体" w:hAnsi="宋体" w:eastAsia="宋体" w:cs="宋体"/>
                <w:color w:val="auto"/>
                <w:sz w:val="24"/>
                <w:szCs w:val="24"/>
                <w:highlight w:val="none"/>
              </w:rPr>
            </w:pPr>
          </w:p>
        </w:tc>
        <w:tc>
          <w:tcPr>
            <w:tcW w:w="709" w:type="dxa"/>
            <w:vMerge w:val="continue"/>
            <w:vAlign w:val="center"/>
          </w:tcPr>
          <w:p w14:paraId="71B09EE6">
            <w:pPr>
              <w:snapToGrid w:val="0"/>
              <w:spacing w:line="480" w:lineRule="exact"/>
              <w:ind w:firstLine="240" w:firstLineChars="100"/>
              <w:rPr>
                <w:rFonts w:hint="eastAsia" w:ascii="宋体" w:hAnsi="宋体" w:eastAsia="宋体" w:cs="宋体"/>
                <w:color w:val="auto"/>
                <w:sz w:val="24"/>
                <w:szCs w:val="24"/>
                <w:highlight w:val="none"/>
              </w:rPr>
            </w:pPr>
          </w:p>
        </w:tc>
        <w:tc>
          <w:tcPr>
            <w:tcW w:w="3685" w:type="dxa"/>
            <w:vAlign w:val="center"/>
          </w:tcPr>
          <w:p w14:paraId="3B256CE6">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（2）具有良好的商业信誉和健全的财务会计制度</w:t>
            </w:r>
          </w:p>
        </w:tc>
        <w:tc>
          <w:tcPr>
            <w:tcW w:w="4558" w:type="dxa"/>
            <w:vMerge w:val="restart"/>
            <w:vAlign w:val="center"/>
          </w:tcPr>
          <w:p w14:paraId="0416E4D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供应商提供“基本资格条件承诺函”（详见</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格式）</w:t>
            </w:r>
          </w:p>
        </w:tc>
      </w:tr>
      <w:tr w14:paraId="4C1C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676" w:type="dxa"/>
            <w:vMerge w:val="continue"/>
            <w:vAlign w:val="center"/>
          </w:tcPr>
          <w:p w14:paraId="6A7D2A53">
            <w:pPr>
              <w:snapToGrid w:val="0"/>
              <w:spacing w:line="480" w:lineRule="exact"/>
              <w:ind w:firstLine="240" w:firstLineChars="100"/>
              <w:rPr>
                <w:rFonts w:hint="eastAsia" w:ascii="宋体" w:hAnsi="宋体" w:eastAsia="宋体" w:cs="宋体"/>
                <w:color w:val="auto"/>
                <w:sz w:val="24"/>
                <w:szCs w:val="24"/>
                <w:highlight w:val="none"/>
              </w:rPr>
            </w:pPr>
          </w:p>
        </w:tc>
        <w:tc>
          <w:tcPr>
            <w:tcW w:w="709" w:type="dxa"/>
            <w:vMerge w:val="continue"/>
            <w:vAlign w:val="center"/>
          </w:tcPr>
          <w:p w14:paraId="20D1E4AF">
            <w:pPr>
              <w:snapToGrid w:val="0"/>
              <w:spacing w:line="480" w:lineRule="exact"/>
              <w:ind w:firstLine="240" w:firstLineChars="100"/>
              <w:rPr>
                <w:rFonts w:hint="eastAsia" w:ascii="宋体" w:hAnsi="宋体" w:eastAsia="宋体" w:cs="宋体"/>
                <w:color w:val="auto"/>
                <w:sz w:val="24"/>
                <w:szCs w:val="24"/>
                <w:highlight w:val="none"/>
              </w:rPr>
            </w:pPr>
          </w:p>
        </w:tc>
        <w:tc>
          <w:tcPr>
            <w:tcW w:w="3685" w:type="dxa"/>
            <w:vAlign w:val="center"/>
          </w:tcPr>
          <w:p w14:paraId="14DCF3C1">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（3）具有履行合同所必需的设备和专业技术能力</w:t>
            </w:r>
          </w:p>
        </w:tc>
        <w:tc>
          <w:tcPr>
            <w:tcW w:w="4558" w:type="dxa"/>
            <w:vMerge w:val="continue"/>
            <w:vAlign w:val="center"/>
          </w:tcPr>
          <w:p w14:paraId="4F1545DB">
            <w:pPr>
              <w:snapToGrid w:val="0"/>
              <w:spacing w:line="480" w:lineRule="exact"/>
              <w:ind w:firstLine="240" w:firstLineChars="100"/>
              <w:rPr>
                <w:rFonts w:hint="eastAsia" w:ascii="宋体" w:hAnsi="宋体" w:eastAsia="宋体" w:cs="宋体"/>
                <w:color w:val="auto"/>
                <w:sz w:val="24"/>
                <w:szCs w:val="24"/>
                <w:highlight w:val="none"/>
              </w:rPr>
            </w:pPr>
          </w:p>
        </w:tc>
      </w:tr>
      <w:tr w14:paraId="1C76B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676" w:type="dxa"/>
            <w:vMerge w:val="continue"/>
            <w:vAlign w:val="center"/>
          </w:tcPr>
          <w:p w14:paraId="69C7662C">
            <w:pPr>
              <w:snapToGrid w:val="0"/>
              <w:spacing w:line="480" w:lineRule="exact"/>
              <w:ind w:firstLine="240" w:firstLineChars="100"/>
              <w:rPr>
                <w:rFonts w:hint="eastAsia" w:ascii="宋体" w:hAnsi="宋体" w:eastAsia="宋体" w:cs="宋体"/>
                <w:color w:val="auto"/>
                <w:sz w:val="24"/>
                <w:szCs w:val="24"/>
                <w:highlight w:val="none"/>
              </w:rPr>
            </w:pPr>
          </w:p>
        </w:tc>
        <w:tc>
          <w:tcPr>
            <w:tcW w:w="709" w:type="dxa"/>
            <w:vMerge w:val="continue"/>
            <w:vAlign w:val="center"/>
          </w:tcPr>
          <w:p w14:paraId="717E7B98">
            <w:pPr>
              <w:snapToGrid w:val="0"/>
              <w:spacing w:line="480" w:lineRule="exact"/>
              <w:ind w:firstLine="240" w:firstLineChars="100"/>
              <w:rPr>
                <w:rFonts w:hint="eastAsia" w:ascii="宋体" w:hAnsi="宋体" w:eastAsia="宋体" w:cs="宋体"/>
                <w:color w:val="auto"/>
                <w:sz w:val="24"/>
                <w:szCs w:val="24"/>
                <w:highlight w:val="none"/>
              </w:rPr>
            </w:pPr>
          </w:p>
        </w:tc>
        <w:tc>
          <w:tcPr>
            <w:tcW w:w="3685" w:type="dxa"/>
            <w:vAlign w:val="center"/>
          </w:tcPr>
          <w:p w14:paraId="393E8921">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（4）有依法缴纳税收和社会保障金的良好记录</w:t>
            </w:r>
          </w:p>
        </w:tc>
        <w:tc>
          <w:tcPr>
            <w:tcW w:w="4558" w:type="dxa"/>
            <w:vMerge w:val="continue"/>
            <w:vAlign w:val="center"/>
          </w:tcPr>
          <w:p w14:paraId="0BA9B027">
            <w:pPr>
              <w:snapToGrid w:val="0"/>
              <w:spacing w:line="480" w:lineRule="exact"/>
              <w:ind w:firstLine="240" w:firstLineChars="100"/>
              <w:rPr>
                <w:rFonts w:hint="eastAsia" w:ascii="宋体" w:hAnsi="宋体" w:eastAsia="宋体" w:cs="宋体"/>
                <w:color w:val="auto"/>
                <w:sz w:val="24"/>
                <w:szCs w:val="24"/>
                <w:highlight w:val="none"/>
              </w:rPr>
            </w:pPr>
          </w:p>
        </w:tc>
      </w:tr>
      <w:tr w14:paraId="5BA9E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7D63F4B4">
            <w:pPr>
              <w:snapToGrid w:val="0"/>
              <w:spacing w:line="480" w:lineRule="exact"/>
              <w:ind w:firstLine="240" w:firstLineChars="100"/>
              <w:rPr>
                <w:rFonts w:hint="eastAsia" w:ascii="宋体" w:hAnsi="宋体" w:eastAsia="宋体" w:cs="宋体"/>
                <w:color w:val="auto"/>
                <w:sz w:val="24"/>
                <w:szCs w:val="24"/>
                <w:highlight w:val="none"/>
              </w:rPr>
            </w:pPr>
          </w:p>
        </w:tc>
        <w:tc>
          <w:tcPr>
            <w:tcW w:w="709" w:type="dxa"/>
            <w:vMerge w:val="continue"/>
            <w:vAlign w:val="center"/>
          </w:tcPr>
          <w:p w14:paraId="3C9816D3">
            <w:pPr>
              <w:snapToGrid w:val="0"/>
              <w:spacing w:line="480" w:lineRule="exact"/>
              <w:ind w:firstLine="240" w:firstLineChars="100"/>
              <w:rPr>
                <w:rFonts w:hint="eastAsia" w:ascii="宋体" w:hAnsi="宋体" w:eastAsia="宋体" w:cs="宋体"/>
                <w:color w:val="auto"/>
                <w:sz w:val="24"/>
                <w:szCs w:val="24"/>
                <w:highlight w:val="none"/>
              </w:rPr>
            </w:pPr>
          </w:p>
        </w:tc>
        <w:tc>
          <w:tcPr>
            <w:tcW w:w="3685" w:type="dxa"/>
            <w:vAlign w:val="center"/>
          </w:tcPr>
          <w:p w14:paraId="01BBECC9">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（5）参加政府采购活动前三年内，在经营活动中没有重大违法记录（注</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eq \o\ac(○,3)</w:instrTex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w:t>
            </w:r>
          </w:p>
        </w:tc>
        <w:tc>
          <w:tcPr>
            <w:tcW w:w="4558" w:type="dxa"/>
            <w:vMerge w:val="continue"/>
            <w:vAlign w:val="center"/>
          </w:tcPr>
          <w:p w14:paraId="0653881D">
            <w:pPr>
              <w:snapToGrid w:val="0"/>
              <w:spacing w:line="480" w:lineRule="exact"/>
              <w:ind w:firstLine="240" w:firstLineChars="100"/>
              <w:rPr>
                <w:rFonts w:hint="eastAsia" w:ascii="宋体" w:hAnsi="宋体" w:eastAsia="宋体" w:cs="宋体"/>
                <w:color w:val="auto"/>
                <w:sz w:val="24"/>
                <w:szCs w:val="24"/>
                <w:highlight w:val="none"/>
              </w:rPr>
            </w:pPr>
          </w:p>
        </w:tc>
      </w:tr>
      <w:tr w14:paraId="5344B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676" w:type="dxa"/>
            <w:vMerge w:val="continue"/>
            <w:vAlign w:val="center"/>
          </w:tcPr>
          <w:p w14:paraId="6443AAD8">
            <w:pPr>
              <w:snapToGrid w:val="0"/>
              <w:spacing w:line="480" w:lineRule="exact"/>
              <w:ind w:firstLine="240" w:firstLineChars="100"/>
              <w:rPr>
                <w:rFonts w:hint="eastAsia" w:ascii="宋体" w:hAnsi="宋体" w:eastAsia="宋体" w:cs="宋体"/>
                <w:color w:val="auto"/>
                <w:sz w:val="24"/>
                <w:szCs w:val="24"/>
                <w:highlight w:val="none"/>
              </w:rPr>
            </w:pPr>
          </w:p>
        </w:tc>
        <w:tc>
          <w:tcPr>
            <w:tcW w:w="709" w:type="dxa"/>
            <w:vMerge w:val="continue"/>
            <w:vAlign w:val="center"/>
          </w:tcPr>
          <w:p w14:paraId="5BF79E48">
            <w:pPr>
              <w:snapToGrid w:val="0"/>
              <w:spacing w:line="480" w:lineRule="exact"/>
              <w:ind w:firstLine="240" w:firstLineChars="100"/>
              <w:rPr>
                <w:rFonts w:hint="eastAsia" w:ascii="宋体" w:hAnsi="宋体" w:eastAsia="宋体" w:cs="宋体"/>
                <w:color w:val="auto"/>
                <w:sz w:val="24"/>
                <w:szCs w:val="24"/>
                <w:highlight w:val="none"/>
              </w:rPr>
            </w:pPr>
          </w:p>
        </w:tc>
        <w:tc>
          <w:tcPr>
            <w:tcW w:w="3685" w:type="dxa"/>
            <w:vAlign w:val="center"/>
          </w:tcPr>
          <w:p w14:paraId="142D45EF">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（6）法律、行政法规规定的其他条件</w:t>
            </w:r>
          </w:p>
        </w:tc>
        <w:tc>
          <w:tcPr>
            <w:tcW w:w="4558" w:type="dxa"/>
            <w:vMerge w:val="continue"/>
            <w:vAlign w:val="center"/>
          </w:tcPr>
          <w:p w14:paraId="4154328A">
            <w:pPr>
              <w:snapToGrid w:val="0"/>
              <w:spacing w:line="480" w:lineRule="exact"/>
              <w:ind w:firstLine="240" w:firstLineChars="100"/>
              <w:rPr>
                <w:rFonts w:hint="eastAsia" w:ascii="宋体" w:hAnsi="宋体" w:eastAsia="宋体" w:cs="宋体"/>
                <w:color w:val="auto"/>
                <w:sz w:val="24"/>
                <w:szCs w:val="24"/>
                <w:highlight w:val="none"/>
              </w:rPr>
            </w:pPr>
          </w:p>
        </w:tc>
      </w:tr>
      <w:tr w14:paraId="76E01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76" w:type="dxa"/>
            <w:vAlign w:val="center"/>
          </w:tcPr>
          <w:p w14:paraId="4AFE543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4394" w:type="dxa"/>
            <w:gridSpan w:val="2"/>
            <w:vAlign w:val="center"/>
          </w:tcPr>
          <w:p w14:paraId="530A51B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特定资格条件</w:t>
            </w:r>
          </w:p>
        </w:tc>
        <w:tc>
          <w:tcPr>
            <w:tcW w:w="4558" w:type="dxa"/>
            <w:vAlign w:val="center"/>
          </w:tcPr>
          <w:p w14:paraId="3DFAF91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按“第一篇三、供应商资格要求（三）本项目的特定资格要求”的要求提交（如果有）。</w:t>
            </w:r>
          </w:p>
        </w:tc>
      </w:tr>
      <w:tr w14:paraId="7198E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676" w:type="dxa"/>
            <w:vAlign w:val="center"/>
          </w:tcPr>
          <w:p w14:paraId="396A1E1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4394" w:type="dxa"/>
            <w:gridSpan w:val="2"/>
            <w:vAlign w:val="center"/>
          </w:tcPr>
          <w:p w14:paraId="3A07682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落实政府采购政策需满足的资格要求</w:t>
            </w:r>
          </w:p>
        </w:tc>
        <w:tc>
          <w:tcPr>
            <w:tcW w:w="4558" w:type="dxa"/>
            <w:vAlign w:val="center"/>
          </w:tcPr>
          <w:p w14:paraId="29215F0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按“第一篇三、供应商资格要求（二）落实政府采购政策需满足的资格要求”的要求提交（如果有）。</w:t>
            </w:r>
          </w:p>
        </w:tc>
      </w:tr>
      <w:tr w14:paraId="34FD4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676" w:type="dxa"/>
            <w:vAlign w:val="center"/>
          </w:tcPr>
          <w:p w14:paraId="3A6C7EC6">
            <w:pPr>
              <w:snapToGrid w:val="0"/>
              <w:spacing w:line="480" w:lineRule="exact"/>
              <w:ind w:firstLine="240" w:firstLineChars="1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4394" w:type="dxa"/>
            <w:gridSpan w:val="2"/>
            <w:vAlign w:val="center"/>
          </w:tcPr>
          <w:p w14:paraId="49C3A57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保证金</w:t>
            </w:r>
          </w:p>
        </w:tc>
        <w:tc>
          <w:tcPr>
            <w:tcW w:w="4558" w:type="dxa"/>
            <w:vAlign w:val="center"/>
          </w:tcPr>
          <w:p w14:paraId="49FFE80E">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按照竞争性</w:t>
            </w:r>
            <w:r>
              <w:rPr>
                <w:rFonts w:hint="eastAsia" w:ascii="宋体" w:hAnsi="宋体" w:eastAsia="宋体" w:cs="宋体"/>
                <w:color w:val="auto"/>
                <w:sz w:val="24"/>
                <w:szCs w:val="24"/>
                <w:highlight w:val="none"/>
                <w:lang w:val="en-US" w:eastAsia="zh-CN"/>
              </w:rPr>
              <w:t>比选</w:t>
            </w:r>
            <w:r>
              <w:rPr>
                <w:rFonts w:hint="eastAsia" w:ascii="宋体" w:hAnsi="宋体" w:eastAsia="宋体" w:cs="宋体"/>
                <w:color w:val="auto"/>
                <w:sz w:val="24"/>
                <w:szCs w:val="24"/>
                <w:highlight w:val="none"/>
              </w:rPr>
              <w:t>文件要求足额缴纳保证金</w:t>
            </w:r>
          </w:p>
        </w:tc>
      </w:tr>
    </w:tbl>
    <w:p w14:paraId="4FC9F98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p>
    <w:p w14:paraId="6A6677E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eq \o\ac(○,2)</w:instrTex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供应商按“多证合一”登记制度办理营业执照的，组织机构代码证、税务登记证（副本）和社会保险登记证以供应商所提供的营业执照（副本）为准。</w:t>
      </w:r>
    </w:p>
    <w:p w14:paraId="29272C1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eq \o\ac(○,3)</w:instrTex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按照财政部财库〔2022〕3号《关于〈中华人民共和国政府采购法实施条例〉第十九条第一款“较大数额罚款”具体适用问题的意见》执行。</w:t>
      </w:r>
    </w:p>
    <w:p w14:paraId="1AAF5690">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符合性检查。依据</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文件的规定，从响应文件的有效性、完整性和对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文件的响应程度进行审查，以确定是否对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文件的实质性要求作出响应。符合性检查资料表如下：</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6418D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59AB68BD">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3544" w:type="dxa"/>
            <w:gridSpan w:val="2"/>
            <w:vAlign w:val="center"/>
          </w:tcPr>
          <w:p w14:paraId="6CED138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评审因素</w:t>
            </w:r>
          </w:p>
        </w:tc>
        <w:tc>
          <w:tcPr>
            <w:tcW w:w="5409" w:type="dxa"/>
            <w:vAlign w:val="center"/>
          </w:tcPr>
          <w:p w14:paraId="7A3C685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评审标准</w:t>
            </w:r>
          </w:p>
        </w:tc>
      </w:tr>
      <w:tr w14:paraId="6D429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vAlign w:val="center"/>
          </w:tcPr>
          <w:p w14:paraId="7BB2634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560" w:type="dxa"/>
            <w:vMerge w:val="restart"/>
            <w:vAlign w:val="center"/>
          </w:tcPr>
          <w:p w14:paraId="56CBF6A9">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有效性审查</w:t>
            </w:r>
          </w:p>
        </w:tc>
        <w:tc>
          <w:tcPr>
            <w:tcW w:w="1984" w:type="dxa"/>
            <w:vAlign w:val="center"/>
          </w:tcPr>
          <w:p w14:paraId="0102F09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响应文件签署</w:t>
            </w:r>
          </w:p>
        </w:tc>
        <w:tc>
          <w:tcPr>
            <w:tcW w:w="5409" w:type="dxa"/>
            <w:vAlign w:val="center"/>
          </w:tcPr>
          <w:p w14:paraId="52E491F4">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w:t>
            </w:r>
            <w:r>
              <w:rPr>
                <w:rFonts w:hint="eastAsia" w:ascii="宋体" w:hAnsi="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“第七篇响应文件编制要求”要求签署或盖章。</w:t>
            </w:r>
          </w:p>
        </w:tc>
      </w:tr>
      <w:tr w14:paraId="2D16A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vAlign w:val="center"/>
          </w:tcPr>
          <w:p w14:paraId="4DD925DD">
            <w:pPr>
              <w:snapToGrid w:val="0"/>
              <w:spacing w:line="480" w:lineRule="exact"/>
              <w:ind w:firstLine="240" w:firstLineChars="100"/>
              <w:rPr>
                <w:rFonts w:hint="eastAsia" w:ascii="宋体" w:hAnsi="宋体" w:eastAsia="宋体" w:cs="宋体"/>
                <w:color w:val="auto"/>
                <w:sz w:val="24"/>
                <w:szCs w:val="24"/>
                <w:highlight w:val="none"/>
              </w:rPr>
            </w:pPr>
          </w:p>
        </w:tc>
        <w:tc>
          <w:tcPr>
            <w:tcW w:w="1560" w:type="dxa"/>
            <w:vMerge w:val="continue"/>
            <w:vAlign w:val="center"/>
          </w:tcPr>
          <w:p w14:paraId="29FB4EBD">
            <w:pPr>
              <w:snapToGrid w:val="0"/>
              <w:spacing w:line="480" w:lineRule="exact"/>
              <w:ind w:firstLine="240" w:firstLineChars="100"/>
              <w:rPr>
                <w:rFonts w:hint="eastAsia" w:ascii="宋体" w:hAnsi="宋体" w:eastAsia="宋体" w:cs="宋体"/>
                <w:color w:val="auto"/>
                <w:sz w:val="24"/>
                <w:szCs w:val="24"/>
                <w:highlight w:val="none"/>
              </w:rPr>
            </w:pPr>
          </w:p>
        </w:tc>
        <w:tc>
          <w:tcPr>
            <w:tcW w:w="1984" w:type="dxa"/>
            <w:vAlign w:val="center"/>
          </w:tcPr>
          <w:p w14:paraId="292F1BF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法定代表人身份证明及授权委托书</w:t>
            </w:r>
          </w:p>
        </w:tc>
        <w:tc>
          <w:tcPr>
            <w:tcW w:w="5409" w:type="dxa"/>
            <w:vAlign w:val="center"/>
          </w:tcPr>
          <w:p w14:paraId="2070A65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法定代表人身份证明及授权委托书有效，符合</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文件规定的格式，签字或盖章齐全。</w:t>
            </w:r>
          </w:p>
        </w:tc>
      </w:tr>
      <w:tr w14:paraId="69A13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6F60AA0D">
            <w:pPr>
              <w:snapToGrid w:val="0"/>
              <w:spacing w:line="480" w:lineRule="exact"/>
              <w:ind w:firstLine="240" w:firstLineChars="100"/>
              <w:rPr>
                <w:rFonts w:hint="eastAsia" w:ascii="宋体" w:hAnsi="宋体" w:eastAsia="宋体" w:cs="宋体"/>
                <w:color w:val="auto"/>
                <w:sz w:val="24"/>
                <w:szCs w:val="24"/>
                <w:highlight w:val="none"/>
              </w:rPr>
            </w:pPr>
          </w:p>
        </w:tc>
        <w:tc>
          <w:tcPr>
            <w:tcW w:w="1560" w:type="dxa"/>
            <w:vMerge w:val="continue"/>
            <w:vAlign w:val="center"/>
          </w:tcPr>
          <w:p w14:paraId="4DC68E8D">
            <w:pPr>
              <w:snapToGrid w:val="0"/>
              <w:spacing w:line="480" w:lineRule="exact"/>
              <w:ind w:firstLine="240" w:firstLineChars="100"/>
              <w:rPr>
                <w:rFonts w:hint="eastAsia" w:ascii="宋体" w:hAnsi="宋体" w:eastAsia="宋体" w:cs="宋体"/>
                <w:color w:val="auto"/>
                <w:sz w:val="24"/>
                <w:szCs w:val="24"/>
                <w:highlight w:val="none"/>
              </w:rPr>
            </w:pPr>
          </w:p>
        </w:tc>
        <w:tc>
          <w:tcPr>
            <w:tcW w:w="1984" w:type="dxa"/>
            <w:vAlign w:val="center"/>
          </w:tcPr>
          <w:p w14:paraId="71E4586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响应方案</w:t>
            </w:r>
          </w:p>
        </w:tc>
        <w:tc>
          <w:tcPr>
            <w:tcW w:w="5409" w:type="dxa"/>
            <w:vAlign w:val="center"/>
          </w:tcPr>
          <w:p w14:paraId="21CA266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每个分包只能有一个响应方案。</w:t>
            </w:r>
          </w:p>
        </w:tc>
      </w:tr>
      <w:tr w14:paraId="3C585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vAlign w:val="center"/>
          </w:tcPr>
          <w:p w14:paraId="6829767B">
            <w:pPr>
              <w:snapToGrid w:val="0"/>
              <w:spacing w:line="480" w:lineRule="exact"/>
              <w:ind w:firstLine="240" w:firstLineChars="100"/>
              <w:rPr>
                <w:rFonts w:hint="eastAsia" w:ascii="宋体" w:hAnsi="宋体" w:eastAsia="宋体" w:cs="宋体"/>
                <w:color w:val="auto"/>
                <w:sz w:val="24"/>
                <w:szCs w:val="24"/>
                <w:highlight w:val="none"/>
              </w:rPr>
            </w:pPr>
          </w:p>
        </w:tc>
        <w:tc>
          <w:tcPr>
            <w:tcW w:w="1560" w:type="dxa"/>
            <w:vMerge w:val="continue"/>
            <w:vAlign w:val="center"/>
          </w:tcPr>
          <w:p w14:paraId="38B3D070">
            <w:pPr>
              <w:snapToGrid w:val="0"/>
              <w:spacing w:line="480" w:lineRule="exact"/>
              <w:ind w:firstLine="240" w:firstLineChars="100"/>
              <w:rPr>
                <w:rFonts w:hint="eastAsia" w:ascii="宋体" w:hAnsi="宋体" w:eastAsia="宋体" w:cs="宋体"/>
                <w:color w:val="auto"/>
                <w:sz w:val="24"/>
                <w:szCs w:val="24"/>
                <w:highlight w:val="none"/>
              </w:rPr>
            </w:pPr>
          </w:p>
        </w:tc>
        <w:tc>
          <w:tcPr>
            <w:tcW w:w="1984" w:type="dxa"/>
            <w:vAlign w:val="center"/>
          </w:tcPr>
          <w:p w14:paraId="52606AC4">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报价唯一</w:t>
            </w:r>
          </w:p>
        </w:tc>
        <w:tc>
          <w:tcPr>
            <w:tcW w:w="5409" w:type="dxa"/>
            <w:vAlign w:val="center"/>
          </w:tcPr>
          <w:p w14:paraId="597143E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只能在采购预算范围内报价，只能有一个有效报价，不得提交选择性报价。</w:t>
            </w:r>
          </w:p>
        </w:tc>
      </w:tr>
      <w:tr w14:paraId="01FDA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675" w:type="dxa"/>
            <w:vAlign w:val="center"/>
          </w:tcPr>
          <w:p w14:paraId="6DDFA75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560" w:type="dxa"/>
            <w:vAlign w:val="center"/>
          </w:tcPr>
          <w:p w14:paraId="1BF7DEA7">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完整性审查</w:t>
            </w:r>
          </w:p>
        </w:tc>
        <w:tc>
          <w:tcPr>
            <w:tcW w:w="1984" w:type="dxa"/>
            <w:vAlign w:val="center"/>
          </w:tcPr>
          <w:p w14:paraId="6955376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响应文件份数</w:t>
            </w:r>
          </w:p>
        </w:tc>
        <w:tc>
          <w:tcPr>
            <w:tcW w:w="5409" w:type="dxa"/>
            <w:vAlign w:val="center"/>
          </w:tcPr>
          <w:p w14:paraId="3762AE8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平台电子响应文件</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份；纸质响应文件正本</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 xml:space="preserve">   份，副本</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份。</w:t>
            </w:r>
          </w:p>
        </w:tc>
      </w:tr>
      <w:tr w14:paraId="4952A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675" w:type="dxa"/>
            <w:vMerge w:val="restart"/>
            <w:vAlign w:val="center"/>
          </w:tcPr>
          <w:p w14:paraId="6863A4E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560" w:type="dxa"/>
            <w:vMerge w:val="restart"/>
            <w:vAlign w:val="center"/>
          </w:tcPr>
          <w:p w14:paraId="2F1B8615">
            <w:pPr>
              <w:snapToGrid w:val="0"/>
              <w:spacing w:line="480" w:lineRule="exac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文件的响应程度审查</w:t>
            </w:r>
          </w:p>
        </w:tc>
        <w:tc>
          <w:tcPr>
            <w:tcW w:w="1984" w:type="dxa"/>
            <w:vAlign w:val="center"/>
          </w:tcPr>
          <w:p w14:paraId="0A5D340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响应文件内容</w:t>
            </w:r>
          </w:p>
        </w:tc>
        <w:tc>
          <w:tcPr>
            <w:tcW w:w="5409" w:type="dxa"/>
            <w:vAlign w:val="center"/>
          </w:tcPr>
          <w:p w14:paraId="41519D6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文件第二篇、第三篇“※”标注部分。</w:t>
            </w:r>
          </w:p>
        </w:tc>
      </w:tr>
      <w:tr w14:paraId="775C8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vAlign w:val="center"/>
          </w:tcPr>
          <w:p w14:paraId="1B59ECD6">
            <w:pPr>
              <w:snapToGrid w:val="0"/>
              <w:spacing w:line="480" w:lineRule="exact"/>
              <w:ind w:firstLine="240" w:firstLineChars="100"/>
              <w:rPr>
                <w:rFonts w:hint="eastAsia" w:ascii="宋体" w:hAnsi="宋体" w:eastAsia="宋体" w:cs="宋体"/>
                <w:color w:val="auto"/>
                <w:sz w:val="24"/>
                <w:szCs w:val="24"/>
                <w:highlight w:val="none"/>
              </w:rPr>
            </w:pPr>
          </w:p>
        </w:tc>
        <w:tc>
          <w:tcPr>
            <w:tcW w:w="1560" w:type="dxa"/>
            <w:vMerge w:val="continue"/>
            <w:vAlign w:val="center"/>
          </w:tcPr>
          <w:p w14:paraId="351B27AD">
            <w:pPr>
              <w:snapToGrid w:val="0"/>
              <w:spacing w:line="480" w:lineRule="exact"/>
              <w:ind w:firstLine="240" w:firstLineChars="100"/>
              <w:rPr>
                <w:rFonts w:hint="eastAsia" w:ascii="宋体" w:hAnsi="宋体" w:eastAsia="宋体" w:cs="宋体"/>
                <w:color w:val="auto"/>
                <w:sz w:val="24"/>
                <w:szCs w:val="24"/>
                <w:highlight w:val="none"/>
              </w:rPr>
            </w:pPr>
          </w:p>
        </w:tc>
        <w:tc>
          <w:tcPr>
            <w:tcW w:w="1984" w:type="dxa"/>
            <w:vAlign w:val="center"/>
          </w:tcPr>
          <w:p w14:paraId="24A2F77E">
            <w:pPr>
              <w:snapToGrid w:val="0"/>
              <w:spacing w:line="480" w:lineRule="exac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有效期</w:t>
            </w:r>
          </w:p>
        </w:tc>
        <w:tc>
          <w:tcPr>
            <w:tcW w:w="5409" w:type="dxa"/>
            <w:vAlign w:val="center"/>
          </w:tcPr>
          <w:p w14:paraId="2E2BC98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响应文件及有关承诺文件有效期为提交响应文件截止时间起90天。</w:t>
            </w:r>
          </w:p>
        </w:tc>
      </w:tr>
    </w:tbl>
    <w:p w14:paraId="3C232D8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007D29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7B6F9C7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（五）在</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过程中任何一方不得向他人透露与</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有关的服务资料、价格或其他信息。</w:t>
      </w:r>
    </w:p>
    <w:p w14:paraId="1D6FDE6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六</w:t>
      </w:r>
      <w:r>
        <w:rPr>
          <w:rFonts w:hint="eastAsia" w:ascii="宋体" w:hAnsi="宋体" w:eastAsia="宋体" w:cs="宋体"/>
          <w:color w:val="auto"/>
          <w:sz w:val="24"/>
          <w:szCs w:val="24"/>
          <w:highlight w:val="none"/>
        </w:rPr>
        <w:t>）评审小组采用综合评分法对合格的供应商的响应文件进行综合评分。综合评分法，是指响应文件满足</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文件全部实质性要求且按照评审因素的量化指标评审得分最高的供应商为</w:t>
      </w:r>
      <w:r>
        <w:rPr>
          <w:rFonts w:hint="eastAsia" w:ascii="宋体" w:hAnsi="宋体" w:cs="宋体"/>
          <w:color w:val="auto"/>
          <w:sz w:val="24"/>
          <w:szCs w:val="24"/>
          <w:highlight w:val="none"/>
          <w:lang w:eastAsia="zh-CN"/>
        </w:rPr>
        <w:t>成交候选人</w:t>
      </w:r>
      <w:r>
        <w:rPr>
          <w:rFonts w:hint="eastAsia" w:ascii="宋体" w:hAnsi="宋体" w:eastAsia="宋体" w:cs="宋体"/>
          <w:color w:val="auto"/>
          <w:sz w:val="24"/>
          <w:szCs w:val="24"/>
          <w:highlight w:val="none"/>
        </w:rPr>
        <w:t>的评审方法。供应商总得分为价格、技术、商务等评定因素分别按照相应权重值计算分项得分后相加，满分为100分。</w:t>
      </w:r>
    </w:p>
    <w:p w14:paraId="4F27414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七</w:t>
      </w:r>
      <w:r>
        <w:rPr>
          <w:rFonts w:hint="eastAsia" w:ascii="宋体" w:hAnsi="宋体" w:eastAsia="宋体" w:cs="宋体"/>
          <w:color w:val="auto"/>
          <w:sz w:val="24"/>
          <w:szCs w:val="24"/>
          <w:highlight w:val="none"/>
        </w:rPr>
        <w:t>）评审小组各成员独立对每个有效响应（通过资格性检查、符合性检查的供应商）的文件进行评价、打分，然后汇总每个供应商每项评分因素的得分，并根据综合评分情况按照评审得分由高到低顺序推荐3名</w:t>
      </w:r>
      <w:r>
        <w:rPr>
          <w:rFonts w:hint="eastAsia" w:ascii="宋体" w:hAnsi="宋体" w:cs="宋体"/>
          <w:color w:val="auto"/>
          <w:sz w:val="24"/>
          <w:szCs w:val="24"/>
          <w:highlight w:val="none"/>
          <w:lang w:val="en-US" w:eastAsia="zh-CN"/>
        </w:rPr>
        <w:t>及</w:t>
      </w:r>
      <w:r>
        <w:rPr>
          <w:rFonts w:hint="eastAsia" w:ascii="宋体" w:hAnsi="宋体" w:eastAsia="宋体" w:cs="宋体"/>
          <w:color w:val="auto"/>
          <w:sz w:val="24"/>
          <w:szCs w:val="24"/>
          <w:highlight w:val="none"/>
        </w:rPr>
        <w:t>以上</w:t>
      </w:r>
      <w:r>
        <w:rPr>
          <w:rFonts w:hint="eastAsia" w:ascii="宋体" w:hAnsi="宋体" w:cs="宋体"/>
          <w:color w:val="auto"/>
          <w:sz w:val="24"/>
          <w:szCs w:val="24"/>
          <w:highlight w:val="none"/>
          <w:lang w:eastAsia="zh-CN"/>
        </w:rPr>
        <w:t>成交候选人</w:t>
      </w:r>
      <w:r>
        <w:rPr>
          <w:rFonts w:hint="eastAsia" w:ascii="宋体" w:hAnsi="宋体" w:eastAsia="宋体" w:cs="宋体"/>
          <w:color w:val="auto"/>
          <w:sz w:val="24"/>
          <w:szCs w:val="24"/>
          <w:highlight w:val="none"/>
        </w:rPr>
        <w:t>，并编写评审报告。若供应商的评审得分相同的，按照报价由低到高的顺序排列推荐。评审得分且报价相同的，按照技术部分得分高低顺序排列推荐。以上都相同的，按商务部分得分高低顺序排列推荐，以上得分均相等，则由采购人在监督部门的监督下随机抽取决定。</w:t>
      </w:r>
    </w:p>
    <w:p w14:paraId="7E344DF6">
      <w:pPr>
        <w:pStyle w:val="4"/>
        <w:bidi w:val="0"/>
        <w:rPr>
          <w:rFonts w:hint="eastAsia" w:ascii="宋体" w:hAnsi="宋体" w:eastAsia="宋体" w:cs="宋体"/>
          <w:b/>
          <w:bCs/>
          <w:color w:val="auto"/>
          <w:kern w:val="2"/>
          <w:sz w:val="24"/>
          <w:szCs w:val="24"/>
          <w:highlight w:val="none"/>
          <w:lang w:val="en-US" w:eastAsia="zh-CN" w:bidi="ar-SA"/>
        </w:rPr>
      </w:pPr>
      <w:bookmarkStart w:id="358" w:name="_Toc12141"/>
      <w:r>
        <w:rPr>
          <w:rFonts w:hint="eastAsia" w:ascii="宋体" w:hAnsi="宋体" w:eastAsia="宋体" w:cs="宋体"/>
          <w:b/>
          <w:bCs/>
          <w:color w:val="auto"/>
          <w:kern w:val="2"/>
          <w:sz w:val="24"/>
          <w:szCs w:val="24"/>
          <w:highlight w:val="none"/>
          <w:lang w:val="en-US" w:eastAsia="zh-CN" w:bidi="ar-SA"/>
        </w:rPr>
        <w:t>二、评审标准</w:t>
      </w:r>
      <w:bookmarkEnd w:id="358"/>
    </w:p>
    <w:tbl>
      <w:tblPr>
        <w:tblStyle w:val="60"/>
        <w:tblW w:w="49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139"/>
        <w:gridCol w:w="872"/>
        <w:gridCol w:w="1082"/>
        <w:gridCol w:w="3887"/>
        <w:gridCol w:w="2988"/>
      </w:tblGrid>
      <w:tr w14:paraId="66C10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30" w:type="dxa"/>
            <w:noWrap w:val="0"/>
            <w:vAlign w:val="center"/>
          </w:tcPr>
          <w:p w14:paraId="74533483">
            <w:pPr>
              <w:jc w:val="center"/>
              <w:rPr>
                <w:rFonts w:hint="eastAsia" w:ascii="宋体" w:hAnsi="宋体" w:cs="宋体"/>
                <w:b/>
                <w:color w:val="auto"/>
                <w:sz w:val="20"/>
                <w:szCs w:val="20"/>
                <w:highlight w:val="none"/>
              </w:rPr>
            </w:pPr>
            <w:bookmarkStart w:id="359" w:name="_Toc102227320"/>
            <w:bookmarkStart w:id="360" w:name="_Toc342913394"/>
            <w:r>
              <w:rPr>
                <w:rFonts w:hint="eastAsia" w:ascii="宋体" w:hAnsi="宋体" w:cs="宋体"/>
                <w:b/>
                <w:color w:val="auto"/>
                <w:sz w:val="20"/>
                <w:szCs w:val="20"/>
                <w:highlight w:val="none"/>
              </w:rPr>
              <w:t>序号</w:t>
            </w:r>
          </w:p>
        </w:tc>
        <w:tc>
          <w:tcPr>
            <w:tcW w:w="1011" w:type="dxa"/>
            <w:gridSpan w:val="2"/>
            <w:noWrap w:val="0"/>
            <w:vAlign w:val="center"/>
          </w:tcPr>
          <w:p w14:paraId="589FB7DD">
            <w:pPr>
              <w:jc w:val="center"/>
              <w:rPr>
                <w:rFonts w:hint="eastAsia" w:ascii="宋体" w:hAnsi="宋体" w:cs="宋体"/>
                <w:b/>
                <w:color w:val="auto"/>
                <w:sz w:val="20"/>
                <w:szCs w:val="20"/>
                <w:highlight w:val="none"/>
              </w:rPr>
            </w:pPr>
            <w:r>
              <w:rPr>
                <w:rFonts w:hint="eastAsia" w:ascii="宋体" w:hAnsi="宋体" w:cs="宋体"/>
                <w:b/>
                <w:color w:val="auto"/>
                <w:sz w:val="20"/>
                <w:szCs w:val="20"/>
                <w:highlight w:val="none"/>
              </w:rPr>
              <w:t>评分因素及权值</w:t>
            </w:r>
          </w:p>
        </w:tc>
        <w:tc>
          <w:tcPr>
            <w:tcW w:w="1082" w:type="dxa"/>
            <w:noWrap w:val="0"/>
            <w:vAlign w:val="center"/>
          </w:tcPr>
          <w:p w14:paraId="5B69B5E5">
            <w:pPr>
              <w:jc w:val="center"/>
              <w:rPr>
                <w:rFonts w:hint="eastAsia" w:ascii="宋体" w:hAnsi="宋体" w:cs="宋体"/>
                <w:b/>
                <w:color w:val="auto"/>
                <w:sz w:val="20"/>
                <w:szCs w:val="20"/>
                <w:highlight w:val="none"/>
              </w:rPr>
            </w:pPr>
            <w:r>
              <w:rPr>
                <w:rFonts w:hint="eastAsia" w:ascii="宋体" w:hAnsi="宋体" w:cs="宋体"/>
                <w:b/>
                <w:color w:val="auto"/>
                <w:sz w:val="20"/>
                <w:szCs w:val="20"/>
                <w:highlight w:val="none"/>
              </w:rPr>
              <w:t>分值</w:t>
            </w:r>
          </w:p>
        </w:tc>
        <w:tc>
          <w:tcPr>
            <w:tcW w:w="3887" w:type="dxa"/>
            <w:noWrap w:val="0"/>
            <w:vAlign w:val="center"/>
          </w:tcPr>
          <w:p w14:paraId="2F2028A9">
            <w:pPr>
              <w:jc w:val="center"/>
              <w:rPr>
                <w:rFonts w:hint="eastAsia" w:ascii="宋体" w:hAnsi="宋体" w:cs="宋体"/>
                <w:b/>
                <w:color w:val="auto"/>
                <w:sz w:val="20"/>
                <w:szCs w:val="20"/>
                <w:highlight w:val="none"/>
              </w:rPr>
            </w:pPr>
            <w:r>
              <w:rPr>
                <w:rFonts w:hint="eastAsia" w:ascii="宋体" w:hAnsi="宋体" w:cs="宋体"/>
                <w:b/>
                <w:color w:val="auto"/>
                <w:sz w:val="20"/>
                <w:szCs w:val="20"/>
                <w:highlight w:val="none"/>
              </w:rPr>
              <w:t>评分标准</w:t>
            </w:r>
          </w:p>
        </w:tc>
        <w:tc>
          <w:tcPr>
            <w:tcW w:w="2988" w:type="dxa"/>
            <w:noWrap w:val="0"/>
            <w:vAlign w:val="center"/>
          </w:tcPr>
          <w:p w14:paraId="7D51DE9D">
            <w:pPr>
              <w:pStyle w:val="232"/>
              <w:spacing w:before="0" w:after="0" w:line="240" w:lineRule="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说明</w:t>
            </w:r>
          </w:p>
        </w:tc>
      </w:tr>
      <w:tr w14:paraId="55165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0" w:type="dxa"/>
            <w:noWrap w:val="0"/>
            <w:vAlign w:val="center"/>
          </w:tcPr>
          <w:p w14:paraId="33DAB5B4">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1</w:t>
            </w:r>
          </w:p>
        </w:tc>
        <w:tc>
          <w:tcPr>
            <w:tcW w:w="1011" w:type="dxa"/>
            <w:gridSpan w:val="2"/>
            <w:noWrap w:val="0"/>
            <w:vAlign w:val="center"/>
          </w:tcPr>
          <w:p w14:paraId="1FE43CEB">
            <w:pPr>
              <w:jc w:val="center"/>
              <w:rPr>
                <w:rFonts w:hint="eastAsia" w:ascii="宋体" w:hAnsi="宋体" w:eastAsia="宋体" w:cs="宋体"/>
                <w:color w:val="auto"/>
                <w:sz w:val="20"/>
                <w:szCs w:val="20"/>
                <w:highlight w:val="none"/>
                <w:lang w:eastAsia="zh-CN"/>
              </w:rPr>
            </w:pPr>
            <w:r>
              <w:rPr>
                <w:rFonts w:hint="eastAsia" w:ascii="宋体" w:hAnsi="宋体" w:cs="宋体"/>
                <w:color w:val="auto"/>
                <w:sz w:val="20"/>
                <w:szCs w:val="20"/>
                <w:highlight w:val="none"/>
                <w:lang w:eastAsia="zh-CN"/>
              </w:rPr>
              <w:t>竞选报价</w:t>
            </w:r>
          </w:p>
          <w:p w14:paraId="72B419FE">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w:t>
            </w:r>
            <w:r>
              <w:rPr>
                <w:rFonts w:hint="eastAsia" w:ascii="宋体" w:hAnsi="宋体" w:cs="宋体"/>
                <w:color w:val="auto"/>
                <w:sz w:val="20"/>
                <w:szCs w:val="20"/>
                <w:highlight w:val="none"/>
                <w:lang w:val="en-US" w:eastAsia="zh-CN"/>
              </w:rPr>
              <w:t>3</w:t>
            </w:r>
            <w:r>
              <w:rPr>
                <w:rFonts w:hint="eastAsia" w:ascii="宋体" w:hAnsi="宋体" w:cs="宋体"/>
                <w:color w:val="auto"/>
                <w:sz w:val="20"/>
                <w:szCs w:val="20"/>
                <w:highlight w:val="none"/>
              </w:rPr>
              <w:t>0%）</w:t>
            </w:r>
          </w:p>
        </w:tc>
        <w:tc>
          <w:tcPr>
            <w:tcW w:w="1082" w:type="dxa"/>
            <w:noWrap w:val="0"/>
            <w:vAlign w:val="center"/>
          </w:tcPr>
          <w:p w14:paraId="2D007BDE">
            <w:pPr>
              <w:jc w:val="center"/>
              <w:rPr>
                <w:rFonts w:hint="eastAsia" w:ascii="宋体" w:hAnsi="宋体" w:eastAsia="宋体" w:cs="宋体"/>
                <w:color w:val="auto"/>
                <w:sz w:val="20"/>
                <w:szCs w:val="20"/>
                <w:highlight w:val="none"/>
                <w:lang w:val="en-US" w:eastAsia="zh-CN"/>
              </w:rPr>
            </w:pPr>
            <w:r>
              <w:rPr>
                <w:rFonts w:hint="eastAsia" w:ascii="宋体" w:hAnsi="宋体" w:cs="宋体"/>
                <w:color w:val="auto"/>
                <w:sz w:val="20"/>
                <w:szCs w:val="20"/>
                <w:highlight w:val="none"/>
                <w:lang w:val="en-US" w:eastAsia="zh-CN"/>
              </w:rPr>
              <w:t>3</w:t>
            </w:r>
            <w:r>
              <w:rPr>
                <w:rFonts w:hint="eastAsia" w:ascii="宋体" w:hAnsi="宋体" w:cs="宋体"/>
                <w:color w:val="auto"/>
                <w:sz w:val="20"/>
                <w:szCs w:val="20"/>
                <w:highlight w:val="none"/>
              </w:rPr>
              <w:t>0</w:t>
            </w:r>
            <w:r>
              <w:rPr>
                <w:rFonts w:hint="eastAsia" w:ascii="宋体" w:hAnsi="宋体" w:cs="宋体"/>
                <w:color w:val="auto"/>
                <w:sz w:val="20"/>
                <w:szCs w:val="20"/>
                <w:highlight w:val="none"/>
                <w:lang w:val="en-US" w:eastAsia="zh-CN"/>
              </w:rPr>
              <w:t>分</w:t>
            </w:r>
          </w:p>
        </w:tc>
        <w:tc>
          <w:tcPr>
            <w:tcW w:w="3887" w:type="dxa"/>
            <w:noWrap w:val="0"/>
            <w:vAlign w:val="center"/>
          </w:tcPr>
          <w:p w14:paraId="114FE9C4">
            <w:pPr>
              <w:ind w:firstLine="200" w:firstLineChars="100"/>
              <w:rPr>
                <w:rFonts w:hint="default" w:ascii="宋体" w:hAnsi="宋体" w:eastAsia="宋体" w:cs="宋体"/>
                <w:color w:val="auto"/>
                <w:sz w:val="20"/>
                <w:szCs w:val="20"/>
                <w:highlight w:val="none"/>
                <w:lang w:val="en-US" w:eastAsia="zh-CN"/>
              </w:rPr>
            </w:pPr>
            <w:r>
              <w:rPr>
                <w:rFonts w:hint="default" w:ascii="宋体" w:hAnsi="宋体" w:eastAsia="宋体" w:cs="宋体"/>
                <w:color w:val="auto"/>
                <w:sz w:val="20"/>
                <w:szCs w:val="20"/>
                <w:highlight w:val="none"/>
                <w:lang w:val="en-US" w:eastAsia="zh-CN"/>
              </w:rPr>
              <w:t>所有通过资格评审和符合性评审合格的</w:t>
            </w:r>
            <w:r>
              <w:rPr>
                <w:rFonts w:hint="eastAsia" w:ascii="宋体" w:hAnsi="宋体" w:eastAsia="宋体" w:cs="宋体"/>
                <w:color w:val="auto"/>
                <w:sz w:val="20"/>
                <w:szCs w:val="20"/>
                <w:highlight w:val="none"/>
                <w:lang w:val="en-US" w:eastAsia="zh-CN"/>
              </w:rPr>
              <w:t>供应商</w:t>
            </w:r>
            <w:r>
              <w:rPr>
                <w:rFonts w:hint="default" w:ascii="宋体" w:hAnsi="宋体" w:eastAsia="宋体" w:cs="宋体"/>
                <w:color w:val="auto"/>
                <w:sz w:val="20"/>
                <w:szCs w:val="20"/>
                <w:highlight w:val="none"/>
                <w:lang w:val="en-US" w:eastAsia="zh-CN"/>
              </w:rPr>
              <w:t>的</w:t>
            </w:r>
            <w:r>
              <w:rPr>
                <w:rFonts w:hint="eastAsia" w:ascii="宋体" w:hAnsi="宋体" w:eastAsia="宋体" w:cs="宋体"/>
                <w:color w:val="auto"/>
                <w:sz w:val="20"/>
                <w:szCs w:val="20"/>
                <w:highlight w:val="none"/>
                <w:lang w:val="en-US" w:eastAsia="zh-CN"/>
              </w:rPr>
              <w:t>竞选</w:t>
            </w:r>
            <w:r>
              <w:rPr>
                <w:rFonts w:hint="default" w:ascii="宋体" w:hAnsi="宋体" w:eastAsia="宋体" w:cs="宋体"/>
                <w:color w:val="auto"/>
                <w:sz w:val="20"/>
                <w:szCs w:val="20"/>
                <w:highlight w:val="none"/>
                <w:lang w:val="en-US" w:eastAsia="zh-CN"/>
              </w:rPr>
              <w:t>报价中去掉六分之一（不能整除的按小数点前整数取整，不足六家报价则不去掉）的最低价和相同家数的最高价后的算术平均值为评审基准价。</w:t>
            </w:r>
            <w:r>
              <w:rPr>
                <w:rFonts w:hint="eastAsia" w:ascii="宋体" w:hAnsi="宋体" w:eastAsia="宋体" w:cs="宋体"/>
                <w:color w:val="auto"/>
                <w:sz w:val="20"/>
                <w:szCs w:val="20"/>
                <w:highlight w:val="none"/>
                <w:lang w:val="en-US" w:eastAsia="zh-CN"/>
              </w:rPr>
              <w:t>竞选</w:t>
            </w:r>
            <w:r>
              <w:rPr>
                <w:rFonts w:hint="default" w:ascii="宋体" w:hAnsi="宋体" w:eastAsia="宋体" w:cs="宋体"/>
                <w:color w:val="auto"/>
                <w:sz w:val="20"/>
                <w:szCs w:val="20"/>
                <w:highlight w:val="none"/>
                <w:lang w:val="en-US" w:eastAsia="zh-CN"/>
              </w:rPr>
              <w:t>报价等于评审基准价的得满分30分。在此基础上，</w:t>
            </w:r>
            <w:r>
              <w:rPr>
                <w:rFonts w:hint="eastAsia" w:ascii="宋体" w:hAnsi="宋体" w:eastAsia="宋体" w:cs="宋体"/>
                <w:color w:val="auto"/>
                <w:sz w:val="20"/>
                <w:szCs w:val="20"/>
                <w:highlight w:val="none"/>
                <w:lang w:val="en-US" w:eastAsia="zh-CN"/>
              </w:rPr>
              <w:t>竞选</w:t>
            </w:r>
            <w:r>
              <w:rPr>
                <w:rFonts w:hint="default" w:ascii="宋体" w:hAnsi="宋体" w:eastAsia="宋体" w:cs="宋体"/>
                <w:color w:val="auto"/>
                <w:sz w:val="20"/>
                <w:szCs w:val="20"/>
                <w:highlight w:val="none"/>
                <w:lang w:val="en-US" w:eastAsia="zh-CN"/>
              </w:rPr>
              <w:t>总报价与评审准基价相</w:t>
            </w:r>
            <w:r>
              <w:rPr>
                <w:rFonts w:hint="eastAsia" w:ascii="宋体" w:hAnsi="宋体" w:eastAsia="宋体" w:cs="宋体"/>
                <w:color w:val="auto"/>
                <w:sz w:val="20"/>
                <w:szCs w:val="20"/>
                <w:highlight w:val="none"/>
                <w:lang w:val="en-US" w:eastAsia="zh-CN"/>
              </w:rPr>
              <w:t>比较</w:t>
            </w:r>
            <w:r>
              <w:rPr>
                <w:rFonts w:hint="default" w:ascii="宋体" w:hAnsi="宋体" w:eastAsia="宋体" w:cs="宋体"/>
                <w:color w:val="auto"/>
                <w:sz w:val="20"/>
                <w:szCs w:val="20"/>
                <w:highlight w:val="none"/>
                <w:lang w:val="en-US" w:eastAsia="zh-CN"/>
              </w:rPr>
              <w:t>，每增加1%扣0.2 分，每减少1%扣 0.1 分，扣完为止。</w:t>
            </w:r>
          </w:p>
          <w:p w14:paraId="4FC6D6CB">
            <w:pPr>
              <w:ind w:firstLine="200" w:firstLineChars="100"/>
              <w:rPr>
                <w:rFonts w:hint="default" w:ascii="宋体" w:hAnsi="宋体" w:eastAsia="宋体" w:cs="宋体"/>
                <w:color w:val="auto"/>
                <w:sz w:val="20"/>
                <w:szCs w:val="20"/>
                <w:highlight w:val="none"/>
                <w:lang w:val="en-US" w:eastAsia="zh-CN"/>
              </w:rPr>
            </w:pPr>
            <w:r>
              <w:rPr>
                <w:rFonts w:hint="default" w:ascii="宋体" w:hAnsi="宋体" w:eastAsia="宋体" w:cs="宋体"/>
                <w:color w:val="auto"/>
                <w:sz w:val="20"/>
                <w:szCs w:val="20"/>
                <w:highlight w:val="none"/>
                <w:lang w:val="en-US" w:eastAsia="zh-CN"/>
              </w:rPr>
              <w:t>按插入法计算得分。</w:t>
            </w:r>
          </w:p>
          <w:p w14:paraId="7A3B4EFC">
            <w:pPr>
              <w:ind w:firstLine="200" w:firstLineChars="100"/>
              <w:rPr>
                <w:rFonts w:hint="default" w:ascii="宋体" w:hAnsi="宋体" w:eastAsia="宋体" w:cs="宋体"/>
                <w:color w:val="auto"/>
                <w:sz w:val="20"/>
                <w:szCs w:val="20"/>
                <w:highlight w:val="none"/>
                <w:lang w:val="en-US" w:eastAsia="zh-CN"/>
              </w:rPr>
            </w:pPr>
            <w:r>
              <w:rPr>
                <w:rFonts w:hint="default" w:ascii="宋体" w:hAnsi="宋体" w:eastAsia="宋体" w:cs="宋体"/>
                <w:color w:val="auto"/>
                <w:sz w:val="20"/>
                <w:szCs w:val="20"/>
                <w:highlight w:val="none"/>
                <w:lang w:val="en-US" w:eastAsia="zh-CN"/>
              </w:rPr>
              <w:t>以上计算取小数点后两位，第三位四舍五入。</w:t>
            </w:r>
          </w:p>
          <w:p w14:paraId="2BDA3188">
            <w:pPr>
              <w:ind w:firstLine="200" w:firstLineChars="100"/>
              <w:rPr>
                <w:rFonts w:hint="default" w:ascii="宋体" w:hAnsi="宋体" w:eastAsia="宋体" w:cs="宋体"/>
                <w:color w:val="auto"/>
                <w:sz w:val="20"/>
                <w:szCs w:val="20"/>
                <w:highlight w:val="none"/>
                <w:lang w:val="en-US" w:eastAsia="zh-CN"/>
              </w:rPr>
            </w:pPr>
            <w:r>
              <w:rPr>
                <w:rFonts w:hint="default" w:ascii="宋体" w:hAnsi="宋体" w:eastAsia="宋体" w:cs="宋体"/>
                <w:color w:val="auto"/>
                <w:sz w:val="20"/>
                <w:szCs w:val="20"/>
                <w:highlight w:val="none"/>
                <w:lang w:val="en-US" w:eastAsia="zh-CN"/>
              </w:rPr>
              <w:t>在评审基准价计算完成后（除计算错误外），在后续的评审中不得再对其做出调整。</w:t>
            </w:r>
          </w:p>
        </w:tc>
        <w:tc>
          <w:tcPr>
            <w:tcW w:w="2988" w:type="dxa"/>
            <w:noWrap w:val="0"/>
            <w:vAlign w:val="center"/>
          </w:tcPr>
          <w:p w14:paraId="547C5B88">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竞选报价的偏差率计算公式：</w:t>
            </w:r>
          </w:p>
          <w:p w14:paraId="12B67DAC">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偏差率=100％×（竞选报价一评审基准价）／评审基准价。</w:t>
            </w:r>
          </w:p>
          <w:p w14:paraId="0C3E81CD">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偏差率计算保留小数点后两位，小数点后第三位“四舍五入”。</w:t>
            </w:r>
          </w:p>
        </w:tc>
      </w:tr>
      <w:tr w14:paraId="07B95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9498" w:type="dxa"/>
            <w:gridSpan w:val="6"/>
            <w:noWrap w:val="0"/>
            <w:vAlign w:val="center"/>
          </w:tcPr>
          <w:p w14:paraId="693C7B80">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供应商的应答应满足竞争性比选文件“第二篇  项目服务需求”，有一条不满足的（第二篇中“※”号标注的部分除外），服务部分得分为0分，不再进入服务部分的评审。</w:t>
            </w:r>
          </w:p>
        </w:tc>
      </w:tr>
      <w:tr w14:paraId="24214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5" w:hRule="atLeast"/>
          <w:jc w:val="center"/>
        </w:trPr>
        <w:tc>
          <w:tcPr>
            <w:tcW w:w="530" w:type="dxa"/>
            <w:vMerge w:val="restart"/>
            <w:noWrap w:val="0"/>
            <w:vAlign w:val="center"/>
          </w:tcPr>
          <w:p w14:paraId="06E9CA09">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2</w:t>
            </w:r>
          </w:p>
        </w:tc>
        <w:tc>
          <w:tcPr>
            <w:tcW w:w="1011" w:type="dxa"/>
            <w:gridSpan w:val="2"/>
            <w:vMerge w:val="restart"/>
            <w:noWrap w:val="0"/>
            <w:vAlign w:val="center"/>
          </w:tcPr>
          <w:p w14:paraId="15161E3A">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技术部分</w:t>
            </w:r>
          </w:p>
          <w:p w14:paraId="6F1370DD">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（40%）</w:t>
            </w:r>
          </w:p>
        </w:tc>
        <w:tc>
          <w:tcPr>
            <w:tcW w:w="1082" w:type="dxa"/>
            <w:noWrap w:val="0"/>
            <w:vAlign w:val="center"/>
          </w:tcPr>
          <w:p w14:paraId="511EBD7F">
            <w:pPr>
              <w:jc w:val="center"/>
              <w:rPr>
                <w:rFonts w:ascii="宋体" w:hAnsi="宋体" w:cs="宋体"/>
                <w:color w:val="auto"/>
                <w:sz w:val="20"/>
                <w:szCs w:val="20"/>
                <w:highlight w:val="none"/>
              </w:rPr>
            </w:pPr>
            <w:r>
              <w:rPr>
                <w:rFonts w:ascii="宋体" w:hAnsi="宋体" w:cs="宋体"/>
                <w:color w:val="auto"/>
                <w:sz w:val="20"/>
                <w:szCs w:val="20"/>
                <w:highlight w:val="none"/>
              </w:rPr>
              <w:t>设备选型及技术响应</w:t>
            </w:r>
            <w:r>
              <w:rPr>
                <w:rFonts w:hint="eastAsia" w:ascii="宋体" w:hAnsi="宋体" w:cs="宋体"/>
                <w:color w:val="auto"/>
                <w:sz w:val="20"/>
                <w:szCs w:val="20"/>
                <w:highlight w:val="none"/>
              </w:rPr>
              <w:t>（6分）</w:t>
            </w:r>
          </w:p>
        </w:tc>
        <w:tc>
          <w:tcPr>
            <w:tcW w:w="3887" w:type="dxa"/>
            <w:tcBorders>
              <w:bottom w:val="single" w:color="auto" w:sz="4" w:space="0"/>
            </w:tcBorders>
            <w:noWrap w:val="0"/>
            <w:vAlign w:val="center"/>
          </w:tcPr>
          <w:p w14:paraId="4858C6D5">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1.曳引机由所提供电梯产品的制造厂生产且品牌相同的得2分，否则得0分。</w:t>
            </w:r>
          </w:p>
          <w:p w14:paraId="3A2A5431">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2.控制柜由所提供电梯产品的制造厂生产且品牌相同的得2分，否则得0分。</w:t>
            </w:r>
          </w:p>
          <w:p w14:paraId="629B4BB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3.门机由所提供电梯产品的制造厂生产且品牌相同的得2分，否则得0分。</w:t>
            </w:r>
          </w:p>
        </w:tc>
        <w:tc>
          <w:tcPr>
            <w:tcW w:w="2988" w:type="dxa"/>
            <w:noWrap w:val="0"/>
            <w:vAlign w:val="center"/>
          </w:tcPr>
          <w:p w14:paraId="734C43D4">
            <w:pPr>
              <w:ind w:firstLine="200" w:firstLineChars="100"/>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提供产品型式试验证书（或检测报告）复印件加盖供应商公章。</w:t>
            </w:r>
          </w:p>
        </w:tc>
      </w:tr>
      <w:tr w14:paraId="24B2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9" w:hRule="atLeast"/>
          <w:jc w:val="center"/>
        </w:trPr>
        <w:tc>
          <w:tcPr>
            <w:tcW w:w="530" w:type="dxa"/>
            <w:vMerge w:val="continue"/>
            <w:noWrap w:val="0"/>
            <w:vAlign w:val="center"/>
          </w:tcPr>
          <w:p w14:paraId="342403EA">
            <w:pPr>
              <w:jc w:val="center"/>
              <w:rPr>
                <w:rFonts w:hint="eastAsia" w:ascii="宋体" w:hAnsi="宋体" w:cs="宋体"/>
                <w:color w:val="auto"/>
                <w:sz w:val="20"/>
                <w:szCs w:val="20"/>
                <w:highlight w:val="none"/>
              </w:rPr>
            </w:pPr>
          </w:p>
        </w:tc>
        <w:tc>
          <w:tcPr>
            <w:tcW w:w="1011" w:type="dxa"/>
            <w:gridSpan w:val="2"/>
            <w:vMerge w:val="continue"/>
            <w:noWrap w:val="0"/>
            <w:vAlign w:val="center"/>
          </w:tcPr>
          <w:p w14:paraId="1A7CA8E4">
            <w:pPr>
              <w:jc w:val="center"/>
              <w:rPr>
                <w:rFonts w:hint="eastAsia" w:ascii="宋体" w:hAnsi="宋体" w:cs="宋体"/>
                <w:color w:val="auto"/>
                <w:sz w:val="20"/>
                <w:szCs w:val="20"/>
                <w:highlight w:val="none"/>
              </w:rPr>
            </w:pPr>
          </w:p>
        </w:tc>
        <w:tc>
          <w:tcPr>
            <w:tcW w:w="1082" w:type="dxa"/>
            <w:noWrap w:val="0"/>
            <w:vAlign w:val="center"/>
          </w:tcPr>
          <w:p w14:paraId="61081719">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安全功能（1</w:t>
            </w:r>
            <w:r>
              <w:rPr>
                <w:rFonts w:hint="eastAsia" w:ascii="宋体" w:hAnsi="宋体" w:cs="宋体"/>
                <w:color w:val="auto"/>
                <w:sz w:val="20"/>
                <w:szCs w:val="20"/>
                <w:highlight w:val="none"/>
                <w:lang w:val="en-US" w:eastAsia="zh-CN"/>
              </w:rPr>
              <w:t>2</w:t>
            </w:r>
            <w:r>
              <w:rPr>
                <w:rFonts w:hint="eastAsia" w:ascii="宋体" w:hAnsi="宋体" w:cs="宋体"/>
                <w:color w:val="auto"/>
                <w:sz w:val="20"/>
                <w:szCs w:val="20"/>
                <w:highlight w:val="none"/>
              </w:rPr>
              <w:t>分）</w:t>
            </w:r>
          </w:p>
        </w:tc>
        <w:tc>
          <w:tcPr>
            <w:tcW w:w="3887" w:type="dxa"/>
            <w:tcBorders>
              <w:bottom w:val="single" w:color="auto" w:sz="4" w:space="0"/>
            </w:tcBorders>
            <w:noWrap w:val="0"/>
            <w:vAlign w:val="center"/>
          </w:tcPr>
          <w:p w14:paraId="59496D3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1.安全钳、限速器、缓冲器由所提供电梯产品的制造厂生产且品牌相同，提供一项的得2分，最多6分，未提供得0分。</w:t>
            </w:r>
          </w:p>
          <w:p w14:paraId="231299A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2.电梯安全电路板品牌由所提供电梯产品的制造厂生产且品牌相同的得2分，否则得0分。</w:t>
            </w:r>
          </w:p>
          <w:p w14:paraId="0BAB880F">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3.光幕由所提供电梯产品的制造厂生产且品牌相同，得2分，否则不得分。</w:t>
            </w:r>
          </w:p>
          <w:p w14:paraId="0F7A26CD">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4.电梯平层传感器或槽型光电开关由所提供电梯产品的制造厂生产且品牌相同的得2分，否则不计分。</w:t>
            </w:r>
          </w:p>
        </w:tc>
        <w:tc>
          <w:tcPr>
            <w:tcW w:w="2988" w:type="dxa"/>
            <w:noWrap w:val="0"/>
            <w:vAlign w:val="center"/>
          </w:tcPr>
          <w:p w14:paraId="3231A267">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提供产品型式试验证书（或检测报告）复印件加盖供应商公章。</w:t>
            </w:r>
          </w:p>
        </w:tc>
      </w:tr>
      <w:tr w14:paraId="29C60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1" w:hRule="atLeast"/>
          <w:jc w:val="center"/>
        </w:trPr>
        <w:tc>
          <w:tcPr>
            <w:tcW w:w="530" w:type="dxa"/>
            <w:vMerge w:val="continue"/>
            <w:noWrap w:val="0"/>
            <w:vAlign w:val="center"/>
          </w:tcPr>
          <w:p w14:paraId="3D7E6B1C">
            <w:pPr>
              <w:jc w:val="center"/>
              <w:rPr>
                <w:rFonts w:hint="eastAsia" w:ascii="宋体" w:hAnsi="宋体" w:cs="宋体"/>
                <w:color w:val="auto"/>
                <w:sz w:val="20"/>
                <w:szCs w:val="20"/>
                <w:highlight w:val="none"/>
              </w:rPr>
            </w:pPr>
          </w:p>
        </w:tc>
        <w:tc>
          <w:tcPr>
            <w:tcW w:w="1011" w:type="dxa"/>
            <w:gridSpan w:val="2"/>
            <w:vMerge w:val="continue"/>
            <w:noWrap w:val="0"/>
            <w:vAlign w:val="center"/>
          </w:tcPr>
          <w:p w14:paraId="184129B7">
            <w:pPr>
              <w:jc w:val="center"/>
              <w:rPr>
                <w:rFonts w:hint="eastAsia" w:ascii="宋体" w:hAnsi="宋体" w:cs="宋体"/>
                <w:color w:val="auto"/>
                <w:sz w:val="20"/>
                <w:szCs w:val="20"/>
                <w:highlight w:val="none"/>
              </w:rPr>
            </w:pPr>
          </w:p>
        </w:tc>
        <w:tc>
          <w:tcPr>
            <w:tcW w:w="1082" w:type="dxa"/>
            <w:noWrap w:val="0"/>
            <w:vAlign w:val="center"/>
          </w:tcPr>
          <w:p w14:paraId="52B15D27">
            <w:pPr>
              <w:jc w:val="center"/>
              <w:rPr>
                <w:rFonts w:hint="eastAsia" w:ascii="宋体" w:hAnsi="宋体" w:eastAsia="宋体" w:cs="宋体"/>
                <w:color w:val="auto"/>
                <w:sz w:val="20"/>
                <w:szCs w:val="20"/>
                <w:highlight w:val="none"/>
                <w:lang w:eastAsia="zh-CN"/>
              </w:rPr>
            </w:pPr>
            <w:r>
              <w:rPr>
                <w:rFonts w:hint="eastAsia" w:ascii="宋体" w:hAnsi="宋体" w:cs="宋体"/>
                <w:color w:val="auto"/>
                <w:sz w:val="20"/>
                <w:szCs w:val="20"/>
                <w:highlight w:val="none"/>
              </w:rPr>
              <w:t>改造施工方案（</w:t>
            </w:r>
            <w:r>
              <w:rPr>
                <w:rFonts w:hint="eastAsia" w:ascii="宋体" w:hAnsi="宋体" w:cs="宋体"/>
                <w:color w:val="auto"/>
                <w:sz w:val="20"/>
                <w:szCs w:val="20"/>
                <w:highlight w:val="none"/>
                <w:lang w:val="en-US" w:eastAsia="zh-CN"/>
              </w:rPr>
              <w:t>22分</w:t>
            </w:r>
            <w:r>
              <w:rPr>
                <w:rFonts w:hint="eastAsia" w:ascii="宋体" w:hAnsi="宋体" w:cs="宋体"/>
                <w:color w:val="auto"/>
                <w:sz w:val="20"/>
                <w:szCs w:val="20"/>
                <w:highlight w:val="none"/>
                <w:lang w:eastAsia="zh-CN"/>
              </w:rPr>
              <w:t>）</w:t>
            </w:r>
          </w:p>
        </w:tc>
        <w:tc>
          <w:tcPr>
            <w:tcW w:w="3887" w:type="dxa"/>
            <w:tcBorders>
              <w:bottom w:val="single" w:color="auto" w:sz="4" w:space="0"/>
            </w:tcBorders>
            <w:noWrap w:val="0"/>
            <w:vAlign w:val="center"/>
          </w:tcPr>
          <w:p w14:paraId="124B85F5">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供应商自行踏勘现场，结合现场条件特点，有针对性的编制施工方案，共包含三个部分：</w:t>
            </w:r>
          </w:p>
          <w:p w14:paraId="17AC90ED">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一、原有电梯的拆除（7分）</w:t>
            </w:r>
          </w:p>
          <w:p w14:paraId="1273CA05">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内容至少包含：</w:t>
            </w:r>
          </w:p>
          <w:p w14:paraId="3A0B71E1">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1.拆除进度安排</w:t>
            </w:r>
          </w:p>
          <w:p w14:paraId="434392F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2.拆除施工方案</w:t>
            </w:r>
          </w:p>
          <w:p w14:paraId="641CE529">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3.废旧物资的堆放、运输</w:t>
            </w:r>
          </w:p>
          <w:p w14:paraId="5CCC776B">
            <w:pPr>
              <w:ind w:firstLine="200" w:firstLineChars="100"/>
              <w:rPr>
                <w:rFonts w:hint="eastAsia" w:ascii="宋体" w:hAnsi="宋体" w:eastAsia="宋体" w:cs="宋体"/>
                <w:color w:val="auto"/>
                <w:sz w:val="20"/>
                <w:szCs w:val="20"/>
                <w:highlight w:val="none"/>
                <w:lang w:val="zh-CN" w:eastAsia="zh-CN"/>
              </w:rPr>
            </w:pPr>
            <w:r>
              <w:rPr>
                <w:rFonts w:hint="eastAsia" w:ascii="宋体" w:hAnsi="宋体" w:eastAsia="宋体" w:cs="宋体"/>
                <w:color w:val="auto"/>
                <w:sz w:val="20"/>
                <w:szCs w:val="20"/>
                <w:highlight w:val="none"/>
                <w:lang w:val="en-US" w:eastAsia="zh-CN"/>
              </w:rPr>
              <w:t>评审内容：</w:t>
            </w:r>
          </w:p>
          <w:p w14:paraId="4B4F659B">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1.方案包含上述所有内容的基础上，内容不存在瑕疵的，得7分； </w:t>
            </w:r>
          </w:p>
          <w:p w14:paraId="5C5516F4">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2.方案包含上述所有内容的基础上，内容存在1处瑕疵的，得5分； </w:t>
            </w:r>
          </w:p>
          <w:p w14:paraId="14874BD0">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3.方案包含上述所有内容的基础上，内容存在2处瑕疵的，得3分；</w:t>
            </w:r>
          </w:p>
          <w:p w14:paraId="79BEC3A4">
            <w:pPr>
              <w:ind w:firstLine="200" w:firstLineChars="100"/>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4.方案包含上述所有内容的基础上，内容存在3处及以上瑕疵或未提供方案的，得0分。</w:t>
            </w:r>
          </w:p>
          <w:p w14:paraId="771B6E0B">
            <w:pPr>
              <w:ind w:firstLine="200" w:firstLineChars="100"/>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二、电梯安装（8分）</w:t>
            </w:r>
          </w:p>
          <w:p w14:paraId="19261167">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内容至少包含：</w:t>
            </w:r>
          </w:p>
          <w:p w14:paraId="742CEDB4">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1.进场安排</w:t>
            </w:r>
          </w:p>
          <w:p w14:paraId="3C527CBF">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2.现场复原</w:t>
            </w:r>
          </w:p>
          <w:p w14:paraId="2E5470DB">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3.电梯试运行</w:t>
            </w:r>
          </w:p>
          <w:p w14:paraId="6421B4E8">
            <w:pPr>
              <w:ind w:firstLine="200" w:firstLineChars="100"/>
              <w:rPr>
                <w:rFonts w:hint="eastAsia" w:ascii="宋体" w:hAnsi="宋体" w:eastAsia="宋体" w:cs="宋体"/>
                <w:color w:val="auto"/>
                <w:sz w:val="20"/>
                <w:szCs w:val="20"/>
                <w:highlight w:val="none"/>
                <w:lang w:val="zh-CN" w:eastAsia="zh-CN"/>
              </w:rPr>
            </w:pPr>
            <w:r>
              <w:rPr>
                <w:rFonts w:hint="eastAsia" w:ascii="宋体" w:hAnsi="宋体" w:eastAsia="宋体" w:cs="宋体"/>
                <w:color w:val="auto"/>
                <w:sz w:val="20"/>
                <w:szCs w:val="20"/>
                <w:highlight w:val="none"/>
                <w:lang w:val="en-US" w:eastAsia="zh-CN"/>
              </w:rPr>
              <w:t>评审内容：</w:t>
            </w:r>
          </w:p>
          <w:p w14:paraId="42232F9F">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1.方案包含上述所有内容的基础上，内容不存在瑕疵的，得8分； </w:t>
            </w:r>
          </w:p>
          <w:p w14:paraId="5DA88A9B">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2.方案包含上述所有内容的基础上，内容存在1处瑕疵的，得5分； </w:t>
            </w:r>
          </w:p>
          <w:p w14:paraId="0148AFED">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3.方案包含上述所有内容的基础上，内容存在2处瑕疵的，得2分；</w:t>
            </w:r>
          </w:p>
          <w:p w14:paraId="548A7C69">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4.方案包含上述所有内容的基础上，内容存在3处及以上瑕疵或未提供方案的，得0分。</w:t>
            </w:r>
          </w:p>
          <w:p w14:paraId="41CAE1BC">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三、安全文明施工（7分）</w:t>
            </w:r>
          </w:p>
          <w:p w14:paraId="41AED669">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内容至少包含：</w:t>
            </w:r>
          </w:p>
          <w:p w14:paraId="36672D5B">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1.安全生产制度建设</w:t>
            </w:r>
          </w:p>
          <w:p w14:paraId="179C914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2.施工操作规程</w:t>
            </w:r>
          </w:p>
          <w:p w14:paraId="2A2429D0">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3.安全管理培训</w:t>
            </w:r>
          </w:p>
          <w:p w14:paraId="5255C22E">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评审内容：</w:t>
            </w:r>
          </w:p>
          <w:p w14:paraId="5675C9BE">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1.方案包含上述所有内容的基础上，内容不存在瑕疵的，得7分； </w:t>
            </w:r>
          </w:p>
          <w:p w14:paraId="4EDFBEE4">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2.方案包含上述所有内容的基础上，内容存在1处瑕疵的，得5分； </w:t>
            </w:r>
          </w:p>
          <w:p w14:paraId="006960C0">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3.方案包含上述所有内容的基础上，内容存在2处瑕疵的，得3分；</w:t>
            </w:r>
          </w:p>
          <w:p w14:paraId="314EA109">
            <w:pPr>
              <w:ind w:firstLine="200" w:firstLineChars="100"/>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4.方案包含上述所有内容的基础上，内容存在3处及以上瑕疵或未提供方案的，得0分。</w:t>
            </w:r>
          </w:p>
        </w:tc>
        <w:tc>
          <w:tcPr>
            <w:tcW w:w="2988" w:type="dxa"/>
            <w:noWrap w:val="0"/>
            <w:vAlign w:val="center"/>
          </w:tcPr>
          <w:p w14:paraId="0D951CD3">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提供方案，格式自定。</w:t>
            </w:r>
          </w:p>
          <w:p w14:paraId="051178D6">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注：</w:t>
            </w:r>
          </w:p>
          <w:p w14:paraId="188AE264">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1.供应商提供的方案须建立在本项目使用场景之上，否则相关方案按0分处理。</w:t>
            </w:r>
          </w:p>
          <w:p w14:paraId="4C79D23B">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2.本项内容中所称的“瑕疵”：</w:t>
            </w:r>
          </w:p>
          <w:p w14:paraId="3EBD2FD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①内容表述不完整或缺少关键分析点；</w:t>
            </w:r>
          </w:p>
          <w:p w14:paraId="1B530C5A">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②计划及措施不科学合理方案；</w:t>
            </w:r>
          </w:p>
          <w:p w14:paraId="2287ACC8">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③内容表述前后矛盾、无连贯性、内容存在逻辑漏洞；</w:t>
            </w:r>
          </w:p>
          <w:p w14:paraId="1B8C71F6">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④常识性错误；</w:t>
            </w:r>
          </w:p>
          <w:p w14:paraId="1E561A81">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⑤技术措施保障安排并不适用本项目特性或非专门针对本项目制定；</w:t>
            </w:r>
          </w:p>
          <w:p w14:paraId="22010953">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⑥方案中提出的措施举措不利于本项目目标的实现；</w:t>
            </w:r>
          </w:p>
          <w:p w14:paraId="1EFFEDCF">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⑦现有技术条件下不可能实现采购目标；</w:t>
            </w:r>
          </w:p>
          <w:p w14:paraId="1F8EE1D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上述任意一种情形为1处瑕疵。</w:t>
            </w:r>
          </w:p>
        </w:tc>
      </w:tr>
      <w:tr w14:paraId="0A55D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498" w:type="dxa"/>
            <w:gridSpan w:val="6"/>
            <w:tcBorders>
              <w:bottom w:val="single" w:color="auto" w:sz="4" w:space="0"/>
            </w:tcBorders>
            <w:noWrap w:val="0"/>
            <w:vAlign w:val="center"/>
          </w:tcPr>
          <w:p w14:paraId="78FD9488">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供应商的应答应满足竞争性比选文件“第三篇 项目商务需求”，有一条不满足的（第三篇中“※”号标注的部分除外），商务部分得分为0分，不再进入商务部分的评审。</w:t>
            </w:r>
          </w:p>
        </w:tc>
      </w:tr>
      <w:tr w14:paraId="22E57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669" w:type="dxa"/>
            <w:gridSpan w:val="2"/>
            <w:vMerge w:val="restart"/>
            <w:noWrap w:val="0"/>
            <w:vAlign w:val="center"/>
          </w:tcPr>
          <w:p w14:paraId="5D6DAE10">
            <w:pPr>
              <w:jc w:val="center"/>
              <w:rPr>
                <w:rFonts w:hint="eastAsia" w:ascii="宋体" w:hAnsi="宋体" w:eastAsia="宋体" w:cs="宋体"/>
                <w:color w:val="auto"/>
                <w:sz w:val="20"/>
                <w:szCs w:val="20"/>
                <w:highlight w:val="none"/>
                <w:lang w:val="en-US" w:eastAsia="zh-CN"/>
              </w:rPr>
            </w:pPr>
            <w:r>
              <w:rPr>
                <w:rFonts w:hint="eastAsia" w:ascii="宋体" w:hAnsi="宋体" w:cs="宋体"/>
                <w:color w:val="auto"/>
                <w:sz w:val="20"/>
                <w:szCs w:val="20"/>
                <w:highlight w:val="none"/>
                <w:lang w:val="en-US" w:eastAsia="zh-CN"/>
              </w:rPr>
              <w:t>3</w:t>
            </w:r>
          </w:p>
        </w:tc>
        <w:tc>
          <w:tcPr>
            <w:tcW w:w="872" w:type="dxa"/>
            <w:vMerge w:val="restart"/>
            <w:noWrap w:val="0"/>
            <w:vAlign w:val="center"/>
          </w:tcPr>
          <w:p w14:paraId="39F35CCC">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lang w:val="en-US" w:eastAsia="zh-CN"/>
              </w:rPr>
              <w:t>商务</w:t>
            </w:r>
            <w:r>
              <w:rPr>
                <w:rFonts w:hint="eastAsia" w:ascii="宋体" w:hAnsi="宋体" w:cs="宋体"/>
                <w:color w:val="auto"/>
                <w:sz w:val="20"/>
                <w:szCs w:val="20"/>
                <w:highlight w:val="none"/>
              </w:rPr>
              <w:t>部分</w:t>
            </w:r>
          </w:p>
          <w:p w14:paraId="37FCDE4E">
            <w:pPr>
              <w:jc w:val="left"/>
              <w:rPr>
                <w:rFonts w:hint="eastAsia" w:ascii="宋体" w:hAnsi="宋体" w:cs="宋体"/>
                <w:color w:val="auto"/>
                <w:sz w:val="20"/>
                <w:szCs w:val="20"/>
                <w:highlight w:val="none"/>
              </w:rPr>
            </w:pPr>
            <w:r>
              <w:rPr>
                <w:rFonts w:hint="eastAsia" w:ascii="宋体" w:hAnsi="宋体" w:cs="宋体"/>
                <w:color w:val="auto"/>
                <w:sz w:val="20"/>
                <w:szCs w:val="20"/>
                <w:highlight w:val="none"/>
              </w:rPr>
              <w:t>（</w:t>
            </w:r>
            <w:r>
              <w:rPr>
                <w:rFonts w:hint="eastAsia" w:ascii="宋体" w:hAnsi="宋体" w:cs="宋体"/>
                <w:color w:val="auto"/>
                <w:sz w:val="20"/>
                <w:szCs w:val="20"/>
                <w:highlight w:val="none"/>
                <w:lang w:val="en-US" w:eastAsia="zh-CN"/>
              </w:rPr>
              <w:t>30</w:t>
            </w:r>
            <w:r>
              <w:rPr>
                <w:rFonts w:hint="eastAsia" w:ascii="宋体" w:hAnsi="宋体" w:cs="宋体"/>
                <w:color w:val="auto"/>
                <w:sz w:val="20"/>
                <w:szCs w:val="20"/>
                <w:highlight w:val="none"/>
              </w:rPr>
              <w:t>%）</w:t>
            </w:r>
          </w:p>
        </w:tc>
        <w:tc>
          <w:tcPr>
            <w:tcW w:w="1082" w:type="dxa"/>
            <w:noWrap w:val="0"/>
            <w:vAlign w:val="center"/>
          </w:tcPr>
          <w:p w14:paraId="4EA81757">
            <w:pPr>
              <w:jc w:val="center"/>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业绩</w:t>
            </w:r>
          </w:p>
          <w:p w14:paraId="3836D502">
            <w:pPr>
              <w:jc w:val="center"/>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w:t>
            </w:r>
            <w:r>
              <w:rPr>
                <w:rFonts w:hint="eastAsia" w:ascii="宋体" w:hAnsi="宋体" w:cs="宋体"/>
                <w:color w:val="auto"/>
                <w:sz w:val="20"/>
                <w:szCs w:val="20"/>
                <w:highlight w:val="none"/>
                <w:lang w:val="en-US" w:eastAsia="zh-CN"/>
              </w:rPr>
              <w:t>2</w:t>
            </w:r>
            <w:r>
              <w:rPr>
                <w:rFonts w:hint="eastAsia" w:ascii="宋体" w:hAnsi="宋体" w:eastAsia="宋体" w:cs="宋体"/>
                <w:color w:val="auto"/>
                <w:sz w:val="20"/>
                <w:szCs w:val="20"/>
                <w:highlight w:val="none"/>
                <w:lang w:val="en-US" w:eastAsia="zh-CN"/>
              </w:rPr>
              <w:t>分）</w:t>
            </w:r>
          </w:p>
        </w:tc>
        <w:tc>
          <w:tcPr>
            <w:tcW w:w="3887" w:type="dxa"/>
            <w:noWrap w:val="0"/>
            <w:vAlign w:val="center"/>
          </w:tcPr>
          <w:p w14:paraId="3C05AB4F">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供应商提供2023年1月1日至递交响应文件截止时间的电梯改造业绩（以签订时间为准），每提供1个合同业绩得1分，本项最多得2分。</w:t>
            </w:r>
          </w:p>
        </w:tc>
        <w:tc>
          <w:tcPr>
            <w:tcW w:w="2988" w:type="dxa"/>
            <w:noWrap w:val="0"/>
            <w:vAlign w:val="center"/>
          </w:tcPr>
          <w:p w14:paraId="456AB396">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提供合同复印件并加盖供应商公章。</w:t>
            </w:r>
          </w:p>
          <w:p w14:paraId="15E10A05">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注：代理商参与竞选的需提供代理商自有合同签订业绩，提供制造商业绩无效。</w:t>
            </w:r>
          </w:p>
        </w:tc>
      </w:tr>
      <w:tr w14:paraId="6D674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4" w:hRule="atLeast"/>
          <w:jc w:val="center"/>
        </w:trPr>
        <w:tc>
          <w:tcPr>
            <w:tcW w:w="669" w:type="dxa"/>
            <w:gridSpan w:val="2"/>
            <w:vMerge w:val="continue"/>
            <w:noWrap w:val="0"/>
            <w:vAlign w:val="center"/>
          </w:tcPr>
          <w:p w14:paraId="66A85C5D">
            <w:pPr>
              <w:jc w:val="center"/>
              <w:rPr>
                <w:rFonts w:hint="eastAsia" w:ascii="宋体" w:hAnsi="宋体" w:cs="宋体"/>
                <w:color w:val="auto"/>
                <w:sz w:val="20"/>
                <w:szCs w:val="20"/>
                <w:highlight w:val="none"/>
                <w:lang w:val="en-US" w:eastAsia="zh-CN"/>
              </w:rPr>
            </w:pPr>
          </w:p>
        </w:tc>
        <w:tc>
          <w:tcPr>
            <w:tcW w:w="872" w:type="dxa"/>
            <w:vMerge w:val="continue"/>
            <w:noWrap w:val="0"/>
            <w:vAlign w:val="center"/>
          </w:tcPr>
          <w:p w14:paraId="13C6FAC1">
            <w:pPr>
              <w:jc w:val="left"/>
              <w:rPr>
                <w:rFonts w:hint="eastAsia" w:ascii="宋体" w:hAnsi="宋体" w:cs="宋体"/>
                <w:color w:val="auto"/>
                <w:sz w:val="20"/>
                <w:szCs w:val="20"/>
                <w:highlight w:val="none"/>
              </w:rPr>
            </w:pPr>
          </w:p>
        </w:tc>
        <w:tc>
          <w:tcPr>
            <w:tcW w:w="1082" w:type="dxa"/>
            <w:noWrap w:val="0"/>
            <w:vAlign w:val="center"/>
          </w:tcPr>
          <w:p w14:paraId="41E0487B">
            <w:pPr>
              <w:rPr>
                <w:rFonts w:hint="eastAsia" w:ascii="宋体" w:hAnsi="宋体" w:eastAsia="宋体" w:cs="宋体"/>
                <w:color w:val="auto"/>
                <w:sz w:val="20"/>
                <w:szCs w:val="20"/>
                <w:highlight w:val="none"/>
                <w:lang w:val="en-US" w:eastAsia="zh-CN"/>
              </w:rPr>
            </w:pPr>
            <w:r>
              <w:rPr>
                <w:rFonts w:hint="eastAsia" w:ascii="宋体" w:hAnsi="宋体" w:cs="宋体"/>
                <w:color w:val="auto"/>
                <w:sz w:val="20"/>
                <w:szCs w:val="20"/>
                <w:highlight w:val="none"/>
              </w:rPr>
              <w:t>技术团队（</w:t>
            </w:r>
            <w:r>
              <w:rPr>
                <w:rFonts w:hint="eastAsia" w:ascii="宋体" w:hAnsi="宋体" w:cs="宋体"/>
                <w:color w:val="auto"/>
                <w:sz w:val="20"/>
                <w:szCs w:val="20"/>
                <w:highlight w:val="none"/>
                <w:lang w:val="en-US" w:eastAsia="zh-CN"/>
              </w:rPr>
              <w:t>8</w:t>
            </w:r>
            <w:r>
              <w:rPr>
                <w:rFonts w:hint="eastAsia" w:ascii="宋体" w:hAnsi="宋体" w:cs="宋体"/>
                <w:color w:val="auto"/>
                <w:sz w:val="20"/>
                <w:szCs w:val="20"/>
                <w:highlight w:val="none"/>
              </w:rPr>
              <w:t>分）</w:t>
            </w:r>
          </w:p>
        </w:tc>
        <w:tc>
          <w:tcPr>
            <w:tcW w:w="3887" w:type="dxa"/>
            <w:noWrap w:val="0"/>
            <w:vAlign w:val="center"/>
          </w:tcPr>
          <w:p w14:paraId="67BF3011">
            <w:pPr>
              <w:pStyle w:val="22"/>
              <w:rPr>
                <w:rFonts w:hint="eastAsia" w:ascii="宋体" w:hAnsi="宋体" w:eastAsia="宋体" w:cs="宋体"/>
                <w:color w:val="auto"/>
                <w:kern w:val="2"/>
                <w:sz w:val="20"/>
                <w:szCs w:val="20"/>
                <w:highlight w:val="none"/>
                <w:lang w:val="en-US" w:eastAsia="zh-CN" w:bidi="ar-SA"/>
              </w:rPr>
            </w:pPr>
          </w:p>
          <w:p w14:paraId="094B3E39">
            <w:pPr>
              <w:ind w:firstLine="400" w:firstLineChars="2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1.供应商拟投入本项目的项目经理具有机电工程专业二级及以上注册建造师执业资格（不含临时建造师），提供一名得3分，本项最多得3分；没有不得分；</w:t>
            </w:r>
          </w:p>
          <w:p w14:paraId="3F736F2F">
            <w:pPr>
              <w:ind w:firstLine="400" w:firstLineChars="2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2.供应商拟投入本项目的技术负责人具有高级及以上工程师职称，提供一名得3分，本项最多得3分；没有不得分。</w:t>
            </w:r>
          </w:p>
          <w:p w14:paraId="63EB9220">
            <w:pPr>
              <w:ind w:firstLine="400" w:firstLineChars="200"/>
              <w:rPr>
                <w:rFonts w:hint="default"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3.供应商拟投入本项目的安全生产管理员同时具备安全生产考核合格证书和特种设备安全管理资格证书的，得2分，本项最多得2分；没有不得分。</w:t>
            </w:r>
          </w:p>
        </w:tc>
        <w:tc>
          <w:tcPr>
            <w:tcW w:w="2988" w:type="dxa"/>
            <w:noWrap w:val="0"/>
            <w:vAlign w:val="center"/>
          </w:tcPr>
          <w:p w14:paraId="2167F81D">
            <w:pPr>
              <w:jc w:val="left"/>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以上人员不得相互兼任，提供相应证书复印件，及供应商为其缴纳的2025年1月至3月连续的社保证明材料复印件（加盖供应商公章）。</w:t>
            </w:r>
          </w:p>
        </w:tc>
      </w:tr>
      <w:tr w14:paraId="0070F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8" w:hRule="atLeast"/>
          <w:jc w:val="center"/>
        </w:trPr>
        <w:tc>
          <w:tcPr>
            <w:tcW w:w="669" w:type="dxa"/>
            <w:gridSpan w:val="2"/>
            <w:vMerge w:val="continue"/>
            <w:noWrap w:val="0"/>
            <w:vAlign w:val="center"/>
          </w:tcPr>
          <w:p w14:paraId="207AC6B0">
            <w:pPr>
              <w:jc w:val="left"/>
              <w:rPr>
                <w:rFonts w:hint="eastAsia" w:ascii="宋体" w:hAnsi="宋体" w:cs="宋体"/>
                <w:color w:val="auto"/>
                <w:sz w:val="20"/>
                <w:szCs w:val="20"/>
                <w:highlight w:val="none"/>
              </w:rPr>
            </w:pPr>
          </w:p>
        </w:tc>
        <w:tc>
          <w:tcPr>
            <w:tcW w:w="872" w:type="dxa"/>
            <w:vMerge w:val="continue"/>
            <w:noWrap w:val="0"/>
            <w:vAlign w:val="center"/>
          </w:tcPr>
          <w:p w14:paraId="103ED993">
            <w:pPr>
              <w:jc w:val="left"/>
              <w:rPr>
                <w:rFonts w:hint="eastAsia" w:ascii="宋体" w:hAnsi="宋体" w:cs="宋体"/>
                <w:color w:val="auto"/>
                <w:sz w:val="20"/>
                <w:szCs w:val="20"/>
                <w:highlight w:val="none"/>
              </w:rPr>
            </w:pPr>
          </w:p>
        </w:tc>
        <w:tc>
          <w:tcPr>
            <w:tcW w:w="1082" w:type="dxa"/>
            <w:noWrap w:val="0"/>
            <w:vAlign w:val="center"/>
          </w:tcPr>
          <w:p w14:paraId="7D797645">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售后服务方案</w:t>
            </w:r>
          </w:p>
          <w:p w14:paraId="3C3F6086">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w:t>
            </w:r>
            <w:r>
              <w:rPr>
                <w:rFonts w:hint="eastAsia" w:ascii="宋体" w:hAnsi="宋体" w:cs="宋体"/>
                <w:color w:val="auto"/>
                <w:sz w:val="20"/>
                <w:szCs w:val="20"/>
                <w:highlight w:val="none"/>
                <w:lang w:val="en-US" w:eastAsia="zh-CN"/>
              </w:rPr>
              <w:t>20</w:t>
            </w:r>
            <w:r>
              <w:rPr>
                <w:rFonts w:hint="eastAsia" w:ascii="宋体" w:hAnsi="宋体" w:cs="宋体"/>
                <w:color w:val="auto"/>
                <w:sz w:val="20"/>
                <w:szCs w:val="20"/>
                <w:highlight w:val="none"/>
              </w:rPr>
              <w:t>分）</w:t>
            </w:r>
          </w:p>
        </w:tc>
        <w:tc>
          <w:tcPr>
            <w:tcW w:w="3887" w:type="dxa"/>
            <w:noWrap w:val="0"/>
            <w:vAlign w:val="center"/>
          </w:tcPr>
          <w:p w14:paraId="7EB5D788">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根据供应商提供本项目售后服务方案，内容至少包含：</w:t>
            </w:r>
          </w:p>
          <w:p w14:paraId="60BD5931">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1.人员配备</w:t>
            </w:r>
          </w:p>
          <w:p w14:paraId="683B76A6">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2.运行保障</w:t>
            </w:r>
          </w:p>
          <w:p w14:paraId="3A6C5FDD">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3.应急响应</w:t>
            </w:r>
          </w:p>
          <w:p w14:paraId="36E856AE">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4.故障处理</w:t>
            </w:r>
          </w:p>
          <w:p w14:paraId="73D085BE">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5.维护保养</w:t>
            </w:r>
          </w:p>
          <w:p w14:paraId="2394EAC4">
            <w:pPr>
              <w:ind w:firstLine="200" w:firstLineChars="100"/>
              <w:rPr>
                <w:rFonts w:hint="eastAsia" w:ascii="宋体" w:hAnsi="宋体" w:eastAsia="宋体" w:cs="宋体"/>
                <w:color w:val="auto"/>
                <w:kern w:val="2"/>
                <w:sz w:val="20"/>
                <w:szCs w:val="20"/>
                <w:highlight w:val="none"/>
                <w:lang w:val="zh-CN" w:eastAsia="zh-CN" w:bidi="ar-SA"/>
              </w:rPr>
            </w:pPr>
            <w:r>
              <w:rPr>
                <w:rFonts w:hint="eastAsia" w:ascii="宋体" w:hAnsi="宋体" w:eastAsia="宋体" w:cs="宋体"/>
                <w:color w:val="auto"/>
                <w:kern w:val="2"/>
                <w:sz w:val="20"/>
                <w:szCs w:val="20"/>
                <w:highlight w:val="none"/>
                <w:lang w:val="en-US" w:eastAsia="zh-CN" w:bidi="ar-SA"/>
              </w:rPr>
              <w:t>评审内容：</w:t>
            </w:r>
          </w:p>
          <w:p w14:paraId="4D2DF9F8">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 xml:space="preserve">1.方案包含上述所有内容的基础上，内容不存在瑕疵的，得20分； </w:t>
            </w:r>
          </w:p>
          <w:p w14:paraId="0D05272B">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 xml:space="preserve">2.方案包含上述所有内容的基础上，内容存在1处瑕疵的，得15分； </w:t>
            </w:r>
          </w:p>
          <w:p w14:paraId="310276B5">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3.方案包含上述所有内容的基础上，内容存在2处瑕疵的，得10分；</w:t>
            </w:r>
          </w:p>
          <w:p w14:paraId="22FAA808">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4.方案包含上述所有内容的基础上，内容存在3处瑕疵的，得5分；</w:t>
            </w:r>
          </w:p>
          <w:p w14:paraId="360BDF01">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5.方案包含上述所有内容的基础上，内容存在4处及以上瑕疵或未提供方案的，得0分。</w:t>
            </w:r>
          </w:p>
        </w:tc>
        <w:tc>
          <w:tcPr>
            <w:tcW w:w="2988" w:type="dxa"/>
            <w:noWrap w:val="0"/>
            <w:vAlign w:val="center"/>
          </w:tcPr>
          <w:p w14:paraId="508571A5">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提供售后服务方案，格式自定。</w:t>
            </w:r>
          </w:p>
          <w:p w14:paraId="3B342C9A">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注：</w:t>
            </w:r>
          </w:p>
          <w:p w14:paraId="13BEA09F">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1.供应商提供的方案须建立在本项目使用场景之上，否则相关方案按0分处理。</w:t>
            </w:r>
          </w:p>
          <w:p w14:paraId="6602B8C5">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2.本项内容中所称的“瑕疵”：</w:t>
            </w:r>
          </w:p>
          <w:p w14:paraId="2A418A58">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①内容表述不完整或缺少关键分析点；</w:t>
            </w:r>
          </w:p>
          <w:p w14:paraId="2D782089">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②计划及措施不科学合理方案；</w:t>
            </w:r>
          </w:p>
          <w:p w14:paraId="7BE2724C">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③内容表述前后矛盾、无连贯性、内容存在逻辑漏洞；</w:t>
            </w:r>
          </w:p>
          <w:p w14:paraId="3AA0A7A4">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④常识性错误；</w:t>
            </w:r>
          </w:p>
          <w:p w14:paraId="680E301A">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⑤技术措施保障安排并不适用本项目特性或非专门针对本项目制定；</w:t>
            </w:r>
          </w:p>
          <w:p w14:paraId="267259C1">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⑥方案中提出的措施举措不利于本项目目标的实现；</w:t>
            </w:r>
          </w:p>
          <w:p w14:paraId="08B2E35E">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⑦现有技术条件下不可能实现采购目标；</w:t>
            </w:r>
          </w:p>
          <w:p w14:paraId="6E484D93">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上述任意一种情形为1处瑕疵。</w:t>
            </w:r>
          </w:p>
        </w:tc>
      </w:tr>
    </w:tbl>
    <w:p w14:paraId="67861FB9">
      <w:pPr>
        <w:pStyle w:val="4"/>
        <w:bidi w:val="0"/>
        <w:rPr>
          <w:rFonts w:hint="eastAsia" w:ascii="宋体" w:hAnsi="宋体" w:eastAsia="宋体" w:cs="宋体"/>
          <w:b/>
          <w:bCs/>
          <w:color w:val="auto"/>
          <w:kern w:val="2"/>
          <w:sz w:val="24"/>
          <w:szCs w:val="24"/>
          <w:highlight w:val="none"/>
          <w:lang w:val="en-US" w:eastAsia="zh-CN" w:bidi="ar-SA"/>
        </w:rPr>
      </w:pPr>
      <w:bookmarkStart w:id="361" w:name="_Toc19039"/>
      <w:r>
        <w:rPr>
          <w:rFonts w:hint="eastAsia" w:ascii="宋体" w:hAnsi="宋体" w:eastAsia="宋体" w:cs="宋体"/>
          <w:b/>
          <w:bCs/>
          <w:color w:val="auto"/>
          <w:kern w:val="2"/>
          <w:sz w:val="24"/>
          <w:szCs w:val="24"/>
          <w:highlight w:val="none"/>
          <w:lang w:val="en-US" w:eastAsia="zh-CN" w:bidi="ar-SA"/>
        </w:rPr>
        <w:t>三、响应无效</w:t>
      </w:r>
      <w:bookmarkEnd w:id="361"/>
    </w:p>
    <w:p w14:paraId="11D8018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供应商发生以下条款情况之一者，视为响应无效，其响应文件将被拒绝：</w:t>
      </w:r>
    </w:p>
    <w:p w14:paraId="607F8E0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（一）供应商不符合规定的资格条件的；</w:t>
      </w:r>
    </w:p>
    <w:p w14:paraId="490631A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（二）供应商所提交的响应文件不按第七篇“响应文件编制要求”规定签字、盖章；</w:t>
      </w:r>
    </w:p>
    <w:p w14:paraId="6C58A13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（三）供应商的报价超过采购预算最高限价的；</w:t>
      </w:r>
    </w:p>
    <w:p w14:paraId="737B303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（四）法定代表人为同一个人的两个及两个以上法人，母公司、全资子公司及其控股公司，在同一分包采购中同时参与</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w:t>
      </w:r>
    </w:p>
    <w:p w14:paraId="2E85C31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（五）供应商的平台报价与</w:t>
      </w:r>
      <w:r>
        <w:rPr>
          <w:rFonts w:hint="eastAsia" w:ascii="宋体" w:hAnsi="宋体" w:cs="宋体"/>
          <w:color w:val="auto"/>
          <w:sz w:val="24"/>
          <w:szCs w:val="24"/>
          <w:highlight w:val="none"/>
          <w:lang w:val="en-US" w:eastAsia="zh-CN"/>
        </w:rPr>
        <w:t>纸质响应文件</w:t>
      </w:r>
      <w:r>
        <w:rPr>
          <w:rFonts w:hint="eastAsia" w:ascii="宋体" w:hAnsi="宋体" w:eastAsia="宋体" w:cs="宋体"/>
          <w:color w:val="auto"/>
          <w:sz w:val="24"/>
          <w:szCs w:val="24"/>
          <w:highlight w:val="none"/>
        </w:rPr>
        <w:t>报价函中的报价不一致的；</w:t>
      </w:r>
    </w:p>
    <w:p w14:paraId="3B3C414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（六）单位负责人为同一人或者存在直接控股、管理关系的不同供应商，参加同一合同项下的采购活动的；</w:t>
      </w:r>
    </w:p>
    <w:p w14:paraId="6FA4317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（七）为采购项目提供整体设计、规范编制或者项目管理、监理、检测等服务的供应商，再参加该采购项目的其他采购活动；</w:t>
      </w:r>
    </w:p>
    <w:p w14:paraId="671D959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（八）供应商的</w:t>
      </w:r>
      <w:r>
        <w:rPr>
          <w:rFonts w:hint="eastAsia" w:ascii="宋体" w:hAnsi="宋体" w:cs="宋体"/>
          <w:color w:val="auto"/>
          <w:sz w:val="24"/>
          <w:szCs w:val="24"/>
          <w:highlight w:val="none"/>
          <w:lang w:val="en-US" w:eastAsia="zh-CN"/>
        </w:rPr>
        <w:t>工</w:t>
      </w:r>
      <w:r>
        <w:rPr>
          <w:rFonts w:hint="eastAsia" w:ascii="宋体" w:hAnsi="宋体" w:eastAsia="宋体" w:cs="宋体"/>
          <w:color w:val="auto"/>
          <w:sz w:val="24"/>
          <w:szCs w:val="24"/>
          <w:highlight w:val="none"/>
        </w:rPr>
        <w:t>期及</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有效期不满足</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文件要求的；</w:t>
      </w:r>
    </w:p>
    <w:p w14:paraId="1BF6078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（九）供应商响应文件内容有与国家现行法律法规相违背的内容，或附有采购人无法接受的条件。</w:t>
      </w:r>
    </w:p>
    <w:p w14:paraId="2054C10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（十）供应商被列入失信被执行人、重大税收违法案件当事人名单、政府采购严重违法失信行为记录名单及其他不符合《中华人民共和国政府采购法》第二十二条规定条件的。</w:t>
      </w:r>
    </w:p>
    <w:p w14:paraId="5BB9757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人、采购代理机构将通过“信用中国”网站(www.creditchina.gov.cn)、中国政府采购网(www.ccgp.gov.cn)等渠道查询供应商信用记录，对列入失信被执行人、重大税收违法案件当事人名单、政府采购严重违法失信行为记录名单及其他不符合《中华人民共和国政府采购法》第二十二条规定条件的供应商，应当拒绝其参与政府采购活动。</w:t>
      </w:r>
    </w:p>
    <w:p w14:paraId="32C4A92A">
      <w:pPr>
        <w:pStyle w:val="4"/>
        <w:bidi w:val="0"/>
        <w:rPr>
          <w:rFonts w:hint="eastAsia" w:ascii="宋体" w:hAnsi="宋体" w:eastAsia="宋体" w:cs="宋体"/>
          <w:b/>
          <w:bCs/>
          <w:color w:val="auto"/>
          <w:kern w:val="2"/>
          <w:sz w:val="24"/>
          <w:szCs w:val="24"/>
          <w:highlight w:val="none"/>
          <w:lang w:val="en-US" w:eastAsia="zh-CN" w:bidi="ar-SA"/>
        </w:rPr>
      </w:pPr>
      <w:bookmarkStart w:id="362" w:name="_Toc3829"/>
      <w:r>
        <w:rPr>
          <w:rFonts w:hint="eastAsia" w:ascii="宋体" w:hAnsi="宋体" w:eastAsia="宋体" w:cs="宋体"/>
          <w:b/>
          <w:bCs/>
          <w:color w:val="auto"/>
          <w:kern w:val="2"/>
          <w:sz w:val="24"/>
          <w:szCs w:val="24"/>
          <w:highlight w:val="none"/>
          <w:lang w:val="en-US" w:eastAsia="zh-CN" w:bidi="ar-SA"/>
        </w:rPr>
        <w:t>四、</w:t>
      </w:r>
      <w:bookmarkEnd w:id="359"/>
      <w:bookmarkEnd w:id="360"/>
      <w:r>
        <w:rPr>
          <w:rFonts w:hint="eastAsia" w:ascii="宋体" w:hAnsi="宋体" w:eastAsia="宋体" w:cs="宋体"/>
          <w:b/>
          <w:bCs/>
          <w:color w:val="auto"/>
          <w:kern w:val="2"/>
          <w:sz w:val="24"/>
          <w:szCs w:val="24"/>
          <w:highlight w:val="none"/>
          <w:lang w:val="en-US" w:eastAsia="zh-CN" w:bidi="ar-SA"/>
        </w:rPr>
        <w:t>采购终止</w:t>
      </w:r>
      <w:bookmarkEnd w:id="362"/>
    </w:p>
    <w:p w14:paraId="44D428BA">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出现下列情形之一的，采购人或者采购代理机构应当终止</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活动，发布项目终止公告并说明原因，重新开展采购活动：</w:t>
      </w:r>
    </w:p>
    <w:p w14:paraId="5EF251C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（一）因情况变化，不再符合规定的</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采购方式适用情形的；</w:t>
      </w:r>
    </w:p>
    <w:p w14:paraId="4FAF411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（二）出现影响采购公正的违法、违规行为的；</w:t>
      </w:r>
    </w:p>
    <w:p w14:paraId="7055262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（三）通过资格性审查的供应商不足</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家的，终止本次采购活动，并发布终止采购活动公告</w:t>
      </w:r>
      <w:bookmarkStart w:id="363" w:name="_Toc102227313"/>
      <w:r>
        <w:rPr>
          <w:rFonts w:hint="eastAsia" w:ascii="宋体" w:hAnsi="宋体" w:eastAsia="宋体" w:cs="宋体"/>
          <w:color w:val="auto"/>
          <w:sz w:val="24"/>
          <w:szCs w:val="24"/>
          <w:highlight w:val="none"/>
        </w:rPr>
        <w:t>。</w:t>
      </w:r>
    </w:p>
    <w:p w14:paraId="11FE69D4">
      <w:pPr>
        <w:pStyle w:val="3"/>
        <w:spacing w:line="440" w:lineRule="exact"/>
        <w:jc w:val="center"/>
        <w:rPr>
          <w:rFonts w:hint="eastAsia" w:ascii="宋体" w:hAnsi="宋体" w:eastAsia="宋体" w:cs="宋体"/>
          <w:color w:val="auto"/>
          <w:sz w:val="24"/>
          <w:szCs w:val="24"/>
          <w:highlight w:val="none"/>
        </w:rPr>
      </w:pPr>
      <w:r>
        <w:rPr>
          <w:rFonts w:hint="eastAsia" w:ascii="宋体" w:hAnsi="宋体" w:eastAsia="宋体" w:cs="宋体"/>
          <w:b w:val="0"/>
          <w:color w:val="auto"/>
          <w:sz w:val="36"/>
          <w:szCs w:val="30"/>
          <w:highlight w:val="none"/>
        </w:rPr>
        <w:br w:type="page"/>
      </w:r>
      <w:bookmarkStart w:id="364" w:name="_Toc1824"/>
      <w:r>
        <w:rPr>
          <w:rFonts w:hint="eastAsia" w:ascii="宋体" w:hAnsi="宋体" w:eastAsia="宋体" w:cs="宋体"/>
          <w:bCs/>
          <w:color w:val="auto"/>
          <w:sz w:val="28"/>
          <w:szCs w:val="28"/>
          <w:highlight w:val="none"/>
        </w:rPr>
        <w:t>第五篇  供应商须知</w:t>
      </w:r>
      <w:bookmarkEnd w:id="363"/>
      <w:bookmarkEnd w:id="364"/>
    </w:p>
    <w:p w14:paraId="6174FE7F">
      <w:pPr>
        <w:pStyle w:val="4"/>
        <w:bidi w:val="0"/>
        <w:rPr>
          <w:rFonts w:hint="eastAsia" w:ascii="宋体" w:hAnsi="宋体" w:eastAsia="宋体" w:cs="宋体"/>
          <w:b/>
          <w:bCs/>
          <w:color w:val="auto"/>
          <w:kern w:val="2"/>
          <w:sz w:val="24"/>
          <w:szCs w:val="24"/>
          <w:highlight w:val="none"/>
          <w:lang w:val="en-US" w:eastAsia="zh-CN" w:bidi="ar-SA"/>
        </w:rPr>
      </w:pPr>
      <w:bookmarkStart w:id="365" w:name="_Toc342913389"/>
      <w:bookmarkStart w:id="366" w:name="_Toc31306"/>
      <w:r>
        <w:rPr>
          <w:rFonts w:hint="eastAsia" w:ascii="宋体" w:hAnsi="宋体" w:eastAsia="宋体" w:cs="宋体"/>
          <w:b/>
          <w:bCs/>
          <w:color w:val="auto"/>
          <w:kern w:val="2"/>
          <w:sz w:val="24"/>
          <w:szCs w:val="24"/>
          <w:highlight w:val="none"/>
          <w:lang w:val="en-US" w:eastAsia="zh-CN" w:bidi="ar-SA"/>
        </w:rPr>
        <w:t>一、</w:t>
      </w:r>
      <w:bookmarkEnd w:id="365"/>
      <w:r>
        <w:rPr>
          <w:rFonts w:hint="eastAsia" w:ascii="宋体" w:hAnsi="宋体" w:eastAsia="宋体" w:cs="宋体"/>
          <w:b/>
          <w:bCs/>
          <w:color w:val="auto"/>
          <w:kern w:val="2"/>
          <w:sz w:val="24"/>
          <w:szCs w:val="24"/>
          <w:highlight w:val="none"/>
          <w:lang w:val="en-US" w:eastAsia="zh-CN" w:bidi="ar-SA"/>
        </w:rPr>
        <w:t>竞选费用</w:t>
      </w:r>
      <w:bookmarkEnd w:id="366"/>
    </w:p>
    <w:p w14:paraId="4E318A51">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参与</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的供应商应承担其编制响应文件与递交响应文件所涉及的一切费用，不论</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结果如何，采购人和采购代理机构在任何情况下无义务也无责任承担这些费用。</w:t>
      </w:r>
    </w:p>
    <w:p w14:paraId="0284CD19">
      <w:pPr>
        <w:pStyle w:val="4"/>
        <w:bidi w:val="0"/>
        <w:rPr>
          <w:rFonts w:hint="eastAsia" w:ascii="宋体" w:hAnsi="宋体" w:eastAsia="宋体" w:cs="宋体"/>
          <w:b/>
          <w:bCs/>
          <w:color w:val="auto"/>
          <w:kern w:val="2"/>
          <w:sz w:val="24"/>
          <w:szCs w:val="24"/>
          <w:highlight w:val="none"/>
          <w:lang w:val="en-US" w:eastAsia="zh-CN" w:bidi="ar-SA"/>
        </w:rPr>
      </w:pPr>
      <w:bookmarkStart w:id="367" w:name="_Toc17789"/>
      <w:bookmarkStart w:id="368" w:name="_Toc342913391"/>
      <w:r>
        <w:rPr>
          <w:rFonts w:hint="eastAsia" w:ascii="宋体" w:hAnsi="宋体" w:eastAsia="宋体" w:cs="宋体"/>
          <w:b/>
          <w:bCs/>
          <w:color w:val="auto"/>
          <w:kern w:val="2"/>
          <w:sz w:val="24"/>
          <w:szCs w:val="24"/>
          <w:highlight w:val="none"/>
          <w:lang w:val="en-US" w:eastAsia="zh-CN" w:bidi="ar-SA"/>
        </w:rPr>
        <w:t>二、竞争性比选文件</w:t>
      </w:r>
      <w:bookmarkEnd w:id="367"/>
      <w:bookmarkEnd w:id="368"/>
    </w:p>
    <w:p w14:paraId="250A703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文件由采购邀请书、项目服务需求、项目商务需求、竞争性比选程序及方法、评审标准、响应无效和采购终止、供应商须知、格式合同、响应文件编制要求七部分组成。</w:t>
      </w:r>
    </w:p>
    <w:p w14:paraId="332F7B3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（二）采购人（或采购代理机构）所作的一切有效的书面通知、修改及补充，都是</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文件不可分割的部分。</w:t>
      </w:r>
    </w:p>
    <w:p w14:paraId="3A47D11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文件的解释</w:t>
      </w:r>
    </w:p>
    <w:p w14:paraId="1E38E4E1">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供应商如对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文件有疑问，必须以书面形式在2025年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日17时00分（北京时间）前向采购人（或采购代理机构）要求澄清，采购人（或采购代理机构）可视具体情况做出处理或答复。如供应商未提出疑问，视为完全理解并同意本</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文件。一经进入</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程序，即视为供应商已详细阅读全部文件资料，完全理解</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文件所有条款内容并同意放弃对这方面有不明白及误解的权利。</w:t>
      </w:r>
      <w:bookmarkStart w:id="369" w:name="_Toc318159349"/>
      <w:bookmarkStart w:id="370" w:name="_Toc318166429"/>
      <w:bookmarkStart w:id="371" w:name="_Toc318159160"/>
      <w:bookmarkStart w:id="372" w:name="_Toc318159780"/>
    </w:p>
    <w:p w14:paraId="46CF685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四</w:t>
      </w:r>
      <w:r>
        <w:rPr>
          <w:rFonts w:hint="eastAsia" w:ascii="宋体" w:hAnsi="宋体" w:eastAsia="宋体" w:cs="宋体"/>
          <w:color w:val="auto"/>
          <w:sz w:val="24"/>
          <w:szCs w:val="24"/>
          <w:highlight w:val="none"/>
        </w:rPr>
        <w:t>）评审的依据为</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文件和响应文件（含有效的书面承诺）。评审小组判断响应文件对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文件的响应，仅基于响应文件本身而不靠外部证据。</w:t>
      </w:r>
    </w:p>
    <w:bookmarkEnd w:id="369"/>
    <w:bookmarkEnd w:id="370"/>
    <w:bookmarkEnd w:id="371"/>
    <w:bookmarkEnd w:id="372"/>
    <w:p w14:paraId="49E16601">
      <w:pPr>
        <w:pStyle w:val="4"/>
        <w:bidi w:val="0"/>
        <w:rPr>
          <w:rFonts w:hint="eastAsia" w:ascii="宋体" w:hAnsi="宋体" w:eastAsia="宋体" w:cs="宋体"/>
          <w:b/>
          <w:bCs/>
          <w:color w:val="auto"/>
          <w:kern w:val="2"/>
          <w:sz w:val="24"/>
          <w:szCs w:val="24"/>
          <w:highlight w:val="none"/>
          <w:lang w:val="en-US" w:eastAsia="zh-CN" w:bidi="ar-SA"/>
        </w:rPr>
      </w:pPr>
      <w:bookmarkStart w:id="373" w:name="_Toc179714297"/>
      <w:bookmarkStart w:id="374" w:name="_Toc342913392"/>
      <w:bookmarkStart w:id="375" w:name="_Toc3775"/>
      <w:bookmarkStart w:id="376" w:name="_Toc102227318"/>
      <w:r>
        <w:rPr>
          <w:rFonts w:hint="eastAsia" w:ascii="宋体" w:hAnsi="宋体" w:eastAsia="宋体" w:cs="宋体"/>
          <w:b/>
          <w:bCs/>
          <w:color w:val="auto"/>
          <w:kern w:val="2"/>
          <w:sz w:val="24"/>
          <w:szCs w:val="24"/>
          <w:highlight w:val="none"/>
          <w:lang w:val="en-US" w:eastAsia="zh-CN" w:bidi="ar-SA"/>
        </w:rPr>
        <w:t>三、竞争性比选要求</w:t>
      </w:r>
      <w:bookmarkEnd w:id="373"/>
      <w:bookmarkEnd w:id="374"/>
      <w:bookmarkEnd w:id="375"/>
      <w:bookmarkEnd w:id="376"/>
    </w:p>
    <w:p w14:paraId="2583DA3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（一）响应文件</w:t>
      </w:r>
    </w:p>
    <w:p w14:paraId="3CBEB13E">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供应商应当按照</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文件的要求编制响应文件，并对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文件提出的要求和条件作出实质性响应，同时应编制完整的页码、目录。</w:t>
      </w:r>
    </w:p>
    <w:p w14:paraId="120D91B1">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响应文件组成</w:t>
      </w:r>
    </w:p>
    <w:p w14:paraId="17D22013">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由第七篇“响应文件编制要求”规定的部分和供应商所作的一切有效补充、修改和承诺等文件组成，供应商应按照第七篇“响应文件编制要求”规定的目录顺序组织编写，也可在基本格式基础上对表格进行扩展，未规定格式的由供应商自定格式。</w:t>
      </w:r>
    </w:p>
    <w:p w14:paraId="63819CC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（二）联合体</w:t>
      </w:r>
    </w:p>
    <w:p w14:paraId="44AEEE7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本项目不接受联合体竞标。</w:t>
      </w:r>
    </w:p>
    <w:p w14:paraId="7B033D5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有效期：响应文件及有关承诺文件有效期为提交响应文件截止时间起90天。</w:t>
      </w:r>
    </w:p>
    <w:p w14:paraId="305A100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（四）修正错误</w:t>
      </w:r>
    </w:p>
    <w:p w14:paraId="6E945744">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若供应商所递交的响应文件中的价格出现大写金额和小写金额不一致的错误，以大写金额修正为准。</w:t>
      </w:r>
    </w:p>
    <w:p w14:paraId="0EC75817">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评审小组按上述修正错误的原则及方法修正供应商的报价，供应商同意并签字确认后，修正后的报价对供应商具有约束作用。如果供应商不接受修正后的价格，将失去成为供应商的资格。</w:t>
      </w:r>
    </w:p>
    <w:p w14:paraId="43799BA1">
      <w:pPr>
        <w:snapToGrid w:val="0"/>
        <w:spacing w:line="480" w:lineRule="exact"/>
        <w:ind w:firstLine="240" w:firstLineChars="1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（五）响应文件的份数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签署</w:t>
      </w:r>
      <w:r>
        <w:rPr>
          <w:rFonts w:hint="eastAsia" w:ascii="宋体" w:hAnsi="宋体" w:cs="宋体"/>
          <w:color w:val="auto"/>
          <w:sz w:val="24"/>
          <w:szCs w:val="24"/>
          <w:highlight w:val="none"/>
          <w:lang w:val="en-US" w:eastAsia="zh-CN"/>
        </w:rPr>
        <w:t>和提交</w:t>
      </w:r>
    </w:p>
    <w:p w14:paraId="7A0D686B">
      <w:pPr>
        <w:snapToGrid w:val="0"/>
        <w:spacing w:line="480" w:lineRule="exact"/>
        <w:ind w:firstLine="480" w:firstLineChars="200"/>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电子响应文件</w:t>
      </w:r>
    </w:p>
    <w:p w14:paraId="58815859">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供应商须在平台报价并上传盖章后的响应文件电子文档</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份。</w:t>
      </w:r>
    </w:p>
    <w:p w14:paraId="6CAF23F6">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在网上电子文档中，</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文件第七篇响应文件编制要求中规定签字、盖章的地方必须按其规定签字、盖章。</w:t>
      </w:r>
    </w:p>
    <w:p w14:paraId="62576951">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2、纸质响应文件</w:t>
      </w:r>
    </w:p>
    <w:p w14:paraId="0A63943D">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2.1供应商须按照第一篇要求现场提交纸质响应文件正本</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份，副本</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份。每套纸质响应文件须在封面清楚地标明“正本”、“副本”，副本可为正本的完整复印件，副本与正本不一致时以正本为准。</w:t>
      </w:r>
    </w:p>
    <w:p w14:paraId="7901F5F5">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2.2在响应文件中，</w:t>
      </w:r>
      <w:r>
        <w:rPr>
          <w:rFonts w:hint="eastAsia" w:ascii="宋体" w:hAnsi="宋体" w:cs="宋体"/>
          <w:color w:val="auto"/>
          <w:sz w:val="24"/>
          <w:szCs w:val="24"/>
          <w:highlight w:val="none"/>
          <w:lang w:val="en-US" w:eastAsia="zh-CN"/>
        </w:rPr>
        <w:t>竞争性比选文件</w:t>
      </w:r>
      <w:r>
        <w:rPr>
          <w:rFonts w:hint="eastAsia" w:ascii="宋体" w:hAnsi="宋体" w:eastAsia="宋体" w:cs="宋体"/>
          <w:color w:val="auto"/>
          <w:sz w:val="24"/>
          <w:szCs w:val="24"/>
          <w:highlight w:val="none"/>
          <w:lang w:val="en-US" w:eastAsia="zh-CN"/>
        </w:rPr>
        <w:t>第七篇响应文件编制要求中规定签字、盖章的地方必须按其规定签字、盖章。</w:t>
      </w:r>
    </w:p>
    <w:p w14:paraId="677A6AB7">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2.3响应文件的正本、副本均应密封送达递交响应文件地点，应在封套上注明项目名称、供应商名称。若正本、副本分别进行密封的，还应在封套上注明“正本”、“副本”字样。</w:t>
      </w:r>
    </w:p>
    <w:p w14:paraId="6A4973E8">
      <w:pPr>
        <w:snapToGrid w:val="0"/>
        <w:spacing w:line="48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（六）竞选</w:t>
      </w:r>
      <w:r>
        <w:rPr>
          <w:rFonts w:hint="default" w:ascii="宋体" w:hAnsi="宋体" w:eastAsia="宋体" w:cs="宋体"/>
          <w:color w:val="auto"/>
          <w:sz w:val="24"/>
          <w:szCs w:val="24"/>
          <w:highlight w:val="none"/>
          <w:lang w:val="en-US" w:eastAsia="zh-CN"/>
        </w:rPr>
        <w:t>保证金不予退还的情形有以下几种：</w:t>
      </w:r>
    </w:p>
    <w:p w14:paraId="66C256B6">
      <w:pPr>
        <w:snapToGrid w:val="0"/>
        <w:spacing w:line="48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1.供应商</w:t>
      </w:r>
      <w:r>
        <w:rPr>
          <w:rFonts w:hint="default" w:ascii="宋体" w:hAnsi="宋体" w:eastAsia="宋体" w:cs="宋体"/>
          <w:color w:val="auto"/>
          <w:sz w:val="24"/>
          <w:szCs w:val="24"/>
          <w:highlight w:val="none"/>
          <w:lang w:val="en-US" w:eastAsia="zh-CN"/>
        </w:rPr>
        <w:t>在</w:t>
      </w:r>
      <w:r>
        <w:rPr>
          <w:rFonts w:hint="eastAsia" w:ascii="宋体" w:hAnsi="宋体" w:cs="宋体"/>
          <w:color w:val="auto"/>
          <w:sz w:val="24"/>
          <w:szCs w:val="24"/>
          <w:highlight w:val="none"/>
          <w:lang w:val="en-US" w:eastAsia="zh-CN"/>
        </w:rPr>
        <w:t>竞争性比选</w:t>
      </w:r>
      <w:r>
        <w:rPr>
          <w:rFonts w:hint="default" w:ascii="宋体" w:hAnsi="宋体" w:eastAsia="宋体" w:cs="宋体"/>
          <w:color w:val="auto"/>
          <w:sz w:val="24"/>
          <w:szCs w:val="24"/>
          <w:highlight w:val="none"/>
          <w:lang w:val="en-US" w:eastAsia="zh-CN"/>
        </w:rPr>
        <w:t>文件中规定的</w:t>
      </w:r>
      <w:r>
        <w:rPr>
          <w:rFonts w:hint="eastAsia" w:ascii="宋体" w:hAnsi="宋体" w:cs="宋体"/>
          <w:color w:val="auto"/>
          <w:sz w:val="24"/>
          <w:szCs w:val="24"/>
          <w:highlight w:val="none"/>
          <w:lang w:val="en-US" w:eastAsia="zh-CN"/>
        </w:rPr>
        <w:t>竞争性比选</w:t>
      </w:r>
      <w:r>
        <w:rPr>
          <w:rFonts w:hint="default" w:ascii="宋体" w:hAnsi="宋体" w:eastAsia="宋体" w:cs="宋体"/>
          <w:color w:val="auto"/>
          <w:sz w:val="24"/>
          <w:szCs w:val="24"/>
          <w:highlight w:val="none"/>
          <w:lang w:val="en-US" w:eastAsia="zh-CN"/>
        </w:rPr>
        <w:t>有效期内撤回其</w:t>
      </w:r>
      <w:r>
        <w:rPr>
          <w:rFonts w:hint="eastAsia" w:ascii="宋体" w:hAnsi="宋体" w:cs="宋体"/>
          <w:color w:val="auto"/>
          <w:sz w:val="24"/>
          <w:szCs w:val="24"/>
          <w:highlight w:val="none"/>
          <w:lang w:val="en-US" w:eastAsia="zh-CN"/>
        </w:rPr>
        <w:t>投标</w:t>
      </w:r>
      <w:r>
        <w:rPr>
          <w:rFonts w:hint="default" w:ascii="宋体" w:hAnsi="宋体" w:eastAsia="宋体" w:cs="宋体"/>
          <w:color w:val="auto"/>
          <w:sz w:val="24"/>
          <w:szCs w:val="24"/>
          <w:highlight w:val="none"/>
          <w:lang w:val="en-US" w:eastAsia="zh-CN"/>
        </w:rPr>
        <w:t>；</w:t>
      </w:r>
    </w:p>
    <w:p w14:paraId="7D2AB8BD">
      <w:pPr>
        <w:snapToGrid w:val="0"/>
        <w:spacing w:line="48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2.成交供应商</w:t>
      </w:r>
      <w:r>
        <w:rPr>
          <w:rFonts w:hint="default" w:ascii="宋体" w:hAnsi="宋体" w:eastAsia="宋体" w:cs="宋体"/>
          <w:color w:val="auto"/>
          <w:sz w:val="24"/>
          <w:szCs w:val="24"/>
          <w:highlight w:val="none"/>
          <w:lang w:val="en-US" w:eastAsia="zh-CN"/>
        </w:rPr>
        <w:t>在规定期限内未能根据规定签订合同；</w:t>
      </w:r>
    </w:p>
    <w:p w14:paraId="428CD1B6">
      <w:pPr>
        <w:snapToGrid w:val="0"/>
        <w:spacing w:line="48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3.成交供应商</w:t>
      </w:r>
      <w:r>
        <w:rPr>
          <w:rFonts w:hint="default" w:ascii="宋体" w:hAnsi="宋体" w:eastAsia="宋体" w:cs="宋体"/>
          <w:color w:val="auto"/>
          <w:sz w:val="24"/>
          <w:szCs w:val="24"/>
          <w:highlight w:val="none"/>
          <w:lang w:val="en-US" w:eastAsia="zh-CN"/>
        </w:rPr>
        <w:t>未在规定期限内根据</w:t>
      </w:r>
      <w:r>
        <w:rPr>
          <w:rFonts w:hint="eastAsia" w:ascii="宋体" w:hAnsi="宋体" w:cs="宋体"/>
          <w:color w:val="auto"/>
          <w:sz w:val="24"/>
          <w:szCs w:val="24"/>
          <w:highlight w:val="none"/>
          <w:lang w:val="en-US" w:eastAsia="zh-CN"/>
        </w:rPr>
        <w:t>竞争性比选文件</w:t>
      </w:r>
      <w:r>
        <w:rPr>
          <w:rFonts w:hint="default" w:ascii="宋体" w:hAnsi="宋体" w:eastAsia="宋体" w:cs="宋体"/>
          <w:color w:val="auto"/>
          <w:sz w:val="24"/>
          <w:szCs w:val="24"/>
          <w:highlight w:val="none"/>
          <w:lang w:val="en-US" w:eastAsia="zh-CN"/>
        </w:rPr>
        <w:t>规定提交履约保证金</w:t>
      </w:r>
      <w:r>
        <w:rPr>
          <w:rFonts w:hint="eastAsia" w:ascii="宋体" w:hAnsi="宋体" w:cs="宋体"/>
          <w:color w:val="auto"/>
          <w:sz w:val="24"/>
          <w:szCs w:val="24"/>
          <w:highlight w:val="none"/>
          <w:lang w:val="en-US" w:eastAsia="zh-CN"/>
        </w:rPr>
        <w:t>（如有）</w:t>
      </w:r>
      <w:r>
        <w:rPr>
          <w:rFonts w:hint="default" w:ascii="宋体" w:hAnsi="宋体" w:eastAsia="宋体" w:cs="宋体"/>
          <w:color w:val="auto"/>
          <w:sz w:val="24"/>
          <w:szCs w:val="24"/>
          <w:highlight w:val="none"/>
          <w:lang w:val="en-US" w:eastAsia="zh-CN"/>
        </w:rPr>
        <w:t>；</w:t>
      </w:r>
    </w:p>
    <w:p w14:paraId="7D2BAEC8">
      <w:pPr>
        <w:snapToGrid w:val="0"/>
        <w:spacing w:line="48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4.供应商</w:t>
      </w:r>
      <w:r>
        <w:rPr>
          <w:rFonts w:hint="default" w:ascii="宋体" w:hAnsi="宋体" w:eastAsia="宋体" w:cs="宋体"/>
          <w:color w:val="auto"/>
          <w:sz w:val="24"/>
          <w:szCs w:val="24"/>
          <w:highlight w:val="none"/>
          <w:lang w:val="en-US" w:eastAsia="zh-CN"/>
        </w:rPr>
        <w:t>采用不正当的手段骗取中标</w:t>
      </w:r>
      <w:r>
        <w:rPr>
          <w:rFonts w:hint="eastAsia" w:ascii="宋体" w:hAnsi="宋体" w:cs="宋体"/>
          <w:color w:val="auto"/>
          <w:sz w:val="24"/>
          <w:szCs w:val="24"/>
          <w:highlight w:val="none"/>
          <w:lang w:val="en-US" w:eastAsia="zh-CN"/>
        </w:rPr>
        <w:t>的。</w:t>
      </w:r>
    </w:p>
    <w:p w14:paraId="141C4F49">
      <w:pPr>
        <w:pStyle w:val="4"/>
        <w:bidi w:val="0"/>
        <w:rPr>
          <w:rFonts w:hint="eastAsia" w:ascii="宋体" w:hAnsi="宋体" w:eastAsia="宋体" w:cs="宋体"/>
          <w:b/>
          <w:bCs/>
          <w:color w:val="auto"/>
          <w:kern w:val="2"/>
          <w:sz w:val="24"/>
          <w:szCs w:val="24"/>
          <w:highlight w:val="none"/>
          <w:lang w:val="en-US" w:eastAsia="zh-CN" w:bidi="ar-SA"/>
        </w:rPr>
      </w:pPr>
      <w:bookmarkStart w:id="377" w:name="_Toc10133"/>
      <w:r>
        <w:rPr>
          <w:rFonts w:hint="eastAsia" w:ascii="宋体" w:hAnsi="宋体" w:eastAsia="宋体" w:cs="宋体"/>
          <w:b/>
          <w:bCs/>
          <w:color w:val="auto"/>
          <w:kern w:val="2"/>
          <w:sz w:val="24"/>
          <w:szCs w:val="24"/>
          <w:highlight w:val="none"/>
          <w:lang w:val="en-US" w:eastAsia="zh-CN" w:bidi="ar-SA"/>
        </w:rPr>
        <w:t>四、成交供应商的确认和变更</w:t>
      </w:r>
      <w:bookmarkEnd w:id="377"/>
    </w:p>
    <w:p w14:paraId="3C78F57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（一）成交供应商的确认</w:t>
      </w:r>
    </w:p>
    <w:p w14:paraId="670E5B23">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采购代理机构应当在评审结束后2个工作日内将评审报告送采购人确认。采购人应当在收到评审报告后5个工作日内，从评审报告提出的</w:t>
      </w:r>
      <w:r>
        <w:rPr>
          <w:rFonts w:hint="eastAsia" w:ascii="宋体" w:hAnsi="宋体" w:cs="宋体"/>
          <w:color w:val="auto"/>
          <w:sz w:val="24"/>
          <w:szCs w:val="24"/>
          <w:highlight w:val="none"/>
          <w:lang w:eastAsia="zh-CN"/>
        </w:rPr>
        <w:t>成交候选人</w:t>
      </w:r>
      <w:r>
        <w:rPr>
          <w:rFonts w:hint="eastAsia" w:ascii="宋体" w:hAnsi="宋体" w:eastAsia="宋体" w:cs="宋体"/>
          <w:color w:val="auto"/>
          <w:sz w:val="24"/>
          <w:szCs w:val="24"/>
          <w:highlight w:val="none"/>
        </w:rPr>
        <w:t>中，按照排序由高到低的原则确定成交供应商，也可以书面授权评审小组直接确定成交供应商。采购人逾期未确定成交供应商且不提出异议的，视为确定评审报告提出的排序第一的供应商为成交供应商。</w:t>
      </w:r>
    </w:p>
    <w:p w14:paraId="69EAAB2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（二）成交供应商的变更</w:t>
      </w:r>
    </w:p>
    <w:p w14:paraId="7AC69B52">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成交供应商拒绝与采购人签订合同的，采购人可以按照评标报告推荐的</w:t>
      </w:r>
      <w:r>
        <w:rPr>
          <w:rFonts w:hint="eastAsia" w:ascii="宋体" w:hAnsi="宋体" w:cs="宋体"/>
          <w:color w:val="auto"/>
          <w:sz w:val="24"/>
          <w:szCs w:val="24"/>
          <w:highlight w:val="none"/>
          <w:lang w:eastAsia="zh-CN"/>
        </w:rPr>
        <w:t>成交候选人</w:t>
      </w:r>
      <w:r>
        <w:rPr>
          <w:rFonts w:hint="eastAsia" w:ascii="宋体" w:hAnsi="宋体" w:eastAsia="宋体" w:cs="宋体"/>
          <w:color w:val="auto"/>
          <w:sz w:val="24"/>
          <w:szCs w:val="24"/>
          <w:highlight w:val="none"/>
        </w:rPr>
        <w:t>顺序，确定排名下一位的候选人为成交供应商，也可以重新开展采购活动。</w:t>
      </w:r>
    </w:p>
    <w:p w14:paraId="2CC68272">
      <w:pPr>
        <w:pStyle w:val="4"/>
        <w:bidi w:val="0"/>
        <w:rPr>
          <w:rFonts w:hint="eastAsia" w:ascii="宋体" w:hAnsi="宋体" w:eastAsia="宋体" w:cs="宋体"/>
          <w:b/>
          <w:bCs/>
          <w:color w:val="auto"/>
          <w:kern w:val="2"/>
          <w:sz w:val="24"/>
          <w:szCs w:val="24"/>
          <w:highlight w:val="none"/>
          <w:lang w:val="en-US" w:eastAsia="zh-CN" w:bidi="ar-SA"/>
        </w:rPr>
      </w:pPr>
      <w:bookmarkStart w:id="378" w:name="_Toc342913395"/>
      <w:bookmarkStart w:id="379" w:name="_Toc102227321"/>
      <w:bookmarkStart w:id="380" w:name="_Toc24491"/>
      <w:r>
        <w:rPr>
          <w:rFonts w:hint="eastAsia" w:ascii="宋体" w:hAnsi="宋体" w:eastAsia="宋体" w:cs="宋体"/>
          <w:b/>
          <w:bCs/>
          <w:color w:val="auto"/>
          <w:kern w:val="2"/>
          <w:sz w:val="24"/>
          <w:szCs w:val="24"/>
          <w:highlight w:val="none"/>
          <w:lang w:val="en-US" w:eastAsia="zh-CN" w:bidi="ar-SA"/>
        </w:rPr>
        <w:t>五、成交通知</w:t>
      </w:r>
      <w:bookmarkEnd w:id="378"/>
      <w:bookmarkEnd w:id="379"/>
      <w:bookmarkEnd w:id="380"/>
    </w:p>
    <w:p w14:paraId="5B80761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（一）成交供应商确定后，采购代理机构将在“行采家(https://www.gec123.com）”平台上发布成交结果公告。</w:t>
      </w:r>
    </w:p>
    <w:p w14:paraId="560C1A8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（二）结果公告发出同时，采购代理机构将以书面形式发出《成交通知书》。《成交通知书》一经发出即发生法律效力。</w:t>
      </w:r>
    </w:p>
    <w:p w14:paraId="2B47086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（三）《成交通知书》将作为签订合同的依据。</w:t>
      </w:r>
    </w:p>
    <w:p w14:paraId="7CD9625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（四）如有供应商对成交结果提出质疑的，在质疑处理完毕后发出成交通知书。</w:t>
      </w:r>
    </w:p>
    <w:p w14:paraId="07C50CF6">
      <w:pPr>
        <w:pStyle w:val="4"/>
        <w:bidi w:val="0"/>
        <w:rPr>
          <w:rFonts w:hint="eastAsia" w:ascii="宋体" w:hAnsi="宋体" w:eastAsia="宋体" w:cs="宋体"/>
          <w:b/>
          <w:bCs/>
          <w:color w:val="auto"/>
          <w:kern w:val="2"/>
          <w:sz w:val="24"/>
          <w:szCs w:val="24"/>
          <w:highlight w:val="none"/>
          <w:lang w:val="en-US" w:eastAsia="zh-CN" w:bidi="ar-SA"/>
        </w:rPr>
      </w:pPr>
      <w:bookmarkStart w:id="381" w:name="_Toc20050"/>
      <w:r>
        <w:rPr>
          <w:rFonts w:hint="eastAsia" w:ascii="宋体" w:hAnsi="宋体" w:eastAsia="宋体" w:cs="宋体"/>
          <w:b/>
          <w:bCs/>
          <w:color w:val="auto"/>
          <w:kern w:val="2"/>
          <w:sz w:val="24"/>
          <w:szCs w:val="24"/>
          <w:highlight w:val="none"/>
          <w:lang w:val="en-US" w:eastAsia="zh-CN" w:bidi="ar-SA"/>
        </w:rPr>
        <w:t>六、采购代理服务费</w:t>
      </w:r>
      <w:bookmarkEnd w:id="381"/>
    </w:p>
    <w:p w14:paraId="31B56BA5">
      <w:pPr>
        <w:snapToGrid w:val="0"/>
        <w:spacing w:line="480" w:lineRule="exact"/>
        <w:ind w:firstLine="240" w:firstLineChars="1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en-US" w:eastAsia="zh-CN"/>
        </w:rPr>
        <w:t xml:space="preserve">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cs="宋体"/>
          <w:color w:val="auto"/>
          <w:sz w:val="24"/>
          <w:szCs w:val="24"/>
          <w:highlight w:val="none"/>
          <w:lang w:val="en-US" w:eastAsia="zh-CN"/>
        </w:rPr>
        <w:t>（一）</w:t>
      </w:r>
      <w:r>
        <w:rPr>
          <w:rFonts w:hint="eastAsia" w:ascii="宋体" w:hAnsi="宋体" w:eastAsia="宋体" w:cs="宋体"/>
          <w:color w:val="auto"/>
          <w:sz w:val="24"/>
          <w:szCs w:val="24"/>
          <w:highlight w:val="none"/>
          <w:lang w:val="zh-CN"/>
        </w:rPr>
        <w:t>收费标准：本项目代理报酬</w:t>
      </w:r>
      <w:r>
        <w:rPr>
          <w:rFonts w:hint="eastAsia" w:ascii="宋体" w:hAnsi="宋体" w:eastAsia="宋体" w:cs="宋体"/>
          <w:color w:val="auto"/>
          <w:sz w:val="24"/>
          <w:szCs w:val="24"/>
          <w:highlight w:val="none"/>
          <w:lang w:val="en-US" w:eastAsia="zh-CN"/>
        </w:rPr>
        <w:t>为固定价格</w:t>
      </w:r>
      <w:r>
        <w:rPr>
          <w:rFonts w:hint="eastAsia" w:ascii="宋体" w:hAnsi="宋体" w:cs="宋体"/>
          <w:color w:val="auto"/>
          <w:sz w:val="24"/>
          <w:szCs w:val="24"/>
          <w:highlight w:val="none"/>
          <w:lang w:val="en-US" w:eastAsia="zh-CN"/>
        </w:rPr>
        <w:t>20000.00</w:t>
      </w:r>
      <w:r>
        <w:rPr>
          <w:rFonts w:hint="eastAsia" w:ascii="宋体" w:hAnsi="宋体" w:eastAsia="宋体" w:cs="宋体"/>
          <w:color w:val="auto"/>
          <w:sz w:val="24"/>
          <w:szCs w:val="24"/>
          <w:highlight w:val="none"/>
          <w:lang w:val="zh-CN"/>
        </w:rPr>
        <w:t>元人民币。</w:t>
      </w:r>
    </w:p>
    <w:p w14:paraId="4DC22AAA">
      <w:pPr>
        <w:snapToGrid w:val="0"/>
        <w:spacing w:line="480" w:lineRule="exact"/>
        <w:ind w:firstLine="240" w:firstLineChars="1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 xml:space="preserve">   </w:t>
      </w: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lang w:val="zh-CN"/>
        </w:rPr>
        <w:t>）</w:t>
      </w:r>
      <w:r>
        <w:rPr>
          <w:rFonts w:hint="eastAsia" w:ascii="宋体" w:hAnsi="宋体" w:eastAsia="宋体" w:cs="宋体"/>
          <w:color w:val="auto"/>
          <w:sz w:val="24"/>
          <w:szCs w:val="24"/>
          <w:highlight w:val="none"/>
          <w:lang w:val="zh-CN"/>
        </w:rPr>
        <w:t xml:space="preserve">支付办法 </w:t>
      </w:r>
    </w:p>
    <w:p w14:paraId="302495A5">
      <w:pPr>
        <w:snapToGrid w:val="0"/>
        <w:spacing w:line="480" w:lineRule="exact"/>
        <w:ind w:firstLine="720" w:firstLineChars="300"/>
        <w:rPr>
          <w:rFonts w:hint="eastAsia" w:ascii="宋体" w:hAnsi="宋体" w:eastAsia="宋体" w:cs="宋体"/>
          <w:color w:val="auto"/>
          <w:sz w:val="24"/>
          <w:szCs w:val="24"/>
          <w:highlight w:val="none"/>
          <w:lang w:val="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zh-CN"/>
        </w:rPr>
        <w:t>本项目的采购代理服务费支付方式：由成交供应商支付。</w:t>
      </w:r>
    </w:p>
    <w:p w14:paraId="4C7AD17F">
      <w:pPr>
        <w:snapToGrid w:val="0"/>
        <w:spacing w:line="480" w:lineRule="exact"/>
        <w:ind w:firstLine="720" w:firstLineChars="3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zh-CN"/>
        </w:rPr>
        <w:t>本项目的采购代理服务费支付时间：成交供应商在</w:t>
      </w:r>
      <w:r>
        <w:rPr>
          <w:rFonts w:hint="eastAsia" w:ascii="宋体" w:hAnsi="宋体" w:eastAsia="宋体" w:cs="宋体"/>
          <w:color w:val="auto"/>
          <w:sz w:val="24"/>
          <w:szCs w:val="24"/>
          <w:highlight w:val="none"/>
          <w:lang w:val="en-US" w:eastAsia="zh-CN"/>
        </w:rPr>
        <w:t>领取</w:t>
      </w:r>
      <w:r>
        <w:rPr>
          <w:rFonts w:hint="eastAsia" w:ascii="宋体" w:hAnsi="宋体" w:eastAsia="宋体" w:cs="宋体"/>
          <w:color w:val="auto"/>
          <w:sz w:val="24"/>
          <w:szCs w:val="24"/>
          <w:highlight w:val="none"/>
          <w:lang w:val="zh-CN"/>
        </w:rPr>
        <w:t>成交通知书前一次性支付给</w:t>
      </w:r>
      <w:r>
        <w:rPr>
          <w:rFonts w:hint="eastAsia" w:ascii="宋体" w:hAnsi="宋体" w:eastAsia="宋体" w:cs="宋体"/>
          <w:color w:val="auto"/>
          <w:sz w:val="24"/>
          <w:szCs w:val="24"/>
          <w:highlight w:val="none"/>
          <w:lang w:val="en-US" w:eastAsia="zh-CN"/>
        </w:rPr>
        <w:t>采购代理机构。</w:t>
      </w:r>
    </w:p>
    <w:p w14:paraId="390AA876">
      <w:pPr>
        <w:pStyle w:val="4"/>
        <w:bidi w:val="0"/>
        <w:rPr>
          <w:rFonts w:hint="eastAsia" w:ascii="宋体" w:hAnsi="宋体" w:eastAsia="宋体" w:cs="宋体"/>
          <w:b/>
          <w:bCs/>
          <w:color w:val="auto"/>
          <w:kern w:val="2"/>
          <w:sz w:val="24"/>
          <w:szCs w:val="24"/>
          <w:highlight w:val="none"/>
          <w:lang w:val="en-US" w:eastAsia="zh-CN" w:bidi="ar-SA"/>
        </w:rPr>
      </w:pPr>
      <w:bookmarkStart w:id="382" w:name="_Toc102227322"/>
      <w:bookmarkStart w:id="383" w:name="_Toc342913396"/>
      <w:bookmarkStart w:id="384" w:name="_Toc8597"/>
      <w:bookmarkStart w:id="385" w:name="_Toc12789059"/>
      <w:bookmarkStart w:id="386" w:name="_Toc11641055"/>
      <w:r>
        <w:rPr>
          <w:rFonts w:hint="eastAsia" w:ascii="宋体" w:hAnsi="宋体" w:eastAsia="宋体" w:cs="宋体"/>
          <w:b/>
          <w:bCs/>
          <w:color w:val="auto"/>
          <w:kern w:val="2"/>
          <w:sz w:val="24"/>
          <w:szCs w:val="24"/>
          <w:highlight w:val="none"/>
          <w:lang w:val="en-US" w:eastAsia="zh-CN" w:bidi="ar-SA"/>
        </w:rPr>
        <w:t>七、签订</w:t>
      </w:r>
      <w:bookmarkEnd w:id="382"/>
      <w:r>
        <w:rPr>
          <w:rFonts w:hint="eastAsia" w:ascii="宋体" w:hAnsi="宋体" w:eastAsia="宋体" w:cs="宋体"/>
          <w:b/>
          <w:bCs/>
          <w:color w:val="auto"/>
          <w:kern w:val="2"/>
          <w:sz w:val="24"/>
          <w:szCs w:val="24"/>
          <w:highlight w:val="none"/>
          <w:lang w:val="en-US" w:eastAsia="zh-CN" w:bidi="ar-SA"/>
        </w:rPr>
        <w:t>合同</w:t>
      </w:r>
      <w:bookmarkEnd w:id="383"/>
      <w:bookmarkEnd w:id="384"/>
    </w:p>
    <w:p w14:paraId="2901F7B3">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（一）采购人应当自成交通知书发出之日起</w:t>
      </w: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十日内，按照</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文件和成交供应商响应文件的约定，与成交供应商签订书面合同。所签订的合同不得对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文件和供应商的响应文件作实质性修改。</w:t>
      </w:r>
    </w:p>
    <w:p w14:paraId="196F2BE3">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文件、供应商的响应文件及澄清文件等，均为签订采购合同的依据。</w:t>
      </w:r>
    </w:p>
    <w:p w14:paraId="3CAF10E3">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（三）合同生效条款由供需双方约定，法律、行政法规规定应当办理批准、登记等手续后生效的合同，依照其规定。</w:t>
      </w:r>
    </w:p>
    <w:p w14:paraId="66CDD8A8">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（四）合同原则上应按照《采购合同》签订，相关单位要求适用合同通用格式版本的，应按其要求另行签订其他合同。</w:t>
      </w:r>
    </w:p>
    <w:bookmarkEnd w:id="385"/>
    <w:bookmarkEnd w:id="386"/>
    <w:p w14:paraId="1B55A31F">
      <w:pPr>
        <w:pStyle w:val="3"/>
        <w:spacing w:line="360" w:lineRule="auto"/>
        <w:jc w:val="center"/>
        <w:rPr>
          <w:rFonts w:hint="eastAsia" w:ascii="宋体" w:hAnsi="宋体" w:eastAsia="宋体" w:cs="宋体"/>
          <w:color w:val="auto"/>
          <w:sz w:val="36"/>
          <w:szCs w:val="30"/>
          <w:highlight w:val="none"/>
        </w:rPr>
      </w:pPr>
      <w:bookmarkStart w:id="387" w:name="_Toc27139866"/>
    </w:p>
    <w:p w14:paraId="7A59116F">
      <w:pPr>
        <w:rPr>
          <w:rFonts w:hint="eastAsia" w:ascii="宋体" w:hAnsi="宋体" w:eastAsia="宋体" w:cs="宋体"/>
          <w:color w:val="auto"/>
          <w:highlight w:val="none"/>
        </w:rPr>
      </w:pPr>
    </w:p>
    <w:p w14:paraId="17CF59F2">
      <w:pPr>
        <w:rPr>
          <w:rFonts w:hint="eastAsia" w:ascii="宋体" w:hAnsi="宋体" w:eastAsia="宋体" w:cs="宋体"/>
          <w:color w:val="auto"/>
          <w:sz w:val="36"/>
          <w:szCs w:val="30"/>
          <w:highlight w:val="none"/>
        </w:rPr>
      </w:pPr>
      <w:r>
        <w:rPr>
          <w:rFonts w:hint="eastAsia" w:ascii="宋体" w:hAnsi="宋体" w:eastAsia="宋体" w:cs="宋体"/>
          <w:color w:val="auto"/>
          <w:sz w:val="36"/>
          <w:szCs w:val="30"/>
          <w:highlight w:val="none"/>
        </w:rPr>
        <w:br w:type="page"/>
      </w:r>
    </w:p>
    <w:p w14:paraId="7ACAF7E4">
      <w:pPr>
        <w:pStyle w:val="3"/>
        <w:spacing w:line="440" w:lineRule="exact"/>
        <w:jc w:val="center"/>
        <w:rPr>
          <w:rFonts w:hint="eastAsia" w:ascii="宋体" w:hAnsi="宋体" w:eastAsia="宋体" w:cs="宋体"/>
          <w:color w:val="auto"/>
          <w:sz w:val="24"/>
          <w:szCs w:val="24"/>
          <w:highlight w:val="none"/>
        </w:rPr>
      </w:pPr>
      <w:bookmarkStart w:id="388" w:name="_Toc24151"/>
      <w:r>
        <w:rPr>
          <w:rFonts w:hint="eastAsia" w:ascii="宋体" w:hAnsi="宋体" w:eastAsia="宋体" w:cs="宋体"/>
          <w:bCs/>
          <w:color w:val="auto"/>
          <w:sz w:val="28"/>
          <w:szCs w:val="28"/>
          <w:highlight w:val="none"/>
        </w:rPr>
        <w:t xml:space="preserve">第六篇  </w:t>
      </w:r>
      <w:bookmarkEnd w:id="387"/>
      <w:r>
        <w:rPr>
          <w:rFonts w:hint="eastAsia" w:ascii="宋体" w:hAnsi="宋体" w:eastAsia="宋体" w:cs="宋体"/>
          <w:bCs/>
          <w:color w:val="auto"/>
          <w:sz w:val="28"/>
          <w:szCs w:val="28"/>
          <w:highlight w:val="none"/>
        </w:rPr>
        <w:t>格式合同</w:t>
      </w:r>
      <w:bookmarkEnd w:id="388"/>
    </w:p>
    <w:p w14:paraId="3A05CBF3">
      <w:pPr>
        <w:snapToGrid w:val="0"/>
        <w:spacing w:line="480" w:lineRule="exact"/>
        <w:ind w:firstLine="240" w:firstLineChars="1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采购合同</w:t>
      </w:r>
    </w:p>
    <w:p w14:paraId="2AAB4004">
      <w:pPr>
        <w:snapToGrid w:val="0"/>
        <w:spacing w:line="480" w:lineRule="exact"/>
        <w:ind w:firstLine="240" w:firstLineChars="100"/>
        <w:rPr>
          <w:rFonts w:hint="eastAsia" w:ascii="宋体" w:hAnsi="宋体" w:eastAsia="宋体" w:cs="宋体"/>
          <w:color w:val="auto"/>
          <w:sz w:val="24"/>
          <w:szCs w:val="24"/>
          <w:highlight w:val="none"/>
        </w:rPr>
      </w:pPr>
    </w:p>
    <w:p w14:paraId="4A535EF4">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甲方（需方）：___________________________      计价单位：____________</w:t>
      </w:r>
    </w:p>
    <w:p w14:paraId="72E3C77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乙方（供方）：___________________________      计量单位：_____________</w:t>
      </w:r>
    </w:p>
    <w:p w14:paraId="1374719C">
      <w:pPr>
        <w:snapToGrid w:val="0"/>
        <w:spacing w:line="480" w:lineRule="exact"/>
        <w:ind w:firstLine="240" w:firstLineChars="100"/>
        <w:rPr>
          <w:rFonts w:hint="eastAsia" w:ascii="宋体" w:hAnsi="宋体" w:eastAsia="宋体" w:cs="宋体"/>
          <w:color w:val="auto"/>
          <w:sz w:val="24"/>
          <w:szCs w:val="24"/>
          <w:highlight w:val="none"/>
        </w:rPr>
      </w:pPr>
    </w:p>
    <w:p w14:paraId="6EA6110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经双方协商一致，达成以下购销合同：</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529"/>
        <w:gridCol w:w="448"/>
        <w:gridCol w:w="850"/>
        <w:gridCol w:w="1134"/>
        <w:gridCol w:w="1559"/>
        <w:gridCol w:w="1567"/>
        <w:gridCol w:w="15"/>
      </w:tblGrid>
      <w:tr w14:paraId="72611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526" w:type="dxa"/>
            <w:vAlign w:val="center"/>
          </w:tcPr>
          <w:p w14:paraId="5F31D8C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名称</w:t>
            </w:r>
          </w:p>
        </w:tc>
        <w:tc>
          <w:tcPr>
            <w:tcW w:w="2529" w:type="dxa"/>
            <w:vAlign w:val="center"/>
          </w:tcPr>
          <w:p w14:paraId="15276BE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数量</w:t>
            </w:r>
          </w:p>
        </w:tc>
        <w:tc>
          <w:tcPr>
            <w:tcW w:w="1298" w:type="dxa"/>
            <w:gridSpan w:val="2"/>
            <w:vAlign w:val="center"/>
          </w:tcPr>
          <w:p w14:paraId="61AABF36">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综合单价</w:t>
            </w:r>
          </w:p>
        </w:tc>
        <w:tc>
          <w:tcPr>
            <w:tcW w:w="1134" w:type="dxa"/>
            <w:vAlign w:val="center"/>
          </w:tcPr>
          <w:p w14:paraId="1583B44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1559" w:type="dxa"/>
            <w:vAlign w:val="center"/>
          </w:tcPr>
          <w:p w14:paraId="3C8F995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服务时间</w:t>
            </w:r>
          </w:p>
        </w:tc>
        <w:tc>
          <w:tcPr>
            <w:tcW w:w="1567" w:type="dxa"/>
            <w:vAlign w:val="center"/>
          </w:tcPr>
          <w:p w14:paraId="6349924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服务地点</w:t>
            </w:r>
          </w:p>
        </w:tc>
      </w:tr>
      <w:tr w14:paraId="0D47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453B517A">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4EFE3C42">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1343E80B">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5C237F2F">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6BEB078D">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716EFEB8">
            <w:pPr>
              <w:snapToGrid w:val="0"/>
              <w:spacing w:line="480" w:lineRule="exact"/>
              <w:ind w:firstLine="240" w:firstLineChars="100"/>
              <w:rPr>
                <w:rFonts w:hint="eastAsia" w:ascii="宋体" w:hAnsi="宋体" w:eastAsia="宋体" w:cs="宋体"/>
                <w:color w:val="auto"/>
                <w:sz w:val="24"/>
                <w:szCs w:val="24"/>
                <w:highlight w:val="none"/>
              </w:rPr>
            </w:pPr>
          </w:p>
        </w:tc>
      </w:tr>
      <w:tr w14:paraId="0BC60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2598420F">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0753550C">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46D913AA">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49E38796">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1990CE2D">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159098B6">
            <w:pPr>
              <w:snapToGrid w:val="0"/>
              <w:spacing w:line="480" w:lineRule="exact"/>
              <w:ind w:firstLine="240" w:firstLineChars="100"/>
              <w:rPr>
                <w:rFonts w:hint="eastAsia" w:ascii="宋体" w:hAnsi="宋体" w:eastAsia="宋体" w:cs="宋体"/>
                <w:color w:val="auto"/>
                <w:sz w:val="24"/>
                <w:szCs w:val="24"/>
                <w:highlight w:val="none"/>
              </w:rPr>
            </w:pPr>
          </w:p>
        </w:tc>
      </w:tr>
      <w:tr w14:paraId="1E7C6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7EECBD45">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17218F2F">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09BC21DD">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46A5446E">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74AC3E6E">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47BF1AEF">
            <w:pPr>
              <w:snapToGrid w:val="0"/>
              <w:spacing w:line="480" w:lineRule="exact"/>
              <w:ind w:firstLine="240" w:firstLineChars="100"/>
              <w:rPr>
                <w:rFonts w:hint="eastAsia" w:ascii="宋体" w:hAnsi="宋体" w:eastAsia="宋体" w:cs="宋体"/>
                <w:color w:val="auto"/>
                <w:sz w:val="24"/>
                <w:szCs w:val="24"/>
                <w:highlight w:val="none"/>
              </w:rPr>
            </w:pPr>
          </w:p>
        </w:tc>
      </w:tr>
      <w:tr w14:paraId="5E6E3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74DD9D96">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39089A42">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5770AA7E">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19DC8DDE">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6CAF0533">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57C884C8">
            <w:pPr>
              <w:snapToGrid w:val="0"/>
              <w:spacing w:line="480" w:lineRule="exact"/>
              <w:ind w:firstLine="240" w:firstLineChars="100"/>
              <w:rPr>
                <w:rFonts w:hint="eastAsia" w:ascii="宋体" w:hAnsi="宋体" w:eastAsia="宋体" w:cs="宋体"/>
                <w:color w:val="auto"/>
                <w:sz w:val="24"/>
                <w:szCs w:val="24"/>
                <w:highlight w:val="none"/>
              </w:rPr>
            </w:pPr>
          </w:p>
        </w:tc>
      </w:tr>
      <w:tr w14:paraId="5FA84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4B90286C">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030CB49F">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3F86FA63">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5433B94D">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0C1B9C4F">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7CD2E4B2">
            <w:pPr>
              <w:snapToGrid w:val="0"/>
              <w:spacing w:line="480" w:lineRule="exact"/>
              <w:ind w:firstLine="240" w:firstLineChars="100"/>
              <w:rPr>
                <w:rFonts w:hint="eastAsia" w:ascii="宋体" w:hAnsi="宋体" w:eastAsia="宋体" w:cs="宋体"/>
                <w:color w:val="auto"/>
                <w:sz w:val="24"/>
                <w:szCs w:val="24"/>
                <w:highlight w:val="none"/>
              </w:rPr>
            </w:pPr>
          </w:p>
        </w:tc>
      </w:tr>
      <w:tr w14:paraId="6B54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17F44B25">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56299EA1">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5B08750C">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3A677671">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6CC152E2">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497BCCFB">
            <w:pPr>
              <w:snapToGrid w:val="0"/>
              <w:spacing w:line="480" w:lineRule="exact"/>
              <w:ind w:firstLine="240" w:firstLineChars="100"/>
              <w:rPr>
                <w:rFonts w:hint="eastAsia" w:ascii="宋体" w:hAnsi="宋体" w:eastAsia="宋体" w:cs="宋体"/>
                <w:color w:val="auto"/>
                <w:sz w:val="24"/>
                <w:szCs w:val="24"/>
                <w:highlight w:val="none"/>
              </w:rPr>
            </w:pPr>
          </w:p>
        </w:tc>
      </w:tr>
      <w:tr w14:paraId="0F7AD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1964E2E4">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13880987">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4AED892D">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3BF361A3">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5CA56F59">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466C9734">
            <w:pPr>
              <w:snapToGrid w:val="0"/>
              <w:spacing w:line="480" w:lineRule="exact"/>
              <w:ind w:firstLine="240" w:firstLineChars="100"/>
              <w:rPr>
                <w:rFonts w:hint="eastAsia" w:ascii="宋体" w:hAnsi="宋体" w:eastAsia="宋体" w:cs="宋体"/>
                <w:color w:val="auto"/>
                <w:sz w:val="24"/>
                <w:szCs w:val="24"/>
                <w:highlight w:val="none"/>
              </w:rPr>
            </w:pPr>
          </w:p>
        </w:tc>
      </w:tr>
      <w:tr w14:paraId="23D99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644BF387">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57503C95">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6BB03235">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2569091C">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76F6D8CA">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5465C211">
            <w:pPr>
              <w:snapToGrid w:val="0"/>
              <w:spacing w:line="480" w:lineRule="exact"/>
              <w:ind w:firstLine="240" w:firstLineChars="100"/>
              <w:rPr>
                <w:rFonts w:hint="eastAsia" w:ascii="宋体" w:hAnsi="宋体" w:eastAsia="宋体" w:cs="宋体"/>
                <w:color w:val="auto"/>
                <w:sz w:val="24"/>
                <w:szCs w:val="24"/>
                <w:highlight w:val="none"/>
              </w:rPr>
            </w:pPr>
          </w:p>
        </w:tc>
      </w:tr>
      <w:tr w14:paraId="68F66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vAlign w:val="center"/>
          </w:tcPr>
          <w:p w14:paraId="3436103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合计人民币（小写）：</w:t>
            </w:r>
          </w:p>
        </w:tc>
      </w:tr>
      <w:tr w14:paraId="74513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vAlign w:val="center"/>
          </w:tcPr>
          <w:p w14:paraId="0CCC5A2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合计人民币（大写）：</w:t>
            </w:r>
          </w:p>
        </w:tc>
      </w:tr>
      <w:tr w14:paraId="43E37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052" w:hRule="atLeast"/>
        </w:trPr>
        <w:tc>
          <w:tcPr>
            <w:tcW w:w="9613" w:type="dxa"/>
            <w:gridSpan w:val="7"/>
          </w:tcPr>
          <w:p w14:paraId="46F1E5A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一、质量要求和技术标准。供方须根据需方要求及本招标文件规定的国家相关标准进行服务，服务承诺如下：</w:t>
            </w:r>
          </w:p>
          <w:p w14:paraId="3D1E34E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（一）质量要求</w:t>
            </w:r>
          </w:p>
          <w:p w14:paraId="673EC29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（二）服务要求</w:t>
            </w:r>
          </w:p>
        </w:tc>
      </w:tr>
      <w:tr w14:paraId="434D1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172" w:hRule="atLeast"/>
        </w:trPr>
        <w:tc>
          <w:tcPr>
            <w:tcW w:w="9613" w:type="dxa"/>
            <w:gridSpan w:val="7"/>
          </w:tcPr>
          <w:p w14:paraId="3B7A7D2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二、执行标准：</w:t>
            </w:r>
          </w:p>
          <w:p w14:paraId="49CF1CB0">
            <w:pPr>
              <w:snapToGrid w:val="0"/>
              <w:spacing w:line="480" w:lineRule="exact"/>
              <w:ind w:firstLine="240" w:firstLineChars="100"/>
              <w:rPr>
                <w:rFonts w:hint="eastAsia" w:ascii="宋体" w:hAnsi="宋体" w:eastAsia="宋体" w:cs="宋体"/>
                <w:color w:val="auto"/>
                <w:sz w:val="24"/>
                <w:szCs w:val="24"/>
                <w:highlight w:val="none"/>
              </w:rPr>
            </w:pPr>
          </w:p>
        </w:tc>
      </w:tr>
      <w:tr w14:paraId="1A7D9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8"/>
          </w:tcPr>
          <w:p w14:paraId="189E8DC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三、验收标准、方法：</w:t>
            </w:r>
          </w:p>
          <w:p w14:paraId="3DF11CB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如有异议，请于      日内提出。</w:t>
            </w:r>
          </w:p>
        </w:tc>
      </w:tr>
      <w:tr w14:paraId="5FA5F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Pr>
          <w:p w14:paraId="459355D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四、付款方式：</w:t>
            </w:r>
          </w:p>
          <w:p w14:paraId="2EA5DD0E">
            <w:pPr>
              <w:snapToGrid w:val="0"/>
              <w:spacing w:line="480" w:lineRule="exact"/>
              <w:ind w:firstLine="240" w:firstLineChars="100"/>
              <w:rPr>
                <w:rFonts w:hint="eastAsia" w:ascii="宋体" w:hAnsi="宋体" w:eastAsia="宋体" w:cs="宋体"/>
                <w:color w:val="auto"/>
                <w:sz w:val="24"/>
                <w:szCs w:val="24"/>
                <w:highlight w:val="none"/>
              </w:rPr>
            </w:pPr>
          </w:p>
        </w:tc>
      </w:tr>
      <w:tr w14:paraId="4E9BE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Pr>
          <w:p w14:paraId="5B775AA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五、违约责任：</w:t>
            </w:r>
          </w:p>
          <w:p w14:paraId="5FDE994D">
            <w:pPr>
              <w:snapToGrid w:val="0"/>
              <w:spacing w:line="480" w:lineRule="exact"/>
              <w:ind w:firstLine="240" w:firstLineChars="100"/>
              <w:rPr>
                <w:rFonts w:hint="eastAsia" w:ascii="宋体" w:hAnsi="宋体" w:eastAsia="宋体" w:cs="宋体"/>
                <w:color w:val="auto"/>
                <w:sz w:val="24"/>
                <w:szCs w:val="24"/>
                <w:highlight w:val="none"/>
              </w:rPr>
            </w:pPr>
          </w:p>
        </w:tc>
      </w:tr>
      <w:tr w14:paraId="42D10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8"/>
          </w:tcPr>
          <w:p w14:paraId="0650B72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六、其他约定事项：</w:t>
            </w:r>
          </w:p>
          <w:p w14:paraId="4561217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文件及其补遗文件、响应文件和承诺是本合同不可分割的部分。</w:t>
            </w:r>
          </w:p>
          <w:p w14:paraId="22179AF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2.本合同如发生争议由双方协商解决，协商不成，一方可向需方住所地人民法院提起民事诉讼。</w:t>
            </w:r>
          </w:p>
          <w:p w14:paraId="056FA36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3.本合同一式__份， 需方__份，供方__份，具备同等法律效力。</w:t>
            </w:r>
          </w:p>
          <w:p w14:paraId="6E2FD02E">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w:t>
            </w:r>
          </w:p>
        </w:tc>
      </w:tr>
      <w:tr w14:paraId="48609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8" w:hRule="atLeast"/>
        </w:trPr>
        <w:tc>
          <w:tcPr>
            <w:tcW w:w="4503" w:type="dxa"/>
            <w:gridSpan w:val="3"/>
          </w:tcPr>
          <w:p w14:paraId="63DE0E5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需方：</w:t>
            </w:r>
          </w:p>
          <w:p w14:paraId="79FCBDF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p>
          <w:p w14:paraId="3D35E3A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p>
          <w:p w14:paraId="79A0551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授权代表：</w:t>
            </w:r>
          </w:p>
        </w:tc>
        <w:tc>
          <w:tcPr>
            <w:tcW w:w="5125" w:type="dxa"/>
            <w:gridSpan w:val="5"/>
          </w:tcPr>
          <w:p w14:paraId="3A24726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供方：</w:t>
            </w:r>
          </w:p>
          <w:p w14:paraId="1895AF6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p>
          <w:p w14:paraId="7B611474">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p>
          <w:p w14:paraId="572FF0F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w:t>
            </w:r>
          </w:p>
          <w:p w14:paraId="38E3669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p w14:paraId="17B5B49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p w14:paraId="48077EE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授权代表：</w:t>
            </w:r>
          </w:p>
          <w:p w14:paraId="1DBDAEE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（本栏请用计算机打印以便于准确付款）</w:t>
            </w:r>
          </w:p>
        </w:tc>
      </w:tr>
      <w:tr w14:paraId="3233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8"/>
          </w:tcPr>
          <w:p w14:paraId="0768853E">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备注：</w:t>
            </w:r>
          </w:p>
          <w:p w14:paraId="61DD60D6">
            <w:pPr>
              <w:snapToGrid w:val="0"/>
              <w:spacing w:line="480" w:lineRule="exact"/>
              <w:ind w:firstLine="240" w:firstLineChars="100"/>
              <w:rPr>
                <w:rFonts w:hint="eastAsia" w:ascii="宋体" w:hAnsi="宋体" w:eastAsia="宋体" w:cs="宋体"/>
                <w:color w:val="auto"/>
                <w:sz w:val="24"/>
                <w:szCs w:val="24"/>
                <w:highlight w:val="none"/>
              </w:rPr>
            </w:pPr>
          </w:p>
          <w:p w14:paraId="5C06A6E4">
            <w:pPr>
              <w:snapToGrid w:val="0"/>
              <w:spacing w:line="480" w:lineRule="exact"/>
              <w:ind w:firstLine="240" w:firstLineChars="100"/>
              <w:rPr>
                <w:rFonts w:hint="eastAsia" w:ascii="宋体" w:hAnsi="宋体" w:eastAsia="宋体" w:cs="宋体"/>
                <w:color w:val="auto"/>
                <w:sz w:val="24"/>
                <w:szCs w:val="24"/>
                <w:highlight w:val="none"/>
              </w:rPr>
            </w:pPr>
          </w:p>
        </w:tc>
      </w:tr>
    </w:tbl>
    <w:p w14:paraId="163D343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签约时间：           年   月   日      签约地点：</w:t>
      </w:r>
    </w:p>
    <w:p w14:paraId="4C21F6C4">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3ED6ED16">
      <w:pPr>
        <w:pStyle w:val="3"/>
        <w:spacing w:line="440" w:lineRule="exact"/>
        <w:jc w:val="center"/>
        <w:rPr>
          <w:rFonts w:hint="eastAsia" w:ascii="宋体" w:hAnsi="宋体" w:eastAsia="宋体" w:cs="宋体"/>
          <w:bCs/>
          <w:color w:val="auto"/>
          <w:sz w:val="28"/>
          <w:szCs w:val="28"/>
          <w:highlight w:val="none"/>
        </w:rPr>
      </w:pPr>
      <w:bookmarkStart w:id="389" w:name="_Toc2017"/>
      <w:r>
        <w:rPr>
          <w:rFonts w:hint="eastAsia" w:ascii="宋体" w:hAnsi="宋体" w:eastAsia="宋体" w:cs="宋体"/>
          <w:bCs/>
          <w:color w:val="auto"/>
          <w:sz w:val="28"/>
          <w:szCs w:val="28"/>
          <w:highlight w:val="none"/>
        </w:rPr>
        <w:t>第七篇  响应文件编制要求</w:t>
      </w:r>
      <w:bookmarkEnd w:id="389"/>
    </w:p>
    <w:p w14:paraId="3AC3D79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一、经济部分</w:t>
      </w:r>
    </w:p>
    <w:p w14:paraId="5E4E803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（一）报价函</w:t>
      </w:r>
    </w:p>
    <w:p w14:paraId="382AE6F7">
      <w:pPr>
        <w:snapToGrid w:val="0"/>
        <w:spacing w:line="480" w:lineRule="exact"/>
        <w:ind w:firstLine="240" w:firstLineChars="1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w:t>
      </w:r>
      <w:r>
        <w:rPr>
          <w:rFonts w:hint="eastAsia" w:ascii="宋体" w:hAnsi="宋体" w:cs="宋体"/>
          <w:color w:val="auto"/>
          <w:sz w:val="24"/>
          <w:szCs w:val="24"/>
          <w:highlight w:val="none"/>
          <w:lang w:val="en-US" w:eastAsia="zh-CN"/>
        </w:rPr>
        <w:t>已标价工程量清单</w:t>
      </w:r>
    </w:p>
    <w:p w14:paraId="612A9950">
      <w:pPr>
        <w:snapToGrid w:val="0"/>
        <w:spacing w:line="480" w:lineRule="exact"/>
        <w:ind w:firstLine="240" w:firstLineChars="1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w:t>
      </w:r>
      <w:r>
        <w:rPr>
          <w:rFonts w:hint="eastAsia" w:ascii="宋体" w:hAnsi="宋体" w:cs="宋体"/>
          <w:color w:val="auto"/>
          <w:sz w:val="24"/>
          <w:szCs w:val="24"/>
          <w:highlight w:val="none"/>
          <w:lang w:val="en-US" w:eastAsia="zh-CN"/>
        </w:rPr>
        <w:t>服务部分</w:t>
      </w:r>
    </w:p>
    <w:p w14:paraId="4679406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val="en-US" w:eastAsia="zh-CN"/>
        </w:rPr>
        <w:t>服务</w:t>
      </w:r>
      <w:r>
        <w:rPr>
          <w:rFonts w:hint="eastAsia" w:ascii="宋体" w:hAnsi="宋体" w:eastAsia="宋体" w:cs="宋体"/>
          <w:color w:val="auto"/>
          <w:sz w:val="24"/>
          <w:szCs w:val="24"/>
          <w:highlight w:val="none"/>
        </w:rPr>
        <w:t>响应偏离表</w:t>
      </w:r>
    </w:p>
    <w:p w14:paraId="71DC408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二</w:t>
      </w:r>
      <w:r>
        <w:rPr>
          <w:rFonts w:hint="eastAsia" w:ascii="宋体" w:hAnsi="宋体" w:eastAsia="宋体" w:cs="宋体"/>
          <w:color w:val="auto"/>
          <w:sz w:val="24"/>
          <w:szCs w:val="24"/>
          <w:highlight w:val="none"/>
          <w:lang w:eastAsia="zh-CN"/>
        </w:rPr>
        <w:t>）其他资料（格式自定）</w:t>
      </w:r>
    </w:p>
    <w:p w14:paraId="3150B1F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三、商务部分</w:t>
      </w:r>
    </w:p>
    <w:p w14:paraId="09A41D1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商务响应偏离表</w:t>
      </w:r>
    </w:p>
    <w:p w14:paraId="210B2DDB">
      <w:pPr>
        <w:snapToGrid w:val="0"/>
        <w:spacing w:line="480" w:lineRule="exact"/>
        <w:ind w:firstLine="240" w:firstLineChars="100"/>
        <w:rPr>
          <w:rFonts w:hint="eastAsia" w:ascii="宋体" w:hAnsi="宋体" w:eastAsia="宋体" w:cs="宋体"/>
          <w:color w:val="auto"/>
          <w:highlight w:val="none"/>
        </w:rPr>
      </w:pPr>
      <w:r>
        <w:rPr>
          <w:rFonts w:hint="eastAsia" w:ascii="宋体" w:hAnsi="宋体" w:eastAsia="宋体" w:cs="宋体"/>
          <w:color w:val="auto"/>
          <w:sz w:val="24"/>
          <w:szCs w:val="24"/>
          <w:highlight w:val="none"/>
        </w:rPr>
        <w:t>（二）其它优惠服务承诺（格式自定）</w:t>
      </w:r>
    </w:p>
    <w:p w14:paraId="0B11FBC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四、资格条件及其他</w:t>
      </w:r>
    </w:p>
    <w:p w14:paraId="2C42E4D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（一）法人营业执照（副本）或事业单位法人证书（副本）或个体工商户营业执照或有效的自然人身份证明或社会团体法人登记证书复印件</w:t>
      </w:r>
    </w:p>
    <w:p w14:paraId="7956A75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（二）法定代表人身份证明书（格式）</w:t>
      </w:r>
    </w:p>
    <w:p w14:paraId="261D214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）法定代表人授权委托书（格式）</w:t>
      </w:r>
    </w:p>
    <w:p w14:paraId="035A62A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四</w:t>
      </w:r>
      <w:r>
        <w:rPr>
          <w:rFonts w:hint="eastAsia" w:ascii="宋体" w:hAnsi="宋体" w:eastAsia="宋体" w:cs="宋体"/>
          <w:color w:val="auto"/>
          <w:sz w:val="24"/>
          <w:szCs w:val="24"/>
          <w:highlight w:val="none"/>
        </w:rPr>
        <w:t>）基本资格条件承诺函</w:t>
      </w:r>
    </w:p>
    <w:p w14:paraId="5EF8441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五</w:t>
      </w:r>
      <w:r>
        <w:rPr>
          <w:rFonts w:hint="eastAsia" w:ascii="宋体" w:hAnsi="宋体" w:eastAsia="宋体" w:cs="宋体"/>
          <w:color w:val="auto"/>
          <w:sz w:val="24"/>
          <w:szCs w:val="24"/>
          <w:highlight w:val="none"/>
        </w:rPr>
        <w:t>）特定资格条件证书或证明文件</w:t>
      </w:r>
    </w:p>
    <w:p w14:paraId="5014647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w:t>
      </w:r>
      <w:bookmarkStart w:id="390" w:name="_Toc313008356"/>
      <w:bookmarkStart w:id="391" w:name="_Toc313888360"/>
      <w:bookmarkStart w:id="392" w:name="_Toc342913419"/>
      <w:bookmarkStart w:id="393" w:name="_Toc12789073"/>
      <w:bookmarkStart w:id="394" w:name="_Toc283382454"/>
      <w:r>
        <w:rPr>
          <w:rFonts w:hint="eastAsia" w:ascii="宋体" w:hAnsi="宋体" w:eastAsia="宋体" w:cs="宋体"/>
          <w:color w:val="auto"/>
          <w:sz w:val="24"/>
          <w:szCs w:val="24"/>
          <w:highlight w:val="none"/>
        </w:rPr>
        <w:t>其他资料</w:t>
      </w:r>
    </w:p>
    <w:p w14:paraId="7B209E7D">
      <w:pPr>
        <w:rPr>
          <w:rFonts w:hint="eastAsia"/>
          <w:color w:val="auto"/>
          <w:highlight w:val="none"/>
          <w:lang w:val="en-US" w:eastAsia="zh-CN"/>
        </w:rPr>
      </w:pPr>
      <w:r>
        <w:rPr>
          <w:rFonts w:hint="eastAsia"/>
          <w:color w:val="auto"/>
          <w:highlight w:val="none"/>
          <w:lang w:val="en-US" w:eastAsia="zh-CN"/>
        </w:rPr>
        <w:br w:type="page"/>
      </w:r>
    </w:p>
    <w:p w14:paraId="7846CBE8">
      <w:pPr>
        <w:bidi w:val="0"/>
        <w:rPr>
          <w:rFonts w:hint="eastAsia"/>
          <w:color w:val="auto"/>
          <w:highlight w:val="none"/>
          <w:lang w:val="en-US" w:eastAsia="zh-CN"/>
        </w:rPr>
      </w:pPr>
    </w:p>
    <w:p w14:paraId="0B71F1AB">
      <w:pPr>
        <w:bidi w:val="0"/>
        <w:rPr>
          <w:rFonts w:hint="eastAsia"/>
          <w:color w:val="auto"/>
          <w:highlight w:val="none"/>
          <w:lang w:val="en-US" w:eastAsia="zh-CN"/>
        </w:rPr>
      </w:pPr>
      <w:r>
        <w:rPr>
          <w:rFonts w:hint="eastAsia"/>
          <w:color w:val="auto"/>
          <w:highlight w:val="none"/>
          <w:lang w:val="en-US" w:eastAsia="zh-CN"/>
        </w:rPr>
        <w:t>封面格式：</w:t>
      </w:r>
    </w:p>
    <w:p w14:paraId="485EBD2A">
      <w:pPr>
        <w:spacing w:line="1600" w:lineRule="exact"/>
        <w:jc w:val="both"/>
        <w:outlineLvl w:val="0"/>
        <w:rPr>
          <w:rFonts w:hint="eastAsia" w:ascii="宋体" w:hAnsi="宋体" w:cs="宋体"/>
          <w:color w:val="auto"/>
          <w:sz w:val="84"/>
          <w:szCs w:val="84"/>
          <w:highlight w:val="none"/>
          <w:lang w:val="en-US" w:eastAsia="zh-CN"/>
        </w:rPr>
      </w:pPr>
    </w:p>
    <w:p w14:paraId="5AA05DFD">
      <w:pPr>
        <w:spacing w:line="1600" w:lineRule="exact"/>
        <w:jc w:val="center"/>
        <w:outlineLvl w:val="0"/>
        <w:rPr>
          <w:rFonts w:hint="default" w:ascii="宋体" w:hAnsi="宋体" w:eastAsia="宋体" w:cs="宋体"/>
          <w:color w:val="auto"/>
          <w:sz w:val="84"/>
          <w:szCs w:val="84"/>
          <w:highlight w:val="none"/>
          <w:lang w:val="en-US" w:eastAsia="zh-CN"/>
        </w:rPr>
      </w:pPr>
      <w:r>
        <w:rPr>
          <w:rFonts w:hint="eastAsia" w:ascii="宋体" w:hAnsi="宋体" w:cs="宋体"/>
          <w:color w:val="auto"/>
          <w:sz w:val="84"/>
          <w:szCs w:val="84"/>
          <w:highlight w:val="none"/>
          <w:lang w:val="en-US" w:eastAsia="zh-CN"/>
        </w:rPr>
        <w:t>响应文件</w:t>
      </w:r>
    </w:p>
    <w:p w14:paraId="48BC096B">
      <w:pPr>
        <w:pStyle w:val="23"/>
        <w:spacing w:line="500" w:lineRule="exact"/>
        <w:ind w:left="0"/>
        <w:jc w:val="center"/>
        <w:rPr>
          <w:rFonts w:hint="eastAsia" w:ascii="宋体" w:hAnsi="宋体" w:eastAsia="宋体" w:cs="宋体"/>
          <w:color w:val="auto"/>
          <w:sz w:val="32"/>
          <w:highlight w:val="none"/>
        </w:rPr>
      </w:pPr>
    </w:p>
    <w:p w14:paraId="227B1502">
      <w:pPr>
        <w:pStyle w:val="23"/>
        <w:spacing w:line="500" w:lineRule="exact"/>
        <w:ind w:left="0"/>
        <w:jc w:val="center"/>
        <w:rPr>
          <w:rFonts w:hint="eastAsia" w:ascii="宋体" w:hAnsi="宋体" w:eastAsia="宋体" w:cs="宋体"/>
          <w:color w:val="auto"/>
          <w:sz w:val="32"/>
          <w:highlight w:val="none"/>
        </w:rPr>
      </w:pPr>
    </w:p>
    <w:p w14:paraId="231D6D7D">
      <w:pPr>
        <w:pStyle w:val="23"/>
        <w:spacing w:line="500" w:lineRule="exact"/>
        <w:ind w:left="0"/>
        <w:rPr>
          <w:rFonts w:hint="eastAsia" w:ascii="宋体" w:hAnsi="宋体" w:eastAsia="宋体" w:cs="宋体"/>
          <w:color w:val="auto"/>
          <w:sz w:val="32"/>
          <w:highlight w:val="none"/>
        </w:rPr>
      </w:pPr>
    </w:p>
    <w:p w14:paraId="36AD8FE2">
      <w:pPr>
        <w:pStyle w:val="23"/>
        <w:spacing w:line="500" w:lineRule="exact"/>
        <w:ind w:left="0"/>
        <w:jc w:val="center"/>
        <w:rPr>
          <w:rFonts w:hint="eastAsia" w:ascii="宋体" w:hAnsi="宋体" w:eastAsia="宋体" w:cs="宋体"/>
          <w:color w:val="auto"/>
          <w:sz w:val="32"/>
          <w:highlight w:val="none"/>
          <w:lang w:eastAsia="zh-CN"/>
        </w:rPr>
      </w:pPr>
      <w:r>
        <w:rPr>
          <w:rFonts w:hint="eastAsia" w:ascii="宋体" w:hAnsi="宋体" w:cs="宋体"/>
          <w:color w:val="auto"/>
          <w:sz w:val="32"/>
          <w:highlight w:val="none"/>
          <w:lang w:val="en-US" w:eastAsia="zh-CN"/>
        </w:rPr>
        <w:t>项目号：</w:t>
      </w:r>
      <w:r>
        <w:rPr>
          <w:rFonts w:hint="eastAsia" w:ascii="宋体" w:hAnsi="宋体" w:cs="宋体"/>
          <w:color w:val="auto"/>
          <w:sz w:val="32"/>
          <w:highlight w:val="none"/>
          <w:lang w:eastAsia="zh-CN"/>
        </w:rPr>
        <w:t>YCYZX2025023</w:t>
      </w:r>
    </w:p>
    <w:p w14:paraId="5CDE68E1">
      <w:pPr>
        <w:snapToGrid w:val="0"/>
        <w:spacing w:line="360" w:lineRule="auto"/>
        <w:jc w:val="left"/>
        <w:rPr>
          <w:rFonts w:hint="eastAsia" w:ascii="宋体" w:hAnsi="宋体" w:eastAsia="宋体" w:cs="宋体"/>
          <w:color w:val="auto"/>
          <w:sz w:val="28"/>
          <w:szCs w:val="28"/>
          <w:highlight w:val="none"/>
        </w:rPr>
      </w:pPr>
    </w:p>
    <w:p w14:paraId="1201E7CF">
      <w:pPr>
        <w:snapToGrid w:val="0"/>
        <w:spacing w:line="360" w:lineRule="auto"/>
        <w:jc w:val="center"/>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项目名称：</w:t>
      </w:r>
      <w:r>
        <w:rPr>
          <w:rFonts w:hint="eastAsia" w:ascii="宋体" w:hAnsi="宋体" w:cs="宋体"/>
          <w:b w:val="0"/>
          <w:bCs w:val="0"/>
          <w:color w:val="auto"/>
          <w:sz w:val="32"/>
          <w:szCs w:val="32"/>
          <w:highlight w:val="none"/>
          <w:lang w:eastAsia="zh-CN"/>
        </w:rPr>
        <w:t>中央花园ABCD区28台电梯改造工程</w:t>
      </w:r>
    </w:p>
    <w:p w14:paraId="439172DC">
      <w:pPr>
        <w:jc w:val="left"/>
        <w:rPr>
          <w:rFonts w:hint="eastAsia" w:ascii="宋体" w:hAnsi="宋体" w:eastAsia="宋体" w:cs="宋体"/>
          <w:color w:val="auto"/>
          <w:sz w:val="30"/>
          <w:szCs w:val="30"/>
          <w:highlight w:val="none"/>
        </w:rPr>
      </w:pPr>
    </w:p>
    <w:p w14:paraId="07E4148A">
      <w:pPr>
        <w:pStyle w:val="23"/>
        <w:spacing w:line="360" w:lineRule="auto"/>
        <w:ind w:left="0" w:firstLine="1200" w:firstLineChars="400"/>
        <w:jc w:val="left"/>
        <w:rPr>
          <w:rFonts w:hint="eastAsia" w:ascii="宋体" w:hAnsi="宋体" w:eastAsia="宋体" w:cs="宋体"/>
          <w:color w:val="auto"/>
          <w:sz w:val="30"/>
          <w:szCs w:val="30"/>
          <w:highlight w:val="none"/>
        </w:rPr>
      </w:pPr>
    </w:p>
    <w:p w14:paraId="56B25F0D">
      <w:pPr>
        <w:pStyle w:val="23"/>
        <w:spacing w:line="360" w:lineRule="auto"/>
        <w:ind w:left="0" w:firstLine="1200" w:firstLineChars="400"/>
        <w:jc w:val="left"/>
        <w:rPr>
          <w:rFonts w:hint="eastAsia" w:ascii="宋体" w:hAnsi="宋体" w:eastAsia="宋体" w:cs="宋体"/>
          <w:color w:val="auto"/>
          <w:sz w:val="30"/>
          <w:szCs w:val="30"/>
          <w:highlight w:val="none"/>
        </w:rPr>
      </w:pPr>
    </w:p>
    <w:p w14:paraId="1EA93D7F">
      <w:pPr>
        <w:pStyle w:val="23"/>
        <w:spacing w:line="360" w:lineRule="auto"/>
        <w:ind w:left="0" w:firstLine="1200" w:firstLineChars="400"/>
        <w:jc w:val="left"/>
        <w:rPr>
          <w:rFonts w:hint="default" w:ascii="宋体" w:hAnsi="宋体" w:eastAsia="宋体" w:cs="宋体"/>
          <w:color w:val="auto"/>
          <w:sz w:val="30"/>
          <w:szCs w:val="30"/>
          <w:highlight w:val="none"/>
          <w:u w:val="single"/>
          <w:lang w:val="en-US"/>
        </w:rPr>
      </w:pPr>
      <w:r>
        <w:rPr>
          <w:rFonts w:hint="eastAsia" w:ascii="宋体" w:hAnsi="宋体" w:eastAsia="宋体" w:cs="宋体"/>
          <w:color w:val="auto"/>
          <w:sz w:val="30"/>
          <w:szCs w:val="30"/>
          <w:highlight w:val="none"/>
          <w:lang w:eastAsia="zh-CN"/>
        </w:rPr>
        <w:t>供应商（公章）：</w:t>
      </w:r>
      <w:r>
        <w:rPr>
          <w:rFonts w:hint="eastAsia" w:ascii="宋体" w:hAnsi="宋体" w:eastAsia="宋体" w:cs="宋体"/>
          <w:color w:val="auto"/>
          <w:sz w:val="30"/>
          <w:szCs w:val="30"/>
          <w:highlight w:val="none"/>
          <w:u w:val="single"/>
          <w:lang w:val="en-US" w:eastAsia="zh-CN"/>
        </w:rPr>
        <w:t xml:space="preserve">             </w:t>
      </w:r>
    </w:p>
    <w:p w14:paraId="2DD653CD">
      <w:pPr>
        <w:snapToGrid w:val="0"/>
        <w:spacing w:line="480" w:lineRule="exact"/>
        <w:ind w:firstLine="240" w:firstLineChars="100"/>
        <w:jc w:val="center"/>
        <w:rPr>
          <w:rFonts w:hint="eastAsia" w:ascii="宋体" w:hAnsi="宋体" w:eastAsia="宋体" w:cs="宋体"/>
          <w:color w:val="auto"/>
          <w:sz w:val="24"/>
          <w:szCs w:val="24"/>
          <w:highlight w:val="none"/>
          <w:u w:val="single"/>
        </w:rPr>
        <w:sectPr>
          <w:headerReference r:id="rId10" w:type="default"/>
          <w:footerReference r:id="rId11" w:type="default"/>
          <w:pgSz w:w="11907" w:h="16840"/>
          <w:pgMar w:top="1134" w:right="1191" w:bottom="1134" w:left="1304" w:header="851" w:footer="992" w:gutter="0"/>
          <w:pgNumType w:fmt="decimal"/>
          <w:cols w:space="720" w:num="1"/>
          <w:docGrid w:linePitch="380" w:charSpace="-5735"/>
        </w:sectPr>
      </w:pPr>
    </w:p>
    <w:p w14:paraId="026E304D">
      <w:pPr>
        <w:pStyle w:val="4"/>
        <w:bidi w:val="0"/>
        <w:rPr>
          <w:rFonts w:hint="eastAsia" w:ascii="宋体" w:hAnsi="宋体" w:eastAsia="宋体" w:cs="宋体"/>
          <w:b/>
          <w:bCs/>
          <w:color w:val="auto"/>
          <w:kern w:val="2"/>
          <w:sz w:val="24"/>
          <w:szCs w:val="24"/>
          <w:highlight w:val="none"/>
          <w:lang w:val="en-US" w:eastAsia="zh-CN" w:bidi="ar-SA"/>
        </w:rPr>
      </w:pPr>
      <w:bookmarkStart w:id="395" w:name="_Toc8574"/>
      <w:r>
        <w:rPr>
          <w:rFonts w:hint="eastAsia" w:ascii="宋体" w:hAnsi="宋体" w:eastAsia="宋体" w:cs="宋体"/>
          <w:b/>
          <w:bCs/>
          <w:color w:val="auto"/>
          <w:kern w:val="2"/>
          <w:sz w:val="24"/>
          <w:szCs w:val="24"/>
          <w:highlight w:val="none"/>
          <w:lang w:val="en-US" w:eastAsia="zh-CN" w:bidi="ar-SA"/>
        </w:rPr>
        <w:t>一、经济部分</w:t>
      </w:r>
      <w:bookmarkEnd w:id="390"/>
      <w:bookmarkEnd w:id="391"/>
      <w:bookmarkEnd w:id="392"/>
      <w:bookmarkEnd w:id="395"/>
    </w:p>
    <w:bookmarkEnd w:id="393"/>
    <w:bookmarkEnd w:id="394"/>
    <w:p w14:paraId="40D72D96">
      <w:pPr>
        <w:snapToGrid w:val="0"/>
        <w:spacing w:line="480" w:lineRule="exact"/>
        <w:ind w:firstLine="240" w:firstLineChars="1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（一）报价函</w:t>
      </w:r>
    </w:p>
    <w:p w14:paraId="7C171DAC">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____________________________（采购代理机构名称）：</w:t>
      </w:r>
    </w:p>
    <w:p w14:paraId="79094A37">
      <w:pPr>
        <w:snapToGrid w:val="0"/>
        <w:spacing w:line="480" w:lineRule="exact"/>
        <w:ind w:firstLine="240" w:firstLineChars="1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我方收到____________________________（项目名称）的</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文件，经详细研究，决定以人民币大写：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小写</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rPr>
        <w:t>（其中</w:t>
      </w:r>
      <w:r>
        <w:rPr>
          <w:rFonts w:hint="eastAsia" w:ascii="宋体" w:hAnsi="宋体" w:cs="宋体"/>
          <w:color w:val="auto"/>
          <w:sz w:val="24"/>
          <w:szCs w:val="24"/>
          <w:highlight w:val="none"/>
          <w:u w:val="single"/>
        </w:rPr>
        <w:t xml:space="preserve">安全文明施工费：       </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做为我方的</w:t>
      </w:r>
      <w:r>
        <w:rPr>
          <w:rFonts w:hint="eastAsia" w:ascii="宋体" w:hAnsi="宋体" w:cs="宋体"/>
          <w:color w:val="auto"/>
          <w:sz w:val="24"/>
          <w:szCs w:val="24"/>
          <w:highlight w:val="none"/>
          <w:lang w:val="en-US" w:eastAsia="zh-CN"/>
        </w:rPr>
        <w:t>竞选总报</w:t>
      </w:r>
      <w:r>
        <w:rPr>
          <w:rFonts w:hint="eastAsia" w:ascii="宋体" w:hAnsi="宋体" w:eastAsia="宋体" w:cs="宋体"/>
          <w:color w:val="auto"/>
          <w:sz w:val="24"/>
          <w:szCs w:val="24"/>
          <w:highlight w:val="none"/>
        </w:rPr>
        <w:t>价</w:t>
      </w:r>
      <w:r>
        <w:rPr>
          <w:rFonts w:hint="eastAsia" w:ascii="宋体" w:hAnsi="宋体" w:eastAsia="宋体" w:cs="宋体"/>
          <w:color w:val="auto"/>
          <w:sz w:val="24"/>
          <w:szCs w:val="24"/>
          <w:highlight w:val="none"/>
          <w:lang w:eastAsia="zh-CN"/>
        </w:rPr>
        <w:t>。</w:t>
      </w:r>
    </w:p>
    <w:p w14:paraId="554B53A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1.愿意按照</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文件中的一切要求，提供本项目采购内容及相关服务。</w:t>
      </w:r>
    </w:p>
    <w:p w14:paraId="2EFBD4F2">
      <w:pPr>
        <w:snapToGrid w:val="0"/>
        <w:spacing w:line="480" w:lineRule="exact"/>
        <w:ind w:left="478" w:leftChars="85" w:hanging="240" w:hanging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2.我方现提交的响应文件为：</w:t>
      </w:r>
      <w:r>
        <w:rPr>
          <w:rFonts w:hint="eastAsia" w:ascii="宋体" w:hAnsi="宋体" w:cs="宋体"/>
          <w:color w:val="auto"/>
          <w:sz w:val="24"/>
          <w:szCs w:val="24"/>
          <w:highlight w:val="none"/>
          <w:lang w:val="en-US" w:eastAsia="zh-CN"/>
        </w:rPr>
        <w:t>平</w:t>
      </w:r>
      <w:r>
        <w:rPr>
          <w:rFonts w:hint="eastAsia" w:ascii="宋体" w:hAnsi="宋体" w:eastAsia="宋体" w:cs="宋体"/>
          <w:color w:val="auto"/>
          <w:sz w:val="24"/>
          <w:szCs w:val="24"/>
          <w:highlight w:val="none"/>
        </w:rPr>
        <w:t>台电子响应文件</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纸质</w:t>
      </w:r>
      <w:r>
        <w:rPr>
          <w:rFonts w:hint="eastAsia" w:ascii="宋体" w:hAnsi="宋体" w:eastAsia="宋体" w:cs="宋体"/>
          <w:color w:val="auto"/>
          <w:sz w:val="24"/>
          <w:szCs w:val="24"/>
          <w:highlight w:val="none"/>
        </w:rPr>
        <w:t>响应文件正本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份，副本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w:t>
      </w:r>
    </w:p>
    <w:p w14:paraId="656C576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3.我方承诺：本次</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的有效期为90天。</w:t>
      </w:r>
    </w:p>
    <w:p w14:paraId="4830B2F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4.我方完全理解和接受贵方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文件的一切规定和要求及评审办法。</w:t>
      </w:r>
    </w:p>
    <w:p w14:paraId="23A977CE">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5.在整个</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过程中，我方若有违规行为，接受按照《中华人民共和国政府采购法》和《</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文件》之规定给予惩罚</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竞选保证金不予退还</w:t>
      </w:r>
      <w:r>
        <w:rPr>
          <w:rFonts w:hint="eastAsia" w:ascii="宋体" w:hAnsi="宋体" w:eastAsia="宋体" w:cs="宋体"/>
          <w:color w:val="auto"/>
          <w:sz w:val="24"/>
          <w:szCs w:val="24"/>
          <w:highlight w:val="none"/>
        </w:rPr>
        <w:t>。</w:t>
      </w:r>
    </w:p>
    <w:p w14:paraId="0A694E6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6.我方若成为成交供应商，将按照最终</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结果签订合同，并且严格履行合同义务。本承诺函将成为合同不可分割的一部分，与合同具有同等的法律效力。</w:t>
      </w:r>
    </w:p>
    <w:p w14:paraId="6C761F5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7.我方同意按</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文件规定。如果我方成为成交供应商，保证在接到成交通知书前，向采购代理机构缴纳</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文件规定的采购代理服务费。</w:t>
      </w:r>
    </w:p>
    <w:p w14:paraId="5B9EB384">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8.我方未为采购项目提供整体设计、规范编制或者项目管理、监理、检测等服务。</w:t>
      </w:r>
    </w:p>
    <w:p w14:paraId="3485F241">
      <w:pPr>
        <w:snapToGrid w:val="0"/>
        <w:spacing w:line="480" w:lineRule="exact"/>
        <w:ind w:firstLine="240" w:firstLineChars="100"/>
        <w:rPr>
          <w:rFonts w:hint="eastAsia" w:ascii="宋体" w:hAnsi="宋体" w:eastAsia="宋体" w:cs="宋体"/>
          <w:color w:val="auto"/>
          <w:sz w:val="24"/>
          <w:szCs w:val="24"/>
          <w:highlight w:val="none"/>
        </w:rPr>
      </w:pPr>
    </w:p>
    <w:p w14:paraId="43FA9E3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w:t>
      </w:r>
      <w:r>
        <w:rPr>
          <w:rFonts w:hint="eastAsia" w:ascii="宋体" w:hAnsi="宋体" w:eastAsia="宋体" w:cs="宋体"/>
          <w:color w:val="auto"/>
          <w:sz w:val="24"/>
          <w:szCs w:val="24"/>
          <w:highlight w:val="none"/>
          <w:u w:val="single"/>
        </w:rPr>
        <w:t xml:space="preserve">                 </w:t>
      </w:r>
    </w:p>
    <w:p w14:paraId="62C3B875">
      <w:pPr>
        <w:snapToGrid w:val="0"/>
        <w:spacing w:line="480" w:lineRule="exact"/>
        <w:ind w:firstLine="240" w:firstLineChars="1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p>
    <w:p w14:paraId="2E41872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u w:val="single"/>
        </w:rPr>
        <w:t xml:space="preserve">               </w:t>
      </w:r>
    </w:p>
    <w:p w14:paraId="6F485C3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14:paraId="00EBC4A8">
      <w:pPr>
        <w:snapToGrid w:val="0"/>
        <w:spacing w:line="480" w:lineRule="exact"/>
        <w:ind w:firstLine="240" w:firstLineChars="100"/>
        <w:rPr>
          <w:rFonts w:hint="eastAsia" w:ascii="宋体" w:hAnsi="宋体" w:eastAsia="宋体" w:cs="宋体"/>
          <w:color w:val="auto"/>
          <w:sz w:val="24"/>
          <w:szCs w:val="24"/>
          <w:highlight w:val="none"/>
        </w:rPr>
      </w:pPr>
    </w:p>
    <w:p w14:paraId="000A1338">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162000C6">
      <w:pPr>
        <w:numPr>
          <w:ilvl w:val="0"/>
          <w:numId w:val="0"/>
        </w:numPr>
        <w:snapToGrid w:val="0"/>
        <w:spacing w:line="480" w:lineRule="exact"/>
        <w:ind w:leftChars="20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（二）已标价工程量清单</w:t>
      </w:r>
    </w:p>
    <w:p w14:paraId="7710E947">
      <w:pPr>
        <w:snapToGrid w:val="0"/>
        <w:spacing w:line="480" w:lineRule="exact"/>
        <w:ind w:firstLine="240" w:firstLineChars="100"/>
        <w:rPr>
          <w:rFonts w:hint="eastAsia" w:ascii="宋体" w:hAnsi="宋体" w:eastAsia="宋体" w:cs="宋体"/>
          <w:color w:val="auto"/>
          <w:sz w:val="24"/>
          <w:szCs w:val="24"/>
          <w:highlight w:val="none"/>
        </w:rPr>
      </w:pPr>
    </w:p>
    <w:p w14:paraId="6F762E49">
      <w:pPr>
        <w:numPr>
          <w:ilvl w:val="0"/>
          <w:numId w:val="0"/>
        </w:numPr>
        <w:snapToGrid w:val="0"/>
        <w:spacing w:line="480" w:lineRule="exact"/>
        <w:rPr>
          <w:rFonts w:hint="default" w:ascii="宋体" w:hAnsi="宋体" w:cs="宋体"/>
          <w:i/>
          <w:iCs/>
          <w:color w:val="auto"/>
          <w:kern w:val="0"/>
          <w:sz w:val="24"/>
          <w:szCs w:val="24"/>
          <w:highlight w:val="none"/>
          <w:u w:val="none"/>
          <w:lang w:val="en-US" w:eastAsia="zh-CN" w:bidi="ar"/>
        </w:rPr>
      </w:pPr>
      <w:bookmarkStart w:id="396" w:name="_Toc31257"/>
      <w:bookmarkStart w:id="397" w:name="_Toc11802"/>
      <w:bookmarkStart w:id="398" w:name="_Toc313008357"/>
      <w:bookmarkStart w:id="399" w:name="_Toc342913420"/>
      <w:bookmarkStart w:id="400" w:name="_Toc313888361"/>
      <w:r>
        <w:rPr>
          <w:rFonts w:hint="default" w:ascii="宋体" w:hAnsi="宋体" w:cs="宋体"/>
          <w:i/>
          <w:iCs/>
          <w:color w:val="auto"/>
          <w:kern w:val="0"/>
          <w:sz w:val="24"/>
          <w:szCs w:val="24"/>
          <w:highlight w:val="none"/>
          <w:u w:val="none"/>
          <w:lang w:val="en-US" w:eastAsia="zh-CN" w:bidi="ar"/>
        </w:rPr>
        <w:t>注1：根据提供的工程量清单报价，可不提供单价分析表；</w:t>
      </w:r>
    </w:p>
    <w:p w14:paraId="14AA9E23">
      <w:pPr>
        <w:numPr>
          <w:ilvl w:val="0"/>
          <w:numId w:val="0"/>
        </w:numPr>
        <w:snapToGrid w:val="0"/>
        <w:spacing w:line="480" w:lineRule="exact"/>
        <w:rPr>
          <w:rFonts w:hint="default" w:ascii="宋体" w:hAnsi="宋体" w:cs="宋体"/>
          <w:i/>
          <w:iCs/>
          <w:color w:val="auto"/>
          <w:kern w:val="0"/>
          <w:sz w:val="24"/>
          <w:szCs w:val="24"/>
          <w:highlight w:val="none"/>
          <w:u w:val="none"/>
          <w:lang w:val="en-US" w:eastAsia="zh-CN" w:bidi="ar"/>
        </w:rPr>
      </w:pPr>
      <w:r>
        <w:rPr>
          <w:rFonts w:hint="default" w:ascii="宋体" w:hAnsi="宋体" w:cs="宋体"/>
          <w:i/>
          <w:iCs/>
          <w:color w:val="auto"/>
          <w:kern w:val="0"/>
          <w:sz w:val="24"/>
          <w:szCs w:val="24"/>
          <w:highlight w:val="none"/>
          <w:u w:val="none"/>
          <w:lang w:val="en-US" w:eastAsia="zh-CN" w:bidi="ar"/>
        </w:rPr>
        <w:t>注2：如挂网工程量清单名称与竞争性</w:t>
      </w:r>
      <w:r>
        <w:rPr>
          <w:rFonts w:hint="eastAsia" w:ascii="宋体" w:hAnsi="宋体" w:cs="宋体"/>
          <w:i/>
          <w:iCs/>
          <w:color w:val="auto"/>
          <w:kern w:val="0"/>
          <w:sz w:val="24"/>
          <w:szCs w:val="24"/>
          <w:highlight w:val="none"/>
          <w:u w:val="none"/>
          <w:lang w:val="en-US" w:eastAsia="zh-CN" w:bidi="ar"/>
        </w:rPr>
        <w:t>比选</w:t>
      </w:r>
      <w:r>
        <w:rPr>
          <w:rFonts w:hint="default" w:ascii="宋体" w:hAnsi="宋体" w:cs="宋体"/>
          <w:i/>
          <w:iCs/>
          <w:color w:val="auto"/>
          <w:kern w:val="0"/>
          <w:sz w:val="24"/>
          <w:szCs w:val="24"/>
          <w:highlight w:val="none"/>
          <w:u w:val="none"/>
          <w:lang w:val="en-US" w:eastAsia="zh-CN" w:bidi="ar"/>
        </w:rPr>
        <w:t>文件所示项目名称不一致，以竞争性</w:t>
      </w:r>
      <w:r>
        <w:rPr>
          <w:rFonts w:hint="eastAsia" w:ascii="宋体" w:hAnsi="宋体" w:cs="宋体"/>
          <w:i/>
          <w:iCs/>
          <w:color w:val="auto"/>
          <w:kern w:val="0"/>
          <w:sz w:val="24"/>
          <w:szCs w:val="24"/>
          <w:highlight w:val="none"/>
          <w:u w:val="none"/>
          <w:lang w:val="en-US" w:eastAsia="zh-CN" w:bidi="ar"/>
        </w:rPr>
        <w:t>比选</w:t>
      </w:r>
      <w:r>
        <w:rPr>
          <w:rFonts w:hint="default" w:ascii="宋体" w:hAnsi="宋体" w:cs="宋体"/>
          <w:i/>
          <w:iCs/>
          <w:color w:val="auto"/>
          <w:kern w:val="0"/>
          <w:sz w:val="24"/>
          <w:szCs w:val="24"/>
          <w:highlight w:val="none"/>
          <w:u w:val="none"/>
          <w:lang w:val="en-US" w:eastAsia="zh-CN" w:bidi="ar"/>
        </w:rPr>
        <w:t>文件所示项目名称为准。</w:t>
      </w:r>
    </w:p>
    <w:p w14:paraId="2107A55D">
      <w:pPr>
        <w:numPr>
          <w:ilvl w:val="0"/>
          <w:numId w:val="0"/>
        </w:numPr>
        <w:snapToGrid w:val="0"/>
        <w:spacing w:line="480" w:lineRule="exact"/>
        <w:rPr>
          <w:rFonts w:hint="eastAsia" w:ascii="宋体" w:hAnsi="宋体" w:cs="宋体"/>
          <w:i/>
          <w:iCs/>
          <w:color w:val="auto"/>
          <w:kern w:val="0"/>
          <w:sz w:val="24"/>
          <w:szCs w:val="24"/>
          <w:highlight w:val="none"/>
          <w:u w:val="none"/>
          <w:lang w:val="en-US" w:eastAsia="zh-CN" w:bidi="ar"/>
        </w:rPr>
      </w:pPr>
      <w:r>
        <w:rPr>
          <w:rFonts w:hint="default" w:ascii="宋体" w:hAnsi="宋体" w:cs="宋体"/>
          <w:i/>
          <w:iCs/>
          <w:color w:val="auto"/>
          <w:kern w:val="0"/>
          <w:sz w:val="24"/>
          <w:szCs w:val="24"/>
          <w:highlight w:val="none"/>
          <w:u w:val="none"/>
          <w:lang w:val="en-US" w:eastAsia="zh-CN" w:bidi="ar"/>
        </w:rPr>
        <w:t>注</w:t>
      </w:r>
      <w:r>
        <w:rPr>
          <w:rFonts w:hint="eastAsia" w:ascii="宋体" w:hAnsi="宋体" w:cs="宋体"/>
          <w:i/>
          <w:iCs/>
          <w:color w:val="auto"/>
          <w:kern w:val="0"/>
          <w:sz w:val="24"/>
          <w:szCs w:val="24"/>
          <w:highlight w:val="none"/>
          <w:u w:val="none"/>
          <w:lang w:val="en-US" w:eastAsia="zh-CN" w:bidi="ar"/>
        </w:rPr>
        <w:t>3</w:t>
      </w:r>
      <w:r>
        <w:rPr>
          <w:rFonts w:hint="default" w:ascii="宋体" w:hAnsi="宋体" w:cs="宋体"/>
          <w:i/>
          <w:iCs/>
          <w:color w:val="auto"/>
          <w:kern w:val="0"/>
          <w:sz w:val="24"/>
          <w:szCs w:val="24"/>
          <w:highlight w:val="none"/>
          <w:u w:val="none"/>
          <w:lang w:val="en-US" w:eastAsia="zh-CN" w:bidi="ar"/>
        </w:rPr>
        <w:t>：已标价工程量清单</w:t>
      </w:r>
      <w:r>
        <w:rPr>
          <w:rFonts w:hint="eastAsia" w:ascii="宋体" w:hAnsi="宋体" w:cs="宋体"/>
          <w:i/>
          <w:iCs/>
          <w:color w:val="auto"/>
          <w:kern w:val="0"/>
          <w:sz w:val="24"/>
          <w:szCs w:val="24"/>
          <w:highlight w:val="none"/>
          <w:u w:val="none"/>
          <w:lang w:val="en-US" w:eastAsia="zh-CN" w:bidi="ar"/>
        </w:rPr>
        <w:t>逐页加盖供应商公章。</w:t>
      </w:r>
    </w:p>
    <w:p w14:paraId="5046016C">
      <w:pPr>
        <w:numPr>
          <w:ilvl w:val="0"/>
          <w:numId w:val="0"/>
        </w:numPr>
        <w:snapToGrid w:val="0"/>
        <w:spacing w:line="480" w:lineRule="exact"/>
        <w:rPr>
          <w:rFonts w:hint="default" w:ascii="宋体" w:hAnsi="宋体" w:cs="宋体"/>
          <w:i/>
          <w:iCs/>
          <w:color w:val="auto"/>
          <w:kern w:val="0"/>
          <w:sz w:val="24"/>
          <w:szCs w:val="24"/>
          <w:highlight w:val="none"/>
          <w:u w:val="none"/>
          <w:lang w:val="en-US" w:eastAsia="zh-CN" w:bidi="ar"/>
        </w:rPr>
      </w:pPr>
    </w:p>
    <w:p w14:paraId="327E6F38">
      <w:pPr>
        <w:rPr>
          <w:rFonts w:hint="eastAsia" w:ascii="宋体" w:hAnsi="宋体" w:eastAsia="宋体" w:cs="宋体"/>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br w:type="page"/>
      </w:r>
    </w:p>
    <w:p w14:paraId="1ED7320D">
      <w:pPr>
        <w:rPr>
          <w:rFonts w:hint="eastAsia" w:ascii="宋体" w:hAnsi="宋体" w:eastAsia="宋体" w:cs="宋体"/>
          <w:color w:val="auto"/>
          <w:sz w:val="24"/>
          <w:szCs w:val="24"/>
          <w:highlight w:val="none"/>
        </w:rPr>
      </w:pPr>
    </w:p>
    <w:p w14:paraId="0463A04C">
      <w:pPr>
        <w:pStyle w:val="4"/>
        <w:bidi w:val="0"/>
        <w:rPr>
          <w:rFonts w:hint="eastAsia" w:ascii="宋体" w:hAnsi="宋体" w:eastAsia="宋体" w:cs="宋体"/>
          <w:b/>
          <w:bCs/>
          <w:color w:val="auto"/>
          <w:kern w:val="2"/>
          <w:sz w:val="24"/>
          <w:szCs w:val="24"/>
          <w:highlight w:val="none"/>
          <w:lang w:val="en-US" w:eastAsia="zh-CN" w:bidi="ar-SA"/>
        </w:rPr>
      </w:pPr>
      <w:bookmarkStart w:id="401" w:name="_Toc12518"/>
      <w:r>
        <w:rPr>
          <w:rFonts w:hint="eastAsia" w:ascii="宋体" w:hAnsi="宋体" w:eastAsia="宋体" w:cs="宋体"/>
          <w:b/>
          <w:bCs/>
          <w:color w:val="auto"/>
          <w:kern w:val="2"/>
          <w:sz w:val="24"/>
          <w:szCs w:val="24"/>
          <w:highlight w:val="none"/>
          <w:lang w:val="en-US" w:eastAsia="zh-CN" w:bidi="ar-SA"/>
        </w:rPr>
        <w:t>二、</w:t>
      </w:r>
      <w:bookmarkEnd w:id="396"/>
      <w:bookmarkEnd w:id="397"/>
      <w:bookmarkEnd w:id="398"/>
      <w:bookmarkEnd w:id="399"/>
      <w:bookmarkEnd w:id="400"/>
      <w:bookmarkStart w:id="402" w:name="_Toc12788"/>
      <w:bookmarkStart w:id="403" w:name="_Toc31255"/>
      <w:bookmarkStart w:id="404" w:name="_Toc29582"/>
      <w:bookmarkStart w:id="405" w:name="_Toc22313"/>
      <w:bookmarkStart w:id="406" w:name="_Toc28779"/>
      <w:bookmarkStart w:id="407" w:name="_Toc32746"/>
      <w:bookmarkStart w:id="408" w:name="_Toc29565"/>
      <w:bookmarkStart w:id="409" w:name="_Toc4111"/>
      <w:bookmarkStart w:id="410" w:name="_Toc18490"/>
      <w:bookmarkStart w:id="411" w:name="_Toc19994"/>
      <w:bookmarkStart w:id="412" w:name="_Toc7071"/>
      <w:bookmarkStart w:id="413" w:name="_Toc25411"/>
      <w:bookmarkStart w:id="414" w:name="_Toc25494"/>
      <w:bookmarkStart w:id="415" w:name="_Toc11754"/>
      <w:bookmarkStart w:id="416" w:name="_Toc16376"/>
      <w:bookmarkStart w:id="417" w:name="_Toc26593"/>
      <w:bookmarkStart w:id="418" w:name="_Toc76462351"/>
      <w:bookmarkStart w:id="419" w:name="_Toc23625"/>
      <w:r>
        <w:rPr>
          <w:rFonts w:hint="eastAsia" w:ascii="宋体" w:hAnsi="宋体" w:eastAsia="宋体" w:cs="宋体"/>
          <w:b/>
          <w:bCs/>
          <w:color w:val="auto"/>
          <w:kern w:val="2"/>
          <w:sz w:val="24"/>
          <w:szCs w:val="24"/>
          <w:highlight w:val="none"/>
          <w:lang w:val="en-US" w:eastAsia="zh-CN" w:bidi="ar-SA"/>
        </w:rPr>
        <w:t>服务部分</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p>
    <w:p w14:paraId="114F265C">
      <w:pPr>
        <w:tabs>
          <w:tab w:val="left" w:pos="6300"/>
        </w:tabs>
        <w:snapToGrid w:val="0"/>
        <w:spacing w:line="400" w:lineRule="exact"/>
        <w:ind w:firstLine="480" w:firstLineChars="200"/>
        <w:rPr>
          <w:rFonts w:hint="eastAsia" w:ascii="宋体" w:hAnsi="宋体" w:eastAsia="宋体" w:cs="宋体"/>
          <w:color w:val="auto"/>
          <w:szCs w:val="24"/>
          <w:highlight w:val="none"/>
        </w:rPr>
      </w:pPr>
      <w:r>
        <w:rPr>
          <w:rFonts w:hint="eastAsia" w:ascii="宋体" w:hAnsi="宋体" w:eastAsia="宋体" w:cs="宋体"/>
          <w:color w:val="auto"/>
          <w:sz w:val="24"/>
          <w:szCs w:val="24"/>
          <w:highlight w:val="none"/>
        </w:rPr>
        <w:t>（一）服务响应偏离表</w:t>
      </w:r>
    </w:p>
    <w:p w14:paraId="384264A8">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项目号：                                </w:t>
      </w:r>
    </w:p>
    <w:p w14:paraId="5F4D529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7"/>
        <w:gridCol w:w="3081"/>
        <w:gridCol w:w="2309"/>
      </w:tblGrid>
      <w:tr w14:paraId="55622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271" w:type="dxa"/>
            <w:noWrap w:val="0"/>
            <w:vAlign w:val="center"/>
          </w:tcPr>
          <w:p w14:paraId="439F249E">
            <w:pPr>
              <w:tabs>
                <w:tab w:val="left" w:pos="6300"/>
              </w:tabs>
              <w:snapToGrid w:val="0"/>
              <w:spacing w:line="500" w:lineRule="exact"/>
              <w:jc w:val="center"/>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967" w:type="dxa"/>
            <w:noWrap w:val="0"/>
            <w:vAlign w:val="center"/>
          </w:tcPr>
          <w:p w14:paraId="17E4ED52">
            <w:pPr>
              <w:tabs>
                <w:tab w:val="left" w:pos="6300"/>
              </w:tabs>
              <w:snapToGrid w:val="0"/>
              <w:spacing w:line="500" w:lineRule="exact"/>
              <w:jc w:val="center"/>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项目服务需求</w:t>
            </w:r>
          </w:p>
        </w:tc>
        <w:tc>
          <w:tcPr>
            <w:tcW w:w="3081" w:type="dxa"/>
            <w:noWrap w:val="0"/>
            <w:vAlign w:val="center"/>
          </w:tcPr>
          <w:p w14:paraId="25E742FD">
            <w:pPr>
              <w:tabs>
                <w:tab w:val="left" w:pos="6300"/>
              </w:tabs>
              <w:snapToGrid w:val="0"/>
              <w:spacing w:line="500" w:lineRule="exact"/>
              <w:jc w:val="center"/>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响应情况</w:t>
            </w:r>
          </w:p>
        </w:tc>
        <w:tc>
          <w:tcPr>
            <w:tcW w:w="2309" w:type="dxa"/>
            <w:noWrap w:val="0"/>
            <w:vAlign w:val="center"/>
          </w:tcPr>
          <w:p w14:paraId="69B0EE0C">
            <w:pPr>
              <w:tabs>
                <w:tab w:val="left" w:pos="6300"/>
              </w:tabs>
              <w:snapToGrid w:val="0"/>
              <w:spacing w:line="500" w:lineRule="exact"/>
              <w:jc w:val="center"/>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差异说明</w:t>
            </w:r>
          </w:p>
        </w:tc>
      </w:tr>
      <w:tr w14:paraId="22DDC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2C0DE454">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27C21E0C">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77516E8C">
            <w:pPr>
              <w:tabs>
                <w:tab w:val="left" w:pos="6300"/>
              </w:tabs>
              <w:snapToGrid w:val="0"/>
              <w:spacing w:line="500" w:lineRule="exact"/>
              <w:jc w:val="center"/>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提醒：请注明具体内容以及响应文件中具体内容的位置（页码）</w:t>
            </w:r>
          </w:p>
        </w:tc>
        <w:tc>
          <w:tcPr>
            <w:tcW w:w="2309" w:type="dxa"/>
            <w:noWrap w:val="0"/>
            <w:vAlign w:val="center"/>
          </w:tcPr>
          <w:p w14:paraId="6F842F5E">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4F9E5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4EADB843">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12BA6366">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7021246C">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5E741550">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59B81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34FD2C03">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23AD740C">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51A46009">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64E7C726">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3CFA7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409A0640">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6FDBDA37">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651CAF7B">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0832C92D">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15ED7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0B42AAC0">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51F32719">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712259C0">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0AEE0145">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4D886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4E6832A9">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534A6C38">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58615E7D">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5D45DF06">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00328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79C7E954">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7D752497">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45B24466">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3CFBBC07">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0210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7A601F8B">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652239E4">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75C579ED">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681201A6">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4EB6E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00EBB40C">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70B6A399">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178F9CFB">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0366FC8E">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6F662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39DA4F6C">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0BCEFDE1">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7B0D7D3E">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3D61BE68">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bl>
    <w:p w14:paraId="0C1171AE">
      <w:pPr>
        <w:tabs>
          <w:tab w:val="left" w:pos="6300"/>
        </w:tabs>
        <w:snapToGrid w:val="0"/>
        <w:spacing w:line="500" w:lineRule="exact"/>
        <w:ind w:firstLine="480" w:firstLineChars="200"/>
        <w:rPr>
          <w:rFonts w:hint="eastAsia" w:ascii="宋体" w:hAnsi="宋体" w:eastAsia="宋体" w:cs="宋体"/>
          <w:color w:val="auto"/>
          <w:sz w:val="24"/>
          <w:highlight w:val="none"/>
        </w:rPr>
      </w:pPr>
    </w:p>
    <w:p w14:paraId="25FF2540">
      <w:pPr>
        <w:tabs>
          <w:tab w:val="left" w:pos="6300"/>
        </w:tabs>
        <w:snapToGrid w:val="0"/>
        <w:spacing w:line="500" w:lineRule="exact"/>
        <w:ind w:firstLine="480" w:firstLineChars="200"/>
        <w:rPr>
          <w:rFonts w:hint="eastAsia" w:ascii="宋体" w:hAnsi="宋体" w:eastAsia="宋体" w:cs="宋体"/>
          <w:color w:val="auto"/>
          <w:sz w:val="24"/>
          <w:highlight w:val="none"/>
        </w:rPr>
      </w:pPr>
    </w:p>
    <w:p w14:paraId="1D003BBA">
      <w:pPr>
        <w:tabs>
          <w:tab w:val="left" w:pos="6300"/>
        </w:tabs>
        <w:snapToGrid w:val="0"/>
        <w:spacing w:line="500" w:lineRule="exact"/>
        <w:rPr>
          <w:rFonts w:hint="eastAsia" w:ascii="宋体" w:hAnsi="宋体" w:eastAsia="宋体" w:cs="宋体"/>
          <w:color w:val="auto"/>
          <w:sz w:val="24"/>
          <w:highlight w:val="none"/>
        </w:rPr>
      </w:pPr>
    </w:p>
    <w:p w14:paraId="11DDF062">
      <w:pPr>
        <w:tabs>
          <w:tab w:val="left" w:pos="6300"/>
        </w:tabs>
        <w:snapToGrid w:val="0"/>
        <w:spacing w:line="500" w:lineRule="exact"/>
        <w:ind w:firstLine="480" w:firstLineChars="200"/>
        <w:rPr>
          <w:rFonts w:hint="eastAsia" w:ascii="宋体" w:hAnsi="宋体" w:eastAsia="宋体" w:cs="宋体"/>
          <w:color w:val="auto"/>
          <w:sz w:val="24"/>
          <w:highlight w:val="none"/>
        </w:rPr>
      </w:pPr>
    </w:p>
    <w:p w14:paraId="4BF0F90A">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注：</w:t>
      </w:r>
    </w:p>
    <w:p w14:paraId="335B6587">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highlight w:val="none"/>
        </w:rPr>
        <w:t>.</w:t>
      </w:r>
      <w:r>
        <w:rPr>
          <w:rFonts w:hint="eastAsia" w:ascii="宋体" w:hAnsi="宋体" w:eastAsia="宋体" w:cs="宋体"/>
          <w:color w:val="auto"/>
          <w:sz w:val="24"/>
          <w:szCs w:val="24"/>
          <w:highlight w:val="none"/>
        </w:rPr>
        <w:t>本表即为对本项目“第二篇  项目服务需求”中所列条款进行比较和响应；</w:t>
      </w:r>
    </w:p>
    <w:p w14:paraId="1F3D84C2">
      <w:pPr>
        <w:snapToGrid w:val="0"/>
        <w:spacing w:line="400" w:lineRule="exact"/>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2.本表可扩展。</w:t>
      </w:r>
    </w:p>
    <w:p w14:paraId="2C2E8897">
      <w:pPr>
        <w:snapToGrid w:val="0"/>
        <w:spacing w:line="400" w:lineRule="exact"/>
        <w:ind w:firstLine="480" w:firstLineChars="200"/>
        <w:jc w:val="left"/>
        <w:rPr>
          <w:rFonts w:hint="eastAsia" w:ascii="宋体" w:hAnsi="宋体" w:eastAsia="宋体" w:cs="宋体"/>
          <w:color w:val="auto"/>
          <w:sz w:val="24"/>
          <w:highlight w:val="none"/>
        </w:rPr>
      </w:pPr>
    </w:p>
    <w:p w14:paraId="11BD9486">
      <w:pPr>
        <w:snapToGrid w:val="0"/>
        <w:spacing w:line="400" w:lineRule="exact"/>
        <w:ind w:firstLine="480" w:firstLineChars="200"/>
        <w:jc w:val="left"/>
        <w:rPr>
          <w:rFonts w:hint="eastAsia" w:ascii="宋体" w:hAnsi="宋体" w:eastAsia="宋体" w:cs="宋体"/>
          <w:color w:val="auto"/>
          <w:sz w:val="24"/>
          <w:szCs w:val="24"/>
          <w:highlight w:val="none"/>
        </w:rPr>
      </w:pPr>
    </w:p>
    <w:p w14:paraId="062410F5">
      <w:pPr>
        <w:tabs>
          <w:tab w:val="left" w:pos="6300"/>
        </w:tabs>
        <w:snapToGrid w:val="0"/>
        <w:spacing w:line="400" w:lineRule="exact"/>
        <w:ind w:firstLine="56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rPr>
        <w:br w:type="page"/>
      </w:r>
      <w:r>
        <w:rPr>
          <w:rFonts w:hint="eastAsia" w:ascii="宋体" w:hAnsi="宋体" w:eastAsia="宋体" w:cs="宋体"/>
          <w:color w:val="auto"/>
          <w:sz w:val="24"/>
          <w:szCs w:val="24"/>
          <w:highlight w:val="none"/>
        </w:rPr>
        <w:t>（二）其他资料（格式自定）</w:t>
      </w:r>
    </w:p>
    <w:p w14:paraId="74D43AF3">
      <w:pPr>
        <w:tabs>
          <w:tab w:val="left" w:pos="6300"/>
        </w:tabs>
        <w:snapToGrid w:val="0"/>
        <w:spacing w:line="500" w:lineRule="exact"/>
        <w:ind w:firstLine="480" w:firstLineChars="200"/>
        <w:rPr>
          <w:rFonts w:hint="eastAsia" w:ascii="宋体" w:hAnsi="宋体" w:eastAsia="宋体" w:cs="宋体"/>
          <w:color w:val="auto"/>
          <w:sz w:val="24"/>
          <w:highlight w:val="none"/>
        </w:rPr>
      </w:pPr>
    </w:p>
    <w:p w14:paraId="6505E9A3">
      <w:pPr>
        <w:pStyle w:val="4"/>
        <w:bidi w:val="0"/>
        <w:rPr>
          <w:rFonts w:hint="eastAsia" w:ascii="宋体" w:hAnsi="宋体" w:eastAsia="宋体" w:cs="宋体"/>
          <w:color w:val="auto"/>
          <w:sz w:val="24"/>
          <w:highlight w:val="none"/>
        </w:rPr>
      </w:pPr>
      <w:r>
        <w:rPr>
          <w:rFonts w:hint="eastAsia" w:ascii="宋体" w:hAnsi="宋体" w:eastAsia="宋体" w:cs="宋体"/>
          <w:b w:val="0"/>
          <w:color w:val="auto"/>
          <w:highlight w:val="none"/>
        </w:rPr>
        <w:br w:type="page"/>
      </w:r>
      <w:bookmarkStart w:id="420" w:name="_Toc342913421"/>
      <w:bookmarkStart w:id="421" w:name="_Toc21538"/>
      <w:bookmarkStart w:id="422" w:name="_Toc9093"/>
      <w:bookmarkStart w:id="423" w:name="_Toc29761"/>
      <w:bookmarkStart w:id="424" w:name="_Toc20769"/>
      <w:bookmarkStart w:id="425" w:name="_Toc29841"/>
      <w:bookmarkStart w:id="426" w:name="_Toc9936"/>
      <w:bookmarkStart w:id="427" w:name="_Toc19297"/>
      <w:bookmarkStart w:id="428" w:name="_Toc28240"/>
      <w:bookmarkStart w:id="429" w:name="_Toc573"/>
      <w:bookmarkStart w:id="430" w:name="_Toc6238"/>
      <w:bookmarkStart w:id="431" w:name="_Toc21216"/>
      <w:bookmarkStart w:id="432" w:name="_Toc313888362"/>
      <w:bookmarkStart w:id="433" w:name="_Toc26647"/>
      <w:bookmarkStart w:id="434" w:name="_Toc22505"/>
      <w:bookmarkStart w:id="435" w:name="_Toc2576"/>
      <w:bookmarkStart w:id="436" w:name="_Toc76462352"/>
      <w:bookmarkStart w:id="437" w:name="_Toc28099"/>
      <w:bookmarkStart w:id="438" w:name="_Toc10735"/>
      <w:bookmarkStart w:id="439" w:name="_Toc313008358"/>
      <w:bookmarkStart w:id="440" w:name="_Toc520"/>
      <w:bookmarkStart w:id="441" w:name="_Toc26398"/>
      <w:r>
        <w:rPr>
          <w:rFonts w:hint="eastAsia" w:ascii="宋体" w:hAnsi="宋体" w:eastAsia="宋体" w:cs="宋体"/>
          <w:b/>
          <w:bCs/>
          <w:color w:val="auto"/>
          <w:kern w:val="2"/>
          <w:sz w:val="24"/>
          <w:szCs w:val="24"/>
          <w:highlight w:val="none"/>
          <w:lang w:val="en-US" w:eastAsia="zh-CN" w:bidi="ar-SA"/>
        </w:rPr>
        <w:t>三、商务部分</w:t>
      </w:r>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 w14:paraId="202DB13D">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（一）商务响应偏离表</w:t>
      </w:r>
    </w:p>
    <w:p w14:paraId="4C87B22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项目号：                                </w:t>
      </w:r>
    </w:p>
    <w:p w14:paraId="1CCA1E2C">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项目名称： </w:t>
      </w:r>
    </w:p>
    <w:tbl>
      <w:tblPr>
        <w:tblStyle w:val="6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7DA0F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noWrap w:val="0"/>
            <w:vAlign w:val="center"/>
          </w:tcPr>
          <w:p w14:paraId="28D50110">
            <w:pPr>
              <w:snapToGrid w:val="0"/>
              <w:spacing w:line="360" w:lineRule="auto"/>
              <w:ind w:firstLine="465"/>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序号</w:t>
            </w:r>
          </w:p>
        </w:tc>
        <w:tc>
          <w:tcPr>
            <w:tcW w:w="3179" w:type="dxa"/>
            <w:noWrap w:val="0"/>
            <w:vAlign w:val="center"/>
          </w:tcPr>
          <w:p w14:paraId="14638B93">
            <w:pPr>
              <w:tabs>
                <w:tab w:val="left" w:pos="6300"/>
              </w:tabs>
              <w:snapToGrid w:val="0"/>
              <w:spacing w:line="360" w:lineRule="auto"/>
              <w:jc w:val="center"/>
              <w:outlineLvl w:val="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项目商务需求</w:t>
            </w:r>
          </w:p>
        </w:tc>
        <w:tc>
          <w:tcPr>
            <w:tcW w:w="2434" w:type="dxa"/>
            <w:noWrap w:val="0"/>
            <w:vAlign w:val="center"/>
          </w:tcPr>
          <w:p w14:paraId="4CF5C257">
            <w:pPr>
              <w:tabs>
                <w:tab w:val="left" w:pos="6300"/>
              </w:tabs>
              <w:snapToGrid w:val="0"/>
              <w:spacing w:line="360" w:lineRule="auto"/>
              <w:jc w:val="center"/>
              <w:outlineLvl w:val="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响应情况</w:t>
            </w:r>
          </w:p>
        </w:tc>
        <w:tc>
          <w:tcPr>
            <w:tcW w:w="2355" w:type="dxa"/>
            <w:noWrap w:val="0"/>
            <w:vAlign w:val="center"/>
          </w:tcPr>
          <w:p w14:paraId="683D8A0A">
            <w:pPr>
              <w:tabs>
                <w:tab w:val="left" w:pos="6300"/>
              </w:tabs>
              <w:snapToGrid w:val="0"/>
              <w:spacing w:line="360" w:lineRule="auto"/>
              <w:jc w:val="center"/>
              <w:outlineLvl w:val="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偏离说明</w:t>
            </w:r>
          </w:p>
        </w:tc>
      </w:tr>
      <w:tr w14:paraId="12253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539F175D">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0C820160">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4487323B">
            <w:pPr>
              <w:tabs>
                <w:tab w:val="left" w:pos="6300"/>
              </w:tabs>
              <w:snapToGrid w:val="0"/>
              <w:spacing w:line="360" w:lineRule="auto"/>
              <w:outlineLvl w:val="0"/>
              <w:rPr>
                <w:rFonts w:hint="eastAsia" w:ascii="宋体" w:hAnsi="宋体" w:eastAsia="宋体" w:cs="宋体"/>
                <w:color w:val="auto"/>
                <w:sz w:val="21"/>
                <w:szCs w:val="24"/>
                <w:highlight w:val="none"/>
              </w:rPr>
            </w:pPr>
            <w:r>
              <w:rPr>
                <w:rFonts w:hint="eastAsia" w:ascii="宋体" w:hAnsi="宋体" w:eastAsia="宋体" w:cs="宋体"/>
                <w:color w:val="auto"/>
                <w:sz w:val="21"/>
                <w:szCs w:val="21"/>
                <w:highlight w:val="none"/>
              </w:rPr>
              <w:t>提醒：请注明具体内容以及响应文件中具体内容的位置（页码）</w:t>
            </w:r>
          </w:p>
        </w:tc>
        <w:tc>
          <w:tcPr>
            <w:tcW w:w="2355" w:type="dxa"/>
            <w:noWrap w:val="0"/>
            <w:vAlign w:val="center"/>
          </w:tcPr>
          <w:p w14:paraId="42933C4F">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r w14:paraId="3602E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7F5A9C5C">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7008731C">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461BEF91">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355" w:type="dxa"/>
            <w:noWrap w:val="0"/>
            <w:vAlign w:val="center"/>
          </w:tcPr>
          <w:p w14:paraId="6356BA8A">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r w14:paraId="540CA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46FEEF62">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7E25F75D">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51159F1A">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355" w:type="dxa"/>
            <w:noWrap w:val="0"/>
            <w:vAlign w:val="center"/>
          </w:tcPr>
          <w:p w14:paraId="57F36CFA">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r w14:paraId="28C81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137C3C0B">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2465E6CC">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5F7052F7">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355" w:type="dxa"/>
            <w:noWrap w:val="0"/>
            <w:vAlign w:val="center"/>
          </w:tcPr>
          <w:p w14:paraId="0E8D6E91">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r w14:paraId="0715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6B2202EC">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09D0C31F">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29D2F04B">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355" w:type="dxa"/>
            <w:noWrap w:val="0"/>
            <w:vAlign w:val="center"/>
          </w:tcPr>
          <w:p w14:paraId="78DC4DA1">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r w14:paraId="00AA0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7968D985">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14EFDAE9">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409314EA">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355" w:type="dxa"/>
            <w:noWrap w:val="0"/>
            <w:vAlign w:val="center"/>
          </w:tcPr>
          <w:p w14:paraId="5B9A6B3A">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bl>
    <w:p w14:paraId="5A30E723">
      <w:pPr>
        <w:snapToGrid w:val="0"/>
        <w:spacing w:line="360" w:lineRule="auto"/>
        <w:ind w:firstLine="465"/>
        <w:rPr>
          <w:rFonts w:hint="eastAsia" w:ascii="宋体" w:hAnsi="宋体" w:eastAsia="宋体" w:cs="宋体"/>
          <w:color w:val="auto"/>
          <w:sz w:val="24"/>
          <w:szCs w:val="24"/>
          <w:highlight w:val="none"/>
        </w:rPr>
      </w:pPr>
    </w:p>
    <w:p w14:paraId="47E36CFA">
      <w:pPr>
        <w:tabs>
          <w:tab w:val="left" w:pos="6300"/>
        </w:tabs>
        <w:snapToGrid w:val="0"/>
        <w:spacing w:line="400" w:lineRule="exact"/>
        <w:ind w:firstLine="480" w:firstLineChars="200"/>
        <w:rPr>
          <w:rFonts w:hint="eastAsia" w:ascii="宋体" w:hAnsi="宋体" w:eastAsia="宋体" w:cs="宋体"/>
          <w:color w:val="auto"/>
          <w:sz w:val="24"/>
          <w:highlight w:val="none"/>
        </w:rPr>
      </w:pPr>
    </w:p>
    <w:p w14:paraId="14CC595F">
      <w:pPr>
        <w:tabs>
          <w:tab w:val="left" w:pos="6300"/>
        </w:tabs>
        <w:snapToGrid w:val="0"/>
        <w:spacing w:line="400" w:lineRule="exact"/>
        <w:ind w:firstLine="480" w:firstLineChars="200"/>
        <w:rPr>
          <w:rFonts w:hint="eastAsia" w:ascii="宋体" w:hAnsi="宋体" w:eastAsia="宋体" w:cs="宋体"/>
          <w:color w:val="auto"/>
          <w:sz w:val="24"/>
          <w:highlight w:val="none"/>
        </w:rPr>
      </w:pPr>
    </w:p>
    <w:p w14:paraId="26387BFA">
      <w:pPr>
        <w:tabs>
          <w:tab w:val="left" w:pos="6300"/>
        </w:tabs>
        <w:snapToGrid w:val="0"/>
        <w:spacing w:line="400" w:lineRule="exact"/>
        <w:ind w:firstLine="480" w:firstLineChars="200"/>
        <w:rPr>
          <w:rFonts w:hint="eastAsia" w:ascii="宋体" w:hAnsi="宋体" w:eastAsia="宋体" w:cs="宋体"/>
          <w:color w:val="auto"/>
          <w:sz w:val="24"/>
          <w:highlight w:val="none"/>
        </w:rPr>
      </w:pPr>
    </w:p>
    <w:p w14:paraId="647BD81C">
      <w:pPr>
        <w:tabs>
          <w:tab w:val="left" w:pos="6300"/>
        </w:tabs>
        <w:snapToGrid w:val="0"/>
        <w:spacing w:line="400" w:lineRule="exact"/>
        <w:ind w:firstLine="480" w:firstLineChars="200"/>
        <w:rPr>
          <w:rFonts w:hint="eastAsia" w:ascii="宋体" w:hAnsi="宋体" w:eastAsia="宋体" w:cs="宋体"/>
          <w:color w:val="auto"/>
          <w:sz w:val="24"/>
          <w:highlight w:val="none"/>
        </w:rPr>
      </w:pPr>
    </w:p>
    <w:p w14:paraId="3A4E208C">
      <w:pPr>
        <w:tabs>
          <w:tab w:val="left" w:pos="6300"/>
        </w:tabs>
        <w:snapToGrid w:val="0"/>
        <w:spacing w:line="400" w:lineRule="exact"/>
        <w:ind w:firstLine="480" w:firstLineChars="200"/>
        <w:rPr>
          <w:rFonts w:hint="eastAsia" w:ascii="宋体" w:hAnsi="宋体" w:eastAsia="宋体" w:cs="宋体"/>
          <w:color w:val="auto"/>
          <w:sz w:val="24"/>
          <w:highlight w:val="none"/>
        </w:rPr>
      </w:pPr>
    </w:p>
    <w:p w14:paraId="605C9C85">
      <w:pPr>
        <w:tabs>
          <w:tab w:val="left" w:pos="6300"/>
        </w:tabs>
        <w:snapToGrid w:val="0"/>
        <w:spacing w:line="4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注：</w:t>
      </w:r>
    </w:p>
    <w:p w14:paraId="25B02CBB">
      <w:pPr>
        <w:tabs>
          <w:tab w:val="left" w:pos="6300"/>
        </w:tabs>
        <w:snapToGrid w:val="0"/>
        <w:spacing w:line="4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highlight w:val="none"/>
        </w:rPr>
        <w:t>.</w:t>
      </w:r>
      <w:r>
        <w:rPr>
          <w:rFonts w:hint="eastAsia" w:ascii="宋体" w:hAnsi="宋体" w:eastAsia="宋体" w:cs="宋体"/>
          <w:color w:val="auto"/>
          <w:sz w:val="24"/>
          <w:szCs w:val="24"/>
          <w:highlight w:val="none"/>
        </w:rPr>
        <w:t>本表即为对本项目“第三篇  项目商务需求”中所列条款进行比较和响应；</w:t>
      </w:r>
    </w:p>
    <w:p w14:paraId="695A2883">
      <w:pPr>
        <w:snapToGrid w:val="0"/>
        <w:spacing w:line="4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2.本表可扩展。</w:t>
      </w:r>
    </w:p>
    <w:p w14:paraId="0314DD41">
      <w:pPr>
        <w:snapToGrid w:val="0"/>
        <w:spacing w:line="400" w:lineRule="exact"/>
        <w:ind w:firstLine="562" w:firstLineChars="200"/>
        <w:rPr>
          <w:rFonts w:hint="eastAsia" w:ascii="宋体" w:hAnsi="宋体" w:eastAsia="宋体" w:cs="宋体"/>
          <w:b/>
          <w:color w:val="auto"/>
          <w:highlight w:val="none"/>
        </w:rPr>
        <w:sectPr>
          <w:pgSz w:w="11907" w:h="16840"/>
          <w:pgMar w:top="1134" w:right="1191" w:bottom="1134" w:left="1304" w:header="851" w:footer="992" w:gutter="0"/>
          <w:pgNumType w:fmt="decimal"/>
          <w:cols w:space="720" w:num="1"/>
          <w:docGrid w:linePitch="380" w:charSpace="-5735"/>
        </w:sectPr>
      </w:pPr>
    </w:p>
    <w:p w14:paraId="03FD2375">
      <w:pPr>
        <w:snapToGrid w:val="0"/>
        <w:spacing w:line="400" w:lineRule="exact"/>
        <w:ind w:firstLine="480" w:firstLineChars="200"/>
        <w:rPr>
          <w:rFonts w:hint="eastAsia" w:ascii="宋体" w:hAnsi="宋体" w:eastAsia="宋体" w:cs="宋体"/>
          <w:color w:val="auto"/>
          <w:sz w:val="24"/>
          <w:szCs w:val="24"/>
          <w:highlight w:val="none"/>
        </w:rPr>
      </w:pPr>
      <w:bookmarkStart w:id="442" w:name="_Toc283382459"/>
      <w:r>
        <w:rPr>
          <w:rFonts w:hint="eastAsia" w:ascii="宋体" w:hAnsi="宋体" w:eastAsia="宋体" w:cs="宋体"/>
          <w:color w:val="auto"/>
          <w:sz w:val="24"/>
          <w:szCs w:val="24"/>
          <w:highlight w:val="none"/>
        </w:rPr>
        <w:t>（二）其它优惠服务承诺（格式自定）</w:t>
      </w:r>
    </w:p>
    <w:p w14:paraId="05DE80CF">
      <w:pPr>
        <w:pStyle w:val="4"/>
        <w:bidi w:val="0"/>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br w:type="page"/>
      </w:r>
      <w:bookmarkEnd w:id="442"/>
      <w:bookmarkStart w:id="443" w:name="_Toc10514"/>
      <w:bookmarkStart w:id="444" w:name="_Toc190"/>
      <w:bookmarkStart w:id="445" w:name="_Toc21368"/>
      <w:bookmarkStart w:id="446" w:name="_Toc313888363"/>
      <w:bookmarkStart w:id="447" w:name="_Toc22916"/>
      <w:bookmarkStart w:id="448" w:name="_Toc20384"/>
      <w:bookmarkStart w:id="449" w:name="_Toc342913422"/>
      <w:bookmarkStart w:id="450" w:name="_Toc6829"/>
      <w:bookmarkStart w:id="451" w:name="_Toc25332"/>
      <w:bookmarkStart w:id="452" w:name="_Toc6268"/>
      <w:bookmarkStart w:id="453" w:name="_Toc1742"/>
      <w:bookmarkStart w:id="454" w:name="_Toc10729"/>
      <w:bookmarkStart w:id="455" w:name="_Toc19652"/>
      <w:bookmarkStart w:id="456" w:name="_Toc12319"/>
      <w:bookmarkStart w:id="457" w:name="_Toc23426"/>
      <w:bookmarkStart w:id="458" w:name="_Toc313008359"/>
      <w:bookmarkStart w:id="459" w:name="_Toc9472"/>
      <w:bookmarkStart w:id="460" w:name="_Toc76462353"/>
      <w:bookmarkStart w:id="461" w:name="_Toc4499"/>
      <w:bookmarkStart w:id="462" w:name="_Toc15165"/>
      <w:bookmarkStart w:id="463" w:name="_Toc28090"/>
      <w:bookmarkStart w:id="464" w:name="_Toc7047"/>
      <w:r>
        <w:rPr>
          <w:rFonts w:hint="eastAsia" w:ascii="宋体" w:hAnsi="宋体" w:eastAsia="宋体" w:cs="宋体"/>
          <w:b/>
          <w:bCs/>
          <w:color w:val="auto"/>
          <w:kern w:val="2"/>
          <w:sz w:val="24"/>
          <w:szCs w:val="24"/>
          <w:highlight w:val="none"/>
          <w:lang w:val="en-US" w:eastAsia="zh-CN" w:bidi="ar-SA"/>
        </w:rPr>
        <w:t>四、资格条件</w:t>
      </w:r>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r>
        <w:rPr>
          <w:rFonts w:hint="eastAsia" w:ascii="宋体" w:hAnsi="宋体" w:eastAsia="宋体" w:cs="宋体"/>
          <w:b/>
          <w:bCs/>
          <w:color w:val="auto"/>
          <w:kern w:val="2"/>
          <w:sz w:val="24"/>
          <w:szCs w:val="24"/>
          <w:highlight w:val="none"/>
          <w:lang w:val="en-US" w:eastAsia="zh-CN" w:bidi="ar-SA"/>
        </w:rPr>
        <w:t>及其他</w:t>
      </w:r>
      <w:bookmarkEnd w:id="462"/>
      <w:bookmarkEnd w:id="463"/>
      <w:bookmarkEnd w:id="464"/>
    </w:p>
    <w:p w14:paraId="5F61B8AB">
      <w:pPr>
        <w:tabs>
          <w:tab w:val="left" w:pos="6300"/>
        </w:tabs>
        <w:snapToGrid w:val="0"/>
        <w:spacing w:line="400" w:lineRule="exact"/>
        <w:ind w:firstLine="57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（一）法人营业执照（副本）或事业单位法人证书（副本）或个体工商户营业执照或有效的自然人身份证明或社会团体法人登记证书复印件</w:t>
      </w:r>
    </w:p>
    <w:p w14:paraId="7255D15A">
      <w:pPr>
        <w:tabs>
          <w:tab w:val="left" w:pos="6300"/>
        </w:tabs>
        <w:snapToGrid w:val="0"/>
        <w:spacing w:line="400" w:lineRule="exact"/>
        <w:ind w:firstLine="570"/>
        <w:rPr>
          <w:rFonts w:hint="default" w:ascii="宋体" w:hAnsi="宋体" w:eastAsia="宋体" w:cs="宋体"/>
          <w:i/>
          <w:iCs/>
          <w:color w:val="auto"/>
          <w:sz w:val="24"/>
          <w:szCs w:val="24"/>
          <w:highlight w:val="none"/>
          <w:lang w:val="en-US" w:eastAsia="zh-CN"/>
        </w:rPr>
      </w:pPr>
      <w:r>
        <w:rPr>
          <w:rFonts w:hint="eastAsia" w:ascii="宋体" w:hAnsi="宋体" w:cs="宋体"/>
          <w:i/>
          <w:iCs/>
          <w:color w:val="auto"/>
          <w:sz w:val="24"/>
          <w:szCs w:val="24"/>
          <w:highlight w:val="none"/>
          <w:lang w:val="en-US" w:eastAsia="zh-CN"/>
        </w:rPr>
        <w:t>注：复印件加盖供应商公章</w:t>
      </w:r>
    </w:p>
    <w:p w14:paraId="79D42C54">
      <w:pPr>
        <w:tabs>
          <w:tab w:val="left" w:pos="6300"/>
        </w:tabs>
        <w:snapToGrid w:val="0"/>
        <w:spacing w:line="500" w:lineRule="exact"/>
        <w:ind w:firstLine="570"/>
        <w:rPr>
          <w:rFonts w:hint="eastAsia" w:ascii="宋体" w:hAnsi="宋体" w:eastAsia="宋体" w:cs="宋体"/>
          <w:color w:val="auto"/>
          <w:highlight w:val="none"/>
        </w:rPr>
      </w:pPr>
    </w:p>
    <w:p w14:paraId="04AFCA5B">
      <w:pPr>
        <w:tabs>
          <w:tab w:val="left" w:pos="6300"/>
        </w:tabs>
        <w:snapToGrid w:val="0"/>
        <w:spacing w:line="500" w:lineRule="exact"/>
        <w:ind w:firstLine="570"/>
        <w:rPr>
          <w:rFonts w:hint="eastAsia" w:ascii="宋体" w:hAnsi="宋体" w:eastAsia="宋体" w:cs="宋体"/>
          <w:color w:val="auto"/>
          <w:highlight w:val="none"/>
        </w:rPr>
      </w:pPr>
    </w:p>
    <w:p w14:paraId="765B3076">
      <w:pPr>
        <w:tabs>
          <w:tab w:val="left" w:pos="6300"/>
        </w:tabs>
        <w:snapToGrid w:val="0"/>
        <w:spacing w:line="500" w:lineRule="exact"/>
        <w:ind w:firstLine="570"/>
        <w:rPr>
          <w:rFonts w:hint="eastAsia" w:ascii="宋体" w:hAnsi="宋体" w:eastAsia="宋体" w:cs="宋体"/>
          <w:color w:val="auto"/>
          <w:highlight w:val="none"/>
        </w:rPr>
      </w:pPr>
    </w:p>
    <w:p w14:paraId="23DAD5B6">
      <w:pPr>
        <w:tabs>
          <w:tab w:val="left" w:pos="6300"/>
        </w:tabs>
        <w:snapToGrid w:val="0"/>
        <w:spacing w:line="500" w:lineRule="exact"/>
        <w:ind w:firstLine="570"/>
        <w:rPr>
          <w:rFonts w:hint="eastAsia" w:ascii="宋体" w:hAnsi="宋体" w:eastAsia="宋体" w:cs="宋体"/>
          <w:color w:val="auto"/>
          <w:highlight w:val="none"/>
        </w:rPr>
      </w:pPr>
    </w:p>
    <w:p w14:paraId="3E508F70">
      <w:pPr>
        <w:snapToGrid w:val="0"/>
        <w:spacing w:line="400" w:lineRule="exact"/>
        <w:ind w:firstLine="560" w:firstLineChars="200"/>
        <w:rPr>
          <w:rFonts w:hint="eastAsia" w:ascii="宋体" w:hAnsi="宋体" w:eastAsia="宋体" w:cs="宋体"/>
          <w:color w:val="auto"/>
          <w:sz w:val="24"/>
          <w:szCs w:val="24"/>
          <w:highlight w:val="none"/>
        </w:rPr>
      </w:pPr>
      <w:r>
        <w:rPr>
          <w:rFonts w:hint="eastAsia" w:ascii="宋体" w:hAnsi="宋体" w:eastAsia="宋体" w:cs="宋体"/>
          <w:color w:val="auto"/>
          <w:highlight w:val="none"/>
        </w:rPr>
        <w:br w:type="page"/>
      </w:r>
      <w:r>
        <w:rPr>
          <w:rFonts w:hint="eastAsia" w:ascii="宋体" w:hAnsi="宋体" w:eastAsia="宋体" w:cs="宋体"/>
          <w:color w:val="auto"/>
          <w:sz w:val="24"/>
          <w:szCs w:val="24"/>
          <w:highlight w:val="none"/>
        </w:rPr>
        <w:t>（二）法定代表人身份证明书（格式）</w:t>
      </w:r>
    </w:p>
    <w:p w14:paraId="31B81EA9">
      <w:pPr>
        <w:tabs>
          <w:tab w:val="left" w:pos="6300"/>
        </w:tabs>
        <w:snapToGrid w:val="0"/>
        <w:spacing w:line="500" w:lineRule="exact"/>
        <w:ind w:firstLine="570"/>
        <w:rPr>
          <w:rFonts w:hint="eastAsia" w:ascii="宋体" w:hAnsi="宋体" w:eastAsia="宋体" w:cs="宋体"/>
          <w:color w:val="auto"/>
          <w:sz w:val="24"/>
          <w:highlight w:val="none"/>
        </w:rPr>
      </w:pPr>
    </w:p>
    <w:p w14:paraId="25B20E68">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r>
        <w:rPr>
          <w:rFonts w:hint="eastAsia" w:ascii="宋体" w:hAnsi="宋体" w:eastAsia="宋体" w:cs="宋体"/>
          <w:color w:val="auto"/>
          <w:sz w:val="24"/>
          <w:highlight w:val="none"/>
          <w:u w:val="single"/>
        </w:rPr>
        <w:t xml:space="preserve">                                                </w:t>
      </w:r>
    </w:p>
    <w:p w14:paraId="51EB236D">
      <w:pPr>
        <w:tabs>
          <w:tab w:val="left" w:pos="6300"/>
        </w:tabs>
        <w:snapToGrid w:val="0"/>
        <w:spacing w:line="500" w:lineRule="exact"/>
        <w:ind w:firstLine="570"/>
        <w:rPr>
          <w:rFonts w:hint="eastAsia" w:ascii="宋体" w:hAnsi="宋体" w:eastAsia="宋体" w:cs="宋体"/>
          <w:color w:val="auto"/>
          <w:sz w:val="24"/>
          <w:highlight w:val="none"/>
        </w:rPr>
      </w:pPr>
    </w:p>
    <w:p w14:paraId="1AFFAB6D">
      <w:pPr>
        <w:tabs>
          <w:tab w:val="left" w:pos="6300"/>
        </w:tabs>
        <w:snapToGrid w:val="0"/>
        <w:spacing w:line="5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（采购代理机构名称）：</w:t>
      </w:r>
    </w:p>
    <w:p w14:paraId="5702BF95">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（法定代表人姓名）在</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（职务名称）职务，是（供应商名称）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的法定代表人。</w:t>
      </w:r>
    </w:p>
    <w:p w14:paraId="30BD833C">
      <w:pPr>
        <w:tabs>
          <w:tab w:val="left" w:pos="6300"/>
        </w:tabs>
        <w:snapToGrid w:val="0"/>
        <w:spacing w:line="500" w:lineRule="exact"/>
        <w:ind w:firstLine="570"/>
        <w:rPr>
          <w:rFonts w:hint="eastAsia" w:ascii="宋体" w:hAnsi="宋体" w:eastAsia="宋体" w:cs="宋体"/>
          <w:color w:val="auto"/>
          <w:sz w:val="24"/>
          <w:highlight w:val="none"/>
        </w:rPr>
      </w:pPr>
    </w:p>
    <w:p w14:paraId="19AC2262">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特此证明。</w:t>
      </w:r>
    </w:p>
    <w:p w14:paraId="0192DB6F">
      <w:pPr>
        <w:tabs>
          <w:tab w:val="left" w:pos="6300"/>
        </w:tabs>
        <w:snapToGrid w:val="0"/>
        <w:spacing w:line="500" w:lineRule="exact"/>
        <w:ind w:firstLine="570"/>
        <w:rPr>
          <w:rFonts w:hint="eastAsia" w:ascii="宋体" w:hAnsi="宋体" w:eastAsia="宋体" w:cs="宋体"/>
          <w:color w:val="auto"/>
          <w:sz w:val="24"/>
          <w:highlight w:val="none"/>
        </w:rPr>
      </w:pPr>
    </w:p>
    <w:p w14:paraId="32981A27">
      <w:pPr>
        <w:tabs>
          <w:tab w:val="left" w:pos="6300"/>
        </w:tabs>
        <w:snapToGrid w:val="0"/>
        <w:spacing w:line="500" w:lineRule="exact"/>
        <w:ind w:firstLine="570"/>
        <w:rPr>
          <w:rFonts w:hint="eastAsia" w:ascii="宋体" w:hAnsi="宋体" w:eastAsia="宋体" w:cs="宋体"/>
          <w:color w:val="auto"/>
          <w:sz w:val="24"/>
          <w:highlight w:val="none"/>
        </w:rPr>
      </w:pPr>
    </w:p>
    <w:p w14:paraId="57742BF4">
      <w:pPr>
        <w:tabs>
          <w:tab w:val="left" w:pos="6300"/>
        </w:tabs>
        <w:snapToGrid w:val="0"/>
        <w:spacing w:line="500" w:lineRule="exact"/>
        <w:ind w:firstLine="570"/>
        <w:rPr>
          <w:rFonts w:hint="eastAsia" w:ascii="宋体" w:hAnsi="宋体" w:eastAsia="宋体" w:cs="宋体"/>
          <w:color w:val="auto"/>
          <w:sz w:val="24"/>
          <w:highlight w:val="none"/>
        </w:rPr>
      </w:pPr>
    </w:p>
    <w:p w14:paraId="30ABEB25">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（供应商公章）</w:t>
      </w:r>
    </w:p>
    <w:p w14:paraId="6BD76F46">
      <w:pPr>
        <w:tabs>
          <w:tab w:val="left" w:pos="6300"/>
        </w:tabs>
        <w:snapToGrid w:val="0"/>
        <w:spacing w:line="500" w:lineRule="exact"/>
        <w:ind w:firstLine="570"/>
        <w:rPr>
          <w:rFonts w:hint="eastAsia" w:ascii="宋体" w:hAnsi="宋体" w:eastAsia="宋体" w:cs="宋体"/>
          <w:color w:val="auto"/>
          <w:sz w:val="24"/>
          <w:highlight w:val="none"/>
        </w:rPr>
      </w:pPr>
    </w:p>
    <w:p w14:paraId="7934FF5C">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年   月   日</w:t>
      </w:r>
    </w:p>
    <w:p w14:paraId="5B7C25AD">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法定代表人电话：XXXXXXX      电子邮箱：XXXXXX@XXXXX（若授权他人办理并签署响应文件的可不填写）</w:t>
      </w:r>
    </w:p>
    <w:p w14:paraId="0F065585">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（附：法定代表人身份证正反面复印件）</w:t>
      </w:r>
    </w:p>
    <w:p w14:paraId="6ADDFD22">
      <w:pPr>
        <w:tabs>
          <w:tab w:val="left" w:pos="6300"/>
        </w:tabs>
        <w:snapToGrid w:val="0"/>
        <w:spacing w:line="500" w:lineRule="exact"/>
        <w:ind w:firstLine="570"/>
        <w:rPr>
          <w:rFonts w:hint="eastAsia" w:ascii="宋体" w:hAnsi="宋体" w:eastAsia="宋体" w:cs="宋体"/>
          <w:color w:val="auto"/>
          <w:sz w:val="24"/>
          <w:highlight w:val="none"/>
        </w:rPr>
      </w:pPr>
    </w:p>
    <w:p w14:paraId="4C7823CB">
      <w:pPr>
        <w:tabs>
          <w:tab w:val="left" w:pos="6300"/>
        </w:tabs>
        <w:snapToGrid w:val="0"/>
        <w:spacing w:line="500" w:lineRule="exact"/>
        <w:ind w:firstLine="570"/>
        <w:rPr>
          <w:rFonts w:hint="eastAsia" w:ascii="宋体" w:hAnsi="宋体" w:eastAsia="宋体" w:cs="宋体"/>
          <w:color w:val="auto"/>
          <w:sz w:val="24"/>
          <w:highlight w:val="none"/>
        </w:rPr>
      </w:pPr>
    </w:p>
    <w:p w14:paraId="66CBB2C8">
      <w:pPr>
        <w:tabs>
          <w:tab w:val="left" w:pos="6300"/>
        </w:tabs>
        <w:snapToGrid w:val="0"/>
        <w:spacing w:line="500" w:lineRule="exact"/>
        <w:ind w:firstLine="570"/>
        <w:rPr>
          <w:rFonts w:hint="eastAsia" w:ascii="宋体" w:hAnsi="宋体" w:eastAsia="宋体" w:cs="宋体"/>
          <w:color w:val="auto"/>
          <w:sz w:val="24"/>
          <w:highlight w:val="none"/>
        </w:rPr>
      </w:pPr>
    </w:p>
    <w:p w14:paraId="7C762A64">
      <w:pPr>
        <w:tabs>
          <w:tab w:val="left" w:pos="6300"/>
        </w:tabs>
        <w:snapToGrid w:val="0"/>
        <w:spacing w:line="500" w:lineRule="exact"/>
        <w:ind w:firstLine="570"/>
        <w:rPr>
          <w:rFonts w:hint="eastAsia" w:ascii="宋体" w:hAnsi="宋体" w:eastAsia="宋体" w:cs="宋体"/>
          <w:color w:val="auto"/>
          <w:sz w:val="24"/>
          <w:highlight w:val="none"/>
        </w:rPr>
      </w:pPr>
    </w:p>
    <w:p w14:paraId="3EBAF332">
      <w:pPr>
        <w:tabs>
          <w:tab w:val="left" w:pos="6300"/>
        </w:tabs>
        <w:snapToGrid w:val="0"/>
        <w:spacing w:line="500" w:lineRule="exact"/>
        <w:ind w:firstLine="570"/>
        <w:rPr>
          <w:rFonts w:hint="eastAsia" w:ascii="宋体" w:hAnsi="宋体" w:eastAsia="宋体" w:cs="宋体"/>
          <w:color w:val="auto"/>
          <w:sz w:val="24"/>
          <w:highlight w:val="none"/>
        </w:rPr>
      </w:pPr>
    </w:p>
    <w:p w14:paraId="1D7B614C">
      <w:pPr>
        <w:tabs>
          <w:tab w:val="left" w:pos="6300"/>
        </w:tabs>
        <w:snapToGrid w:val="0"/>
        <w:spacing w:line="500" w:lineRule="exact"/>
        <w:ind w:firstLine="570"/>
        <w:rPr>
          <w:rFonts w:hint="eastAsia" w:ascii="宋体" w:hAnsi="宋体" w:eastAsia="宋体" w:cs="宋体"/>
          <w:color w:val="auto"/>
          <w:sz w:val="24"/>
          <w:highlight w:val="none"/>
        </w:rPr>
      </w:pPr>
    </w:p>
    <w:p w14:paraId="70303D98">
      <w:pPr>
        <w:snapToGrid w:val="0"/>
        <w:spacing w:line="400" w:lineRule="exact"/>
        <w:ind w:firstLine="560" w:firstLineChars="200"/>
        <w:rPr>
          <w:rFonts w:hint="eastAsia" w:ascii="宋体" w:hAnsi="宋体" w:eastAsia="宋体" w:cs="宋体"/>
          <w:color w:val="auto"/>
          <w:sz w:val="24"/>
          <w:szCs w:val="24"/>
          <w:highlight w:val="none"/>
        </w:rPr>
      </w:pPr>
      <w:r>
        <w:rPr>
          <w:rFonts w:hint="eastAsia" w:ascii="宋体" w:hAnsi="宋体" w:eastAsia="宋体" w:cs="宋体"/>
          <w:color w:val="auto"/>
          <w:highlight w:val="none"/>
        </w:rPr>
        <w:br w:type="column"/>
      </w:r>
      <w:r>
        <w:rPr>
          <w:rFonts w:hint="eastAsia" w:ascii="宋体" w:hAnsi="宋体" w:eastAsia="宋体" w:cs="宋体"/>
          <w:color w:val="auto"/>
          <w:sz w:val="24"/>
          <w:szCs w:val="24"/>
          <w:highlight w:val="none"/>
        </w:rPr>
        <w:t>（三）法定代表人授权委托书（格式）</w:t>
      </w:r>
    </w:p>
    <w:p w14:paraId="497FD296">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63A42B3B">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szCs w:val="28"/>
          <w:highlight w:val="none"/>
        </w:rPr>
        <w:t>项目名称</w:t>
      </w:r>
      <w:r>
        <w:rPr>
          <w:rFonts w:hint="eastAsia" w:ascii="宋体" w:hAnsi="宋体" w:eastAsia="宋体" w:cs="宋体"/>
          <w:color w:val="auto"/>
          <w:sz w:val="24"/>
          <w:highlight w:val="none"/>
        </w:rPr>
        <w:t>：</w:t>
      </w:r>
      <w:r>
        <w:rPr>
          <w:rFonts w:hint="eastAsia" w:ascii="宋体" w:hAnsi="宋体" w:eastAsia="宋体" w:cs="宋体"/>
          <w:color w:val="auto"/>
          <w:sz w:val="24"/>
          <w:highlight w:val="none"/>
          <w:u w:val="single"/>
        </w:rPr>
        <w:t xml:space="preserve">                                                </w:t>
      </w:r>
    </w:p>
    <w:p w14:paraId="4B9564AA">
      <w:pPr>
        <w:tabs>
          <w:tab w:val="left" w:pos="6300"/>
        </w:tabs>
        <w:snapToGrid w:val="0"/>
        <w:spacing w:line="500" w:lineRule="exact"/>
        <w:ind w:firstLine="570"/>
        <w:rPr>
          <w:rFonts w:hint="eastAsia" w:ascii="宋体" w:hAnsi="宋体" w:eastAsia="宋体" w:cs="宋体"/>
          <w:color w:val="auto"/>
          <w:sz w:val="24"/>
          <w:highlight w:val="none"/>
        </w:rPr>
      </w:pPr>
    </w:p>
    <w:p w14:paraId="0053471F">
      <w:pPr>
        <w:tabs>
          <w:tab w:val="left" w:pos="6300"/>
        </w:tabs>
        <w:snapToGrid w:val="0"/>
        <w:spacing w:line="5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（采购代理机构名称）：</w:t>
      </w:r>
    </w:p>
    <w:p w14:paraId="31F0EEF7">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（供应商法定代表人名称）是</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（供应商名称）的法定代表人，特授权</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（被授权人姓名及身份证代码）代表我单位全权办理上述项目的</w:t>
      </w:r>
      <w:r>
        <w:rPr>
          <w:rFonts w:hint="eastAsia" w:ascii="宋体" w:hAnsi="宋体" w:eastAsia="宋体" w:cs="宋体"/>
          <w:color w:val="auto"/>
          <w:sz w:val="24"/>
          <w:highlight w:val="none"/>
          <w:lang w:val="en-US" w:eastAsia="zh-CN"/>
        </w:rPr>
        <w:t>竞选</w:t>
      </w:r>
      <w:r>
        <w:rPr>
          <w:rFonts w:hint="eastAsia" w:ascii="宋体" w:hAnsi="宋体" w:eastAsia="宋体" w:cs="宋体"/>
          <w:color w:val="auto"/>
          <w:sz w:val="24"/>
          <w:highlight w:val="none"/>
        </w:rPr>
        <w:t>、签约等具体工作，并签署全部有关文件、协议及合同。</w:t>
      </w:r>
    </w:p>
    <w:p w14:paraId="4B9A7E55">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我单位对被授权人的</w:t>
      </w:r>
      <w:r>
        <w:rPr>
          <w:rFonts w:hint="eastAsia" w:ascii="宋体" w:hAnsi="宋体" w:eastAsia="宋体" w:cs="宋体"/>
          <w:color w:val="auto"/>
          <w:sz w:val="24"/>
          <w:szCs w:val="28"/>
          <w:highlight w:val="none"/>
        </w:rPr>
        <w:t>签署</w:t>
      </w:r>
      <w:r>
        <w:rPr>
          <w:rFonts w:hint="eastAsia" w:ascii="宋体" w:hAnsi="宋体" w:eastAsia="宋体" w:cs="宋体"/>
          <w:color w:val="auto"/>
          <w:sz w:val="24"/>
          <w:highlight w:val="none"/>
        </w:rPr>
        <w:t>负全部责任。</w:t>
      </w:r>
    </w:p>
    <w:p w14:paraId="1323D384">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在撤销授权的书面通知以前，本授权书一直有效。被授权人在授权书有效期内签署的所有文件不因授权的撤销而失效。</w:t>
      </w:r>
    </w:p>
    <w:p w14:paraId="55522053">
      <w:pPr>
        <w:tabs>
          <w:tab w:val="left" w:pos="6300"/>
        </w:tabs>
        <w:snapToGrid w:val="0"/>
        <w:spacing w:line="500" w:lineRule="exact"/>
        <w:ind w:firstLine="570"/>
        <w:rPr>
          <w:rFonts w:hint="eastAsia" w:ascii="宋体" w:hAnsi="宋体" w:eastAsia="宋体" w:cs="宋体"/>
          <w:color w:val="auto"/>
          <w:sz w:val="24"/>
          <w:highlight w:val="none"/>
        </w:rPr>
      </w:pPr>
    </w:p>
    <w:p w14:paraId="459D16A6">
      <w:pPr>
        <w:tabs>
          <w:tab w:val="left" w:pos="6300"/>
        </w:tabs>
        <w:snapToGrid w:val="0"/>
        <w:spacing w:line="500" w:lineRule="exact"/>
        <w:ind w:firstLine="570"/>
        <w:rPr>
          <w:rFonts w:hint="eastAsia" w:ascii="宋体" w:hAnsi="宋体" w:eastAsia="宋体" w:cs="宋体"/>
          <w:color w:val="auto"/>
          <w:sz w:val="24"/>
          <w:highlight w:val="none"/>
        </w:rPr>
      </w:pPr>
    </w:p>
    <w:p w14:paraId="7A4C8238">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被授权人：                                 供应商法定代表人：</w:t>
      </w:r>
    </w:p>
    <w:p w14:paraId="241CEC42">
      <w:pPr>
        <w:tabs>
          <w:tab w:val="left" w:pos="6300"/>
        </w:tabs>
        <w:snapToGrid w:val="0"/>
        <w:spacing w:line="500" w:lineRule="exact"/>
        <w:ind w:firstLine="570"/>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（签署或盖章）                                （签署或盖章）</w:t>
      </w:r>
    </w:p>
    <w:p w14:paraId="1E7EFA96">
      <w:pPr>
        <w:tabs>
          <w:tab w:val="left" w:pos="6300"/>
        </w:tabs>
        <w:snapToGrid w:val="0"/>
        <w:spacing w:line="500" w:lineRule="exact"/>
        <w:ind w:firstLine="570"/>
        <w:rPr>
          <w:rFonts w:hint="eastAsia" w:ascii="宋体" w:hAnsi="宋体" w:eastAsia="宋体" w:cs="宋体"/>
          <w:color w:val="auto"/>
          <w:sz w:val="24"/>
          <w:szCs w:val="28"/>
          <w:highlight w:val="none"/>
        </w:rPr>
      </w:pPr>
    </w:p>
    <w:p w14:paraId="4772683B">
      <w:pPr>
        <w:tabs>
          <w:tab w:val="left" w:pos="6300"/>
        </w:tabs>
        <w:snapToGrid w:val="0"/>
        <w:spacing w:line="500" w:lineRule="exact"/>
        <w:ind w:firstLine="570"/>
        <w:rPr>
          <w:rFonts w:hint="eastAsia" w:ascii="宋体" w:hAnsi="宋体" w:eastAsia="宋体" w:cs="宋体"/>
          <w:color w:val="auto"/>
          <w:sz w:val="24"/>
          <w:highlight w:val="none"/>
        </w:rPr>
      </w:pPr>
    </w:p>
    <w:p w14:paraId="7FB19996">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（附：被授权人身份证正反面复印件）</w:t>
      </w:r>
    </w:p>
    <w:p w14:paraId="35CFFF6A">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6D7A1C7B">
      <w:pPr>
        <w:tabs>
          <w:tab w:val="left" w:pos="6300"/>
        </w:tabs>
        <w:snapToGrid w:val="0"/>
        <w:spacing w:line="500" w:lineRule="exact"/>
        <w:ind w:firstLine="570"/>
        <w:rPr>
          <w:rFonts w:hint="eastAsia" w:ascii="宋体" w:hAnsi="宋体" w:eastAsia="宋体" w:cs="宋体"/>
          <w:color w:val="auto"/>
          <w:sz w:val="24"/>
          <w:highlight w:val="none"/>
        </w:rPr>
      </w:pPr>
    </w:p>
    <w:p w14:paraId="3DE80383">
      <w:pPr>
        <w:tabs>
          <w:tab w:val="left" w:pos="6300"/>
        </w:tabs>
        <w:snapToGrid w:val="0"/>
        <w:spacing w:line="500" w:lineRule="exact"/>
        <w:ind w:firstLine="570"/>
        <w:rPr>
          <w:rFonts w:hint="eastAsia" w:ascii="宋体" w:hAnsi="宋体" w:eastAsia="宋体" w:cs="宋体"/>
          <w:color w:val="auto"/>
          <w:sz w:val="24"/>
          <w:highlight w:val="none"/>
        </w:rPr>
      </w:pPr>
    </w:p>
    <w:p w14:paraId="5629B18A">
      <w:pPr>
        <w:tabs>
          <w:tab w:val="left" w:pos="6300"/>
        </w:tabs>
        <w:snapToGrid w:val="0"/>
        <w:spacing w:line="500" w:lineRule="exact"/>
        <w:ind w:right="480" w:firstLine="57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（供应商公章）</w:t>
      </w:r>
    </w:p>
    <w:p w14:paraId="7B3B7B14">
      <w:pPr>
        <w:tabs>
          <w:tab w:val="left" w:pos="6300"/>
        </w:tabs>
        <w:snapToGrid w:val="0"/>
        <w:spacing w:line="500" w:lineRule="exact"/>
        <w:ind w:right="480" w:firstLine="57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年   月   日</w:t>
      </w:r>
    </w:p>
    <w:p w14:paraId="5781ED25">
      <w:pPr>
        <w:tabs>
          <w:tab w:val="left" w:pos="6300"/>
        </w:tabs>
        <w:snapToGrid w:val="0"/>
        <w:spacing w:line="500" w:lineRule="exact"/>
        <w:ind w:right="480" w:firstLine="57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被授权人电话：XXXXXXX     电子邮箱：XXXXXX@XXXXX（若法定代表人办理并签署响应文件的可不填写）</w:t>
      </w:r>
    </w:p>
    <w:p w14:paraId="380D5192">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注：若为法定代表人办理并签署响应文件的，不提供此文件。</w:t>
      </w:r>
    </w:p>
    <w:p w14:paraId="4384C2BA">
      <w:pPr>
        <w:tabs>
          <w:tab w:val="left" w:pos="6300"/>
        </w:tabs>
        <w:snapToGrid w:val="0"/>
        <w:spacing w:line="500" w:lineRule="exact"/>
        <w:ind w:firstLine="570"/>
        <w:rPr>
          <w:rFonts w:hint="eastAsia" w:ascii="宋体" w:hAnsi="宋体" w:eastAsia="宋体" w:cs="宋体"/>
          <w:color w:val="auto"/>
          <w:sz w:val="24"/>
          <w:szCs w:val="24"/>
          <w:highlight w:val="none"/>
        </w:rPr>
      </w:pPr>
      <w:r>
        <w:rPr>
          <w:rFonts w:hint="eastAsia" w:ascii="宋体" w:hAnsi="宋体" w:eastAsia="宋体" w:cs="宋体"/>
          <w:color w:val="auto"/>
          <w:highlight w:val="none"/>
        </w:rPr>
        <w:br w:type="column"/>
      </w:r>
      <w:r>
        <w:rPr>
          <w:rFonts w:hint="eastAsia" w:ascii="宋体" w:hAnsi="宋体" w:eastAsia="宋体" w:cs="宋体"/>
          <w:color w:val="auto"/>
          <w:sz w:val="24"/>
          <w:szCs w:val="24"/>
          <w:highlight w:val="none"/>
        </w:rPr>
        <w:t>（四）基本资格条件承诺函</w:t>
      </w:r>
    </w:p>
    <w:p w14:paraId="69C53AAD">
      <w:pPr>
        <w:tabs>
          <w:tab w:val="left" w:pos="6300"/>
        </w:tabs>
        <w:snapToGrid w:val="0"/>
        <w:spacing w:line="500" w:lineRule="exact"/>
        <w:ind w:firstLine="570"/>
        <w:jc w:val="cente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基本资格条件承诺函</w:t>
      </w:r>
    </w:p>
    <w:p w14:paraId="3115DFE2">
      <w:pPr>
        <w:tabs>
          <w:tab w:val="left" w:pos="6300"/>
        </w:tabs>
        <w:snapToGrid w:val="0"/>
        <w:spacing w:line="530" w:lineRule="exact"/>
        <w:rPr>
          <w:rFonts w:hint="eastAsia" w:ascii="宋体" w:hAnsi="宋体" w:eastAsia="宋体" w:cs="宋体"/>
          <w:color w:val="auto"/>
          <w:sz w:val="24"/>
          <w:highlight w:val="none"/>
        </w:rPr>
      </w:pPr>
    </w:p>
    <w:p w14:paraId="0C7129A4">
      <w:pPr>
        <w:tabs>
          <w:tab w:val="left" w:pos="6300"/>
        </w:tabs>
        <w:snapToGrid w:val="0"/>
        <w:spacing w:line="53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（采购代理机构名称）：</w:t>
      </w:r>
    </w:p>
    <w:p w14:paraId="76E5D4E3">
      <w:pPr>
        <w:tabs>
          <w:tab w:val="left" w:pos="6300"/>
        </w:tabs>
        <w:snapToGrid w:val="0"/>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（供应商名称）郑重承诺：</w:t>
      </w:r>
    </w:p>
    <w:p w14:paraId="70166D8A">
      <w:pPr>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1.我方具有良好的商业信誉和健全的财务会计制度，具有履行合同所必需的设备和专业技术能力，具</w:t>
      </w:r>
      <w:r>
        <w:rPr>
          <w:rFonts w:hint="eastAsia" w:ascii="宋体" w:hAnsi="宋体" w:eastAsia="宋体" w:cs="宋体"/>
          <w:color w:val="auto"/>
          <w:sz w:val="24"/>
          <w:szCs w:val="24"/>
          <w:highlight w:val="none"/>
          <w:lang w:val="zh-CN"/>
        </w:rPr>
        <w:t>有依法缴纳税收和社会保障金的良好记录</w:t>
      </w:r>
      <w:r>
        <w:rPr>
          <w:rFonts w:hint="eastAsia" w:ascii="宋体" w:hAnsi="宋体" w:eastAsia="宋体" w:cs="宋体"/>
          <w:color w:val="auto"/>
          <w:sz w:val="24"/>
          <w:szCs w:val="24"/>
          <w:highlight w:val="none"/>
        </w:rPr>
        <w:t>，参加本项目采购活动前三年内无重大违法活动记录。</w:t>
      </w:r>
    </w:p>
    <w:p w14:paraId="025DAC25">
      <w:pPr>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2.我方未列入在信用中国网站（www.creditchina.gov.cn）“失信被执行人”、“重大税收违法案件当事人名单”中，也未列入中国政府采购网（www.ccgp.gov.cn）“政府采购严重违法失信行为记录名单”中。</w:t>
      </w:r>
    </w:p>
    <w:p w14:paraId="7AC7A891">
      <w:pPr>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3.我方在采购项目评审（评标）环节结束后，随时接受采购人、采购代理机构的检查验证，配合提供相关证明材料，证明符合《中华人民共和国政府采购法》规定的供应商基本资格条件。</w:t>
      </w:r>
    </w:p>
    <w:p w14:paraId="7757A28C">
      <w:pPr>
        <w:tabs>
          <w:tab w:val="left" w:pos="6300"/>
        </w:tabs>
        <w:snapToGrid w:val="0"/>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我方对以上承诺负全部法律责任。</w:t>
      </w:r>
    </w:p>
    <w:p w14:paraId="146472D6">
      <w:pPr>
        <w:tabs>
          <w:tab w:val="left" w:pos="6300"/>
        </w:tabs>
        <w:snapToGrid w:val="0"/>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特此承诺。</w:t>
      </w:r>
    </w:p>
    <w:p w14:paraId="722854AC">
      <w:pPr>
        <w:tabs>
          <w:tab w:val="left" w:pos="6300"/>
        </w:tabs>
        <w:snapToGrid w:val="0"/>
        <w:spacing w:line="530" w:lineRule="exact"/>
        <w:rPr>
          <w:rFonts w:hint="eastAsia" w:ascii="宋体" w:hAnsi="宋体" w:eastAsia="宋体" w:cs="宋体"/>
          <w:color w:val="auto"/>
          <w:sz w:val="24"/>
          <w:szCs w:val="24"/>
          <w:highlight w:val="none"/>
        </w:rPr>
      </w:pPr>
    </w:p>
    <w:p w14:paraId="21493EFD">
      <w:pPr>
        <w:tabs>
          <w:tab w:val="left" w:pos="6300"/>
        </w:tabs>
        <w:snapToGrid w:val="0"/>
        <w:spacing w:line="530" w:lineRule="exact"/>
        <w:ind w:right="424" w:firstLine="57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w:t>
      </w:r>
    </w:p>
    <w:p w14:paraId="39AE8C79">
      <w:pPr>
        <w:tabs>
          <w:tab w:val="left" w:pos="6300"/>
        </w:tabs>
        <w:snapToGrid w:val="0"/>
        <w:spacing w:line="500" w:lineRule="exact"/>
        <w:ind w:firstLine="7442" w:firstLineChars="310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4DF7E6EB">
      <w:pPr>
        <w:snapToGrid w:val="0"/>
        <w:spacing w:line="400" w:lineRule="exact"/>
        <w:ind w:firstLine="560" w:firstLineChars="200"/>
        <w:rPr>
          <w:rFonts w:hint="eastAsia" w:ascii="宋体" w:hAnsi="宋体" w:eastAsia="宋体" w:cs="宋体"/>
          <w:color w:val="auto"/>
          <w:sz w:val="24"/>
          <w:szCs w:val="24"/>
          <w:highlight w:val="none"/>
        </w:rPr>
      </w:pPr>
      <w:r>
        <w:rPr>
          <w:rFonts w:hint="eastAsia" w:ascii="宋体" w:hAnsi="宋体" w:eastAsia="宋体" w:cs="宋体"/>
          <w:color w:val="auto"/>
          <w:highlight w:val="none"/>
        </w:rPr>
        <w:br w:type="page"/>
      </w:r>
      <w:r>
        <w:rPr>
          <w:rFonts w:hint="eastAsia" w:ascii="宋体" w:hAnsi="宋体" w:eastAsia="宋体" w:cs="宋体"/>
          <w:color w:val="auto"/>
          <w:sz w:val="24"/>
          <w:szCs w:val="24"/>
          <w:highlight w:val="none"/>
        </w:rPr>
        <w:t>（五）特定资格条件证书或证明文件</w:t>
      </w:r>
    </w:p>
    <w:p w14:paraId="7D492C5F">
      <w:pPr>
        <w:pStyle w:val="4"/>
        <w:bidi w:val="0"/>
        <w:rPr>
          <w:rFonts w:hint="eastAsia" w:ascii="宋体" w:hAnsi="宋体" w:eastAsia="宋体" w:cs="宋体"/>
          <w:color w:val="auto"/>
          <w:sz w:val="24"/>
          <w:highlight w:val="none"/>
        </w:rPr>
      </w:pPr>
      <w:bookmarkStart w:id="465" w:name="_Toc14422"/>
      <w:r>
        <w:rPr>
          <w:rFonts w:hint="eastAsia" w:ascii="宋体" w:hAnsi="宋体" w:eastAsia="宋体" w:cs="宋体"/>
          <w:b w:val="0"/>
          <w:color w:val="auto"/>
          <w:sz w:val="28"/>
          <w:highlight w:val="none"/>
        </w:rPr>
        <w:br w:type="page"/>
      </w:r>
      <w:bookmarkStart w:id="466" w:name="_Toc12029"/>
      <w:bookmarkStart w:id="467" w:name="_Toc20080"/>
      <w:bookmarkStart w:id="468" w:name="_Toc2044"/>
      <w:bookmarkStart w:id="469" w:name="_Toc6349"/>
      <w:bookmarkStart w:id="470" w:name="_Toc15507"/>
      <w:bookmarkStart w:id="471" w:name="_Toc76462354"/>
      <w:bookmarkStart w:id="472" w:name="_Toc16255"/>
      <w:bookmarkStart w:id="473" w:name="_Toc20423"/>
      <w:bookmarkStart w:id="474" w:name="_Toc3613"/>
      <w:bookmarkStart w:id="475" w:name="_Toc19623"/>
      <w:bookmarkStart w:id="476" w:name="_Toc29174"/>
      <w:bookmarkStart w:id="477" w:name="_Toc30422"/>
      <w:bookmarkStart w:id="478" w:name="_Toc3994"/>
      <w:bookmarkStart w:id="479" w:name="_Toc6831"/>
      <w:bookmarkStart w:id="480" w:name="_Toc4342"/>
      <w:bookmarkStart w:id="481" w:name="_Toc14271"/>
      <w:bookmarkStart w:id="482" w:name="_Toc7266"/>
      <w:bookmarkStart w:id="483" w:name="_Toc20899"/>
      <w:bookmarkStart w:id="484" w:name="_Toc5287"/>
      <w:r>
        <w:rPr>
          <w:rFonts w:hint="eastAsia" w:ascii="宋体" w:hAnsi="宋体" w:eastAsia="宋体" w:cs="宋体"/>
          <w:b/>
          <w:bCs/>
          <w:color w:val="auto"/>
          <w:kern w:val="2"/>
          <w:sz w:val="24"/>
          <w:szCs w:val="24"/>
          <w:highlight w:val="none"/>
          <w:lang w:val="en-US" w:eastAsia="zh-CN" w:bidi="ar-SA"/>
        </w:rPr>
        <w:t>五、其他资料</w:t>
      </w:r>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p w14:paraId="6FB87A11">
      <w:pPr>
        <w:spacing w:line="360" w:lineRule="auto"/>
        <w:ind w:firstLine="480" w:firstLineChars="200"/>
        <w:rPr>
          <w:rFonts w:hint="eastAsia" w:ascii="宋体" w:hAnsi="宋体" w:eastAsia="宋体" w:cs="宋体"/>
          <w:color w:val="auto"/>
          <w:sz w:val="24"/>
          <w:szCs w:val="24"/>
          <w:highlight w:val="none"/>
        </w:rPr>
      </w:pPr>
    </w:p>
    <w:p w14:paraId="1603D88C">
      <w:pPr>
        <w:spacing w:line="360" w:lineRule="auto"/>
        <w:ind w:firstLine="480" w:firstLineChars="200"/>
        <w:jc w:val="center"/>
        <w:rPr>
          <w:rFonts w:hint="eastAsia" w:ascii="宋体" w:hAnsi="宋体" w:eastAsia="宋体" w:cs="宋体"/>
          <w:color w:val="auto"/>
          <w:sz w:val="24"/>
          <w:szCs w:val="24"/>
          <w:highlight w:val="none"/>
        </w:rPr>
      </w:pPr>
    </w:p>
    <w:p w14:paraId="038175F6">
      <w:pPr>
        <w:spacing w:line="360" w:lineRule="auto"/>
        <w:ind w:firstLine="480" w:firstLineChars="200"/>
        <w:jc w:val="center"/>
        <w:rPr>
          <w:rFonts w:hint="eastAsia" w:ascii="宋体" w:hAnsi="宋体" w:eastAsia="宋体" w:cs="宋体"/>
          <w:color w:val="auto"/>
          <w:sz w:val="24"/>
          <w:szCs w:val="24"/>
          <w:highlight w:val="none"/>
        </w:rPr>
      </w:pPr>
    </w:p>
    <w:p w14:paraId="746A8032">
      <w:pPr>
        <w:spacing w:line="360" w:lineRule="auto"/>
        <w:ind w:firstLine="480" w:firstLineChars="200"/>
        <w:jc w:val="center"/>
        <w:rPr>
          <w:rFonts w:hint="eastAsia" w:ascii="宋体" w:hAnsi="宋体" w:eastAsia="宋体" w:cs="宋体"/>
          <w:color w:val="auto"/>
          <w:sz w:val="24"/>
          <w:szCs w:val="24"/>
          <w:highlight w:val="none"/>
        </w:rPr>
      </w:pPr>
    </w:p>
    <w:p w14:paraId="6F9E5D98">
      <w:pPr>
        <w:spacing w:line="360" w:lineRule="auto"/>
        <w:ind w:firstLine="480" w:firstLineChars="200"/>
        <w:jc w:val="center"/>
        <w:rPr>
          <w:rFonts w:hint="eastAsia" w:ascii="宋体" w:hAnsi="宋体" w:eastAsia="宋体" w:cs="宋体"/>
          <w:color w:val="auto"/>
          <w:sz w:val="24"/>
          <w:szCs w:val="24"/>
          <w:highlight w:val="none"/>
        </w:rPr>
      </w:pPr>
    </w:p>
    <w:p w14:paraId="46DE1C4C">
      <w:pPr>
        <w:spacing w:line="360" w:lineRule="auto"/>
        <w:ind w:firstLine="480" w:firstLineChars="200"/>
        <w:jc w:val="center"/>
        <w:rPr>
          <w:rFonts w:hint="eastAsia" w:ascii="宋体" w:hAnsi="宋体" w:eastAsia="宋体" w:cs="宋体"/>
          <w:color w:val="auto"/>
          <w:sz w:val="24"/>
          <w:szCs w:val="24"/>
          <w:highlight w:val="none"/>
        </w:rPr>
      </w:pPr>
    </w:p>
    <w:p w14:paraId="6BEAA5BA">
      <w:pPr>
        <w:spacing w:line="360" w:lineRule="auto"/>
        <w:ind w:firstLine="480" w:firstLineChars="200"/>
        <w:jc w:val="center"/>
        <w:rPr>
          <w:rFonts w:hint="eastAsia" w:ascii="宋体" w:hAnsi="宋体" w:eastAsia="宋体" w:cs="宋体"/>
          <w:color w:val="auto"/>
          <w:sz w:val="24"/>
          <w:szCs w:val="24"/>
          <w:highlight w:val="none"/>
        </w:rPr>
      </w:pPr>
    </w:p>
    <w:p w14:paraId="0FC0DD24">
      <w:pPr>
        <w:spacing w:line="360" w:lineRule="auto"/>
        <w:ind w:firstLine="480" w:firstLineChars="200"/>
        <w:jc w:val="center"/>
        <w:rPr>
          <w:rFonts w:hint="eastAsia" w:ascii="宋体" w:hAnsi="宋体" w:eastAsia="宋体" w:cs="宋体"/>
          <w:color w:val="auto"/>
          <w:sz w:val="24"/>
          <w:szCs w:val="24"/>
          <w:highlight w:val="none"/>
        </w:rPr>
      </w:pPr>
    </w:p>
    <w:p w14:paraId="65E33237">
      <w:pPr>
        <w:spacing w:line="360" w:lineRule="auto"/>
        <w:ind w:firstLine="480" w:firstLineChars="200"/>
        <w:jc w:val="center"/>
        <w:rPr>
          <w:rFonts w:hint="eastAsia" w:ascii="宋体" w:hAnsi="宋体" w:eastAsia="宋体" w:cs="宋体"/>
          <w:color w:val="auto"/>
          <w:sz w:val="24"/>
          <w:szCs w:val="24"/>
          <w:highlight w:val="none"/>
        </w:rPr>
      </w:pPr>
    </w:p>
    <w:p w14:paraId="535C2B21">
      <w:pPr>
        <w:spacing w:line="360" w:lineRule="auto"/>
        <w:ind w:firstLine="480" w:firstLineChars="200"/>
        <w:jc w:val="center"/>
        <w:rPr>
          <w:rFonts w:hint="eastAsia" w:ascii="宋体" w:hAnsi="宋体" w:eastAsia="宋体" w:cs="宋体"/>
          <w:color w:val="auto"/>
          <w:sz w:val="24"/>
          <w:szCs w:val="24"/>
          <w:highlight w:val="none"/>
        </w:rPr>
      </w:pPr>
    </w:p>
    <w:p w14:paraId="1BA927CC">
      <w:pPr>
        <w:spacing w:line="360" w:lineRule="auto"/>
        <w:ind w:firstLine="480" w:firstLineChars="200"/>
        <w:jc w:val="center"/>
        <w:rPr>
          <w:rFonts w:hint="eastAsia" w:ascii="宋体" w:hAnsi="宋体" w:eastAsia="宋体" w:cs="宋体"/>
          <w:color w:val="auto"/>
          <w:sz w:val="24"/>
          <w:szCs w:val="24"/>
          <w:highlight w:val="none"/>
        </w:rPr>
      </w:pPr>
    </w:p>
    <w:p w14:paraId="0D2C71E6">
      <w:pPr>
        <w:spacing w:line="360" w:lineRule="auto"/>
        <w:ind w:firstLine="480" w:firstLineChars="200"/>
        <w:jc w:val="center"/>
        <w:rPr>
          <w:rFonts w:hint="eastAsia" w:ascii="宋体" w:hAnsi="宋体" w:eastAsia="宋体" w:cs="宋体"/>
          <w:color w:val="auto"/>
          <w:sz w:val="24"/>
          <w:szCs w:val="24"/>
          <w:highlight w:val="none"/>
        </w:rPr>
      </w:pPr>
    </w:p>
    <w:p w14:paraId="3306EC64">
      <w:pPr>
        <w:spacing w:line="360" w:lineRule="auto"/>
        <w:ind w:firstLine="480" w:firstLineChars="200"/>
        <w:jc w:val="center"/>
        <w:rPr>
          <w:rFonts w:hint="eastAsia" w:ascii="宋体" w:hAnsi="宋体" w:eastAsia="宋体" w:cs="宋体"/>
          <w:color w:val="auto"/>
          <w:sz w:val="24"/>
          <w:szCs w:val="24"/>
          <w:highlight w:val="none"/>
        </w:rPr>
      </w:pPr>
    </w:p>
    <w:p w14:paraId="2B939CD5">
      <w:pPr>
        <w:spacing w:line="360" w:lineRule="auto"/>
        <w:ind w:firstLine="480" w:firstLineChars="200"/>
        <w:jc w:val="center"/>
        <w:rPr>
          <w:rFonts w:hint="eastAsia" w:ascii="宋体" w:hAnsi="宋体" w:eastAsia="宋体" w:cs="宋体"/>
          <w:color w:val="auto"/>
          <w:sz w:val="24"/>
          <w:szCs w:val="24"/>
          <w:highlight w:val="none"/>
        </w:rPr>
      </w:pPr>
    </w:p>
    <w:p w14:paraId="26444CB7">
      <w:pPr>
        <w:spacing w:line="360" w:lineRule="auto"/>
        <w:ind w:firstLine="480" w:firstLineChars="200"/>
        <w:jc w:val="center"/>
        <w:rPr>
          <w:rFonts w:hint="eastAsia" w:ascii="宋体" w:hAnsi="宋体" w:eastAsia="宋体" w:cs="宋体"/>
          <w:color w:val="auto"/>
          <w:sz w:val="24"/>
          <w:szCs w:val="24"/>
          <w:highlight w:val="none"/>
        </w:rPr>
      </w:pPr>
    </w:p>
    <w:p w14:paraId="2BD68082">
      <w:pPr>
        <w:spacing w:line="360" w:lineRule="auto"/>
        <w:ind w:firstLine="480" w:firstLineChars="200"/>
        <w:jc w:val="center"/>
        <w:rPr>
          <w:rFonts w:hint="eastAsia" w:ascii="宋体" w:hAnsi="宋体" w:eastAsia="宋体" w:cs="宋体"/>
          <w:color w:val="auto"/>
          <w:sz w:val="24"/>
          <w:szCs w:val="24"/>
          <w:highlight w:val="none"/>
        </w:rPr>
      </w:pPr>
    </w:p>
    <w:p w14:paraId="05B9B405">
      <w:pPr>
        <w:spacing w:line="360" w:lineRule="auto"/>
        <w:ind w:firstLine="480" w:firstLineChars="200"/>
        <w:jc w:val="center"/>
        <w:outlineLvl w:val="0"/>
        <w:rPr>
          <w:rFonts w:hint="eastAsia" w:ascii="宋体" w:hAnsi="宋体" w:eastAsia="宋体" w:cs="宋体"/>
          <w:color w:val="auto"/>
          <w:highlight w:val="none"/>
        </w:rPr>
      </w:pPr>
      <w:r>
        <w:rPr>
          <w:rFonts w:hint="eastAsia" w:ascii="宋体" w:hAnsi="宋体" w:eastAsia="宋体" w:cs="宋体"/>
          <w:color w:val="auto"/>
          <w:sz w:val="24"/>
          <w:szCs w:val="24"/>
          <w:highlight w:val="none"/>
        </w:rPr>
        <w:t>（结束）</w:t>
      </w:r>
    </w:p>
    <w:p w14:paraId="11B37121">
      <w:pPr>
        <w:pStyle w:val="125"/>
        <w:spacing w:line="20" w:lineRule="atLeast"/>
        <w:jc w:val="center"/>
        <w:rPr>
          <w:rFonts w:hint="eastAsia" w:ascii="宋体" w:hAnsi="宋体" w:eastAsia="宋体" w:cs="宋体"/>
          <w:color w:val="auto"/>
          <w:highlight w:val="none"/>
        </w:rPr>
      </w:pPr>
    </w:p>
    <w:sectPr>
      <w:headerReference r:id="rId12" w:type="default"/>
      <w:footerReference r:id="rId13" w:type="default"/>
      <w:pgSz w:w="11907" w:h="16840"/>
      <w:pgMar w:top="1134" w:right="1191" w:bottom="1134" w:left="1304" w:header="624" w:footer="992" w:gutter="0"/>
      <w:pgNumType w:fmt="decimal"/>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文鼎粗黑">
    <w:altName w:val="黑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CD870">
    <w:pPr>
      <w:pStyle w:val="3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EB358B">
                          <w:pPr>
                            <w:pStyle w:val="3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EB358B">
                    <w:pPr>
                      <w:pStyle w:val="37"/>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3AF80">
    <w:pPr>
      <w:pStyle w:val="37"/>
      <w:framePr w:wrap="around" w:vAnchor="text" w:hAnchor="margin" w:xAlign="center" w:y="1"/>
      <w:rPr>
        <w:rStyle w:val="64"/>
      </w:rPr>
    </w:pPr>
    <w:r>
      <w:fldChar w:fldCharType="begin"/>
    </w:r>
    <w:r>
      <w:rPr>
        <w:rStyle w:val="64"/>
      </w:rPr>
      <w:instrText xml:space="preserve">PAGE  </w:instrText>
    </w:r>
    <w:r>
      <w:fldChar w:fldCharType="end"/>
    </w:r>
  </w:p>
  <w:p w14:paraId="4F2D5356">
    <w:pPr>
      <w:pStyle w:val="3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F3C02">
    <w:pPr>
      <w:pStyle w:val="37"/>
      <w:framePr w:wrap="around" w:vAnchor="text" w:hAnchor="margin" w:xAlign="center" w:y="1"/>
      <w:rPr>
        <w:rStyle w:val="64"/>
      </w:rPr>
    </w:pPr>
  </w:p>
  <w:p w14:paraId="7D7619DE">
    <w:pPr>
      <w:pStyle w:val="37"/>
      <w:jc w:val="center"/>
      <w:rPr>
        <w:rFonts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0BE23">
    <w:pPr>
      <w:pStyle w:val="37"/>
      <w:rPr>
        <w:rFonts w:hint="eastAsia" w:ascii="宋体" w:hAns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5D1B43">
                          <w:pPr>
                            <w:pStyle w:val="37"/>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15D1B43">
                    <w:pPr>
                      <w:pStyle w:val="37"/>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D190A">
    <w:pPr>
      <w:pStyle w:val="37"/>
      <w:framePr w:wrap="around" w:vAnchor="text" w:hAnchor="margin" w:xAlign="center" w:y="1"/>
      <w:rPr>
        <w:rStyle w:val="64"/>
      </w:rPr>
    </w:pPr>
    <w:r>
      <w:fldChar w:fldCharType="begin"/>
    </w:r>
    <w:r>
      <w:rPr>
        <w:rStyle w:val="64"/>
      </w:rPr>
      <w:instrText xml:space="preserve">PAGE  </w:instrText>
    </w:r>
    <w:r>
      <w:fldChar w:fldCharType="separate"/>
    </w:r>
    <w:r>
      <w:fldChar w:fldCharType="end"/>
    </w:r>
  </w:p>
  <w:p w14:paraId="7D0522BF">
    <w:pPr>
      <w:pStyle w:val="37"/>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6A379">
    <w:pPr>
      <w:pStyle w:val="37"/>
      <w:ind w:right="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158A05">
                          <w:pPr>
                            <w:pStyle w:val="3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A158A05">
                    <w:pPr>
                      <w:pStyle w:val="3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A7997F">
    <w:pPr>
      <w:pStyle w:val="37"/>
      <w:rPr>
        <w:rFonts w:ascii="宋体" w:hAnsi="宋体"/>
        <w:sz w:val="13"/>
        <w:szCs w:val="13"/>
      </w:rPr>
    </w:pPr>
    <w:r>
      <w:rPr>
        <w:sz w:val="13"/>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845DFD">
                          <w:pPr>
                            <w:pStyle w:val="3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A845DFD">
                    <w:pPr>
                      <w:pStyle w:val="3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CA6E9">
    <w:pPr>
      <w:pStyle w:val="38"/>
      <w:pBdr>
        <w:bottom w:val="none" w:color="auto" w:sz="0" w:space="1"/>
      </w:pBdr>
      <w:jc w:val="both"/>
      <w:rPr>
        <w:rFonts w:ascii="仿宋" w:hAnsi="仿宋" w:eastAsia="仿宋" w:cs="仿宋"/>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FBEE4">
    <w:pPr>
      <w:pStyle w:val="3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97ACF">
    <w:pPr>
      <w:pStyle w:val="38"/>
      <w:pBdr>
        <w:bottom w:val="none" w:color="auto" w:sz="0" w:space="1"/>
      </w:pBdr>
      <w:jc w:val="both"/>
      <w:rPr>
        <w:rFonts w:ascii="仿宋" w:hAnsi="仿宋" w:eastAsia="仿宋" w:cs="仿宋"/>
        <w:sz w:val="24"/>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097DA">
    <w:pPr>
      <w:pStyle w:val="38"/>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58D2DC"/>
    <w:multiLevelType w:val="singleLevel"/>
    <w:tmpl w:val="D258D2DC"/>
    <w:lvl w:ilvl="0" w:tentative="0">
      <w:start w:val="1"/>
      <w:numFmt w:val="chineseCounting"/>
      <w:suff w:val="nothing"/>
      <w:lvlText w:val="（%1）"/>
      <w:lvlJc w:val="left"/>
      <w:rPr>
        <w:rFonts w:hint="eastAsia"/>
      </w:rPr>
    </w:lvl>
  </w:abstractNum>
  <w:abstractNum w:abstractNumId="1">
    <w:nsid w:val="D5CF5DDE"/>
    <w:multiLevelType w:val="singleLevel"/>
    <w:tmpl w:val="D5CF5DDE"/>
    <w:lvl w:ilvl="0" w:tentative="0">
      <w:start w:val="1"/>
      <w:numFmt w:val="chineseCounting"/>
      <w:suff w:val="nothing"/>
      <w:lvlText w:val="%1、"/>
      <w:lvlJc w:val="left"/>
      <w:rPr>
        <w:rFonts w:hint="eastAsia"/>
      </w:rPr>
    </w:lvl>
  </w:abstractNum>
  <w:abstractNum w:abstractNumId="2">
    <w:nsid w:val="00000009"/>
    <w:multiLevelType w:val="multilevel"/>
    <w:tmpl w:val="00000009"/>
    <w:lvl w:ilvl="0" w:tentative="0">
      <w:start w:val="1"/>
      <w:numFmt w:val="upperLetter"/>
      <w:pStyle w:val="177"/>
      <w:suff w:val="nothing"/>
      <w:lvlText w:val="附　录　%1"/>
      <w:lvlJc w:val="left"/>
      <w:pPr>
        <w:ind w:left="0" w:firstLine="0"/>
      </w:pPr>
      <w:rPr>
        <w:rFonts w:hint="eastAsia" w:ascii="黑体" w:hAnsi="Times New Roman" w:eastAsia="黑体"/>
        <w:b w:val="0"/>
        <w:i w:val="0"/>
        <w:sz w:val="21"/>
      </w:rPr>
    </w:lvl>
    <w:lvl w:ilvl="1" w:tentative="0">
      <w:start w:val="1"/>
      <w:numFmt w:val="decimal"/>
      <w:pStyle w:val="195"/>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0000000A"/>
    <w:multiLevelType w:val="multilevel"/>
    <w:tmpl w:val="0000000A"/>
    <w:lvl w:ilvl="0" w:tentative="0">
      <w:start w:val="1"/>
      <w:numFmt w:val="bullet"/>
      <w:pStyle w:val="168"/>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B"/>
    <w:multiLevelType w:val="singleLevel"/>
    <w:tmpl w:val="0000000B"/>
    <w:lvl w:ilvl="0" w:tentative="0">
      <w:start w:val="1"/>
      <w:numFmt w:val="bullet"/>
      <w:pStyle w:val="184"/>
      <w:lvlText w:val=""/>
      <w:lvlJc w:val="left"/>
      <w:pPr>
        <w:tabs>
          <w:tab w:val="left" w:pos="360"/>
        </w:tabs>
        <w:ind w:left="360" w:hanging="360"/>
      </w:pPr>
      <w:rPr>
        <w:rFonts w:hint="default" w:ascii="Wingdings" w:hAnsi="Wingdings"/>
      </w:rPr>
    </w:lvl>
  </w:abstractNum>
  <w:abstractNum w:abstractNumId="5">
    <w:nsid w:val="0000000D"/>
    <w:multiLevelType w:val="singleLevel"/>
    <w:tmpl w:val="0000000D"/>
    <w:lvl w:ilvl="0" w:tentative="0">
      <w:start w:val="1"/>
      <w:numFmt w:val="bullet"/>
      <w:pStyle w:val="241"/>
      <w:lvlText w:val=""/>
      <w:lvlJc w:val="left"/>
      <w:pPr>
        <w:tabs>
          <w:tab w:val="left" w:pos="1200"/>
        </w:tabs>
        <w:ind w:left="1200" w:hanging="360"/>
      </w:pPr>
      <w:rPr>
        <w:rFonts w:hint="default" w:ascii="Wingdings" w:hAnsi="Wingdings"/>
      </w:rPr>
    </w:lvl>
  </w:abstractNum>
  <w:abstractNum w:abstractNumId="6">
    <w:nsid w:val="0000000E"/>
    <w:multiLevelType w:val="multilevel"/>
    <w:tmpl w:val="0000000E"/>
    <w:lvl w:ilvl="0" w:tentative="0">
      <w:start w:val="1"/>
      <w:numFmt w:val="bullet"/>
      <w:pStyle w:val="145"/>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7">
    <w:nsid w:val="00000010"/>
    <w:multiLevelType w:val="singleLevel"/>
    <w:tmpl w:val="00000010"/>
    <w:lvl w:ilvl="0" w:tentative="0">
      <w:start w:val="1"/>
      <w:numFmt w:val="bullet"/>
      <w:pStyle w:val="176"/>
      <w:lvlText w:val=""/>
      <w:lvlJc w:val="left"/>
      <w:pPr>
        <w:tabs>
          <w:tab w:val="left" w:pos="1620"/>
        </w:tabs>
        <w:ind w:left="1620" w:hanging="360"/>
      </w:pPr>
      <w:rPr>
        <w:rFonts w:hint="default" w:ascii="Wingdings" w:hAnsi="Wingdings"/>
      </w:rPr>
    </w:lvl>
  </w:abstractNum>
  <w:abstractNum w:abstractNumId="8">
    <w:nsid w:val="00000011"/>
    <w:multiLevelType w:val="multilevel"/>
    <w:tmpl w:val="00000011"/>
    <w:lvl w:ilvl="0" w:tentative="0">
      <w:start w:val="1"/>
      <w:numFmt w:val="decimal"/>
      <w:pStyle w:val="206"/>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2"/>
    <w:multiLevelType w:val="multilevel"/>
    <w:tmpl w:val="00000012"/>
    <w:lvl w:ilvl="0" w:tentative="0">
      <w:start w:val="1"/>
      <w:numFmt w:val="bullet"/>
      <w:pStyle w:val="222"/>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3"/>
    <w:multiLevelType w:val="singleLevel"/>
    <w:tmpl w:val="00000013"/>
    <w:lvl w:ilvl="0" w:tentative="0">
      <w:start w:val="1"/>
      <w:numFmt w:val="decimal"/>
      <w:pStyle w:val="13"/>
      <w:lvlText w:val="%1."/>
      <w:lvlJc w:val="left"/>
      <w:pPr>
        <w:tabs>
          <w:tab w:val="left" w:pos="425"/>
        </w:tabs>
        <w:ind w:left="425" w:hanging="425"/>
      </w:pPr>
      <w:rPr>
        <w:rFonts w:hint="default"/>
      </w:rPr>
    </w:lvl>
  </w:abstractNum>
  <w:abstractNum w:abstractNumId="11">
    <w:nsid w:val="00000014"/>
    <w:multiLevelType w:val="singleLevel"/>
    <w:tmpl w:val="00000014"/>
    <w:lvl w:ilvl="0" w:tentative="0">
      <w:start w:val="1"/>
      <w:numFmt w:val="bullet"/>
      <w:pStyle w:val="29"/>
      <w:lvlText w:val=""/>
      <w:lvlJc w:val="left"/>
      <w:pPr>
        <w:tabs>
          <w:tab w:val="left" w:pos="780"/>
        </w:tabs>
        <w:ind w:left="780" w:hanging="360"/>
      </w:pPr>
      <w:rPr>
        <w:rFonts w:hint="default" w:ascii="Wingdings" w:hAnsi="Wingdings"/>
      </w:rPr>
    </w:lvl>
  </w:abstractNum>
  <w:abstractNum w:abstractNumId="12">
    <w:nsid w:val="00000016"/>
    <w:multiLevelType w:val="singleLevel"/>
    <w:tmpl w:val="00000016"/>
    <w:lvl w:ilvl="0" w:tentative="0">
      <w:start w:val="1"/>
      <w:numFmt w:val="decimal"/>
      <w:pStyle w:val="126"/>
      <w:lvlText w:val="%1)"/>
      <w:lvlJc w:val="left"/>
      <w:pPr>
        <w:tabs>
          <w:tab w:val="left" w:pos="425"/>
        </w:tabs>
        <w:ind w:left="425" w:hanging="425"/>
      </w:pPr>
      <w:rPr>
        <w:rFonts w:hint="eastAsia"/>
      </w:rPr>
    </w:lvl>
  </w:abstractNum>
  <w:abstractNum w:abstractNumId="13">
    <w:nsid w:val="00000017"/>
    <w:multiLevelType w:val="multilevel"/>
    <w:tmpl w:val="00000017"/>
    <w:lvl w:ilvl="0" w:tentative="0">
      <w:start w:val="1"/>
      <w:numFmt w:val="chineseCountingThousand"/>
      <w:pStyle w:val="251"/>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99242A5"/>
    <w:multiLevelType w:val="singleLevel"/>
    <w:tmpl w:val="099242A5"/>
    <w:lvl w:ilvl="0" w:tentative="0">
      <w:start w:val="3"/>
      <w:numFmt w:val="chineseCounting"/>
      <w:suff w:val="nothing"/>
      <w:lvlText w:val="（%1）"/>
      <w:lvlJc w:val="left"/>
      <w:rPr>
        <w:rFonts w:hint="eastAsia"/>
      </w:rPr>
    </w:lvl>
  </w:abstractNum>
  <w:abstractNum w:abstractNumId="15">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pStyle w:val="198"/>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10"/>
  </w:num>
  <w:num w:numId="2">
    <w:abstractNumId w:val="11"/>
  </w:num>
  <w:num w:numId="3">
    <w:abstractNumId w:val="12"/>
  </w:num>
  <w:num w:numId="4">
    <w:abstractNumId w:val="6"/>
  </w:num>
  <w:num w:numId="5">
    <w:abstractNumId w:val="3"/>
  </w:num>
  <w:num w:numId="6">
    <w:abstractNumId w:val="7"/>
  </w:num>
  <w:num w:numId="7">
    <w:abstractNumId w:val="2"/>
  </w:num>
  <w:num w:numId="8">
    <w:abstractNumId w:val="4"/>
  </w:num>
  <w:num w:numId="9">
    <w:abstractNumId w:val="15"/>
  </w:num>
  <w:num w:numId="10">
    <w:abstractNumId w:val="8"/>
  </w:num>
  <w:num w:numId="11">
    <w:abstractNumId w:val="9"/>
  </w:num>
  <w:num w:numId="12">
    <w:abstractNumId w:val="5"/>
  </w:num>
  <w:num w:numId="13">
    <w:abstractNumId w:val="13"/>
  </w:num>
  <w:num w:numId="14">
    <w:abstractNumId w:val="1"/>
  </w:num>
  <w:num w:numId="15">
    <w:abstractNumId w:val="14"/>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2ZWE1ZmYwY2M2NmNjNzJmYjAyYjVmMmVmMjlmMTAifQ=="/>
    <w:docVar w:name="KSO_WPS_MARK_KEY" w:val="5a4e6093-900e-4293-bd28-1e429084d3ff"/>
  </w:docVars>
  <w:rsids>
    <w:rsidRoot w:val="00172A27"/>
    <w:rsid w:val="00003626"/>
    <w:rsid w:val="00003672"/>
    <w:rsid w:val="000040DE"/>
    <w:rsid w:val="0000476C"/>
    <w:rsid w:val="00005F84"/>
    <w:rsid w:val="000074B1"/>
    <w:rsid w:val="000075E8"/>
    <w:rsid w:val="00011074"/>
    <w:rsid w:val="000113DE"/>
    <w:rsid w:val="00011B4B"/>
    <w:rsid w:val="00011C5D"/>
    <w:rsid w:val="00016273"/>
    <w:rsid w:val="00016B79"/>
    <w:rsid w:val="00016C0C"/>
    <w:rsid w:val="00017816"/>
    <w:rsid w:val="0002226A"/>
    <w:rsid w:val="00026521"/>
    <w:rsid w:val="000276C2"/>
    <w:rsid w:val="00027C40"/>
    <w:rsid w:val="00027C6B"/>
    <w:rsid w:val="0003258D"/>
    <w:rsid w:val="000359F4"/>
    <w:rsid w:val="0003632F"/>
    <w:rsid w:val="00036348"/>
    <w:rsid w:val="000372E9"/>
    <w:rsid w:val="0004739C"/>
    <w:rsid w:val="0005298B"/>
    <w:rsid w:val="00052BB5"/>
    <w:rsid w:val="0005398D"/>
    <w:rsid w:val="0005417C"/>
    <w:rsid w:val="00056D3D"/>
    <w:rsid w:val="000576E1"/>
    <w:rsid w:val="000577D9"/>
    <w:rsid w:val="00061E4A"/>
    <w:rsid w:val="00063981"/>
    <w:rsid w:val="00066B5A"/>
    <w:rsid w:val="00067704"/>
    <w:rsid w:val="00067945"/>
    <w:rsid w:val="00070F05"/>
    <w:rsid w:val="0007205A"/>
    <w:rsid w:val="00072ED6"/>
    <w:rsid w:val="000745D7"/>
    <w:rsid w:val="00075D20"/>
    <w:rsid w:val="00076322"/>
    <w:rsid w:val="000820FF"/>
    <w:rsid w:val="000834C1"/>
    <w:rsid w:val="00084999"/>
    <w:rsid w:val="00090C5A"/>
    <w:rsid w:val="00091B1C"/>
    <w:rsid w:val="00091D22"/>
    <w:rsid w:val="00091E52"/>
    <w:rsid w:val="00094098"/>
    <w:rsid w:val="000A164E"/>
    <w:rsid w:val="000A1796"/>
    <w:rsid w:val="000A3057"/>
    <w:rsid w:val="000A5D63"/>
    <w:rsid w:val="000A7112"/>
    <w:rsid w:val="000B325F"/>
    <w:rsid w:val="000B42F4"/>
    <w:rsid w:val="000B6731"/>
    <w:rsid w:val="000B7377"/>
    <w:rsid w:val="000B7F54"/>
    <w:rsid w:val="000C41EE"/>
    <w:rsid w:val="000C6553"/>
    <w:rsid w:val="000C6D89"/>
    <w:rsid w:val="000D1A63"/>
    <w:rsid w:val="000D27E3"/>
    <w:rsid w:val="000D3FE2"/>
    <w:rsid w:val="000D7032"/>
    <w:rsid w:val="000D787D"/>
    <w:rsid w:val="000E01C9"/>
    <w:rsid w:val="000E0DD7"/>
    <w:rsid w:val="000E3259"/>
    <w:rsid w:val="000E419D"/>
    <w:rsid w:val="000E5799"/>
    <w:rsid w:val="000E5D2F"/>
    <w:rsid w:val="000F1AEC"/>
    <w:rsid w:val="000F51C2"/>
    <w:rsid w:val="000F7DBF"/>
    <w:rsid w:val="0010014A"/>
    <w:rsid w:val="00100639"/>
    <w:rsid w:val="00105638"/>
    <w:rsid w:val="00107162"/>
    <w:rsid w:val="00111136"/>
    <w:rsid w:val="00111729"/>
    <w:rsid w:val="0011315B"/>
    <w:rsid w:val="00113E0A"/>
    <w:rsid w:val="00115337"/>
    <w:rsid w:val="00116856"/>
    <w:rsid w:val="00116FBF"/>
    <w:rsid w:val="0011780F"/>
    <w:rsid w:val="00120259"/>
    <w:rsid w:val="00121D2F"/>
    <w:rsid w:val="00121E78"/>
    <w:rsid w:val="00122009"/>
    <w:rsid w:val="00122F9D"/>
    <w:rsid w:val="00124B19"/>
    <w:rsid w:val="001266BF"/>
    <w:rsid w:val="00130513"/>
    <w:rsid w:val="00132A86"/>
    <w:rsid w:val="00132DC3"/>
    <w:rsid w:val="00133D16"/>
    <w:rsid w:val="00133E15"/>
    <w:rsid w:val="00134037"/>
    <w:rsid w:val="0013490C"/>
    <w:rsid w:val="00134E3D"/>
    <w:rsid w:val="001351C4"/>
    <w:rsid w:val="00136FB0"/>
    <w:rsid w:val="00142356"/>
    <w:rsid w:val="0014292A"/>
    <w:rsid w:val="00147FB4"/>
    <w:rsid w:val="0015011C"/>
    <w:rsid w:val="00150429"/>
    <w:rsid w:val="00151E5C"/>
    <w:rsid w:val="00152B00"/>
    <w:rsid w:val="00154A1E"/>
    <w:rsid w:val="00157DBF"/>
    <w:rsid w:val="001630FC"/>
    <w:rsid w:val="001673BF"/>
    <w:rsid w:val="00171E05"/>
    <w:rsid w:val="00172A27"/>
    <w:rsid w:val="00172FDE"/>
    <w:rsid w:val="001738A2"/>
    <w:rsid w:val="001757CE"/>
    <w:rsid w:val="00180ACB"/>
    <w:rsid w:val="00183B60"/>
    <w:rsid w:val="00183F9B"/>
    <w:rsid w:val="00186623"/>
    <w:rsid w:val="001879FD"/>
    <w:rsid w:val="00192062"/>
    <w:rsid w:val="00192593"/>
    <w:rsid w:val="00194CF2"/>
    <w:rsid w:val="00197DE0"/>
    <w:rsid w:val="001A2848"/>
    <w:rsid w:val="001A301D"/>
    <w:rsid w:val="001A6DCC"/>
    <w:rsid w:val="001B16EE"/>
    <w:rsid w:val="001B25AF"/>
    <w:rsid w:val="001B3DBD"/>
    <w:rsid w:val="001B4377"/>
    <w:rsid w:val="001C50F0"/>
    <w:rsid w:val="001C7050"/>
    <w:rsid w:val="001C7054"/>
    <w:rsid w:val="001C7351"/>
    <w:rsid w:val="001D2321"/>
    <w:rsid w:val="001D2DCD"/>
    <w:rsid w:val="001D494B"/>
    <w:rsid w:val="001D4F36"/>
    <w:rsid w:val="001D5055"/>
    <w:rsid w:val="001D630C"/>
    <w:rsid w:val="001D7AB6"/>
    <w:rsid w:val="001E1304"/>
    <w:rsid w:val="001E201B"/>
    <w:rsid w:val="001E2873"/>
    <w:rsid w:val="001E5CAC"/>
    <w:rsid w:val="001E6841"/>
    <w:rsid w:val="001E70DC"/>
    <w:rsid w:val="001E71A6"/>
    <w:rsid w:val="001E725F"/>
    <w:rsid w:val="001F1AF7"/>
    <w:rsid w:val="001F2A41"/>
    <w:rsid w:val="001F4964"/>
    <w:rsid w:val="001F4F92"/>
    <w:rsid w:val="001F68E7"/>
    <w:rsid w:val="001F7063"/>
    <w:rsid w:val="00202B04"/>
    <w:rsid w:val="00204936"/>
    <w:rsid w:val="002051CF"/>
    <w:rsid w:val="002100EE"/>
    <w:rsid w:val="00210E74"/>
    <w:rsid w:val="00216B9A"/>
    <w:rsid w:val="0021704D"/>
    <w:rsid w:val="0021749D"/>
    <w:rsid w:val="00222097"/>
    <w:rsid w:val="00224BA8"/>
    <w:rsid w:val="002259EB"/>
    <w:rsid w:val="00227202"/>
    <w:rsid w:val="00227377"/>
    <w:rsid w:val="00227851"/>
    <w:rsid w:val="002279E2"/>
    <w:rsid w:val="002311BE"/>
    <w:rsid w:val="00233BFF"/>
    <w:rsid w:val="002348E0"/>
    <w:rsid w:val="00234984"/>
    <w:rsid w:val="002351C5"/>
    <w:rsid w:val="0023753B"/>
    <w:rsid w:val="00240BD3"/>
    <w:rsid w:val="002426DA"/>
    <w:rsid w:val="00242AB7"/>
    <w:rsid w:val="00244225"/>
    <w:rsid w:val="002452B8"/>
    <w:rsid w:val="002500EF"/>
    <w:rsid w:val="00252F55"/>
    <w:rsid w:val="002537A8"/>
    <w:rsid w:val="00253A6B"/>
    <w:rsid w:val="00253E8A"/>
    <w:rsid w:val="00255F7F"/>
    <w:rsid w:val="002575D8"/>
    <w:rsid w:val="00261CE4"/>
    <w:rsid w:val="0026418D"/>
    <w:rsid w:val="002643C1"/>
    <w:rsid w:val="00265203"/>
    <w:rsid w:val="002670AD"/>
    <w:rsid w:val="0027199E"/>
    <w:rsid w:val="00271D47"/>
    <w:rsid w:val="002721EA"/>
    <w:rsid w:val="0027413A"/>
    <w:rsid w:val="00280E8A"/>
    <w:rsid w:val="00283084"/>
    <w:rsid w:val="002838C3"/>
    <w:rsid w:val="00285156"/>
    <w:rsid w:val="00285164"/>
    <w:rsid w:val="00290F05"/>
    <w:rsid w:val="00292821"/>
    <w:rsid w:val="00294BEC"/>
    <w:rsid w:val="00296713"/>
    <w:rsid w:val="00297B53"/>
    <w:rsid w:val="002A25E7"/>
    <w:rsid w:val="002A4956"/>
    <w:rsid w:val="002A5952"/>
    <w:rsid w:val="002A6710"/>
    <w:rsid w:val="002A77A7"/>
    <w:rsid w:val="002B51B5"/>
    <w:rsid w:val="002B578B"/>
    <w:rsid w:val="002B7904"/>
    <w:rsid w:val="002B7D6E"/>
    <w:rsid w:val="002C2507"/>
    <w:rsid w:val="002C2CC2"/>
    <w:rsid w:val="002C2E6E"/>
    <w:rsid w:val="002C3623"/>
    <w:rsid w:val="002C3ACC"/>
    <w:rsid w:val="002C6C41"/>
    <w:rsid w:val="002C75D0"/>
    <w:rsid w:val="002C7927"/>
    <w:rsid w:val="002D2303"/>
    <w:rsid w:val="002D3098"/>
    <w:rsid w:val="002D5F4A"/>
    <w:rsid w:val="002D7725"/>
    <w:rsid w:val="002F0071"/>
    <w:rsid w:val="002F0ED3"/>
    <w:rsid w:val="002F26D3"/>
    <w:rsid w:val="002F303E"/>
    <w:rsid w:val="002F3DE3"/>
    <w:rsid w:val="002F4ABC"/>
    <w:rsid w:val="002F632E"/>
    <w:rsid w:val="003010D1"/>
    <w:rsid w:val="00302161"/>
    <w:rsid w:val="003021BC"/>
    <w:rsid w:val="0030415A"/>
    <w:rsid w:val="003059F0"/>
    <w:rsid w:val="00305E18"/>
    <w:rsid w:val="00310AF9"/>
    <w:rsid w:val="00314220"/>
    <w:rsid w:val="0031465E"/>
    <w:rsid w:val="00314C0B"/>
    <w:rsid w:val="00315742"/>
    <w:rsid w:val="00316249"/>
    <w:rsid w:val="003163B3"/>
    <w:rsid w:val="00320734"/>
    <w:rsid w:val="00322362"/>
    <w:rsid w:val="00322A7A"/>
    <w:rsid w:val="00325E62"/>
    <w:rsid w:val="00326C5B"/>
    <w:rsid w:val="00341DEB"/>
    <w:rsid w:val="00346A3D"/>
    <w:rsid w:val="00350C20"/>
    <w:rsid w:val="00351616"/>
    <w:rsid w:val="0035412A"/>
    <w:rsid w:val="003548FA"/>
    <w:rsid w:val="00355A74"/>
    <w:rsid w:val="00361427"/>
    <w:rsid w:val="0036458B"/>
    <w:rsid w:val="0036548C"/>
    <w:rsid w:val="00371371"/>
    <w:rsid w:val="00371D2F"/>
    <w:rsid w:val="00373122"/>
    <w:rsid w:val="003733A4"/>
    <w:rsid w:val="00377396"/>
    <w:rsid w:val="0038033A"/>
    <w:rsid w:val="003816ED"/>
    <w:rsid w:val="003828AB"/>
    <w:rsid w:val="003828DA"/>
    <w:rsid w:val="003835DB"/>
    <w:rsid w:val="00384161"/>
    <w:rsid w:val="00386FB1"/>
    <w:rsid w:val="00387610"/>
    <w:rsid w:val="003934A6"/>
    <w:rsid w:val="00395831"/>
    <w:rsid w:val="00395C2F"/>
    <w:rsid w:val="00396304"/>
    <w:rsid w:val="003973D3"/>
    <w:rsid w:val="00397F89"/>
    <w:rsid w:val="003A0892"/>
    <w:rsid w:val="003A449E"/>
    <w:rsid w:val="003A5701"/>
    <w:rsid w:val="003A71F3"/>
    <w:rsid w:val="003A7A91"/>
    <w:rsid w:val="003B19F5"/>
    <w:rsid w:val="003B787B"/>
    <w:rsid w:val="003C0734"/>
    <w:rsid w:val="003C0EF8"/>
    <w:rsid w:val="003D0E0A"/>
    <w:rsid w:val="003D1C64"/>
    <w:rsid w:val="003D3684"/>
    <w:rsid w:val="003D3B22"/>
    <w:rsid w:val="003D4380"/>
    <w:rsid w:val="003D7B3D"/>
    <w:rsid w:val="003E1D18"/>
    <w:rsid w:val="003E2F53"/>
    <w:rsid w:val="003E30AE"/>
    <w:rsid w:val="003E5DE4"/>
    <w:rsid w:val="003F3A99"/>
    <w:rsid w:val="003F55F0"/>
    <w:rsid w:val="003F626F"/>
    <w:rsid w:val="00401C02"/>
    <w:rsid w:val="00402B32"/>
    <w:rsid w:val="004061B4"/>
    <w:rsid w:val="00406DD9"/>
    <w:rsid w:val="00407B9C"/>
    <w:rsid w:val="00410C93"/>
    <w:rsid w:val="00411B4A"/>
    <w:rsid w:val="004134DD"/>
    <w:rsid w:val="0041477F"/>
    <w:rsid w:val="00415A50"/>
    <w:rsid w:val="00417E99"/>
    <w:rsid w:val="00421AF3"/>
    <w:rsid w:val="004227C5"/>
    <w:rsid w:val="00423088"/>
    <w:rsid w:val="00430563"/>
    <w:rsid w:val="004326E4"/>
    <w:rsid w:val="00432B1D"/>
    <w:rsid w:val="00432C60"/>
    <w:rsid w:val="00433249"/>
    <w:rsid w:val="00435C5E"/>
    <w:rsid w:val="00436ECE"/>
    <w:rsid w:val="00443B7E"/>
    <w:rsid w:val="0044758D"/>
    <w:rsid w:val="00447EBD"/>
    <w:rsid w:val="0045120D"/>
    <w:rsid w:val="0045231E"/>
    <w:rsid w:val="00453B8F"/>
    <w:rsid w:val="00460B42"/>
    <w:rsid w:val="004618C1"/>
    <w:rsid w:val="00462878"/>
    <w:rsid w:val="00465B7A"/>
    <w:rsid w:val="00466D7A"/>
    <w:rsid w:val="00467986"/>
    <w:rsid w:val="00470232"/>
    <w:rsid w:val="00472AA2"/>
    <w:rsid w:val="00473B39"/>
    <w:rsid w:val="00474F9B"/>
    <w:rsid w:val="004774DA"/>
    <w:rsid w:val="004818B5"/>
    <w:rsid w:val="00486BA9"/>
    <w:rsid w:val="0049404D"/>
    <w:rsid w:val="00494491"/>
    <w:rsid w:val="004953EC"/>
    <w:rsid w:val="004A0D29"/>
    <w:rsid w:val="004A0DE1"/>
    <w:rsid w:val="004A2410"/>
    <w:rsid w:val="004A27AC"/>
    <w:rsid w:val="004A3995"/>
    <w:rsid w:val="004A7BA2"/>
    <w:rsid w:val="004B2216"/>
    <w:rsid w:val="004B2C62"/>
    <w:rsid w:val="004B7322"/>
    <w:rsid w:val="004B73BC"/>
    <w:rsid w:val="004C1DD0"/>
    <w:rsid w:val="004C4D05"/>
    <w:rsid w:val="004C64E4"/>
    <w:rsid w:val="004D1B31"/>
    <w:rsid w:val="004D2334"/>
    <w:rsid w:val="004D3ED5"/>
    <w:rsid w:val="004D43AC"/>
    <w:rsid w:val="004D4C7A"/>
    <w:rsid w:val="004E156F"/>
    <w:rsid w:val="004E55DB"/>
    <w:rsid w:val="004E67C6"/>
    <w:rsid w:val="004F294F"/>
    <w:rsid w:val="004F78A7"/>
    <w:rsid w:val="004F7BD7"/>
    <w:rsid w:val="004F7C44"/>
    <w:rsid w:val="005004C8"/>
    <w:rsid w:val="0050158F"/>
    <w:rsid w:val="00501E63"/>
    <w:rsid w:val="00502B2F"/>
    <w:rsid w:val="00507659"/>
    <w:rsid w:val="00507C97"/>
    <w:rsid w:val="00511916"/>
    <w:rsid w:val="00512D00"/>
    <w:rsid w:val="00514179"/>
    <w:rsid w:val="00514B0C"/>
    <w:rsid w:val="0051515F"/>
    <w:rsid w:val="00516123"/>
    <w:rsid w:val="005213CE"/>
    <w:rsid w:val="00535D37"/>
    <w:rsid w:val="0053630F"/>
    <w:rsid w:val="00536370"/>
    <w:rsid w:val="00541A48"/>
    <w:rsid w:val="00544BEA"/>
    <w:rsid w:val="005460D5"/>
    <w:rsid w:val="005503B0"/>
    <w:rsid w:val="0055122D"/>
    <w:rsid w:val="00553CF0"/>
    <w:rsid w:val="005542CD"/>
    <w:rsid w:val="00557096"/>
    <w:rsid w:val="005624F3"/>
    <w:rsid w:val="00565750"/>
    <w:rsid w:val="00566A85"/>
    <w:rsid w:val="00570AB1"/>
    <w:rsid w:val="0057127D"/>
    <w:rsid w:val="005717C2"/>
    <w:rsid w:val="005727C4"/>
    <w:rsid w:val="00573AE3"/>
    <w:rsid w:val="00573EA8"/>
    <w:rsid w:val="00583370"/>
    <w:rsid w:val="0058355F"/>
    <w:rsid w:val="00584701"/>
    <w:rsid w:val="00585F00"/>
    <w:rsid w:val="005902D9"/>
    <w:rsid w:val="005907D0"/>
    <w:rsid w:val="00591E34"/>
    <w:rsid w:val="00593259"/>
    <w:rsid w:val="005954E2"/>
    <w:rsid w:val="00596AB7"/>
    <w:rsid w:val="005A16EC"/>
    <w:rsid w:val="005A1D76"/>
    <w:rsid w:val="005A1EA7"/>
    <w:rsid w:val="005A3A8E"/>
    <w:rsid w:val="005A5F58"/>
    <w:rsid w:val="005B0724"/>
    <w:rsid w:val="005B1E46"/>
    <w:rsid w:val="005B2875"/>
    <w:rsid w:val="005B7E66"/>
    <w:rsid w:val="005C0587"/>
    <w:rsid w:val="005C3F4B"/>
    <w:rsid w:val="005C42AC"/>
    <w:rsid w:val="005C4F84"/>
    <w:rsid w:val="005D37D0"/>
    <w:rsid w:val="005D636E"/>
    <w:rsid w:val="005D703E"/>
    <w:rsid w:val="005E2D35"/>
    <w:rsid w:val="005E38DF"/>
    <w:rsid w:val="005E5525"/>
    <w:rsid w:val="005F1360"/>
    <w:rsid w:val="005F7390"/>
    <w:rsid w:val="0060078B"/>
    <w:rsid w:val="006055C2"/>
    <w:rsid w:val="00611E32"/>
    <w:rsid w:val="00613410"/>
    <w:rsid w:val="0061523F"/>
    <w:rsid w:val="00617986"/>
    <w:rsid w:val="00617F02"/>
    <w:rsid w:val="006212A6"/>
    <w:rsid w:val="00621ADA"/>
    <w:rsid w:val="00621C82"/>
    <w:rsid w:val="006238EF"/>
    <w:rsid w:val="00624E6D"/>
    <w:rsid w:val="00627729"/>
    <w:rsid w:val="00627F21"/>
    <w:rsid w:val="0063458A"/>
    <w:rsid w:val="006376A5"/>
    <w:rsid w:val="00637716"/>
    <w:rsid w:val="0064583B"/>
    <w:rsid w:val="00647745"/>
    <w:rsid w:val="00651127"/>
    <w:rsid w:val="0065190C"/>
    <w:rsid w:val="00651BB7"/>
    <w:rsid w:val="00651E63"/>
    <w:rsid w:val="0065370C"/>
    <w:rsid w:val="00653CA1"/>
    <w:rsid w:val="00654A48"/>
    <w:rsid w:val="00654A85"/>
    <w:rsid w:val="00655350"/>
    <w:rsid w:val="0065651B"/>
    <w:rsid w:val="00656B12"/>
    <w:rsid w:val="006571BA"/>
    <w:rsid w:val="00664607"/>
    <w:rsid w:val="00670089"/>
    <w:rsid w:val="006726CF"/>
    <w:rsid w:val="00676E28"/>
    <w:rsid w:val="00680975"/>
    <w:rsid w:val="00680AE4"/>
    <w:rsid w:val="00682205"/>
    <w:rsid w:val="00683496"/>
    <w:rsid w:val="00684E51"/>
    <w:rsid w:val="00686DBD"/>
    <w:rsid w:val="0068726B"/>
    <w:rsid w:val="006916DE"/>
    <w:rsid w:val="00694520"/>
    <w:rsid w:val="00696C07"/>
    <w:rsid w:val="006A100B"/>
    <w:rsid w:val="006A143A"/>
    <w:rsid w:val="006A1D77"/>
    <w:rsid w:val="006A3285"/>
    <w:rsid w:val="006B0567"/>
    <w:rsid w:val="006B5845"/>
    <w:rsid w:val="006B5FA2"/>
    <w:rsid w:val="006B72DE"/>
    <w:rsid w:val="006B763A"/>
    <w:rsid w:val="006C044D"/>
    <w:rsid w:val="006C32C0"/>
    <w:rsid w:val="006C5FC1"/>
    <w:rsid w:val="006C7587"/>
    <w:rsid w:val="006D02A7"/>
    <w:rsid w:val="006D0407"/>
    <w:rsid w:val="006D1572"/>
    <w:rsid w:val="006D44E1"/>
    <w:rsid w:val="006D4899"/>
    <w:rsid w:val="006D5D12"/>
    <w:rsid w:val="006E158D"/>
    <w:rsid w:val="006E21FA"/>
    <w:rsid w:val="006E2B23"/>
    <w:rsid w:val="006E477D"/>
    <w:rsid w:val="006E6D5F"/>
    <w:rsid w:val="006E7E5A"/>
    <w:rsid w:val="006F0FB7"/>
    <w:rsid w:val="006F43A4"/>
    <w:rsid w:val="006F56BC"/>
    <w:rsid w:val="006F5925"/>
    <w:rsid w:val="0070039C"/>
    <w:rsid w:val="00701D7F"/>
    <w:rsid w:val="00702166"/>
    <w:rsid w:val="00702B62"/>
    <w:rsid w:val="00704569"/>
    <w:rsid w:val="00704E5D"/>
    <w:rsid w:val="00705739"/>
    <w:rsid w:val="00707482"/>
    <w:rsid w:val="00710AE5"/>
    <w:rsid w:val="00714BF1"/>
    <w:rsid w:val="00715BCB"/>
    <w:rsid w:val="00715EFF"/>
    <w:rsid w:val="00715FB5"/>
    <w:rsid w:val="007171A6"/>
    <w:rsid w:val="0071799D"/>
    <w:rsid w:val="007207A3"/>
    <w:rsid w:val="00725EC7"/>
    <w:rsid w:val="00726088"/>
    <w:rsid w:val="007265EE"/>
    <w:rsid w:val="00726EC5"/>
    <w:rsid w:val="00730B6A"/>
    <w:rsid w:val="0073104E"/>
    <w:rsid w:val="0073172B"/>
    <w:rsid w:val="007346CC"/>
    <w:rsid w:val="00735B8B"/>
    <w:rsid w:val="00736044"/>
    <w:rsid w:val="0073652A"/>
    <w:rsid w:val="00736BAB"/>
    <w:rsid w:val="00736D88"/>
    <w:rsid w:val="00736DD2"/>
    <w:rsid w:val="00740EC7"/>
    <w:rsid w:val="0074681C"/>
    <w:rsid w:val="00746EC2"/>
    <w:rsid w:val="00756540"/>
    <w:rsid w:val="00757E02"/>
    <w:rsid w:val="00765C58"/>
    <w:rsid w:val="00772FBC"/>
    <w:rsid w:val="0077305F"/>
    <w:rsid w:val="00777E5B"/>
    <w:rsid w:val="00787FCA"/>
    <w:rsid w:val="00790B21"/>
    <w:rsid w:val="00794382"/>
    <w:rsid w:val="007959AC"/>
    <w:rsid w:val="007A0CDD"/>
    <w:rsid w:val="007A20E0"/>
    <w:rsid w:val="007A2F11"/>
    <w:rsid w:val="007B2204"/>
    <w:rsid w:val="007B4B60"/>
    <w:rsid w:val="007B6BEB"/>
    <w:rsid w:val="007C17F1"/>
    <w:rsid w:val="007C4014"/>
    <w:rsid w:val="007C62A7"/>
    <w:rsid w:val="007C6B0F"/>
    <w:rsid w:val="007C7521"/>
    <w:rsid w:val="007D13CB"/>
    <w:rsid w:val="007D47A4"/>
    <w:rsid w:val="007D5365"/>
    <w:rsid w:val="007D763D"/>
    <w:rsid w:val="007D7A44"/>
    <w:rsid w:val="007D7E65"/>
    <w:rsid w:val="007D7F69"/>
    <w:rsid w:val="007E19E0"/>
    <w:rsid w:val="007E2EAF"/>
    <w:rsid w:val="007E4B1A"/>
    <w:rsid w:val="007E78B4"/>
    <w:rsid w:val="007F0DFA"/>
    <w:rsid w:val="007F2C4F"/>
    <w:rsid w:val="007F411F"/>
    <w:rsid w:val="008041D4"/>
    <w:rsid w:val="0081156A"/>
    <w:rsid w:val="00812C9B"/>
    <w:rsid w:val="00813391"/>
    <w:rsid w:val="00822F03"/>
    <w:rsid w:val="00825D43"/>
    <w:rsid w:val="00827398"/>
    <w:rsid w:val="00830FAD"/>
    <w:rsid w:val="00834ABA"/>
    <w:rsid w:val="00835672"/>
    <w:rsid w:val="00842974"/>
    <w:rsid w:val="00842BB3"/>
    <w:rsid w:val="00842F87"/>
    <w:rsid w:val="008470B8"/>
    <w:rsid w:val="008517D1"/>
    <w:rsid w:val="008521A5"/>
    <w:rsid w:val="0085550A"/>
    <w:rsid w:val="008564B7"/>
    <w:rsid w:val="00857795"/>
    <w:rsid w:val="0086008B"/>
    <w:rsid w:val="008616EF"/>
    <w:rsid w:val="00862EF1"/>
    <w:rsid w:val="00863C25"/>
    <w:rsid w:val="00863CCF"/>
    <w:rsid w:val="008641B7"/>
    <w:rsid w:val="00864DC1"/>
    <w:rsid w:val="00866A28"/>
    <w:rsid w:val="008705BC"/>
    <w:rsid w:val="00875098"/>
    <w:rsid w:val="00875A42"/>
    <w:rsid w:val="008817B8"/>
    <w:rsid w:val="008904A8"/>
    <w:rsid w:val="00891D94"/>
    <w:rsid w:val="00895C23"/>
    <w:rsid w:val="008A19AF"/>
    <w:rsid w:val="008A1BDB"/>
    <w:rsid w:val="008A20FB"/>
    <w:rsid w:val="008A34D7"/>
    <w:rsid w:val="008A42CD"/>
    <w:rsid w:val="008A77DF"/>
    <w:rsid w:val="008B3885"/>
    <w:rsid w:val="008B479C"/>
    <w:rsid w:val="008B656A"/>
    <w:rsid w:val="008C2749"/>
    <w:rsid w:val="008C2CDC"/>
    <w:rsid w:val="008C3A07"/>
    <w:rsid w:val="008C4C84"/>
    <w:rsid w:val="008C510F"/>
    <w:rsid w:val="008C7C27"/>
    <w:rsid w:val="008D067F"/>
    <w:rsid w:val="008D4FAD"/>
    <w:rsid w:val="008D599A"/>
    <w:rsid w:val="008E510A"/>
    <w:rsid w:val="008E66B8"/>
    <w:rsid w:val="008E7F09"/>
    <w:rsid w:val="008F0A2E"/>
    <w:rsid w:val="008F1988"/>
    <w:rsid w:val="008F5FFF"/>
    <w:rsid w:val="008F6252"/>
    <w:rsid w:val="008F7095"/>
    <w:rsid w:val="00901772"/>
    <w:rsid w:val="009023F3"/>
    <w:rsid w:val="0090383C"/>
    <w:rsid w:val="00910AE5"/>
    <w:rsid w:val="00912132"/>
    <w:rsid w:val="00914E7A"/>
    <w:rsid w:val="00921161"/>
    <w:rsid w:val="00922FAD"/>
    <w:rsid w:val="0092306E"/>
    <w:rsid w:val="00923FFD"/>
    <w:rsid w:val="00924F0A"/>
    <w:rsid w:val="00925FA0"/>
    <w:rsid w:val="00926157"/>
    <w:rsid w:val="00926576"/>
    <w:rsid w:val="0092708B"/>
    <w:rsid w:val="0093049D"/>
    <w:rsid w:val="00937713"/>
    <w:rsid w:val="009410B7"/>
    <w:rsid w:val="009460FF"/>
    <w:rsid w:val="0094759E"/>
    <w:rsid w:val="00947BE4"/>
    <w:rsid w:val="00950969"/>
    <w:rsid w:val="00954083"/>
    <w:rsid w:val="0095455E"/>
    <w:rsid w:val="0095547F"/>
    <w:rsid w:val="00957C46"/>
    <w:rsid w:val="009614A0"/>
    <w:rsid w:val="00961AA5"/>
    <w:rsid w:val="00962BF1"/>
    <w:rsid w:val="00966820"/>
    <w:rsid w:val="00971E57"/>
    <w:rsid w:val="009723CF"/>
    <w:rsid w:val="0097652A"/>
    <w:rsid w:val="00980037"/>
    <w:rsid w:val="00983B43"/>
    <w:rsid w:val="009845A7"/>
    <w:rsid w:val="009854F7"/>
    <w:rsid w:val="00985FCA"/>
    <w:rsid w:val="0098619D"/>
    <w:rsid w:val="00990D8C"/>
    <w:rsid w:val="009916B7"/>
    <w:rsid w:val="00991B37"/>
    <w:rsid w:val="009965AD"/>
    <w:rsid w:val="00997D03"/>
    <w:rsid w:val="009A000A"/>
    <w:rsid w:val="009A140C"/>
    <w:rsid w:val="009A270D"/>
    <w:rsid w:val="009A3612"/>
    <w:rsid w:val="009A4B2B"/>
    <w:rsid w:val="009A54D7"/>
    <w:rsid w:val="009A6496"/>
    <w:rsid w:val="009B2DE9"/>
    <w:rsid w:val="009C12CA"/>
    <w:rsid w:val="009C149E"/>
    <w:rsid w:val="009C17F8"/>
    <w:rsid w:val="009C3010"/>
    <w:rsid w:val="009C3034"/>
    <w:rsid w:val="009C57D3"/>
    <w:rsid w:val="009C7522"/>
    <w:rsid w:val="009D0FDD"/>
    <w:rsid w:val="009D3162"/>
    <w:rsid w:val="009D3181"/>
    <w:rsid w:val="009D586B"/>
    <w:rsid w:val="009D626A"/>
    <w:rsid w:val="009D70FB"/>
    <w:rsid w:val="009E1803"/>
    <w:rsid w:val="009E1C44"/>
    <w:rsid w:val="009E2153"/>
    <w:rsid w:val="009E4A4C"/>
    <w:rsid w:val="009E594A"/>
    <w:rsid w:val="009E5F18"/>
    <w:rsid w:val="009E6D82"/>
    <w:rsid w:val="009E717E"/>
    <w:rsid w:val="009E737D"/>
    <w:rsid w:val="009F0F6A"/>
    <w:rsid w:val="009F5F20"/>
    <w:rsid w:val="009F6F0C"/>
    <w:rsid w:val="00A03977"/>
    <w:rsid w:val="00A10C6A"/>
    <w:rsid w:val="00A12A3A"/>
    <w:rsid w:val="00A130AA"/>
    <w:rsid w:val="00A1340F"/>
    <w:rsid w:val="00A13E12"/>
    <w:rsid w:val="00A15281"/>
    <w:rsid w:val="00A22646"/>
    <w:rsid w:val="00A230F5"/>
    <w:rsid w:val="00A26FF7"/>
    <w:rsid w:val="00A30230"/>
    <w:rsid w:val="00A31363"/>
    <w:rsid w:val="00A37A20"/>
    <w:rsid w:val="00A4348E"/>
    <w:rsid w:val="00A445DC"/>
    <w:rsid w:val="00A44BEA"/>
    <w:rsid w:val="00A455FE"/>
    <w:rsid w:val="00A4566E"/>
    <w:rsid w:val="00A50CC8"/>
    <w:rsid w:val="00A51253"/>
    <w:rsid w:val="00A52F5E"/>
    <w:rsid w:val="00A530D3"/>
    <w:rsid w:val="00A543FC"/>
    <w:rsid w:val="00A55B14"/>
    <w:rsid w:val="00A56841"/>
    <w:rsid w:val="00A569E8"/>
    <w:rsid w:val="00A57FAF"/>
    <w:rsid w:val="00A601C4"/>
    <w:rsid w:val="00A62C1D"/>
    <w:rsid w:val="00A647E8"/>
    <w:rsid w:val="00A711C6"/>
    <w:rsid w:val="00A715DC"/>
    <w:rsid w:val="00A73ED0"/>
    <w:rsid w:val="00A831ED"/>
    <w:rsid w:val="00A839D5"/>
    <w:rsid w:val="00A84408"/>
    <w:rsid w:val="00A84863"/>
    <w:rsid w:val="00A84AAF"/>
    <w:rsid w:val="00A86A72"/>
    <w:rsid w:val="00A9064A"/>
    <w:rsid w:val="00A94259"/>
    <w:rsid w:val="00A95D95"/>
    <w:rsid w:val="00A977EC"/>
    <w:rsid w:val="00AA3FD1"/>
    <w:rsid w:val="00AA5141"/>
    <w:rsid w:val="00AA52DE"/>
    <w:rsid w:val="00AA5523"/>
    <w:rsid w:val="00AA5B09"/>
    <w:rsid w:val="00AB11B3"/>
    <w:rsid w:val="00AB5C37"/>
    <w:rsid w:val="00AB5ED3"/>
    <w:rsid w:val="00AB6B0C"/>
    <w:rsid w:val="00AB70CD"/>
    <w:rsid w:val="00AB7AFC"/>
    <w:rsid w:val="00AB7EFE"/>
    <w:rsid w:val="00AC0153"/>
    <w:rsid w:val="00AC4898"/>
    <w:rsid w:val="00AC48B3"/>
    <w:rsid w:val="00AC7333"/>
    <w:rsid w:val="00AC7AC9"/>
    <w:rsid w:val="00AD29E5"/>
    <w:rsid w:val="00AD387D"/>
    <w:rsid w:val="00AD412F"/>
    <w:rsid w:val="00AD7A01"/>
    <w:rsid w:val="00AE1920"/>
    <w:rsid w:val="00AF01B3"/>
    <w:rsid w:val="00AF0F13"/>
    <w:rsid w:val="00AF1E76"/>
    <w:rsid w:val="00AF3BB8"/>
    <w:rsid w:val="00AF582F"/>
    <w:rsid w:val="00AF7992"/>
    <w:rsid w:val="00B00AB3"/>
    <w:rsid w:val="00B041E4"/>
    <w:rsid w:val="00B100B0"/>
    <w:rsid w:val="00B102A1"/>
    <w:rsid w:val="00B11266"/>
    <w:rsid w:val="00B12F22"/>
    <w:rsid w:val="00B14C52"/>
    <w:rsid w:val="00B1648A"/>
    <w:rsid w:val="00B200AA"/>
    <w:rsid w:val="00B2010B"/>
    <w:rsid w:val="00B20407"/>
    <w:rsid w:val="00B24478"/>
    <w:rsid w:val="00B24669"/>
    <w:rsid w:val="00B2488E"/>
    <w:rsid w:val="00B24D77"/>
    <w:rsid w:val="00B25EB3"/>
    <w:rsid w:val="00B27E86"/>
    <w:rsid w:val="00B30F32"/>
    <w:rsid w:val="00B310AA"/>
    <w:rsid w:val="00B33DC3"/>
    <w:rsid w:val="00B343F5"/>
    <w:rsid w:val="00B35AD9"/>
    <w:rsid w:val="00B40B6C"/>
    <w:rsid w:val="00B40F3B"/>
    <w:rsid w:val="00B414F1"/>
    <w:rsid w:val="00B418EF"/>
    <w:rsid w:val="00B478C3"/>
    <w:rsid w:val="00B504BC"/>
    <w:rsid w:val="00B52715"/>
    <w:rsid w:val="00B55E04"/>
    <w:rsid w:val="00B5720F"/>
    <w:rsid w:val="00B57330"/>
    <w:rsid w:val="00B60598"/>
    <w:rsid w:val="00B60B09"/>
    <w:rsid w:val="00B60EF6"/>
    <w:rsid w:val="00B61348"/>
    <w:rsid w:val="00B6263F"/>
    <w:rsid w:val="00B6296D"/>
    <w:rsid w:val="00B67114"/>
    <w:rsid w:val="00B734CB"/>
    <w:rsid w:val="00B7521D"/>
    <w:rsid w:val="00B75449"/>
    <w:rsid w:val="00B76BFF"/>
    <w:rsid w:val="00B7754B"/>
    <w:rsid w:val="00B81284"/>
    <w:rsid w:val="00B81DB1"/>
    <w:rsid w:val="00B85BCB"/>
    <w:rsid w:val="00B87611"/>
    <w:rsid w:val="00B878A8"/>
    <w:rsid w:val="00B92F44"/>
    <w:rsid w:val="00B97A77"/>
    <w:rsid w:val="00B97CB5"/>
    <w:rsid w:val="00BA29D8"/>
    <w:rsid w:val="00BA527C"/>
    <w:rsid w:val="00BA6285"/>
    <w:rsid w:val="00BA7F6B"/>
    <w:rsid w:val="00BB1713"/>
    <w:rsid w:val="00BB17AE"/>
    <w:rsid w:val="00BB4B99"/>
    <w:rsid w:val="00BB55DE"/>
    <w:rsid w:val="00BB6E44"/>
    <w:rsid w:val="00BB7494"/>
    <w:rsid w:val="00BC0206"/>
    <w:rsid w:val="00BC2390"/>
    <w:rsid w:val="00BC70B4"/>
    <w:rsid w:val="00BC775D"/>
    <w:rsid w:val="00BD3302"/>
    <w:rsid w:val="00BD5A75"/>
    <w:rsid w:val="00BD6780"/>
    <w:rsid w:val="00BE07A9"/>
    <w:rsid w:val="00BE1C12"/>
    <w:rsid w:val="00BE2E36"/>
    <w:rsid w:val="00BE4D8F"/>
    <w:rsid w:val="00BE5349"/>
    <w:rsid w:val="00BE6930"/>
    <w:rsid w:val="00BF2141"/>
    <w:rsid w:val="00BF2C4F"/>
    <w:rsid w:val="00BF3086"/>
    <w:rsid w:val="00BF46A7"/>
    <w:rsid w:val="00BF5230"/>
    <w:rsid w:val="00BF6404"/>
    <w:rsid w:val="00C00289"/>
    <w:rsid w:val="00C1090C"/>
    <w:rsid w:val="00C113DC"/>
    <w:rsid w:val="00C20BEA"/>
    <w:rsid w:val="00C229E8"/>
    <w:rsid w:val="00C240C8"/>
    <w:rsid w:val="00C26513"/>
    <w:rsid w:val="00C26D55"/>
    <w:rsid w:val="00C328C9"/>
    <w:rsid w:val="00C3366E"/>
    <w:rsid w:val="00C35B0D"/>
    <w:rsid w:val="00C35BA8"/>
    <w:rsid w:val="00C36B5B"/>
    <w:rsid w:val="00C37F72"/>
    <w:rsid w:val="00C41DFE"/>
    <w:rsid w:val="00C420C1"/>
    <w:rsid w:val="00C43FEE"/>
    <w:rsid w:val="00C45963"/>
    <w:rsid w:val="00C46B50"/>
    <w:rsid w:val="00C471BC"/>
    <w:rsid w:val="00C472B8"/>
    <w:rsid w:val="00C505E4"/>
    <w:rsid w:val="00C529FD"/>
    <w:rsid w:val="00C53124"/>
    <w:rsid w:val="00C53B2E"/>
    <w:rsid w:val="00C56961"/>
    <w:rsid w:val="00C573AA"/>
    <w:rsid w:val="00C57FD0"/>
    <w:rsid w:val="00C6160A"/>
    <w:rsid w:val="00C626B9"/>
    <w:rsid w:val="00C65711"/>
    <w:rsid w:val="00C74EF6"/>
    <w:rsid w:val="00C758F7"/>
    <w:rsid w:val="00C75C9C"/>
    <w:rsid w:val="00C76ECD"/>
    <w:rsid w:val="00C82883"/>
    <w:rsid w:val="00C82DE1"/>
    <w:rsid w:val="00C84E04"/>
    <w:rsid w:val="00C87582"/>
    <w:rsid w:val="00C87D18"/>
    <w:rsid w:val="00C910BE"/>
    <w:rsid w:val="00C91EB8"/>
    <w:rsid w:val="00C922BE"/>
    <w:rsid w:val="00C93D9D"/>
    <w:rsid w:val="00C97722"/>
    <w:rsid w:val="00CA1C37"/>
    <w:rsid w:val="00CA1E23"/>
    <w:rsid w:val="00CA583F"/>
    <w:rsid w:val="00CA5844"/>
    <w:rsid w:val="00CA7415"/>
    <w:rsid w:val="00CA7D7E"/>
    <w:rsid w:val="00CB265C"/>
    <w:rsid w:val="00CB32BC"/>
    <w:rsid w:val="00CB4540"/>
    <w:rsid w:val="00CB6CFA"/>
    <w:rsid w:val="00CB7A07"/>
    <w:rsid w:val="00CC0E5B"/>
    <w:rsid w:val="00CC59BB"/>
    <w:rsid w:val="00CC5A52"/>
    <w:rsid w:val="00CC5CAF"/>
    <w:rsid w:val="00CD01DD"/>
    <w:rsid w:val="00CD3BD4"/>
    <w:rsid w:val="00CD5DFA"/>
    <w:rsid w:val="00CD635D"/>
    <w:rsid w:val="00CD6DEE"/>
    <w:rsid w:val="00CD7CED"/>
    <w:rsid w:val="00CE04C7"/>
    <w:rsid w:val="00CE3E40"/>
    <w:rsid w:val="00CE54A3"/>
    <w:rsid w:val="00CE6124"/>
    <w:rsid w:val="00CF0E25"/>
    <w:rsid w:val="00CF156B"/>
    <w:rsid w:val="00CF1E02"/>
    <w:rsid w:val="00CF5056"/>
    <w:rsid w:val="00CF597A"/>
    <w:rsid w:val="00D0103F"/>
    <w:rsid w:val="00D0480E"/>
    <w:rsid w:val="00D04DD8"/>
    <w:rsid w:val="00D05BAA"/>
    <w:rsid w:val="00D05C49"/>
    <w:rsid w:val="00D05DDC"/>
    <w:rsid w:val="00D06BC8"/>
    <w:rsid w:val="00D06E7F"/>
    <w:rsid w:val="00D07904"/>
    <w:rsid w:val="00D07F26"/>
    <w:rsid w:val="00D10F16"/>
    <w:rsid w:val="00D11A09"/>
    <w:rsid w:val="00D13B7A"/>
    <w:rsid w:val="00D1648C"/>
    <w:rsid w:val="00D1725B"/>
    <w:rsid w:val="00D1788E"/>
    <w:rsid w:val="00D226DA"/>
    <w:rsid w:val="00D22C4B"/>
    <w:rsid w:val="00D230C7"/>
    <w:rsid w:val="00D23E7D"/>
    <w:rsid w:val="00D2405F"/>
    <w:rsid w:val="00D25F38"/>
    <w:rsid w:val="00D30C7F"/>
    <w:rsid w:val="00D3280B"/>
    <w:rsid w:val="00D358A0"/>
    <w:rsid w:val="00D36B58"/>
    <w:rsid w:val="00D37735"/>
    <w:rsid w:val="00D40324"/>
    <w:rsid w:val="00D41BA9"/>
    <w:rsid w:val="00D429B6"/>
    <w:rsid w:val="00D4511A"/>
    <w:rsid w:val="00D50ED7"/>
    <w:rsid w:val="00D52376"/>
    <w:rsid w:val="00D54487"/>
    <w:rsid w:val="00D55000"/>
    <w:rsid w:val="00D606EF"/>
    <w:rsid w:val="00D612C2"/>
    <w:rsid w:val="00D61FE1"/>
    <w:rsid w:val="00D62AF2"/>
    <w:rsid w:val="00D66427"/>
    <w:rsid w:val="00D745E0"/>
    <w:rsid w:val="00D7537C"/>
    <w:rsid w:val="00D76AA3"/>
    <w:rsid w:val="00D80136"/>
    <w:rsid w:val="00D80604"/>
    <w:rsid w:val="00D841D8"/>
    <w:rsid w:val="00D86F6B"/>
    <w:rsid w:val="00D870DF"/>
    <w:rsid w:val="00D87346"/>
    <w:rsid w:val="00D92475"/>
    <w:rsid w:val="00D9459D"/>
    <w:rsid w:val="00D9706F"/>
    <w:rsid w:val="00DA0040"/>
    <w:rsid w:val="00DA086B"/>
    <w:rsid w:val="00DA1D7A"/>
    <w:rsid w:val="00DA58A4"/>
    <w:rsid w:val="00DA5DF4"/>
    <w:rsid w:val="00DA6834"/>
    <w:rsid w:val="00DA6CBB"/>
    <w:rsid w:val="00DA7145"/>
    <w:rsid w:val="00DA7D6B"/>
    <w:rsid w:val="00DA7E05"/>
    <w:rsid w:val="00DB283F"/>
    <w:rsid w:val="00DB2B45"/>
    <w:rsid w:val="00DB4794"/>
    <w:rsid w:val="00DB5C3E"/>
    <w:rsid w:val="00DB628E"/>
    <w:rsid w:val="00DB6F22"/>
    <w:rsid w:val="00DC27D8"/>
    <w:rsid w:val="00DD26CF"/>
    <w:rsid w:val="00DD2E2D"/>
    <w:rsid w:val="00DD6473"/>
    <w:rsid w:val="00DE1E39"/>
    <w:rsid w:val="00DE20B3"/>
    <w:rsid w:val="00DE2DC1"/>
    <w:rsid w:val="00DE4B64"/>
    <w:rsid w:val="00DE79FC"/>
    <w:rsid w:val="00DF1710"/>
    <w:rsid w:val="00DF3959"/>
    <w:rsid w:val="00DF47D6"/>
    <w:rsid w:val="00DF4D5A"/>
    <w:rsid w:val="00DF5425"/>
    <w:rsid w:val="00DF782C"/>
    <w:rsid w:val="00E030A0"/>
    <w:rsid w:val="00E04F16"/>
    <w:rsid w:val="00E075A1"/>
    <w:rsid w:val="00E124E3"/>
    <w:rsid w:val="00E133F1"/>
    <w:rsid w:val="00E14812"/>
    <w:rsid w:val="00E15231"/>
    <w:rsid w:val="00E15DDE"/>
    <w:rsid w:val="00E17B01"/>
    <w:rsid w:val="00E2025E"/>
    <w:rsid w:val="00E2339E"/>
    <w:rsid w:val="00E23619"/>
    <w:rsid w:val="00E257A7"/>
    <w:rsid w:val="00E26B15"/>
    <w:rsid w:val="00E3245B"/>
    <w:rsid w:val="00E32DCD"/>
    <w:rsid w:val="00E3369C"/>
    <w:rsid w:val="00E33FF6"/>
    <w:rsid w:val="00E37025"/>
    <w:rsid w:val="00E3707B"/>
    <w:rsid w:val="00E373EE"/>
    <w:rsid w:val="00E43307"/>
    <w:rsid w:val="00E43BCD"/>
    <w:rsid w:val="00E43FB8"/>
    <w:rsid w:val="00E46895"/>
    <w:rsid w:val="00E46D1B"/>
    <w:rsid w:val="00E50685"/>
    <w:rsid w:val="00E5286D"/>
    <w:rsid w:val="00E53EFD"/>
    <w:rsid w:val="00E57F6B"/>
    <w:rsid w:val="00E6234F"/>
    <w:rsid w:val="00E62E89"/>
    <w:rsid w:val="00E67AC7"/>
    <w:rsid w:val="00E67DEC"/>
    <w:rsid w:val="00E7076B"/>
    <w:rsid w:val="00E720F4"/>
    <w:rsid w:val="00E7342C"/>
    <w:rsid w:val="00E736F7"/>
    <w:rsid w:val="00E753F9"/>
    <w:rsid w:val="00E75D8A"/>
    <w:rsid w:val="00E76363"/>
    <w:rsid w:val="00E772B5"/>
    <w:rsid w:val="00E77C78"/>
    <w:rsid w:val="00E80322"/>
    <w:rsid w:val="00E84914"/>
    <w:rsid w:val="00E84D0F"/>
    <w:rsid w:val="00E87D31"/>
    <w:rsid w:val="00E9075E"/>
    <w:rsid w:val="00E90BE3"/>
    <w:rsid w:val="00E91D81"/>
    <w:rsid w:val="00E92BC2"/>
    <w:rsid w:val="00E931E9"/>
    <w:rsid w:val="00E96097"/>
    <w:rsid w:val="00E9687B"/>
    <w:rsid w:val="00E97617"/>
    <w:rsid w:val="00EA010E"/>
    <w:rsid w:val="00EA5B63"/>
    <w:rsid w:val="00EA5E18"/>
    <w:rsid w:val="00EA6242"/>
    <w:rsid w:val="00EB1E33"/>
    <w:rsid w:val="00EB700A"/>
    <w:rsid w:val="00EC06D9"/>
    <w:rsid w:val="00EC0881"/>
    <w:rsid w:val="00EC1CF8"/>
    <w:rsid w:val="00EC36E4"/>
    <w:rsid w:val="00EC6F18"/>
    <w:rsid w:val="00EE1099"/>
    <w:rsid w:val="00EE1C19"/>
    <w:rsid w:val="00EF027D"/>
    <w:rsid w:val="00EF6D51"/>
    <w:rsid w:val="00F00BE8"/>
    <w:rsid w:val="00F018DF"/>
    <w:rsid w:val="00F0650A"/>
    <w:rsid w:val="00F06825"/>
    <w:rsid w:val="00F16313"/>
    <w:rsid w:val="00F16AED"/>
    <w:rsid w:val="00F20FF1"/>
    <w:rsid w:val="00F27592"/>
    <w:rsid w:val="00F27654"/>
    <w:rsid w:val="00F3217B"/>
    <w:rsid w:val="00F32641"/>
    <w:rsid w:val="00F349B9"/>
    <w:rsid w:val="00F35395"/>
    <w:rsid w:val="00F35457"/>
    <w:rsid w:val="00F3595B"/>
    <w:rsid w:val="00F367F3"/>
    <w:rsid w:val="00F36A26"/>
    <w:rsid w:val="00F41F54"/>
    <w:rsid w:val="00F426A6"/>
    <w:rsid w:val="00F429FD"/>
    <w:rsid w:val="00F430B1"/>
    <w:rsid w:val="00F4623C"/>
    <w:rsid w:val="00F5454A"/>
    <w:rsid w:val="00F54ECE"/>
    <w:rsid w:val="00F56399"/>
    <w:rsid w:val="00F57470"/>
    <w:rsid w:val="00F614F8"/>
    <w:rsid w:val="00F62561"/>
    <w:rsid w:val="00F62CAC"/>
    <w:rsid w:val="00F640D6"/>
    <w:rsid w:val="00F6688E"/>
    <w:rsid w:val="00F73226"/>
    <w:rsid w:val="00F7709C"/>
    <w:rsid w:val="00F7750A"/>
    <w:rsid w:val="00F80006"/>
    <w:rsid w:val="00F80084"/>
    <w:rsid w:val="00F811C7"/>
    <w:rsid w:val="00F81700"/>
    <w:rsid w:val="00F8286C"/>
    <w:rsid w:val="00F905AD"/>
    <w:rsid w:val="00F906FC"/>
    <w:rsid w:val="00F91B07"/>
    <w:rsid w:val="00F92665"/>
    <w:rsid w:val="00F92C65"/>
    <w:rsid w:val="00F9424E"/>
    <w:rsid w:val="00F95676"/>
    <w:rsid w:val="00F95A80"/>
    <w:rsid w:val="00F96401"/>
    <w:rsid w:val="00FA3F8B"/>
    <w:rsid w:val="00FA5808"/>
    <w:rsid w:val="00FA767D"/>
    <w:rsid w:val="00FB10C5"/>
    <w:rsid w:val="00FB5358"/>
    <w:rsid w:val="00FC3C96"/>
    <w:rsid w:val="00FC4EC2"/>
    <w:rsid w:val="00FC50C3"/>
    <w:rsid w:val="00FC63AB"/>
    <w:rsid w:val="00FC7633"/>
    <w:rsid w:val="00FD2470"/>
    <w:rsid w:val="00FD56E5"/>
    <w:rsid w:val="00FD5823"/>
    <w:rsid w:val="00FD5829"/>
    <w:rsid w:val="00FD5983"/>
    <w:rsid w:val="00FD6716"/>
    <w:rsid w:val="00FD6DD9"/>
    <w:rsid w:val="00FD7FD9"/>
    <w:rsid w:val="00FE1C27"/>
    <w:rsid w:val="00FE1CF1"/>
    <w:rsid w:val="00FE34AE"/>
    <w:rsid w:val="00FE5C31"/>
    <w:rsid w:val="00FE6890"/>
    <w:rsid w:val="00FF1B0E"/>
    <w:rsid w:val="00FF748B"/>
    <w:rsid w:val="01056664"/>
    <w:rsid w:val="010C648E"/>
    <w:rsid w:val="011C0103"/>
    <w:rsid w:val="01246812"/>
    <w:rsid w:val="01266B4B"/>
    <w:rsid w:val="012F50E1"/>
    <w:rsid w:val="01327A82"/>
    <w:rsid w:val="01372DC6"/>
    <w:rsid w:val="013A66DD"/>
    <w:rsid w:val="013A68B9"/>
    <w:rsid w:val="013F3A77"/>
    <w:rsid w:val="014B4F7B"/>
    <w:rsid w:val="01514AC5"/>
    <w:rsid w:val="01530B13"/>
    <w:rsid w:val="015D6670"/>
    <w:rsid w:val="01622DB8"/>
    <w:rsid w:val="016246EC"/>
    <w:rsid w:val="01673A74"/>
    <w:rsid w:val="0168051F"/>
    <w:rsid w:val="016D351E"/>
    <w:rsid w:val="0172227D"/>
    <w:rsid w:val="017768FF"/>
    <w:rsid w:val="01815229"/>
    <w:rsid w:val="01962FD2"/>
    <w:rsid w:val="01964B22"/>
    <w:rsid w:val="01985A6F"/>
    <w:rsid w:val="019A5CA0"/>
    <w:rsid w:val="01AE557C"/>
    <w:rsid w:val="01C50B57"/>
    <w:rsid w:val="01C94987"/>
    <w:rsid w:val="01D435A5"/>
    <w:rsid w:val="01D61794"/>
    <w:rsid w:val="01D978C9"/>
    <w:rsid w:val="01DC464C"/>
    <w:rsid w:val="01DE7DB1"/>
    <w:rsid w:val="01EC6ED3"/>
    <w:rsid w:val="01F37D39"/>
    <w:rsid w:val="020515F7"/>
    <w:rsid w:val="02064FCA"/>
    <w:rsid w:val="020940A9"/>
    <w:rsid w:val="02111989"/>
    <w:rsid w:val="02147E04"/>
    <w:rsid w:val="021770FE"/>
    <w:rsid w:val="021C2BDE"/>
    <w:rsid w:val="021F0D77"/>
    <w:rsid w:val="02210B4C"/>
    <w:rsid w:val="02381D9F"/>
    <w:rsid w:val="02393119"/>
    <w:rsid w:val="02395941"/>
    <w:rsid w:val="023D5DE9"/>
    <w:rsid w:val="02420477"/>
    <w:rsid w:val="02440CF8"/>
    <w:rsid w:val="024D3FD4"/>
    <w:rsid w:val="02637303"/>
    <w:rsid w:val="0265564A"/>
    <w:rsid w:val="026F7C66"/>
    <w:rsid w:val="027431B7"/>
    <w:rsid w:val="027B7EDC"/>
    <w:rsid w:val="027E49FA"/>
    <w:rsid w:val="02830AE3"/>
    <w:rsid w:val="0294463C"/>
    <w:rsid w:val="02A20E42"/>
    <w:rsid w:val="02A93D50"/>
    <w:rsid w:val="02AC72EA"/>
    <w:rsid w:val="02B04B7F"/>
    <w:rsid w:val="02B16EA6"/>
    <w:rsid w:val="02B3728F"/>
    <w:rsid w:val="02B75B9A"/>
    <w:rsid w:val="02B7624C"/>
    <w:rsid w:val="02CB04E9"/>
    <w:rsid w:val="02D00C06"/>
    <w:rsid w:val="02D4293B"/>
    <w:rsid w:val="02E0420E"/>
    <w:rsid w:val="02E45CCA"/>
    <w:rsid w:val="02F41B9B"/>
    <w:rsid w:val="02FA3649"/>
    <w:rsid w:val="0302061B"/>
    <w:rsid w:val="03021945"/>
    <w:rsid w:val="03041A7E"/>
    <w:rsid w:val="03096539"/>
    <w:rsid w:val="03224369"/>
    <w:rsid w:val="03232523"/>
    <w:rsid w:val="032A6C66"/>
    <w:rsid w:val="032C4E8C"/>
    <w:rsid w:val="033705FE"/>
    <w:rsid w:val="033C5E0D"/>
    <w:rsid w:val="034B7137"/>
    <w:rsid w:val="035345EF"/>
    <w:rsid w:val="03545863"/>
    <w:rsid w:val="03574F05"/>
    <w:rsid w:val="035B58BA"/>
    <w:rsid w:val="036B4775"/>
    <w:rsid w:val="037B196F"/>
    <w:rsid w:val="038F1A25"/>
    <w:rsid w:val="03953737"/>
    <w:rsid w:val="039706A5"/>
    <w:rsid w:val="0398181B"/>
    <w:rsid w:val="03984DDF"/>
    <w:rsid w:val="039876CD"/>
    <w:rsid w:val="039B63FA"/>
    <w:rsid w:val="039C7443"/>
    <w:rsid w:val="03AD2F6B"/>
    <w:rsid w:val="03B70147"/>
    <w:rsid w:val="03B8409E"/>
    <w:rsid w:val="03BA26C0"/>
    <w:rsid w:val="03BB5EB1"/>
    <w:rsid w:val="03BF010F"/>
    <w:rsid w:val="03C06164"/>
    <w:rsid w:val="03C63FB3"/>
    <w:rsid w:val="03C920ED"/>
    <w:rsid w:val="03CF3C93"/>
    <w:rsid w:val="03CF4D7B"/>
    <w:rsid w:val="03DA0D79"/>
    <w:rsid w:val="03DA330E"/>
    <w:rsid w:val="03DD130B"/>
    <w:rsid w:val="03E27CBD"/>
    <w:rsid w:val="03E75E55"/>
    <w:rsid w:val="03F17EE3"/>
    <w:rsid w:val="03F30FB2"/>
    <w:rsid w:val="03F4408D"/>
    <w:rsid w:val="03FA54F8"/>
    <w:rsid w:val="03FA6689"/>
    <w:rsid w:val="040160A2"/>
    <w:rsid w:val="040224BB"/>
    <w:rsid w:val="04046FA4"/>
    <w:rsid w:val="04065F03"/>
    <w:rsid w:val="040A2994"/>
    <w:rsid w:val="040B55D0"/>
    <w:rsid w:val="04113FEB"/>
    <w:rsid w:val="0413544B"/>
    <w:rsid w:val="04186EF4"/>
    <w:rsid w:val="041D77FC"/>
    <w:rsid w:val="042042C5"/>
    <w:rsid w:val="043826BA"/>
    <w:rsid w:val="04383E6E"/>
    <w:rsid w:val="044131A2"/>
    <w:rsid w:val="044272AF"/>
    <w:rsid w:val="04480C5A"/>
    <w:rsid w:val="044B17BC"/>
    <w:rsid w:val="047418B2"/>
    <w:rsid w:val="047832FC"/>
    <w:rsid w:val="04792E06"/>
    <w:rsid w:val="047B0592"/>
    <w:rsid w:val="04877EA0"/>
    <w:rsid w:val="04894A74"/>
    <w:rsid w:val="048D46C1"/>
    <w:rsid w:val="049115B6"/>
    <w:rsid w:val="04916795"/>
    <w:rsid w:val="049422C9"/>
    <w:rsid w:val="049C61FC"/>
    <w:rsid w:val="04A974FE"/>
    <w:rsid w:val="04AA40EF"/>
    <w:rsid w:val="04AD368C"/>
    <w:rsid w:val="04AF4C7D"/>
    <w:rsid w:val="04AF678D"/>
    <w:rsid w:val="04B32ED9"/>
    <w:rsid w:val="04BE6918"/>
    <w:rsid w:val="04C92FB5"/>
    <w:rsid w:val="04DA7714"/>
    <w:rsid w:val="04E5490C"/>
    <w:rsid w:val="04F60562"/>
    <w:rsid w:val="04F86C6C"/>
    <w:rsid w:val="05016AD9"/>
    <w:rsid w:val="050C6C36"/>
    <w:rsid w:val="051D030C"/>
    <w:rsid w:val="05205AFD"/>
    <w:rsid w:val="05261CB8"/>
    <w:rsid w:val="05334DC9"/>
    <w:rsid w:val="05380D96"/>
    <w:rsid w:val="053E4293"/>
    <w:rsid w:val="05401C2D"/>
    <w:rsid w:val="05515A58"/>
    <w:rsid w:val="055A7C97"/>
    <w:rsid w:val="055E6E53"/>
    <w:rsid w:val="05605B49"/>
    <w:rsid w:val="056E3781"/>
    <w:rsid w:val="057220CC"/>
    <w:rsid w:val="057C6238"/>
    <w:rsid w:val="058B3E67"/>
    <w:rsid w:val="059554DA"/>
    <w:rsid w:val="059850E1"/>
    <w:rsid w:val="059C5893"/>
    <w:rsid w:val="05A056BD"/>
    <w:rsid w:val="05A253A9"/>
    <w:rsid w:val="05A41DF0"/>
    <w:rsid w:val="05A4669D"/>
    <w:rsid w:val="05A946D5"/>
    <w:rsid w:val="05AC4BAC"/>
    <w:rsid w:val="05AF1B60"/>
    <w:rsid w:val="05B03EDB"/>
    <w:rsid w:val="05B60BCF"/>
    <w:rsid w:val="05B61ED4"/>
    <w:rsid w:val="05B86E6A"/>
    <w:rsid w:val="05BC4295"/>
    <w:rsid w:val="05BF1F25"/>
    <w:rsid w:val="05C236AF"/>
    <w:rsid w:val="05C50CB2"/>
    <w:rsid w:val="05C55124"/>
    <w:rsid w:val="05DF3456"/>
    <w:rsid w:val="05E11883"/>
    <w:rsid w:val="05E355AA"/>
    <w:rsid w:val="05E65019"/>
    <w:rsid w:val="05E666F6"/>
    <w:rsid w:val="05EB6B22"/>
    <w:rsid w:val="05F2358A"/>
    <w:rsid w:val="05FC6EA6"/>
    <w:rsid w:val="0600372C"/>
    <w:rsid w:val="060471D3"/>
    <w:rsid w:val="0608308D"/>
    <w:rsid w:val="060D7B7F"/>
    <w:rsid w:val="061D727E"/>
    <w:rsid w:val="06243E1D"/>
    <w:rsid w:val="062A71AC"/>
    <w:rsid w:val="06325BF4"/>
    <w:rsid w:val="063A18C5"/>
    <w:rsid w:val="063B590B"/>
    <w:rsid w:val="063D47E5"/>
    <w:rsid w:val="06401EF3"/>
    <w:rsid w:val="06431377"/>
    <w:rsid w:val="06547798"/>
    <w:rsid w:val="06615EC2"/>
    <w:rsid w:val="06645072"/>
    <w:rsid w:val="067322B0"/>
    <w:rsid w:val="06747E2F"/>
    <w:rsid w:val="06795232"/>
    <w:rsid w:val="067B126A"/>
    <w:rsid w:val="067D21B2"/>
    <w:rsid w:val="06833B6B"/>
    <w:rsid w:val="068511F9"/>
    <w:rsid w:val="06921C7D"/>
    <w:rsid w:val="069D20B4"/>
    <w:rsid w:val="06A04B10"/>
    <w:rsid w:val="06A507B2"/>
    <w:rsid w:val="06AC6D49"/>
    <w:rsid w:val="06CB769A"/>
    <w:rsid w:val="06DB6DFB"/>
    <w:rsid w:val="06DD0EB4"/>
    <w:rsid w:val="06E24909"/>
    <w:rsid w:val="06E51E4D"/>
    <w:rsid w:val="06E70DC4"/>
    <w:rsid w:val="06E86AEC"/>
    <w:rsid w:val="06EA7A80"/>
    <w:rsid w:val="06FB3C45"/>
    <w:rsid w:val="07030734"/>
    <w:rsid w:val="07076D6F"/>
    <w:rsid w:val="070C4BC3"/>
    <w:rsid w:val="070D040C"/>
    <w:rsid w:val="0719774D"/>
    <w:rsid w:val="071A68C7"/>
    <w:rsid w:val="071C6DD1"/>
    <w:rsid w:val="0723482F"/>
    <w:rsid w:val="072A2D82"/>
    <w:rsid w:val="07381E43"/>
    <w:rsid w:val="07392F8E"/>
    <w:rsid w:val="073C66EB"/>
    <w:rsid w:val="074841EC"/>
    <w:rsid w:val="0749550B"/>
    <w:rsid w:val="07535BC6"/>
    <w:rsid w:val="075A7AEE"/>
    <w:rsid w:val="076B0951"/>
    <w:rsid w:val="076C5619"/>
    <w:rsid w:val="07777405"/>
    <w:rsid w:val="078538A6"/>
    <w:rsid w:val="078D428E"/>
    <w:rsid w:val="078F66BB"/>
    <w:rsid w:val="079469D8"/>
    <w:rsid w:val="07950BB8"/>
    <w:rsid w:val="079B5A9B"/>
    <w:rsid w:val="07A025FC"/>
    <w:rsid w:val="07A30258"/>
    <w:rsid w:val="07A65996"/>
    <w:rsid w:val="07B0189D"/>
    <w:rsid w:val="07B01B10"/>
    <w:rsid w:val="07CB5F71"/>
    <w:rsid w:val="07CE6F21"/>
    <w:rsid w:val="07D9535D"/>
    <w:rsid w:val="07DB4C44"/>
    <w:rsid w:val="07E273C8"/>
    <w:rsid w:val="07F87BDD"/>
    <w:rsid w:val="07FE638D"/>
    <w:rsid w:val="07FF401F"/>
    <w:rsid w:val="08024FC0"/>
    <w:rsid w:val="08122176"/>
    <w:rsid w:val="081622D1"/>
    <w:rsid w:val="08193505"/>
    <w:rsid w:val="081C478C"/>
    <w:rsid w:val="081E2A5F"/>
    <w:rsid w:val="082014D9"/>
    <w:rsid w:val="08224658"/>
    <w:rsid w:val="08274EA1"/>
    <w:rsid w:val="082D10CF"/>
    <w:rsid w:val="08346591"/>
    <w:rsid w:val="083A5BA6"/>
    <w:rsid w:val="08430A92"/>
    <w:rsid w:val="084F54D5"/>
    <w:rsid w:val="08520E83"/>
    <w:rsid w:val="085466DC"/>
    <w:rsid w:val="085B790A"/>
    <w:rsid w:val="086234FA"/>
    <w:rsid w:val="086B2057"/>
    <w:rsid w:val="087A025D"/>
    <w:rsid w:val="087A061F"/>
    <w:rsid w:val="087C5E83"/>
    <w:rsid w:val="088613DE"/>
    <w:rsid w:val="088B7CBB"/>
    <w:rsid w:val="08982261"/>
    <w:rsid w:val="089C5A04"/>
    <w:rsid w:val="08A444E1"/>
    <w:rsid w:val="08AC6809"/>
    <w:rsid w:val="08B20F06"/>
    <w:rsid w:val="08BA3379"/>
    <w:rsid w:val="08C62C6F"/>
    <w:rsid w:val="08C84E5F"/>
    <w:rsid w:val="08CF4B03"/>
    <w:rsid w:val="08D16C79"/>
    <w:rsid w:val="08D40888"/>
    <w:rsid w:val="08D91607"/>
    <w:rsid w:val="08DC6402"/>
    <w:rsid w:val="08E13590"/>
    <w:rsid w:val="08E47FB5"/>
    <w:rsid w:val="08E82B72"/>
    <w:rsid w:val="08EB57B3"/>
    <w:rsid w:val="08EC4981"/>
    <w:rsid w:val="08F12AD4"/>
    <w:rsid w:val="08FA76FC"/>
    <w:rsid w:val="08FC5DC2"/>
    <w:rsid w:val="08FD01AA"/>
    <w:rsid w:val="08FF77BF"/>
    <w:rsid w:val="09067A3E"/>
    <w:rsid w:val="091553C8"/>
    <w:rsid w:val="092343EE"/>
    <w:rsid w:val="0925342B"/>
    <w:rsid w:val="09265C5A"/>
    <w:rsid w:val="09274E52"/>
    <w:rsid w:val="092D053D"/>
    <w:rsid w:val="092E42B3"/>
    <w:rsid w:val="093729E1"/>
    <w:rsid w:val="093802CC"/>
    <w:rsid w:val="093B47AB"/>
    <w:rsid w:val="093C1419"/>
    <w:rsid w:val="093D6E32"/>
    <w:rsid w:val="09460B2C"/>
    <w:rsid w:val="095078F6"/>
    <w:rsid w:val="09547283"/>
    <w:rsid w:val="095C1E56"/>
    <w:rsid w:val="09617E80"/>
    <w:rsid w:val="09657494"/>
    <w:rsid w:val="097237E4"/>
    <w:rsid w:val="09741D15"/>
    <w:rsid w:val="0978475E"/>
    <w:rsid w:val="097C06E7"/>
    <w:rsid w:val="098E6379"/>
    <w:rsid w:val="099059EB"/>
    <w:rsid w:val="099318F4"/>
    <w:rsid w:val="09945541"/>
    <w:rsid w:val="099B4F54"/>
    <w:rsid w:val="09A02008"/>
    <w:rsid w:val="09A950C0"/>
    <w:rsid w:val="09AA41BB"/>
    <w:rsid w:val="09AE1D08"/>
    <w:rsid w:val="09B57309"/>
    <w:rsid w:val="09C003E3"/>
    <w:rsid w:val="09C4222A"/>
    <w:rsid w:val="09C450C5"/>
    <w:rsid w:val="09C9564B"/>
    <w:rsid w:val="09CC24CE"/>
    <w:rsid w:val="09D03ABE"/>
    <w:rsid w:val="09D74BCB"/>
    <w:rsid w:val="09D97A7C"/>
    <w:rsid w:val="09DA7220"/>
    <w:rsid w:val="0A0A220C"/>
    <w:rsid w:val="0A110978"/>
    <w:rsid w:val="0A1B48E6"/>
    <w:rsid w:val="0A1D023F"/>
    <w:rsid w:val="0A1D319C"/>
    <w:rsid w:val="0A1F5F84"/>
    <w:rsid w:val="0A2A3A0C"/>
    <w:rsid w:val="0A2E4B32"/>
    <w:rsid w:val="0A3012D1"/>
    <w:rsid w:val="0A31311B"/>
    <w:rsid w:val="0A317AB6"/>
    <w:rsid w:val="0A3522FF"/>
    <w:rsid w:val="0A42023E"/>
    <w:rsid w:val="0A477CF0"/>
    <w:rsid w:val="0A4A0770"/>
    <w:rsid w:val="0A4B7454"/>
    <w:rsid w:val="0A4C70C9"/>
    <w:rsid w:val="0A4F35AF"/>
    <w:rsid w:val="0A4F467E"/>
    <w:rsid w:val="0A5A1ABE"/>
    <w:rsid w:val="0A5D1EFF"/>
    <w:rsid w:val="0A615356"/>
    <w:rsid w:val="0A6305E4"/>
    <w:rsid w:val="0A6B32CB"/>
    <w:rsid w:val="0A6C2012"/>
    <w:rsid w:val="0A716E32"/>
    <w:rsid w:val="0A743A6D"/>
    <w:rsid w:val="0A74770A"/>
    <w:rsid w:val="0A753A36"/>
    <w:rsid w:val="0A7C7DD3"/>
    <w:rsid w:val="0A7E24E5"/>
    <w:rsid w:val="0A860399"/>
    <w:rsid w:val="0A88564D"/>
    <w:rsid w:val="0A91756E"/>
    <w:rsid w:val="0A967406"/>
    <w:rsid w:val="0A985E65"/>
    <w:rsid w:val="0AA04520"/>
    <w:rsid w:val="0AA55391"/>
    <w:rsid w:val="0AA631A2"/>
    <w:rsid w:val="0AA76525"/>
    <w:rsid w:val="0AAE79D7"/>
    <w:rsid w:val="0AB40540"/>
    <w:rsid w:val="0AB637A5"/>
    <w:rsid w:val="0ABB259F"/>
    <w:rsid w:val="0ABD2A88"/>
    <w:rsid w:val="0ABE12AE"/>
    <w:rsid w:val="0AC5351A"/>
    <w:rsid w:val="0AC85794"/>
    <w:rsid w:val="0ACA0AE6"/>
    <w:rsid w:val="0ACB6C95"/>
    <w:rsid w:val="0ADF0E97"/>
    <w:rsid w:val="0AE47F3E"/>
    <w:rsid w:val="0AE76079"/>
    <w:rsid w:val="0AEA05E4"/>
    <w:rsid w:val="0AF531DD"/>
    <w:rsid w:val="0B024FFB"/>
    <w:rsid w:val="0B034DC8"/>
    <w:rsid w:val="0B062F5C"/>
    <w:rsid w:val="0B0C5B9C"/>
    <w:rsid w:val="0B0F74C9"/>
    <w:rsid w:val="0B1535D5"/>
    <w:rsid w:val="0B1773D1"/>
    <w:rsid w:val="0B1C6496"/>
    <w:rsid w:val="0B1E164C"/>
    <w:rsid w:val="0B2D5E77"/>
    <w:rsid w:val="0B32462C"/>
    <w:rsid w:val="0B3463AF"/>
    <w:rsid w:val="0B383554"/>
    <w:rsid w:val="0B394341"/>
    <w:rsid w:val="0B3B55D7"/>
    <w:rsid w:val="0B5C547F"/>
    <w:rsid w:val="0B5D0762"/>
    <w:rsid w:val="0B5F0E66"/>
    <w:rsid w:val="0B60380B"/>
    <w:rsid w:val="0B644CDF"/>
    <w:rsid w:val="0B68270C"/>
    <w:rsid w:val="0B726562"/>
    <w:rsid w:val="0B786794"/>
    <w:rsid w:val="0B800A52"/>
    <w:rsid w:val="0B8E5257"/>
    <w:rsid w:val="0B945521"/>
    <w:rsid w:val="0B9B5591"/>
    <w:rsid w:val="0B9F3D21"/>
    <w:rsid w:val="0BA12F8A"/>
    <w:rsid w:val="0BA428EE"/>
    <w:rsid w:val="0BA45E9D"/>
    <w:rsid w:val="0BAA1044"/>
    <w:rsid w:val="0BAE00DB"/>
    <w:rsid w:val="0BB97AC8"/>
    <w:rsid w:val="0BBA5F6F"/>
    <w:rsid w:val="0BBD3C62"/>
    <w:rsid w:val="0BC07C10"/>
    <w:rsid w:val="0BC12B5D"/>
    <w:rsid w:val="0BC7722C"/>
    <w:rsid w:val="0BC82FE5"/>
    <w:rsid w:val="0BCF528E"/>
    <w:rsid w:val="0BD2745A"/>
    <w:rsid w:val="0BDC6238"/>
    <w:rsid w:val="0BDD68A6"/>
    <w:rsid w:val="0BDE524E"/>
    <w:rsid w:val="0BDE599A"/>
    <w:rsid w:val="0BE10258"/>
    <w:rsid w:val="0BE45EF1"/>
    <w:rsid w:val="0BE77517"/>
    <w:rsid w:val="0BE82804"/>
    <w:rsid w:val="0BF15BF3"/>
    <w:rsid w:val="0BF22A95"/>
    <w:rsid w:val="0BF46F3F"/>
    <w:rsid w:val="0BF621FF"/>
    <w:rsid w:val="0C0156B0"/>
    <w:rsid w:val="0C0A58E5"/>
    <w:rsid w:val="0C104C1F"/>
    <w:rsid w:val="0C120977"/>
    <w:rsid w:val="0C156140"/>
    <w:rsid w:val="0C1B3130"/>
    <w:rsid w:val="0C1B5A9E"/>
    <w:rsid w:val="0C244578"/>
    <w:rsid w:val="0C2549C6"/>
    <w:rsid w:val="0C255844"/>
    <w:rsid w:val="0C2B38F0"/>
    <w:rsid w:val="0C2E7655"/>
    <w:rsid w:val="0C311A54"/>
    <w:rsid w:val="0C316624"/>
    <w:rsid w:val="0C377C06"/>
    <w:rsid w:val="0C43388C"/>
    <w:rsid w:val="0C4C60A6"/>
    <w:rsid w:val="0C4F5B19"/>
    <w:rsid w:val="0C5D2722"/>
    <w:rsid w:val="0C5E145C"/>
    <w:rsid w:val="0C612659"/>
    <w:rsid w:val="0C612C5C"/>
    <w:rsid w:val="0C6F2BF3"/>
    <w:rsid w:val="0C716484"/>
    <w:rsid w:val="0C716AE3"/>
    <w:rsid w:val="0C7927C4"/>
    <w:rsid w:val="0C8068C9"/>
    <w:rsid w:val="0C833FFA"/>
    <w:rsid w:val="0C843673"/>
    <w:rsid w:val="0C865540"/>
    <w:rsid w:val="0C915237"/>
    <w:rsid w:val="0C926606"/>
    <w:rsid w:val="0C995F76"/>
    <w:rsid w:val="0CA13F40"/>
    <w:rsid w:val="0CA5100F"/>
    <w:rsid w:val="0CA5667F"/>
    <w:rsid w:val="0CAC2DE1"/>
    <w:rsid w:val="0CB056F8"/>
    <w:rsid w:val="0CB1198F"/>
    <w:rsid w:val="0CB138A1"/>
    <w:rsid w:val="0CB21F81"/>
    <w:rsid w:val="0CBA5EBF"/>
    <w:rsid w:val="0CC300B9"/>
    <w:rsid w:val="0CC36A50"/>
    <w:rsid w:val="0CD257B7"/>
    <w:rsid w:val="0CD970CC"/>
    <w:rsid w:val="0CE2480D"/>
    <w:rsid w:val="0CE865C3"/>
    <w:rsid w:val="0CF2202E"/>
    <w:rsid w:val="0D034449"/>
    <w:rsid w:val="0D0425B6"/>
    <w:rsid w:val="0D075E3F"/>
    <w:rsid w:val="0D0A17D8"/>
    <w:rsid w:val="0D0B0CD9"/>
    <w:rsid w:val="0D137A8C"/>
    <w:rsid w:val="0D137FC4"/>
    <w:rsid w:val="0D150730"/>
    <w:rsid w:val="0D242BD2"/>
    <w:rsid w:val="0D2619B3"/>
    <w:rsid w:val="0D2A76B4"/>
    <w:rsid w:val="0D2F0EA5"/>
    <w:rsid w:val="0D383ABB"/>
    <w:rsid w:val="0D424DB8"/>
    <w:rsid w:val="0D4255C5"/>
    <w:rsid w:val="0D4C4C43"/>
    <w:rsid w:val="0D6C2A58"/>
    <w:rsid w:val="0D6C5846"/>
    <w:rsid w:val="0D6F20D5"/>
    <w:rsid w:val="0D7D357F"/>
    <w:rsid w:val="0D801F16"/>
    <w:rsid w:val="0D820E50"/>
    <w:rsid w:val="0D966267"/>
    <w:rsid w:val="0D9E4AD2"/>
    <w:rsid w:val="0DA0060C"/>
    <w:rsid w:val="0DA01C86"/>
    <w:rsid w:val="0DA2444C"/>
    <w:rsid w:val="0DAA07C7"/>
    <w:rsid w:val="0DB2095D"/>
    <w:rsid w:val="0DB43078"/>
    <w:rsid w:val="0DC772CA"/>
    <w:rsid w:val="0DCE0DA5"/>
    <w:rsid w:val="0DCE4936"/>
    <w:rsid w:val="0DDC3A98"/>
    <w:rsid w:val="0DDD73ED"/>
    <w:rsid w:val="0DE5433B"/>
    <w:rsid w:val="0DE74F5C"/>
    <w:rsid w:val="0DE95727"/>
    <w:rsid w:val="0DEA192A"/>
    <w:rsid w:val="0DEA2DB1"/>
    <w:rsid w:val="0DEA5D45"/>
    <w:rsid w:val="0DEB662B"/>
    <w:rsid w:val="0DF01FA3"/>
    <w:rsid w:val="0DF70922"/>
    <w:rsid w:val="0DFC3F7B"/>
    <w:rsid w:val="0E0000AB"/>
    <w:rsid w:val="0E093542"/>
    <w:rsid w:val="0E0F69C3"/>
    <w:rsid w:val="0E134EB6"/>
    <w:rsid w:val="0E1D3E75"/>
    <w:rsid w:val="0E1E3299"/>
    <w:rsid w:val="0E22513F"/>
    <w:rsid w:val="0E270784"/>
    <w:rsid w:val="0E29090C"/>
    <w:rsid w:val="0E2A1EE7"/>
    <w:rsid w:val="0E316F1C"/>
    <w:rsid w:val="0E331874"/>
    <w:rsid w:val="0E3441DC"/>
    <w:rsid w:val="0E3A0F64"/>
    <w:rsid w:val="0E421FA4"/>
    <w:rsid w:val="0E4968FD"/>
    <w:rsid w:val="0E530A5A"/>
    <w:rsid w:val="0E5A35EF"/>
    <w:rsid w:val="0E5C01E8"/>
    <w:rsid w:val="0E5D1038"/>
    <w:rsid w:val="0E5E57C3"/>
    <w:rsid w:val="0E61482B"/>
    <w:rsid w:val="0E625709"/>
    <w:rsid w:val="0E640E2C"/>
    <w:rsid w:val="0E786D24"/>
    <w:rsid w:val="0E7E366C"/>
    <w:rsid w:val="0E7F1819"/>
    <w:rsid w:val="0E7F235C"/>
    <w:rsid w:val="0E823C27"/>
    <w:rsid w:val="0E843C55"/>
    <w:rsid w:val="0E8631D1"/>
    <w:rsid w:val="0E8E30AE"/>
    <w:rsid w:val="0E8F20EF"/>
    <w:rsid w:val="0E9A6F8B"/>
    <w:rsid w:val="0E9C6962"/>
    <w:rsid w:val="0EA00B67"/>
    <w:rsid w:val="0EA2615A"/>
    <w:rsid w:val="0EA51EF3"/>
    <w:rsid w:val="0EA65827"/>
    <w:rsid w:val="0EB41EF8"/>
    <w:rsid w:val="0EB62159"/>
    <w:rsid w:val="0EB66DE3"/>
    <w:rsid w:val="0EC27BE1"/>
    <w:rsid w:val="0EC7294B"/>
    <w:rsid w:val="0EC872A1"/>
    <w:rsid w:val="0ECA57CC"/>
    <w:rsid w:val="0ECB0B43"/>
    <w:rsid w:val="0ED15B99"/>
    <w:rsid w:val="0ED65A7E"/>
    <w:rsid w:val="0ED65CAC"/>
    <w:rsid w:val="0ED72DE7"/>
    <w:rsid w:val="0EDD4036"/>
    <w:rsid w:val="0EDF2EF7"/>
    <w:rsid w:val="0EE247D9"/>
    <w:rsid w:val="0EE309BA"/>
    <w:rsid w:val="0EEC2D4A"/>
    <w:rsid w:val="0EED7365"/>
    <w:rsid w:val="0EF4268D"/>
    <w:rsid w:val="0F016078"/>
    <w:rsid w:val="0F022360"/>
    <w:rsid w:val="0F164AFD"/>
    <w:rsid w:val="0F2D4960"/>
    <w:rsid w:val="0F375198"/>
    <w:rsid w:val="0F3B3437"/>
    <w:rsid w:val="0F3E1484"/>
    <w:rsid w:val="0F421325"/>
    <w:rsid w:val="0F4366A5"/>
    <w:rsid w:val="0F4437CE"/>
    <w:rsid w:val="0F460CBE"/>
    <w:rsid w:val="0F461DBA"/>
    <w:rsid w:val="0F474774"/>
    <w:rsid w:val="0F4864ED"/>
    <w:rsid w:val="0F492155"/>
    <w:rsid w:val="0F4C20AF"/>
    <w:rsid w:val="0F5565E1"/>
    <w:rsid w:val="0F6E5828"/>
    <w:rsid w:val="0F790EA8"/>
    <w:rsid w:val="0F792383"/>
    <w:rsid w:val="0F794C09"/>
    <w:rsid w:val="0F7979C1"/>
    <w:rsid w:val="0F824B26"/>
    <w:rsid w:val="0F927F95"/>
    <w:rsid w:val="0F930A6E"/>
    <w:rsid w:val="0F9542DF"/>
    <w:rsid w:val="0F9811B3"/>
    <w:rsid w:val="0F9B283C"/>
    <w:rsid w:val="0F9E6402"/>
    <w:rsid w:val="0FA37174"/>
    <w:rsid w:val="0FAA274B"/>
    <w:rsid w:val="0FAD464E"/>
    <w:rsid w:val="0FB0279A"/>
    <w:rsid w:val="0FB14BA2"/>
    <w:rsid w:val="0FB5389D"/>
    <w:rsid w:val="0FBE3C62"/>
    <w:rsid w:val="0FBF5D4B"/>
    <w:rsid w:val="0FC9397E"/>
    <w:rsid w:val="0FD10748"/>
    <w:rsid w:val="0FDD2339"/>
    <w:rsid w:val="0FEF0536"/>
    <w:rsid w:val="100346D6"/>
    <w:rsid w:val="101008B4"/>
    <w:rsid w:val="101322D8"/>
    <w:rsid w:val="10170DD1"/>
    <w:rsid w:val="101A42BE"/>
    <w:rsid w:val="10233173"/>
    <w:rsid w:val="10273A11"/>
    <w:rsid w:val="10283506"/>
    <w:rsid w:val="102A32D9"/>
    <w:rsid w:val="10352179"/>
    <w:rsid w:val="104273E7"/>
    <w:rsid w:val="1043652C"/>
    <w:rsid w:val="10437BBE"/>
    <w:rsid w:val="10465DB3"/>
    <w:rsid w:val="1048276D"/>
    <w:rsid w:val="104B22B9"/>
    <w:rsid w:val="104D35AE"/>
    <w:rsid w:val="1058227D"/>
    <w:rsid w:val="10644076"/>
    <w:rsid w:val="106C6806"/>
    <w:rsid w:val="10824ED5"/>
    <w:rsid w:val="108304E9"/>
    <w:rsid w:val="10857D2C"/>
    <w:rsid w:val="109602FB"/>
    <w:rsid w:val="10973CDC"/>
    <w:rsid w:val="109C77C7"/>
    <w:rsid w:val="10A0111F"/>
    <w:rsid w:val="10AB340E"/>
    <w:rsid w:val="10AC658C"/>
    <w:rsid w:val="10B95885"/>
    <w:rsid w:val="10C92680"/>
    <w:rsid w:val="10CF2C7A"/>
    <w:rsid w:val="10E55D23"/>
    <w:rsid w:val="10E945E4"/>
    <w:rsid w:val="10EE48C8"/>
    <w:rsid w:val="10FA5350"/>
    <w:rsid w:val="10FD540D"/>
    <w:rsid w:val="10FE0287"/>
    <w:rsid w:val="110033E0"/>
    <w:rsid w:val="11072A94"/>
    <w:rsid w:val="1109192F"/>
    <w:rsid w:val="110C4B24"/>
    <w:rsid w:val="110E2E47"/>
    <w:rsid w:val="110F7ADC"/>
    <w:rsid w:val="11112A4D"/>
    <w:rsid w:val="112D017C"/>
    <w:rsid w:val="112D4261"/>
    <w:rsid w:val="112D4BA4"/>
    <w:rsid w:val="1139431F"/>
    <w:rsid w:val="113E16DA"/>
    <w:rsid w:val="114268CC"/>
    <w:rsid w:val="114A7A50"/>
    <w:rsid w:val="114C5709"/>
    <w:rsid w:val="114D4E4D"/>
    <w:rsid w:val="1151565E"/>
    <w:rsid w:val="11553800"/>
    <w:rsid w:val="115A722B"/>
    <w:rsid w:val="1160162E"/>
    <w:rsid w:val="11614619"/>
    <w:rsid w:val="1179708C"/>
    <w:rsid w:val="117A6C71"/>
    <w:rsid w:val="11853D3E"/>
    <w:rsid w:val="118D0D7D"/>
    <w:rsid w:val="118E17F0"/>
    <w:rsid w:val="118E434D"/>
    <w:rsid w:val="11915109"/>
    <w:rsid w:val="11A169D9"/>
    <w:rsid w:val="11A31F0C"/>
    <w:rsid w:val="11AF0BB2"/>
    <w:rsid w:val="11BC3F35"/>
    <w:rsid w:val="11C05193"/>
    <w:rsid w:val="11C67F8F"/>
    <w:rsid w:val="11CD38FF"/>
    <w:rsid w:val="11D40F89"/>
    <w:rsid w:val="11D42709"/>
    <w:rsid w:val="11DD5835"/>
    <w:rsid w:val="11E03E1A"/>
    <w:rsid w:val="11E55115"/>
    <w:rsid w:val="11E76C56"/>
    <w:rsid w:val="11F07011"/>
    <w:rsid w:val="11F65A72"/>
    <w:rsid w:val="11F71A89"/>
    <w:rsid w:val="120B590B"/>
    <w:rsid w:val="120E21E1"/>
    <w:rsid w:val="12105979"/>
    <w:rsid w:val="12107CE1"/>
    <w:rsid w:val="12174DB0"/>
    <w:rsid w:val="122D5386"/>
    <w:rsid w:val="12397936"/>
    <w:rsid w:val="123C771A"/>
    <w:rsid w:val="12477874"/>
    <w:rsid w:val="124803C3"/>
    <w:rsid w:val="124E3344"/>
    <w:rsid w:val="125A2318"/>
    <w:rsid w:val="1265546F"/>
    <w:rsid w:val="126578B2"/>
    <w:rsid w:val="12664FCB"/>
    <w:rsid w:val="1269635D"/>
    <w:rsid w:val="126A1714"/>
    <w:rsid w:val="126A20C1"/>
    <w:rsid w:val="126E3AC4"/>
    <w:rsid w:val="12737CE7"/>
    <w:rsid w:val="127A0009"/>
    <w:rsid w:val="127A6B9D"/>
    <w:rsid w:val="127C013F"/>
    <w:rsid w:val="1281224D"/>
    <w:rsid w:val="12815C04"/>
    <w:rsid w:val="12854BF1"/>
    <w:rsid w:val="12863108"/>
    <w:rsid w:val="1290334C"/>
    <w:rsid w:val="1294268A"/>
    <w:rsid w:val="12A8487B"/>
    <w:rsid w:val="12AA3DB2"/>
    <w:rsid w:val="12AD79D4"/>
    <w:rsid w:val="12AF3B4F"/>
    <w:rsid w:val="12AF6B7D"/>
    <w:rsid w:val="12B00A58"/>
    <w:rsid w:val="12B37C61"/>
    <w:rsid w:val="12B52348"/>
    <w:rsid w:val="12C97CF4"/>
    <w:rsid w:val="12CF1470"/>
    <w:rsid w:val="12DE6A1B"/>
    <w:rsid w:val="12E72545"/>
    <w:rsid w:val="13021F82"/>
    <w:rsid w:val="130E18A1"/>
    <w:rsid w:val="1315662A"/>
    <w:rsid w:val="13157F9E"/>
    <w:rsid w:val="13180F89"/>
    <w:rsid w:val="132A754F"/>
    <w:rsid w:val="1334293B"/>
    <w:rsid w:val="133435A6"/>
    <w:rsid w:val="134962B6"/>
    <w:rsid w:val="135416ED"/>
    <w:rsid w:val="13584F08"/>
    <w:rsid w:val="135C674D"/>
    <w:rsid w:val="136366C8"/>
    <w:rsid w:val="136A4D6C"/>
    <w:rsid w:val="13714B77"/>
    <w:rsid w:val="13725DAC"/>
    <w:rsid w:val="13760965"/>
    <w:rsid w:val="13765CAF"/>
    <w:rsid w:val="13774D5E"/>
    <w:rsid w:val="137A3CDA"/>
    <w:rsid w:val="1380268A"/>
    <w:rsid w:val="138F4461"/>
    <w:rsid w:val="13A768B9"/>
    <w:rsid w:val="13A92C7E"/>
    <w:rsid w:val="13B079DA"/>
    <w:rsid w:val="13B17EAB"/>
    <w:rsid w:val="13B30AE3"/>
    <w:rsid w:val="13B52D50"/>
    <w:rsid w:val="13B77589"/>
    <w:rsid w:val="13C407D1"/>
    <w:rsid w:val="13C62BBA"/>
    <w:rsid w:val="13C72255"/>
    <w:rsid w:val="13C753D8"/>
    <w:rsid w:val="13CA1D72"/>
    <w:rsid w:val="13CA38C8"/>
    <w:rsid w:val="13CB629B"/>
    <w:rsid w:val="13CD0AB4"/>
    <w:rsid w:val="13D30549"/>
    <w:rsid w:val="13D30C18"/>
    <w:rsid w:val="13D815DD"/>
    <w:rsid w:val="13DC3EC3"/>
    <w:rsid w:val="13F2541E"/>
    <w:rsid w:val="13F7521A"/>
    <w:rsid w:val="14005867"/>
    <w:rsid w:val="14015067"/>
    <w:rsid w:val="14051B60"/>
    <w:rsid w:val="1405356D"/>
    <w:rsid w:val="1408524F"/>
    <w:rsid w:val="141642BD"/>
    <w:rsid w:val="1418501A"/>
    <w:rsid w:val="14185AFB"/>
    <w:rsid w:val="14191294"/>
    <w:rsid w:val="14193025"/>
    <w:rsid w:val="142A3A14"/>
    <w:rsid w:val="142E590A"/>
    <w:rsid w:val="14327133"/>
    <w:rsid w:val="143369AC"/>
    <w:rsid w:val="1439188B"/>
    <w:rsid w:val="143A631E"/>
    <w:rsid w:val="1441660B"/>
    <w:rsid w:val="144357A0"/>
    <w:rsid w:val="1443582D"/>
    <w:rsid w:val="144834E1"/>
    <w:rsid w:val="144A0171"/>
    <w:rsid w:val="144A7306"/>
    <w:rsid w:val="144C5802"/>
    <w:rsid w:val="146E06FC"/>
    <w:rsid w:val="146F3559"/>
    <w:rsid w:val="14745611"/>
    <w:rsid w:val="1476702E"/>
    <w:rsid w:val="147A5E14"/>
    <w:rsid w:val="1494473E"/>
    <w:rsid w:val="149A307E"/>
    <w:rsid w:val="149F4798"/>
    <w:rsid w:val="14A0526E"/>
    <w:rsid w:val="14A37835"/>
    <w:rsid w:val="14A81E98"/>
    <w:rsid w:val="14A87052"/>
    <w:rsid w:val="14AC1D0E"/>
    <w:rsid w:val="14B103C4"/>
    <w:rsid w:val="14B11E44"/>
    <w:rsid w:val="14B64A7C"/>
    <w:rsid w:val="14B7140E"/>
    <w:rsid w:val="14C2547A"/>
    <w:rsid w:val="14CA6F83"/>
    <w:rsid w:val="14D14E34"/>
    <w:rsid w:val="14D902A4"/>
    <w:rsid w:val="14DC75FE"/>
    <w:rsid w:val="14DE5522"/>
    <w:rsid w:val="14E02327"/>
    <w:rsid w:val="14E1184E"/>
    <w:rsid w:val="14E332A0"/>
    <w:rsid w:val="14E54F8B"/>
    <w:rsid w:val="14EC2CF5"/>
    <w:rsid w:val="14ED4D7E"/>
    <w:rsid w:val="14EE0ECB"/>
    <w:rsid w:val="14EE554E"/>
    <w:rsid w:val="14F0022F"/>
    <w:rsid w:val="14F236DC"/>
    <w:rsid w:val="15002876"/>
    <w:rsid w:val="15035FFD"/>
    <w:rsid w:val="150A4608"/>
    <w:rsid w:val="15114340"/>
    <w:rsid w:val="15153C42"/>
    <w:rsid w:val="15191180"/>
    <w:rsid w:val="152139F9"/>
    <w:rsid w:val="15284C2D"/>
    <w:rsid w:val="152A6C00"/>
    <w:rsid w:val="1530301B"/>
    <w:rsid w:val="15376E6C"/>
    <w:rsid w:val="15377344"/>
    <w:rsid w:val="153931E3"/>
    <w:rsid w:val="154170A3"/>
    <w:rsid w:val="154C35C8"/>
    <w:rsid w:val="15656C74"/>
    <w:rsid w:val="156C7641"/>
    <w:rsid w:val="15724B60"/>
    <w:rsid w:val="15765873"/>
    <w:rsid w:val="15791C5F"/>
    <w:rsid w:val="158444BD"/>
    <w:rsid w:val="158A5A42"/>
    <w:rsid w:val="15971754"/>
    <w:rsid w:val="159C62BF"/>
    <w:rsid w:val="159E7527"/>
    <w:rsid w:val="15B06C7F"/>
    <w:rsid w:val="15B361FD"/>
    <w:rsid w:val="15BA0160"/>
    <w:rsid w:val="15BB5289"/>
    <w:rsid w:val="15C10055"/>
    <w:rsid w:val="15C253A0"/>
    <w:rsid w:val="15C55852"/>
    <w:rsid w:val="15CC508D"/>
    <w:rsid w:val="15CE272D"/>
    <w:rsid w:val="15CF16A7"/>
    <w:rsid w:val="15D0025E"/>
    <w:rsid w:val="15D17AD0"/>
    <w:rsid w:val="15D67D97"/>
    <w:rsid w:val="15D77D41"/>
    <w:rsid w:val="15DD0897"/>
    <w:rsid w:val="15DD15EE"/>
    <w:rsid w:val="15E13326"/>
    <w:rsid w:val="15E65833"/>
    <w:rsid w:val="15EE2987"/>
    <w:rsid w:val="15F31279"/>
    <w:rsid w:val="1604029D"/>
    <w:rsid w:val="16041608"/>
    <w:rsid w:val="16054DB1"/>
    <w:rsid w:val="16056D34"/>
    <w:rsid w:val="16092BF4"/>
    <w:rsid w:val="16135F2A"/>
    <w:rsid w:val="16141EBC"/>
    <w:rsid w:val="16194162"/>
    <w:rsid w:val="16213F9E"/>
    <w:rsid w:val="162213D9"/>
    <w:rsid w:val="1628726D"/>
    <w:rsid w:val="162A2370"/>
    <w:rsid w:val="162E300D"/>
    <w:rsid w:val="16315608"/>
    <w:rsid w:val="16360C5B"/>
    <w:rsid w:val="16360D77"/>
    <w:rsid w:val="163B5679"/>
    <w:rsid w:val="163E2272"/>
    <w:rsid w:val="163F0EB0"/>
    <w:rsid w:val="16426B42"/>
    <w:rsid w:val="16430B1C"/>
    <w:rsid w:val="16445BF1"/>
    <w:rsid w:val="16476B8A"/>
    <w:rsid w:val="16483F25"/>
    <w:rsid w:val="164E73B1"/>
    <w:rsid w:val="165E17E3"/>
    <w:rsid w:val="1666735F"/>
    <w:rsid w:val="16736025"/>
    <w:rsid w:val="167F046A"/>
    <w:rsid w:val="16820F82"/>
    <w:rsid w:val="16871F10"/>
    <w:rsid w:val="168C2E92"/>
    <w:rsid w:val="168F71CE"/>
    <w:rsid w:val="16997AFA"/>
    <w:rsid w:val="169C52B6"/>
    <w:rsid w:val="169F6627"/>
    <w:rsid w:val="16A20604"/>
    <w:rsid w:val="16A61A50"/>
    <w:rsid w:val="16AC1AAD"/>
    <w:rsid w:val="16B427F2"/>
    <w:rsid w:val="16B603BE"/>
    <w:rsid w:val="16BF796D"/>
    <w:rsid w:val="16CA0087"/>
    <w:rsid w:val="16CB07D4"/>
    <w:rsid w:val="16D10545"/>
    <w:rsid w:val="16D13C7D"/>
    <w:rsid w:val="16D451C7"/>
    <w:rsid w:val="16DC2CCF"/>
    <w:rsid w:val="16DD5051"/>
    <w:rsid w:val="16DF0089"/>
    <w:rsid w:val="16E473A2"/>
    <w:rsid w:val="16F155A2"/>
    <w:rsid w:val="16F15DB6"/>
    <w:rsid w:val="16F2010D"/>
    <w:rsid w:val="16F714F0"/>
    <w:rsid w:val="16FD4B04"/>
    <w:rsid w:val="17040A34"/>
    <w:rsid w:val="1706485C"/>
    <w:rsid w:val="17076E13"/>
    <w:rsid w:val="170B6CF8"/>
    <w:rsid w:val="170D692B"/>
    <w:rsid w:val="1714795E"/>
    <w:rsid w:val="171A3209"/>
    <w:rsid w:val="171D4DA9"/>
    <w:rsid w:val="17204550"/>
    <w:rsid w:val="172102EC"/>
    <w:rsid w:val="17262B02"/>
    <w:rsid w:val="172A3039"/>
    <w:rsid w:val="172E7B24"/>
    <w:rsid w:val="172F3504"/>
    <w:rsid w:val="17340142"/>
    <w:rsid w:val="1746586F"/>
    <w:rsid w:val="1749410C"/>
    <w:rsid w:val="175023C0"/>
    <w:rsid w:val="1750713D"/>
    <w:rsid w:val="1757379D"/>
    <w:rsid w:val="17576C19"/>
    <w:rsid w:val="175814B7"/>
    <w:rsid w:val="175C0D00"/>
    <w:rsid w:val="175E2CE2"/>
    <w:rsid w:val="177175A5"/>
    <w:rsid w:val="17740D00"/>
    <w:rsid w:val="17751CDB"/>
    <w:rsid w:val="17831DA7"/>
    <w:rsid w:val="1784519F"/>
    <w:rsid w:val="178A6E8E"/>
    <w:rsid w:val="179326DE"/>
    <w:rsid w:val="179502FD"/>
    <w:rsid w:val="179D306E"/>
    <w:rsid w:val="17A16E3B"/>
    <w:rsid w:val="17A43A96"/>
    <w:rsid w:val="17A51A88"/>
    <w:rsid w:val="17B64846"/>
    <w:rsid w:val="17B9260F"/>
    <w:rsid w:val="17BF6D06"/>
    <w:rsid w:val="17C912AF"/>
    <w:rsid w:val="17DE5931"/>
    <w:rsid w:val="17EC3984"/>
    <w:rsid w:val="17EC65EE"/>
    <w:rsid w:val="17FA4BA6"/>
    <w:rsid w:val="18073F68"/>
    <w:rsid w:val="180F18CE"/>
    <w:rsid w:val="18107A5B"/>
    <w:rsid w:val="181E077D"/>
    <w:rsid w:val="18243F2C"/>
    <w:rsid w:val="182C2055"/>
    <w:rsid w:val="183801FB"/>
    <w:rsid w:val="183F5F8E"/>
    <w:rsid w:val="18425EE3"/>
    <w:rsid w:val="184749BF"/>
    <w:rsid w:val="18494338"/>
    <w:rsid w:val="184A3267"/>
    <w:rsid w:val="184A4BA5"/>
    <w:rsid w:val="184D185B"/>
    <w:rsid w:val="187219FA"/>
    <w:rsid w:val="18833DE6"/>
    <w:rsid w:val="18835171"/>
    <w:rsid w:val="18862E9D"/>
    <w:rsid w:val="18882FBE"/>
    <w:rsid w:val="188B4249"/>
    <w:rsid w:val="18924089"/>
    <w:rsid w:val="18997840"/>
    <w:rsid w:val="189C7049"/>
    <w:rsid w:val="18A026D7"/>
    <w:rsid w:val="18A1056B"/>
    <w:rsid w:val="18AB271E"/>
    <w:rsid w:val="18AE1AD1"/>
    <w:rsid w:val="18BA27E6"/>
    <w:rsid w:val="18C40CBE"/>
    <w:rsid w:val="18CB084B"/>
    <w:rsid w:val="18CC6448"/>
    <w:rsid w:val="18CC7FB1"/>
    <w:rsid w:val="18D1287F"/>
    <w:rsid w:val="18D37A39"/>
    <w:rsid w:val="18DC19BB"/>
    <w:rsid w:val="18DD2147"/>
    <w:rsid w:val="18E60FEB"/>
    <w:rsid w:val="18EA394E"/>
    <w:rsid w:val="18EA52ED"/>
    <w:rsid w:val="18EB4648"/>
    <w:rsid w:val="18ED0739"/>
    <w:rsid w:val="18ED7A84"/>
    <w:rsid w:val="18F111D3"/>
    <w:rsid w:val="18F7741E"/>
    <w:rsid w:val="18F9078F"/>
    <w:rsid w:val="18FC0A05"/>
    <w:rsid w:val="190843A5"/>
    <w:rsid w:val="19091A44"/>
    <w:rsid w:val="190C1415"/>
    <w:rsid w:val="190C6521"/>
    <w:rsid w:val="19135DC5"/>
    <w:rsid w:val="192D0833"/>
    <w:rsid w:val="192D200F"/>
    <w:rsid w:val="192E171E"/>
    <w:rsid w:val="192E3783"/>
    <w:rsid w:val="193625B1"/>
    <w:rsid w:val="193A1B5C"/>
    <w:rsid w:val="19466FFD"/>
    <w:rsid w:val="194A2F52"/>
    <w:rsid w:val="194D3ADA"/>
    <w:rsid w:val="194D5C4F"/>
    <w:rsid w:val="196579A7"/>
    <w:rsid w:val="196865C4"/>
    <w:rsid w:val="196B2F1B"/>
    <w:rsid w:val="197A43F7"/>
    <w:rsid w:val="197F583D"/>
    <w:rsid w:val="198A3101"/>
    <w:rsid w:val="198C31F5"/>
    <w:rsid w:val="198E54AB"/>
    <w:rsid w:val="199537B8"/>
    <w:rsid w:val="1999694B"/>
    <w:rsid w:val="199F56A5"/>
    <w:rsid w:val="19A306CE"/>
    <w:rsid w:val="19A333F4"/>
    <w:rsid w:val="19A42527"/>
    <w:rsid w:val="19A6461F"/>
    <w:rsid w:val="19AD3D3B"/>
    <w:rsid w:val="19B03BF1"/>
    <w:rsid w:val="19B234CC"/>
    <w:rsid w:val="19B5302F"/>
    <w:rsid w:val="19BD3B6D"/>
    <w:rsid w:val="19BE74D6"/>
    <w:rsid w:val="19C50E71"/>
    <w:rsid w:val="19C52F54"/>
    <w:rsid w:val="19C67E44"/>
    <w:rsid w:val="19CD05F2"/>
    <w:rsid w:val="19D12372"/>
    <w:rsid w:val="19D167EC"/>
    <w:rsid w:val="19D42705"/>
    <w:rsid w:val="19D8089B"/>
    <w:rsid w:val="19D83795"/>
    <w:rsid w:val="19E06AB7"/>
    <w:rsid w:val="19E679C4"/>
    <w:rsid w:val="19EA13A0"/>
    <w:rsid w:val="1A05647A"/>
    <w:rsid w:val="1A0E4AA5"/>
    <w:rsid w:val="1A106391"/>
    <w:rsid w:val="1A2128A4"/>
    <w:rsid w:val="1A371556"/>
    <w:rsid w:val="1A384B78"/>
    <w:rsid w:val="1A3A18BF"/>
    <w:rsid w:val="1A3D0133"/>
    <w:rsid w:val="1A451D07"/>
    <w:rsid w:val="1A4F2DB6"/>
    <w:rsid w:val="1A5124B6"/>
    <w:rsid w:val="1A532233"/>
    <w:rsid w:val="1A6051EC"/>
    <w:rsid w:val="1A6D25DE"/>
    <w:rsid w:val="1A6E76E0"/>
    <w:rsid w:val="1A705ED5"/>
    <w:rsid w:val="1A727F5D"/>
    <w:rsid w:val="1A7C4584"/>
    <w:rsid w:val="1A804E43"/>
    <w:rsid w:val="1A8062A0"/>
    <w:rsid w:val="1A830C81"/>
    <w:rsid w:val="1A835C66"/>
    <w:rsid w:val="1A977C51"/>
    <w:rsid w:val="1A99742B"/>
    <w:rsid w:val="1A9A0701"/>
    <w:rsid w:val="1A9A68CF"/>
    <w:rsid w:val="1AAC42F6"/>
    <w:rsid w:val="1AAE03C2"/>
    <w:rsid w:val="1AC01CFE"/>
    <w:rsid w:val="1AC34876"/>
    <w:rsid w:val="1ACB42F3"/>
    <w:rsid w:val="1ACB47AA"/>
    <w:rsid w:val="1AD035E0"/>
    <w:rsid w:val="1AD86A5A"/>
    <w:rsid w:val="1ADB142B"/>
    <w:rsid w:val="1ADE1523"/>
    <w:rsid w:val="1ADE7643"/>
    <w:rsid w:val="1AE215AB"/>
    <w:rsid w:val="1AE359EE"/>
    <w:rsid w:val="1AE87576"/>
    <w:rsid w:val="1AEB0366"/>
    <w:rsid w:val="1AF413E9"/>
    <w:rsid w:val="1AFE26C3"/>
    <w:rsid w:val="1B00762C"/>
    <w:rsid w:val="1B0E03C5"/>
    <w:rsid w:val="1B1A4FBE"/>
    <w:rsid w:val="1B1D6885"/>
    <w:rsid w:val="1B1F511F"/>
    <w:rsid w:val="1B2311E9"/>
    <w:rsid w:val="1B243A80"/>
    <w:rsid w:val="1B2A4A71"/>
    <w:rsid w:val="1B2B6313"/>
    <w:rsid w:val="1B384549"/>
    <w:rsid w:val="1B4737F3"/>
    <w:rsid w:val="1B536C39"/>
    <w:rsid w:val="1B5970F0"/>
    <w:rsid w:val="1B5C048D"/>
    <w:rsid w:val="1B5E7973"/>
    <w:rsid w:val="1B664252"/>
    <w:rsid w:val="1B761F41"/>
    <w:rsid w:val="1B7730C1"/>
    <w:rsid w:val="1B7A75BD"/>
    <w:rsid w:val="1B8101AF"/>
    <w:rsid w:val="1B816128"/>
    <w:rsid w:val="1B8962ED"/>
    <w:rsid w:val="1B901651"/>
    <w:rsid w:val="1B923200"/>
    <w:rsid w:val="1B9367A2"/>
    <w:rsid w:val="1B9470D9"/>
    <w:rsid w:val="1B962411"/>
    <w:rsid w:val="1B9C5331"/>
    <w:rsid w:val="1BA91340"/>
    <w:rsid w:val="1BA93A6A"/>
    <w:rsid w:val="1BAA6F6F"/>
    <w:rsid w:val="1BB04929"/>
    <w:rsid w:val="1BB4725E"/>
    <w:rsid w:val="1BB6084F"/>
    <w:rsid w:val="1BB63102"/>
    <w:rsid w:val="1BBB250F"/>
    <w:rsid w:val="1BBC04E9"/>
    <w:rsid w:val="1BC13A84"/>
    <w:rsid w:val="1BC71F53"/>
    <w:rsid w:val="1BCC5FF2"/>
    <w:rsid w:val="1BCE0B63"/>
    <w:rsid w:val="1BDF0B9D"/>
    <w:rsid w:val="1BE16D9A"/>
    <w:rsid w:val="1BE81E46"/>
    <w:rsid w:val="1BE91714"/>
    <w:rsid w:val="1BF14E41"/>
    <w:rsid w:val="1BF76D9C"/>
    <w:rsid w:val="1BFF371D"/>
    <w:rsid w:val="1C06386C"/>
    <w:rsid w:val="1C063BCC"/>
    <w:rsid w:val="1C095859"/>
    <w:rsid w:val="1C1549BE"/>
    <w:rsid w:val="1C1B5D98"/>
    <w:rsid w:val="1C1C1930"/>
    <w:rsid w:val="1C1C5084"/>
    <w:rsid w:val="1C1C5220"/>
    <w:rsid w:val="1C1D1277"/>
    <w:rsid w:val="1C212BC7"/>
    <w:rsid w:val="1C24426E"/>
    <w:rsid w:val="1C2C5011"/>
    <w:rsid w:val="1C2E7B10"/>
    <w:rsid w:val="1C3A31AC"/>
    <w:rsid w:val="1C3F126C"/>
    <w:rsid w:val="1C422BD3"/>
    <w:rsid w:val="1C50081D"/>
    <w:rsid w:val="1C514338"/>
    <w:rsid w:val="1C560A95"/>
    <w:rsid w:val="1C5D09B2"/>
    <w:rsid w:val="1C60640B"/>
    <w:rsid w:val="1C632268"/>
    <w:rsid w:val="1C6E27D0"/>
    <w:rsid w:val="1C7D48DC"/>
    <w:rsid w:val="1C831EE5"/>
    <w:rsid w:val="1C832747"/>
    <w:rsid w:val="1C8A1499"/>
    <w:rsid w:val="1C8A46D1"/>
    <w:rsid w:val="1C8D0CB4"/>
    <w:rsid w:val="1C914929"/>
    <w:rsid w:val="1C9677C5"/>
    <w:rsid w:val="1C99042C"/>
    <w:rsid w:val="1C9A27C7"/>
    <w:rsid w:val="1C9C03E2"/>
    <w:rsid w:val="1C9C519C"/>
    <w:rsid w:val="1CA57EED"/>
    <w:rsid w:val="1CAE4FF3"/>
    <w:rsid w:val="1CB153BD"/>
    <w:rsid w:val="1CBB7B00"/>
    <w:rsid w:val="1CBD15AD"/>
    <w:rsid w:val="1CBE58DB"/>
    <w:rsid w:val="1CC60A6A"/>
    <w:rsid w:val="1CCB6E53"/>
    <w:rsid w:val="1CCD7C15"/>
    <w:rsid w:val="1CCE7307"/>
    <w:rsid w:val="1CD22A55"/>
    <w:rsid w:val="1CDB1DBD"/>
    <w:rsid w:val="1CDF00A2"/>
    <w:rsid w:val="1CE011A0"/>
    <w:rsid w:val="1CE4528A"/>
    <w:rsid w:val="1CE63109"/>
    <w:rsid w:val="1CEF156C"/>
    <w:rsid w:val="1CF029E0"/>
    <w:rsid w:val="1CF41CE4"/>
    <w:rsid w:val="1CF43EE9"/>
    <w:rsid w:val="1CFD77ED"/>
    <w:rsid w:val="1D08735E"/>
    <w:rsid w:val="1D116AB3"/>
    <w:rsid w:val="1D176430"/>
    <w:rsid w:val="1D1C71F9"/>
    <w:rsid w:val="1D2015F8"/>
    <w:rsid w:val="1D205498"/>
    <w:rsid w:val="1D300351"/>
    <w:rsid w:val="1D362C59"/>
    <w:rsid w:val="1D3651C1"/>
    <w:rsid w:val="1D3A318A"/>
    <w:rsid w:val="1D415DAD"/>
    <w:rsid w:val="1D4553E9"/>
    <w:rsid w:val="1D461BF0"/>
    <w:rsid w:val="1D46246F"/>
    <w:rsid w:val="1D507905"/>
    <w:rsid w:val="1D507FCA"/>
    <w:rsid w:val="1D5D013B"/>
    <w:rsid w:val="1D6406CA"/>
    <w:rsid w:val="1D6E4ADD"/>
    <w:rsid w:val="1D707208"/>
    <w:rsid w:val="1D7C3782"/>
    <w:rsid w:val="1D817FA0"/>
    <w:rsid w:val="1D855523"/>
    <w:rsid w:val="1D8D3219"/>
    <w:rsid w:val="1D9758E0"/>
    <w:rsid w:val="1D9D0264"/>
    <w:rsid w:val="1DA07D8B"/>
    <w:rsid w:val="1DA54FF2"/>
    <w:rsid w:val="1DA82F09"/>
    <w:rsid w:val="1DAB77A3"/>
    <w:rsid w:val="1DB15500"/>
    <w:rsid w:val="1DB16D68"/>
    <w:rsid w:val="1DB37ECD"/>
    <w:rsid w:val="1DB52F6A"/>
    <w:rsid w:val="1DBB7F76"/>
    <w:rsid w:val="1DC83080"/>
    <w:rsid w:val="1DC945BE"/>
    <w:rsid w:val="1DCC1C5F"/>
    <w:rsid w:val="1DD44E24"/>
    <w:rsid w:val="1DD731EA"/>
    <w:rsid w:val="1DD96B7E"/>
    <w:rsid w:val="1DDC4B35"/>
    <w:rsid w:val="1DDD69E8"/>
    <w:rsid w:val="1DE627C9"/>
    <w:rsid w:val="1DEA64CB"/>
    <w:rsid w:val="1DF319EF"/>
    <w:rsid w:val="1E013C56"/>
    <w:rsid w:val="1E033E2B"/>
    <w:rsid w:val="1E0C11FD"/>
    <w:rsid w:val="1E143C52"/>
    <w:rsid w:val="1E1B095F"/>
    <w:rsid w:val="1E1D1445"/>
    <w:rsid w:val="1E234C86"/>
    <w:rsid w:val="1E281582"/>
    <w:rsid w:val="1E2846B0"/>
    <w:rsid w:val="1E2F37B8"/>
    <w:rsid w:val="1E3D6BE6"/>
    <w:rsid w:val="1E413094"/>
    <w:rsid w:val="1E444326"/>
    <w:rsid w:val="1E4A5DFA"/>
    <w:rsid w:val="1E50151E"/>
    <w:rsid w:val="1E603AF0"/>
    <w:rsid w:val="1E6E1460"/>
    <w:rsid w:val="1E7A16CF"/>
    <w:rsid w:val="1E9240C0"/>
    <w:rsid w:val="1E935AF5"/>
    <w:rsid w:val="1E9B2627"/>
    <w:rsid w:val="1EA263AA"/>
    <w:rsid w:val="1EA3025C"/>
    <w:rsid w:val="1EA336D1"/>
    <w:rsid w:val="1EA5569B"/>
    <w:rsid w:val="1EA65CBE"/>
    <w:rsid w:val="1EAA7408"/>
    <w:rsid w:val="1EAC2737"/>
    <w:rsid w:val="1EC6368B"/>
    <w:rsid w:val="1EC87D5D"/>
    <w:rsid w:val="1ECB1DC7"/>
    <w:rsid w:val="1ED41619"/>
    <w:rsid w:val="1ED90FDB"/>
    <w:rsid w:val="1EDA17A6"/>
    <w:rsid w:val="1EDD0402"/>
    <w:rsid w:val="1EE45408"/>
    <w:rsid w:val="1EEC303C"/>
    <w:rsid w:val="1EF91E69"/>
    <w:rsid w:val="1EFB0950"/>
    <w:rsid w:val="1EFC62F8"/>
    <w:rsid w:val="1F0277FC"/>
    <w:rsid w:val="1F086BF9"/>
    <w:rsid w:val="1F0D218A"/>
    <w:rsid w:val="1F120F82"/>
    <w:rsid w:val="1F123195"/>
    <w:rsid w:val="1F135806"/>
    <w:rsid w:val="1F194344"/>
    <w:rsid w:val="1F1A4F85"/>
    <w:rsid w:val="1F1B24CD"/>
    <w:rsid w:val="1F261ACE"/>
    <w:rsid w:val="1F2A4495"/>
    <w:rsid w:val="1F2E5F13"/>
    <w:rsid w:val="1F3A513B"/>
    <w:rsid w:val="1F403C75"/>
    <w:rsid w:val="1F4209EC"/>
    <w:rsid w:val="1F42285E"/>
    <w:rsid w:val="1F457B7B"/>
    <w:rsid w:val="1F46730B"/>
    <w:rsid w:val="1F4B1294"/>
    <w:rsid w:val="1F523513"/>
    <w:rsid w:val="1F556934"/>
    <w:rsid w:val="1F59740D"/>
    <w:rsid w:val="1F5B3593"/>
    <w:rsid w:val="1F5C3D24"/>
    <w:rsid w:val="1F5F03DA"/>
    <w:rsid w:val="1F686DF4"/>
    <w:rsid w:val="1F6C05E0"/>
    <w:rsid w:val="1F7054D7"/>
    <w:rsid w:val="1F764D61"/>
    <w:rsid w:val="1F8019D9"/>
    <w:rsid w:val="1F83461E"/>
    <w:rsid w:val="1F846228"/>
    <w:rsid w:val="1F8523D3"/>
    <w:rsid w:val="1F883E3C"/>
    <w:rsid w:val="1F884BE2"/>
    <w:rsid w:val="1F95016D"/>
    <w:rsid w:val="1F9806CF"/>
    <w:rsid w:val="1F9D1251"/>
    <w:rsid w:val="1F9F20EA"/>
    <w:rsid w:val="1FA75DB9"/>
    <w:rsid w:val="1FA97F72"/>
    <w:rsid w:val="1FB94B3E"/>
    <w:rsid w:val="1FC01CD7"/>
    <w:rsid w:val="1FC71731"/>
    <w:rsid w:val="1FC73423"/>
    <w:rsid w:val="1FCA22C7"/>
    <w:rsid w:val="1FD12E7C"/>
    <w:rsid w:val="1FD86EE4"/>
    <w:rsid w:val="1FE22663"/>
    <w:rsid w:val="1FE30CEB"/>
    <w:rsid w:val="1FE76DCC"/>
    <w:rsid w:val="1FEA030F"/>
    <w:rsid w:val="1FEF2B65"/>
    <w:rsid w:val="1FF24C36"/>
    <w:rsid w:val="1FF34D94"/>
    <w:rsid w:val="1FF57F5C"/>
    <w:rsid w:val="1FF82A2F"/>
    <w:rsid w:val="1FF90986"/>
    <w:rsid w:val="1FFF2B12"/>
    <w:rsid w:val="1FFF7528"/>
    <w:rsid w:val="20012786"/>
    <w:rsid w:val="20066196"/>
    <w:rsid w:val="20131AA5"/>
    <w:rsid w:val="20137C22"/>
    <w:rsid w:val="20180C4E"/>
    <w:rsid w:val="2018573C"/>
    <w:rsid w:val="201E0946"/>
    <w:rsid w:val="20225757"/>
    <w:rsid w:val="20242B64"/>
    <w:rsid w:val="20295D55"/>
    <w:rsid w:val="202A542E"/>
    <w:rsid w:val="202C7AF7"/>
    <w:rsid w:val="203205C3"/>
    <w:rsid w:val="20340A84"/>
    <w:rsid w:val="2037509B"/>
    <w:rsid w:val="203B7034"/>
    <w:rsid w:val="203B74C0"/>
    <w:rsid w:val="20562545"/>
    <w:rsid w:val="20580C04"/>
    <w:rsid w:val="20633E52"/>
    <w:rsid w:val="20697EC2"/>
    <w:rsid w:val="2073587B"/>
    <w:rsid w:val="20785704"/>
    <w:rsid w:val="207A35A6"/>
    <w:rsid w:val="207A41B7"/>
    <w:rsid w:val="207F0888"/>
    <w:rsid w:val="20841E90"/>
    <w:rsid w:val="208756D8"/>
    <w:rsid w:val="20A61458"/>
    <w:rsid w:val="20AB5A82"/>
    <w:rsid w:val="20AD289C"/>
    <w:rsid w:val="20B06444"/>
    <w:rsid w:val="20B36A21"/>
    <w:rsid w:val="20C441EE"/>
    <w:rsid w:val="20E00AB5"/>
    <w:rsid w:val="20EA727E"/>
    <w:rsid w:val="20EA756A"/>
    <w:rsid w:val="20EB7717"/>
    <w:rsid w:val="20F048B0"/>
    <w:rsid w:val="210448FA"/>
    <w:rsid w:val="210677BA"/>
    <w:rsid w:val="21076C0E"/>
    <w:rsid w:val="21091F11"/>
    <w:rsid w:val="21115CE1"/>
    <w:rsid w:val="211309AB"/>
    <w:rsid w:val="211750E9"/>
    <w:rsid w:val="21186AB6"/>
    <w:rsid w:val="211D566B"/>
    <w:rsid w:val="211E221A"/>
    <w:rsid w:val="212A5BB3"/>
    <w:rsid w:val="212F1E12"/>
    <w:rsid w:val="21333304"/>
    <w:rsid w:val="214361CB"/>
    <w:rsid w:val="21474687"/>
    <w:rsid w:val="214A0A6B"/>
    <w:rsid w:val="214A116A"/>
    <w:rsid w:val="214B31F1"/>
    <w:rsid w:val="2153731E"/>
    <w:rsid w:val="21553DA3"/>
    <w:rsid w:val="21573F6C"/>
    <w:rsid w:val="215D4269"/>
    <w:rsid w:val="21621621"/>
    <w:rsid w:val="21640F19"/>
    <w:rsid w:val="2164183D"/>
    <w:rsid w:val="216C642E"/>
    <w:rsid w:val="216E72AC"/>
    <w:rsid w:val="21717AB6"/>
    <w:rsid w:val="21747AFA"/>
    <w:rsid w:val="21761581"/>
    <w:rsid w:val="217854BE"/>
    <w:rsid w:val="217A351F"/>
    <w:rsid w:val="2188761C"/>
    <w:rsid w:val="219A1503"/>
    <w:rsid w:val="219B1A3A"/>
    <w:rsid w:val="21A1317A"/>
    <w:rsid w:val="21A20898"/>
    <w:rsid w:val="21A41A49"/>
    <w:rsid w:val="21A66877"/>
    <w:rsid w:val="21AA26C4"/>
    <w:rsid w:val="21AC384E"/>
    <w:rsid w:val="21AE4421"/>
    <w:rsid w:val="21B944CD"/>
    <w:rsid w:val="21BF3717"/>
    <w:rsid w:val="21C03C59"/>
    <w:rsid w:val="21CD38C8"/>
    <w:rsid w:val="21CD4909"/>
    <w:rsid w:val="21CF76D0"/>
    <w:rsid w:val="21CF78AD"/>
    <w:rsid w:val="21D84800"/>
    <w:rsid w:val="21DA40C7"/>
    <w:rsid w:val="21E626CF"/>
    <w:rsid w:val="21EE2E5D"/>
    <w:rsid w:val="21EF7C6B"/>
    <w:rsid w:val="21F36041"/>
    <w:rsid w:val="21F954E1"/>
    <w:rsid w:val="21FC61E7"/>
    <w:rsid w:val="21FE735B"/>
    <w:rsid w:val="220167C1"/>
    <w:rsid w:val="22024AEB"/>
    <w:rsid w:val="220D02F5"/>
    <w:rsid w:val="220E6F1E"/>
    <w:rsid w:val="2217797C"/>
    <w:rsid w:val="221A6AEA"/>
    <w:rsid w:val="222A6A90"/>
    <w:rsid w:val="222D400F"/>
    <w:rsid w:val="22322682"/>
    <w:rsid w:val="223E4A1D"/>
    <w:rsid w:val="22486A69"/>
    <w:rsid w:val="224D5EF7"/>
    <w:rsid w:val="225226DF"/>
    <w:rsid w:val="22545ADD"/>
    <w:rsid w:val="225D74EB"/>
    <w:rsid w:val="226E64E4"/>
    <w:rsid w:val="226F278B"/>
    <w:rsid w:val="2273572C"/>
    <w:rsid w:val="22767EAA"/>
    <w:rsid w:val="227C1FE9"/>
    <w:rsid w:val="22800E97"/>
    <w:rsid w:val="2280592C"/>
    <w:rsid w:val="228D1980"/>
    <w:rsid w:val="22905469"/>
    <w:rsid w:val="229D24E9"/>
    <w:rsid w:val="22AA6722"/>
    <w:rsid w:val="22AE2B11"/>
    <w:rsid w:val="22B94C67"/>
    <w:rsid w:val="22BA2DBA"/>
    <w:rsid w:val="22C0475B"/>
    <w:rsid w:val="22CC733E"/>
    <w:rsid w:val="22D96782"/>
    <w:rsid w:val="22E469A1"/>
    <w:rsid w:val="22E705F3"/>
    <w:rsid w:val="22F81011"/>
    <w:rsid w:val="2306254D"/>
    <w:rsid w:val="23077789"/>
    <w:rsid w:val="23107950"/>
    <w:rsid w:val="2319615B"/>
    <w:rsid w:val="232144AA"/>
    <w:rsid w:val="23257B58"/>
    <w:rsid w:val="23292D01"/>
    <w:rsid w:val="233B2251"/>
    <w:rsid w:val="233E3C9A"/>
    <w:rsid w:val="23414E65"/>
    <w:rsid w:val="2348017C"/>
    <w:rsid w:val="235377C7"/>
    <w:rsid w:val="235758FC"/>
    <w:rsid w:val="235A5E50"/>
    <w:rsid w:val="235B7383"/>
    <w:rsid w:val="236F3EF7"/>
    <w:rsid w:val="23797A32"/>
    <w:rsid w:val="23824830"/>
    <w:rsid w:val="238D0D16"/>
    <w:rsid w:val="238E3552"/>
    <w:rsid w:val="239D1036"/>
    <w:rsid w:val="239E2117"/>
    <w:rsid w:val="23A979DB"/>
    <w:rsid w:val="23B02B18"/>
    <w:rsid w:val="23B2253D"/>
    <w:rsid w:val="23B456F4"/>
    <w:rsid w:val="23C4147D"/>
    <w:rsid w:val="23DD35E4"/>
    <w:rsid w:val="23DE002D"/>
    <w:rsid w:val="23E647FA"/>
    <w:rsid w:val="23F776D8"/>
    <w:rsid w:val="23FD1B6C"/>
    <w:rsid w:val="2400155A"/>
    <w:rsid w:val="240E6F19"/>
    <w:rsid w:val="24105FA5"/>
    <w:rsid w:val="24111CE0"/>
    <w:rsid w:val="24126CC7"/>
    <w:rsid w:val="241F1CB2"/>
    <w:rsid w:val="2420605A"/>
    <w:rsid w:val="242071FD"/>
    <w:rsid w:val="242C2E95"/>
    <w:rsid w:val="24333A79"/>
    <w:rsid w:val="243364C9"/>
    <w:rsid w:val="243A72F1"/>
    <w:rsid w:val="243C48D8"/>
    <w:rsid w:val="243D7D25"/>
    <w:rsid w:val="24400FCA"/>
    <w:rsid w:val="24463DBE"/>
    <w:rsid w:val="244E747A"/>
    <w:rsid w:val="244F690B"/>
    <w:rsid w:val="24597766"/>
    <w:rsid w:val="245B63E1"/>
    <w:rsid w:val="245E13E6"/>
    <w:rsid w:val="245E3E0C"/>
    <w:rsid w:val="245E432F"/>
    <w:rsid w:val="2462791D"/>
    <w:rsid w:val="246F50DB"/>
    <w:rsid w:val="247C2A99"/>
    <w:rsid w:val="247D28A4"/>
    <w:rsid w:val="247D372C"/>
    <w:rsid w:val="248D1408"/>
    <w:rsid w:val="249127AF"/>
    <w:rsid w:val="249227FD"/>
    <w:rsid w:val="24942439"/>
    <w:rsid w:val="24982B2B"/>
    <w:rsid w:val="249A2692"/>
    <w:rsid w:val="249B24BC"/>
    <w:rsid w:val="249C261E"/>
    <w:rsid w:val="24A02CDA"/>
    <w:rsid w:val="24A57C58"/>
    <w:rsid w:val="24AD6BD8"/>
    <w:rsid w:val="24AF2491"/>
    <w:rsid w:val="24BF043E"/>
    <w:rsid w:val="24BF0F25"/>
    <w:rsid w:val="24CB67BB"/>
    <w:rsid w:val="24D65EFB"/>
    <w:rsid w:val="24D81F62"/>
    <w:rsid w:val="24D8608C"/>
    <w:rsid w:val="24E251E7"/>
    <w:rsid w:val="24E25C7A"/>
    <w:rsid w:val="24F12FFD"/>
    <w:rsid w:val="24F3770A"/>
    <w:rsid w:val="24F91A87"/>
    <w:rsid w:val="24FF1FDB"/>
    <w:rsid w:val="250004C1"/>
    <w:rsid w:val="25094870"/>
    <w:rsid w:val="250D077C"/>
    <w:rsid w:val="25160DA3"/>
    <w:rsid w:val="251E0AE9"/>
    <w:rsid w:val="251F0A8E"/>
    <w:rsid w:val="251F6ECC"/>
    <w:rsid w:val="25234685"/>
    <w:rsid w:val="252B00EE"/>
    <w:rsid w:val="252E729F"/>
    <w:rsid w:val="25384EE8"/>
    <w:rsid w:val="253A2A46"/>
    <w:rsid w:val="253B0B07"/>
    <w:rsid w:val="253D691F"/>
    <w:rsid w:val="253F3884"/>
    <w:rsid w:val="25487A7F"/>
    <w:rsid w:val="25504B68"/>
    <w:rsid w:val="25550187"/>
    <w:rsid w:val="25550B8A"/>
    <w:rsid w:val="255C6D00"/>
    <w:rsid w:val="255E3FBB"/>
    <w:rsid w:val="25631BB1"/>
    <w:rsid w:val="2566431A"/>
    <w:rsid w:val="25707530"/>
    <w:rsid w:val="25745A66"/>
    <w:rsid w:val="257A162F"/>
    <w:rsid w:val="257A4807"/>
    <w:rsid w:val="258B0CB9"/>
    <w:rsid w:val="258B79C7"/>
    <w:rsid w:val="25994967"/>
    <w:rsid w:val="259C7404"/>
    <w:rsid w:val="25A3263C"/>
    <w:rsid w:val="25A948AF"/>
    <w:rsid w:val="25B612CE"/>
    <w:rsid w:val="25C10173"/>
    <w:rsid w:val="25C35365"/>
    <w:rsid w:val="25CA22E5"/>
    <w:rsid w:val="25CA3BA8"/>
    <w:rsid w:val="25CB1854"/>
    <w:rsid w:val="25CC2942"/>
    <w:rsid w:val="25CC669B"/>
    <w:rsid w:val="25CC6B47"/>
    <w:rsid w:val="25D01DD5"/>
    <w:rsid w:val="25D11CE6"/>
    <w:rsid w:val="25DC1ECC"/>
    <w:rsid w:val="25E12C4F"/>
    <w:rsid w:val="25F1288B"/>
    <w:rsid w:val="25F21EE0"/>
    <w:rsid w:val="26011914"/>
    <w:rsid w:val="260A1801"/>
    <w:rsid w:val="260B109B"/>
    <w:rsid w:val="26115306"/>
    <w:rsid w:val="26122F5D"/>
    <w:rsid w:val="26167EAA"/>
    <w:rsid w:val="261F13E2"/>
    <w:rsid w:val="26213683"/>
    <w:rsid w:val="26303780"/>
    <w:rsid w:val="26335038"/>
    <w:rsid w:val="263C6AB8"/>
    <w:rsid w:val="26410011"/>
    <w:rsid w:val="264228FB"/>
    <w:rsid w:val="265076A5"/>
    <w:rsid w:val="26570D20"/>
    <w:rsid w:val="26653B98"/>
    <w:rsid w:val="26653F9F"/>
    <w:rsid w:val="266A105E"/>
    <w:rsid w:val="266F2496"/>
    <w:rsid w:val="26700408"/>
    <w:rsid w:val="26780E4A"/>
    <w:rsid w:val="267A1AA8"/>
    <w:rsid w:val="267A7E20"/>
    <w:rsid w:val="267B7224"/>
    <w:rsid w:val="26872D7E"/>
    <w:rsid w:val="268923EA"/>
    <w:rsid w:val="268A73D3"/>
    <w:rsid w:val="26942953"/>
    <w:rsid w:val="26971D6D"/>
    <w:rsid w:val="269B257E"/>
    <w:rsid w:val="26A14CFB"/>
    <w:rsid w:val="26A733B0"/>
    <w:rsid w:val="26AC49E0"/>
    <w:rsid w:val="26B2033A"/>
    <w:rsid w:val="26B33B01"/>
    <w:rsid w:val="26B837DA"/>
    <w:rsid w:val="26C90FF3"/>
    <w:rsid w:val="26CE1E76"/>
    <w:rsid w:val="26E3525B"/>
    <w:rsid w:val="26F50B23"/>
    <w:rsid w:val="26F61BE2"/>
    <w:rsid w:val="27086959"/>
    <w:rsid w:val="270A47D0"/>
    <w:rsid w:val="270B2296"/>
    <w:rsid w:val="270E035C"/>
    <w:rsid w:val="271C1B0C"/>
    <w:rsid w:val="271C74C3"/>
    <w:rsid w:val="2720303C"/>
    <w:rsid w:val="272715AF"/>
    <w:rsid w:val="27296C05"/>
    <w:rsid w:val="272B5434"/>
    <w:rsid w:val="272B7CE1"/>
    <w:rsid w:val="27365549"/>
    <w:rsid w:val="27366DD7"/>
    <w:rsid w:val="27442279"/>
    <w:rsid w:val="274B78B6"/>
    <w:rsid w:val="274C41A6"/>
    <w:rsid w:val="274D592E"/>
    <w:rsid w:val="27504ECF"/>
    <w:rsid w:val="275821A5"/>
    <w:rsid w:val="27630446"/>
    <w:rsid w:val="27640998"/>
    <w:rsid w:val="27684CB5"/>
    <w:rsid w:val="276E056F"/>
    <w:rsid w:val="27711D3B"/>
    <w:rsid w:val="2776060C"/>
    <w:rsid w:val="277C7404"/>
    <w:rsid w:val="277F2B57"/>
    <w:rsid w:val="27824C5F"/>
    <w:rsid w:val="278359BC"/>
    <w:rsid w:val="27857434"/>
    <w:rsid w:val="27886B4A"/>
    <w:rsid w:val="279474E1"/>
    <w:rsid w:val="27A10C29"/>
    <w:rsid w:val="27A1645D"/>
    <w:rsid w:val="27AD7FAB"/>
    <w:rsid w:val="27AE550B"/>
    <w:rsid w:val="27B00DB9"/>
    <w:rsid w:val="27B05962"/>
    <w:rsid w:val="27B257E6"/>
    <w:rsid w:val="27B57501"/>
    <w:rsid w:val="27C065BA"/>
    <w:rsid w:val="27C14002"/>
    <w:rsid w:val="27C303A3"/>
    <w:rsid w:val="27CE764C"/>
    <w:rsid w:val="27CF48D8"/>
    <w:rsid w:val="27CF5FD4"/>
    <w:rsid w:val="27D16E8D"/>
    <w:rsid w:val="27D93150"/>
    <w:rsid w:val="27E40FE2"/>
    <w:rsid w:val="27EC6D9A"/>
    <w:rsid w:val="27FA1427"/>
    <w:rsid w:val="27FD2DA0"/>
    <w:rsid w:val="28026AEF"/>
    <w:rsid w:val="280C4787"/>
    <w:rsid w:val="280C597B"/>
    <w:rsid w:val="280D58F0"/>
    <w:rsid w:val="280D678A"/>
    <w:rsid w:val="28106910"/>
    <w:rsid w:val="281412A8"/>
    <w:rsid w:val="28143983"/>
    <w:rsid w:val="281D3672"/>
    <w:rsid w:val="282017F3"/>
    <w:rsid w:val="28224827"/>
    <w:rsid w:val="28282F23"/>
    <w:rsid w:val="282B4E5E"/>
    <w:rsid w:val="28377F8D"/>
    <w:rsid w:val="283F0C31"/>
    <w:rsid w:val="2841252C"/>
    <w:rsid w:val="28447B97"/>
    <w:rsid w:val="28456988"/>
    <w:rsid w:val="284C5E1A"/>
    <w:rsid w:val="284E086D"/>
    <w:rsid w:val="28525501"/>
    <w:rsid w:val="285B4385"/>
    <w:rsid w:val="28625930"/>
    <w:rsid w:val="286D657F"/>
    <w:rsid w:val="28766BC1"/>
    <w:rsid w:val="28797626"/>
    <w:rsid w:val="287B127F"/>
    <w:rsid w:val="288014B5"/>
    <w:rsid w:val="2881461D"/>
    <w:rsid w:val="288179B4"/>
    <w:rsid w:val="28882CBE"/>
    <w:rsid w:val="28892808"/>
    <w:rsid w:val="28920D22"/>
    <w:rsid w:val="289871C2"/>
    <w:rsid w:val="28A41443"/>
    <w:rsid w:val="28A46A7F"/>
    <w:rsid w:val="28A7177D"/>
    <w:rsid w:val="28AB65DF"/>
    <w:rsid w:val="28AE27F3"/>
    <w:rsid w:val="28C23A01"/>
    <w:rsid w:val="28C74998"/>
    <w:rsid w:val="28C93AC3"/>
    <w:rsid w:val="28E42158"/>
    <w:rsid w:val="28E8116A"/>
    <w:rsid w:val="28E90F64"/>
    <w:rsid w:val="28F1013D"/>
    <w:rsid w:val="28FB1BAC"/>
    <w:rsid w:val="28FB5C22"/>
    <w:rsid w:val="29005507"/>
    <w:rsid w:val="29077701"/>
    <w:rsid w:val="29080D00"/>
    <w:rsid w:val="2909341C"/>
    <w:rsid w:val="290C7824"/>
    <w:rsid w:val="290D7642"/>
    <w:rsid w:val="29186E85"/>
    <w:rsid w:val="292677B7"/>
    <w:rsid w:val="292D040A"/>
    <w:rsid w:val="29332D7E"/>
    <w:rsid w:val="293572B2"/>
    <w:rsid w:val="29433A05"/>
    <w:rsid w:val="295120AB"/>
    <w:rsid w:val="296622CE"/>
    <w:rsid w:val="296B4BE6"/>
    <w:rsid w:val="29704B40"/>
    <w:rsid w:val="29772DD2"/>
    <w:rsid w:val="29797660"/>
    <w:rsid w:val="297C4047"/>
    <w:rsid w:val="2983149E"/>
    <w:rsid w:val="298E0A8B"/>
    <w:rsid w:val="29903309"/>
    <w:rsid w:val="2991426D"/>
    <w:rsid w:val="299444F6"/>
    <w:rsid w:val="299B791D"/>
    <w:rsid w:val="29A0142B"/>
    <w:rsid w:val="29A45D80"/>
    <w:rsid w:val="29A6119E"/>
    <w:rsid w:val="29A743F5"/>
    <w:rsid w:val="29AB5CD6"/>
    <w:rsid w:val="29BF7A57"/>
    <w:rsid w:val="29C311A0"/>
    <w:rsid w:val="29C476DB"/>
    <w:rsid w:val="29CC14CC"/>
    <w:rsid w:val="29CC6864"/>
    <w:rsid w:val="29CF4FC5"/>
    <w:rsid w:val="29CF6B60"/>
    <w:rsid w:val="29D01E9B"/>
    <w:rsid w:val="29DC2EA0"/>
    <w:rsid w:val="29DF45F4"/>
    <w:rsid w:val="29E87861"/>
    <w:rsid w:val="29EB07FA"/>
    <w:rsid w:val="29F1583B"/>
    <w:rsid w:val="29F9234A"/>
    <w:rsid w:val="2A021BF3"/>
    <w:rsid w:val="2A0475B6"/>
    <w:rsid w:val="2A053A79"/>
    <w:rsid w:val="2A075DD3"/>
    <w:rsid w:val="2A0A4F03"/>
    <w:rsid w:val="2A0E6314"/>
    <w:rsid w:val="2A0F11ED"/>
    <w:rsid w:val="2A132776"/>
    <w:rsid w:val="2A1411BF"/>
    <w:rsid w:val="2A245CB1"/>
    <w:rsid w:val="2A373419"/>
    <w:rsid w:val="2A3C21D5"/>
    <w:rsid w:val="2A3D3C9E"/>
    <w:rsid w:val="2A4C40DF"/>
    <w:rsid w:val="2A4D2368"/>
    <w:rsid w:val="2A504731"/>
    <w:rsid w:val="2A56221D"/>
    <w:rsid w:val="2A573D00"/>
    <w:rsid w:val="2A5A18C4"/>
    <w:rsid w:val="2A5C4A68"/>
    <w:rsid w:val="2A5E6378"/>
    <w:rsid w:val="2A6029FD"/>
    <w:rsid w:val="2A621E43"/>
    <w:rsid w:val="2A6277F0"/>
    <w:rsid w:val="2A653B1B"/>
    <w:rsid w:val="2A691364"/>
    <w:rsid w:val="2A724988"/>
    <w:rsid w:val="2A7861F6"/>
    <w:rsid w:val="2A7D25E2"/>
    <w:rsid w:val="2A7D5A3D"/>
    <w:rsid w:val="2A85460D"/>
    <w:rsid w:val="2A87565C"/>
    <w:rsid w:val="2A8D4A45"/>
    <w:rsid w:val="2A8E62C9"/>
    <w:rsid w:val="2A900A00"/>
    <w:rsid w:val="2AA338B2"/>
    <w:rsid w:val="2AA71A18"/>
    <w:rsid w:val="2AAA07C5"/>
    <w:rsid w:val="2AAF3887"/>
    <w:rsid w:val="2AB36658"/>
    <w:rsid w:val="2AB93496"/>
    <w:rsid w:val="2ABB0709"/>
    <w:rsid w:val="2ABC35A1"/>
    <w:rsid w:val="2AC210CC"/>
    <w:rsid w:val="2AD34A0A"/>
    <w:rsid w:val="2AD6727E"/>
    <w:rsid w:val="2AE213F6"/>
    <w:rsid w:val="2AED38D4"/>
    <w:rsid w:val="2AF6758A"/>
    <w:rsid w:val="2B044780"/>
    <w:rsid w:val="2B08626C"/>
    <w:rsid w:val="2B105922"/>
    <w:rsid w:val="2B120584"/>
    <w:rsid w:val="2B1F5DEE"/>
    <w:rsid w:val="2B290EC9"/>
    <w:rsid w:val="2B2C493D"/>
    <w:rsid w:val="2B30453E"/>
    <w:rsid w:val="2B362A0F"/>
    <w:rsid w:val="2B3C674C"/>
    <w:rsid w:val="2B403850"/>
    <w:rsid w:val="2B4201F8"/>
    <w:rsid w:val="2B4926CC"/>
    <w:rsid w:val="2B50238A"/>
    <w:rsid w:val="2B5102DE"/>
    <w:rsid w:val="2B5A47FC"/>
    <w:rsid w:val="2B626FC3"/>
    <w:rsid w:val="2B6A5CA2"/>
    <w:rsid w:val="2B7A4A43"/>
    <w:rsid w:val="2B7A51CB"/>
    <w:rsid w:val="2B862397"/>
    <w:rsid w:val="2B883662"/>
    <w:rsid w:val="2B894C35"/>
    <w:rsid w:val="2B8C45DA"/>
    <w:rsid w:val="2B8F0135"/>
    <w:rsid w:val="2B9274C4"/>
    <w:rsid w:val="2BA64F9D"/>
    <w:rsid w:val="2BA74026"/>
    <w:rsid w:val="2BAD0059"/>
    <w:rsid w:val="2BAF28FF"/>
    <w:rsid w:val="2BB05F93"/>
    <w:rsid w:val="2BB15833"/>
    <w:rsid w:val="2BB222C7"/>
    <w:rsid w:val="2BB9186A"/>
    <w:rsid w:val="2BBA1AB4"/>
    <w:rsid w:val="2BBC2687"/>
    <w:rsid w:val="2BBE3A1E"/>
    <w:rsid w:val="2BCB1289"/>
    <w:rsid w:val="2BCC5CFB"/>
    <w:rsid w:val="2BD2366F"/>
    <w:rsid w:val="2BD74861"/>
    <w:rsid w:val="2BD870AF"/>
    <w:rsid w:val="2BDE3F6E"/>
    <w:rsid w:val="2BEC1234"/>
    <w:rsid w:val="2BEC4B59"/>
    <w:rsid w:val="2BEF6ED6"/>
    <w:rsid w:val="2BF60C1B"/>
    <w:rsid w:val="2BF760F5"/>
    <w:rsid w:val="2BF9359B"/>
    <w:rsid w:val="2C047D98"/>
    <w:rsid w:val="2C075F5C"/>
    <w:rsid w:val="2C0B756F"/>
    <w:rsid w:val="2C0F03C8"/>
    <w:rsid w:val="2C2D15DD"/>
    <w:rsid w:val="2C2D3788"/>
    <w:rsid w:val="2C335C64"/>
    <w:rsid w:val="2C3502BE"/>
    <w:rsid w:val="2C3D7EBB"/>
    <w:rsid w:val="2C4341AC"/>
    <w:rsid w:val="2C4C248F"/>
    <w:rsid w:val="2C4E7569"/>
    <w:rsid w:val="2C512033"/>
    <w:rsid w:val="2C513A99"/>
    <w:rsid w:val="2C5C6B56"/>
    <w:rsid w:val="2C5C7768"/>
    <w:rsid w:val="2C6941AB"/>
    <w:rsid w:val="2C6D67C4"/>
    <w:rsid w:val="2C701096"/>
    <w:rsid w:val="2C755126"/>
    <w:rsid w:val="2C7A54B8"/>
    <w:rsid w:val="2C7E4100"/>
    <w:rsid w:val="2C8233AC"/>
    <w:rsid w:val="2C834431"/>
    <w:rsid w:val="2C8632F5"/>
    <w:rsid w:val="2C8A7455"/>
    <w:rsid w:val="2C9307CA"/>
    <w:rsid w:val="2C941177"/>
    <w:rsid w:val="2C9560B2"/>
    <w:rsid w:val="2C9D71CE"/>
    <w:rsid w:val="2C9F1552"/>
    <w:rsid w:val="2CA5074E"/>
    <w:rsid w:val="2CA723FB"/>
    <w:rsid w:val="2CA73DA8"/>
    <w:rsid w:val="2CAF1E83"/>
    <w:rsid w:val="2CB15DF7"/>
    <w:rsid w:val="2CBD4B00"/>
    <w:rsid w:val="2CBF7DA3"/>
    <w:rsid w:val="2CCD454D"/>
    <w:rsid w:val="2CD753C1"/>
    <w:rsid w:val="2CD8482D"/>
    <w:rsid w:val="2CE24587"/>
    <w:rsid w:val="2CEB1D6C"/>
    <w:rsid w:val="2CED551D"/>
    <w:rsid w:val="2CFA4B47"/>
    <w:rsid w:val="2D052D88"/>
    <w:rsid w:val="2D054D76"/>
    <w:rsid w:val="2D113BDA"/>
    <w:rsid w:val="2D150B97"/>
    <w:rsid w:val="2D1E3CB5"/>
    <w:rsid w:val="2D22026D"/>
    <w:rsid w:val="2D322D52"/>
    <w:rsid w:val="2D3262D5"/>
    <w:rsid w:val="2D3E29FE"/>
    <w:rsid w:val="2D431DB3"/>
    <w:rsid w:val="2D443ED8"/>
    <w:rsid w:val="2D4C7C52"/>
    <w:rsid w:val="2D5015B6"/>
    <w:rsid w:val="2D520565"/>
    <w:rsid w:val="2D5B38DD"/>
    <w:rsid w:val="2D5C151C"/>
    <w:rsid w:val="2D642FCF"/>
    <w:rsid w:val="2D693ED2"/>
    <w:rsid w:val="2D6A1952"/>
    <w:rsid w:val="2D746E52"/>
    <w:rsid w:val="2D7B5571"/>
    <w:rsid w:val="2D890723"/>
    <w:rsid w:val="2D901458"/>
    <w:rsid w:val="2D9364A0"/>
    <w:rsid w:val="2D956DC9"/>
    <w:rsid w:val="2D981C83"/>
    <w:rsid w:val="2DA64C11"/>
    <w:rsid w:val="2DC055A0"/>
    <w:rsid w:val="2DC60312"/>
    <w:rsid w:val="2DCA0C7A"/>
    <w:rsid w:val="2DD212F1"/>
    <w:rsid w:val="2DD97EF9"/>
    <w:rsid w:val="2DE20BD4"/>
    <w:rsid w:val="2DE90F63"/>
    <w:rsid w:val="2DEB2C5D"/>
    <w:rsid w:val="2DF5008C"/>
    <w:rsid w:val="2DFA5D1C"/>
    <w:rsid w:val="2E087082"/>
    <w:rsid w:val="2E0F4896"/>
    <w:rsid w:val="2E103E63"/>
    <w:rsid w:val="2E172FC3"/>
    <w:rsid w:val="2E296E5A"/>
    <w:rsid w:val="2E326001"/>
    <w:rsid w:val="2E34221D"/>
    <w:rsid w:val="2E3B55A5"/>
    <w:rsid w:val="2E421EC8"/>
    <w:rsid w:val="2E4A16A0"/>
    <w:rsid w:val="2E4C6A2A"/>
    <w:rsid w:val="2E554436"/>
    <w:rsid w:val="2E56199B"/>
    <w:rsid w:val="2E592149"/>
    <w:rsid w:val="2E642627"/>
    <w:rsid w:val="2E6D5E7D"/>
    <w:rsid w:val="2E7320CE"/>
    <w:rsid w:val="2E757EFF"/>
    <w:rsid w:val="2E7708FA"/>
    <w:rsid w:val="2E805031"/>
    <w:rsid w:val="2E8378F9"/>
    <w:rsid w:val="2E854F07"/>
    <w:rsid w:val="2E8C41AB"/>
    <w:rsid w:val="2E933F04"/>
    <w:rsid w:val="2E99421D"/>
    <w:rsid w:val="2E9E21D1"/>
    <w:rsid w:val="2EA41C48"/>
    <w:rsid w:val="2EAE5FB3"/>
    <w:rsid w:val="2EAF4D7A"/>
    <w:rsid w:val="2EB00596"/>
    <w:rsid w:val="2EBA587E"/>
    <w:rsid w:val="2EBD3064"/>
    <w:rsid w:val="2EC05FE7"/>
    <w:rsid w:val="2EC26466"/>
    <w:rsid w:val="2EE9585B"/>
    <w:rsid w:val="2EEB6B28"/>
    <w:rsid w:val="2EEE2378"/>
    <w:rsid w:val="2EF04710"/>
    <w:rsid w:val="2EFC62E0"/>
    <w:rsid w:val="2F0429CA"/>
    <w:rsid w:val="2F0B46A2"/>
    <w:rsid w:val="2F0D37BD"/>
    <w:rsid w:val="2F0E335D"/>
    <w:rsid w:val="2F0E677D"/>
    <w:rsid w:val="2F144012"/>
    <w:rsid w:val="2F1D5D39"/>
    <w:rsid w:val="2F2617A7"/>
    <w:rsid w:val="2F282F9A"/>
    <w:rsid w:val="2F305FC1"/>
    <w:rsid w:val="2F34515A"/>
    <w:rsid w:val="2F3B7C94"/>
    <w:rsid w:val="2F4901B4"/>
    <w:rsid w:val="2F5F0E72"/>
    <w:rsid w:val="2F630CE2"/>
    <w:rsid w:val="2F692E92"/>
    <w:rsid w:val="2F6B6336"/>
    <w:rsid w:val="2F6C3523"/>
    <w:rsid w:val="2F6D3E83"/>
    <w:rsid w:val="2F710330"/>
    <w:rsid w:val="2F7B70F8"/>
    <w:rsid w:val="2F811E68"/>
    <w:rsid w:val="2F814135"/>
    <w:rsid w:val="2F83513E"/>
    <w:rsid w:val="2F843D81"/>
    <w:rsid w:val="2F8B4BD7"/>
    <w:rsid w:val="2F8D0F06"/>
    <w:rsid w:val="2F951EFA"/>
    <w:rsid w:val="2F9525CE"/>
    <w:rsid w:val="2FA15554"/>
    <w:rsid w:val="2FAF2E51"/>
    <w:rsid w:val="2FB2109E"/>
    <w:rsid w:val="2FB9600E"/>
    <w:rsid w:val="2FC0182E"/>
    <w:rsid w:val="2FC115B8"/>
    <w:rsid w:val="2FC55434"/>
    <w:rsid w:val="2FCA3920"/>
    <w:rsid w:val="2FCF7B64"/>
    <w:rsid w:val="2FD437A7"/>
    <w:rsid w:val="2FD64A53"/>
    <w:rsid w:val="2FD81D8F"/>
    <w:rsid w:val="2FF12D33"/>
    <w:rsid w:val="2FF2327A"/>
    <w:rsid w:val="2FF320B7"/>
    <w:rsid w:val="300970E3"/>
    <w:rsid w:val="3012545F"/>
    <w:rsid w:val="301723DF"/>
    <w:rsid w:val="301B48DC"/>
    <w:rsid w:val="30236634"/>
    <w:rsid w:val="3028012C"/>
    <w:rsid w:val="302A32D4"/>
    <w:rsid w:val="303A44D4"/>
    <w:rsid w:val="30451368"/>
    <w:rsid w:val="304567D2"/>
    <w:rsid w:val="30463635"/>
    <w:rsid w:val="304F4103"/>
    <w:rsid w:val="30530618"/>
    <w:rsid w:val="305848C0"/>
    <w:rsid w:val="305A367F"/>
    <w:rsid w:val="305D1CF8"/>
    <w:rsid w:val="30625E54"/>
    <w:rsid w:val="30753DAD"/>
    <w:rsid w:val="307F507C"/>
    <w:rsid w:val="3083623A"/>
    <w:rsid w:val="308D5315"/>
    <w:rsid w:val="308F0018"/>
    <w:rsid w:val="30910409"/>
    <w:rsid w:val="30A212D0"/>
    <w:rsid w:val="30A22559"/>
    <w:rsid w:val="30A73F48"/>
    <w:rsid w:val="30A92D0C"/>
    <w:rsid w:val="30B24844"/>
    <w:rsid w:val="30B600D3"/>
    <w:rsid w:val="30B95E9D"/>
    <w:rsid w:val="30BB5D3B"/>
    <w:rsid w:val="30BE2FB2"/>
    <w:rsid w:val="30BF2369"/>
    <w:rsid w:val="30BF2F44"/>
    <w:rsid w:val="30CC3EF1"/>
    <w:rsid w:val="30CE0A5C"/>
    <w:rsid w:val="30DD67AD"/>
    <w:rsid w:val="30E42A74"/>
    <w:rsid w:val="30E658B5"/>
    <w:rsid w:val="30E93E21"/>
    <w:rsid w:val="30EA1395"/>
    <w:rsid w:val="30ED0CB7"/>
    <w:rsid w:val="30F91FD5"/>
    <w:rsid w:val="30FD7CAF"/>
    <w:rsid w:val="31003061"/>
    <w:rsid w:val="31031508"/>
    <w:rsid w:val="310418D5"/>
    <w:rsid w:val="31046251"/>
    <w:rsid w:val="310E2465"/>
    <w:rsid w:val="3119218F"/>
    <w:rsid w:val="31235771"/>
    <w:rsid w:val="312B7B76"/>
    <w:rsid w:val="312C01E9"/>
    <w:rsid w:val="31325070"/>
    <w:rsid w:val="31381D7A"/>
    <w:rsid w:val="31393E9B"/>
    <w:rsid w:val="31394140"/>
    <w:rsid w:val="313D2C28"/>
    <w:rsid w:val="31474D42"/>
    <w:rsid w:val="314919CF"/>
    <w:rsid w:val="31496535"/>
    <w:rsid w:val="314A2415"/>
    <w:rsid w:val="316173E5"/>
    <w:rsid w:val="31660DAA"/>
    <w:rsid w:val="31690E97"/>
    <w:rsid w:val="316E2119"/>
    <w:rsid w:val="316E4789"/>
    <w:rsid w:val="316F13FA"/>
    <w:rsid w:val="316F58FC"/>
    <w:rsid w:val="317225E5"/>
    <w:rsid w:val="31755F02"/>
    <w:rsid w:val="317E0C7F"/>
    <w:rsid w:val="317F5387"/>
    <w:rsid w:val="31867E3F"/>
    <w:rsid w:val="318F1FBE"/>
    <w:rsid w:val="31905D36"/>
    <w:rsid w:val="3193495C"/>
    <w:rsid w:val="31995D42"/>
    <w:rsid w:val="31AB0043"/>
    <w:rsid w:val="31B1700E"/>
    <w:rsid w:val="31B20D38"/>
    <w:rsid w:val="31C01CFA"/>
    <w:rsid w:val="31C0317C"/>
    <w:rsid w:val="31C346EA"/>
    <w:rsid w:val="31C70DF5"/>
    <w:rsid w:val="31CF0F21"/>
    <w:rsid w:val="31D00075"/>
    <w:rsid w:val="31D27AC8"/>
    <w:rsid w:val="31DF692A"/>
    <w:rsid w:val="31E171EF"/>
    <w:rsid w:val="31F72D85"/>
    <w:rsid w:val="31FD646A"/>
    <w:rsid w:val="320E1EBE"/>
    <w:rsid w:val="320E4D35"/>
    <w:rsid w:val="32106011"/>
    <w:rsid w:val="32110852"/>
    <w:rsid w:val="32193E5B"/>
    <w:rsid w:val="32261DB2"/>
    <w:rsid w:val="323479E4"/>
    <w:rsid w:val="323E5792"/>
    <w:rsid w:val="32484FEE"/>
    <w:rsid w:val="324B07BD"/>
    <w:rsid w:val="324F24E5"/>
    <w:rsid w:val="3254274E"/>
    <w:rsid w:val="32544BDF"/>
    <w:rsid w:val="325909FD"/>
    <w:rsid w:val="325E6910"/>
    <w:rsid w:val="32701107"/>
    <w:rsid w:val="3274719C"/>
    <w:rsid w:val="327F6D67"/>
    <w:rsid w:val="32821C93"/>
    <w:rsid w:val="328343EB"/>
    <w:rsid w:val="32854A29"/>
    <w:rsid w:val="3288244A"/>
    <w:rsid w:val="329A7EE5"/>
    <w:rsid w:val="32B461E4"/>
    <w:rsid w:val="32C716D6"/>
    <w:rsid w:val="32C871EE"/>
    <w:rsid w:val="32CA3FBC"/>
    <w:rsid w:val="32D1739F"/>
    <w:rsid w:val="32D63C15"/>
    <w:rsid w:val="32D940C6"/>
    <w:rsid w:val="32D958F4"/>
    <w:rsid w:val="32DB0C08"/>
    <w:rsid w:val="32DB182E"/>
    <w:rsid w:val="32DD366B"/>
    <w:rsid w:val="32E920BF"/>
    <w:rsid w:val="32EF0A75"/>
    <w:rsid w:val="32F64468"/>
    <w:rsid w:val="32FA541E"/>
    <w:rsid w:val="32FD412F"/>
    <w:rsid w:val="33084A3B"/>
    <w:rsid w:val="330B6E50"/>
    <w:rsid w:val="330E4A95"/>
    <w:rsid w:val="331117C0"/>
    <w:rsid w:val="331A7C8F"/>
    <w:rsid w:val="332B0710"/>
    <w:rsid w:val="332B5EB5"/>
    <w:rsid w:val="33371736"/>
    <w:rsid w:val="334D0A9F"/>
    <w:rsid w:val="335E1CC8"/>
    <w:rsid w:val="3364656C"/>
    <w:rsid w:val="336A6CE7"/>
    <w:rsid w:val="336C266E"/>
    <w:rsid w:val="33723946"/>
    <w:rsid w:val="33792FE2"/>
    <w:rsid w:val="338120A0"/>
    <w:rsid w:val="338B5A94"/>
    <w:rsid w:val="338E7B48"/>
    <w:rsid w:val="3390450B"/>
    <w:rsid w:val="3396271C"/>
    <w:rsid w:val="339E3411"/>
    <w:rsid w:val="339F6214"/>
    <w:rsid w:val="33A35ED7"/>
    <w:rsid w:val="33B31AE9"/>
    <w:rsid w:val="33C841B4"/>
    <w:rsid w:val="33CD110B"/>
    <w:rsid w:val="33D15F2E"/>
    <w:rsid w:val="33D7795C"/>
    <w:rsid w:val="33DD580A"/>
    <w:rsid w:val="33E21FED"/>
    <w:rsid w:val="33E727C5"/>
    <w:rsid w:val="33ED755A"/>
    <w:rsid w:val="33F16EEC"/>
    <w:rsid w:val="33F40E24"/>
    <w:rsid w:val="33FC25CA"/>
    <w:rsid w:val="340B4D34"/>
    <w:rsid w:val="340C4058"/>
    <w:rsid w:val="340C4DD2"/>
    <w:rsid w:val="341E06F7"/>
    <w:rsid w:val="34243721"/>
    <w:rsid w:val="342A4F5F"/>
    <w:rsid w:val="342D23D8"/>
    <w:rsid w:val="343132D5"/>
    <w:rsid w:val="3438573F"/>
    <w:rsid w:val="343C247D"/>
    <w:rsid w:val="343D1DB8"/>
    <w:rsid w:val="34414159"/>
    <w:rsid w:val="344E1DC8"/>
    <w:rsid w:val="3455236F"/>
    <w:rsid w:val="34596D0D"/>
    <w:rsid w:val="345B3E45"/>
    <w:rsid w:val="34672BEA"/>
    <w:rsid w:val="34690186"/>
    <w:rsid w:val="347B6A3A"/>
    <w:rsid w:val="34802C6C"/>
    <w:rsid w:val="34816DB7"/>
    <w:rsid w:val="34947504"/>
    <w:rsid w:val="349640AA"/>
    <w:rsid w:val="34A05B77"/>
    <w:rsid w:val="34A5006C"/>
    <w:rsid w:val="34A8302C"/>
    <w:rsid w:val="34AA5361"/>
    <w:rsid w:val="34AE0945"/>
    <w:rsid w:val="34B445FB"/>
    <w:rsid w:val="34B455DE"/>
    <w:rsid w:val="34B82070"/>
    <w:rsid w:val="34BC4090"/>
    <w:rsid w:val="34BE672D"/>
    <w:rsid w:val="34BF2DEA"/>
    <w:rsid w:val="34C25AE9"/>
    <w:rsid w:val="34CA55B1"/>
    <w:rsid w:val="34CF3529"/>
    <w:rsid w:val="34D7197A"/>
    <w:rsid w:val="34D94DA0"/>
    <w:rsid w:val="34DA7B4B"/>
    <w:rsid w:val="34DE7369"/>
    <w:rsid w:val="34E178F1"/>
    <w:rsid w:val="34E96194"/>
    <w:rsid w:val="34FA4928"/>
    <w:rsid w:val="350605D1"/>
    <w:rsid w:val="350A1E75"/>
    <w:rsid w:val="350D4220"/>
    <w:rsid w:val="35172E58"/>
    <w:rsid w:val="351D6888"/>
    <w:rsid w:val="3522520D"/>
    <w:rsid w:val="35255923"/>
    <w:rsid w:val="353411BC"/>
    <w:rsid w:val="353A4A31"/>
    <w:rsid w:val="353B0D84"/>
    <w:rsid w:val="353F67B8"/>
    <w:rsid w:val="354E3A78"/>
    <w:rsid w:val="354F1D48"/>
    <w:rsid w:val="3550415A"/>
    <w:rsid w:val="35505B43"/>
    <w:rsid w:val="35510E30"/>
    <w:rsid w:val="355B2679"/>
    <w:rsid w:val="356440BC"/>
    <w:rsid w:val="356E4D0B"/>
    <w:rsid w:val="356E5AE8"/>
    <w:rsid w:val="357912CE"/>
    <w:rsid w:val="357B0781"/>
    <w:rsid w:val="357D67E7"/>
    <w:rsid w:val="358019E7"/>
    <w:rsid w:val="358E021C"/>
    <w:rsid w:val="3599321D"/>
    <w:rsid w:val="35996414"/>
    <w:rsid w:val="359A44C0"/>
    <w:rsid w:val="359E499A"/>
    <w:rsid w:val="359F4D79"/>
    <w:rsid w:val="35AF1F78"/>
    <w:rsid w:val="35AF42D7"/>
    <w:rsid w:val="35B01960"/>
    <w:rsid w:val="35B220D5"/>
    <w:rsid w:val="35B25EB8"/>
    <w:rsid w:val="35B86116"/>
    <w:rsid w:val="35C16399"/>
    <w:rsid w:val="35C34996"/>
    <w:rsid w:val="35C81C5B"/>
    <w:rsid w:val="35CD6421"/>
    <w:rsid w:val="35D51E1D"/>
    <w:rsid w:val="35E03A78"/>
    <w:rsid w:val="35EA11D2"/>
    <w:rsid w:val="360044D8"/>
    <w:rsid w:val="360369A3"/>
    <w:rsid w:val="36051BF9"/>
    <w:rsid w:val="360A07B9"/>
    <w:rsid w:val="360E6900"/>
    <w:rsid w:val="3615104D"/>
    <w:rsid w:val="36154AF5"/>
    <w:rsid w:val="36177DD9"/>
    <w:rsid w:val="361F5EE3"/>
    <w:rsid w:val="362C5ACD"/>
    <w:rsid w:val="362D3F50"/>
    <w:rsid w:val="36330C6B"/>
    <w:rsid w:val="3635736B"/>
    <w:rsid w:val="3639699D"/>
    <w:rsid w:val="363B0641"/>
    <w:rsid w:val="363F0394"/>
    <w:rsid w:val="364C5483"/>
    <w:rsid w:val="364D71DB"/>
    <w:rsid w:val="36533F02"/>
    <w:rsid w:val="365577FA"/>
    <w:rsid w:val="3666142C"/>
    <w:rsid w:val="366A6E96"/>
    <w:rsid w:val="36721879"/>
    <w:rsid w:val="367A3246"/>
    <w:rsid w:val="367F70AF"/>
    <w:rsid w:val="368B778C"/>
    <w:rsid w:val="36923452"/>
    <w:rsid w:val="369A2CB0"/>
    <w:rsid w:val="369F24A2"/>
    <w:rsid w:val="36A377DA"/>
    <w:rsid w:val="36A86627"/>
    <w:rsid w:val="36AA05DC"/>
    <w:rsid w:val="36AE247A"/>
    <w:rsid w:val="36B20DD7"/>
    <w:rsid w:val="36B6667B"/>
    <w:rsid w:val="36B9758D"/>
    <w:rsid w:val="36C13F6C"/>
    <w:rsid w:val="36C6023F"/>
    <w:rsid w:val="36C87B0D"/>
    <w:rsid w:val="36CA2FA3"/>
    <w:rsid w:val="36D10D79"/>
    <w:rsid w:val="36D41AC6"/>
    <w:rsid w:val="36DD2B0C"/>
    <w:rsid w:val="36DD5643"/>
    <w:rsid w:val="36E0116F"/>
    <w:rsid w:val="36ED6F0B"/>
    <w:rsid w:val="36F05B5F"/>
    <w:rsid w:val="36F83F7A"/>
    <w:rsid w:val="36FA5EF0"/>
    <w:rsid w:val="36FC701E"/>
    <w:rsid w:val="36FE7495"/>
    <w:rsid w:val="37000D38"/>
    <w:rsid w:val="37047404"/>
    <w:rsid w:val="37057757"/>
    <w:rsid w:val="37112659"/>
    <w:rsid w:val="37122F7B"/>
    <w:rsid w:val="371F705A"/>
    <w:rsid w:val="37260052"/>
    <w:rsid w:val="37281070"/>
    <w:rsid w:val="37283B17"/>
    <w:rsid w:val="372C6E27"/>
    <w:rsid w:val="373F1567"/>
    <w:rsid w:val="37406625"/>
    <w:rsid w:val="37435DED"/>
    <w:rsid w:val="374D21C0"/>
    <w:rsid w:val="374E6478"/>
    <w:rsid w:val="37503F9E"/>
    <w:rsid w:val="375542A1"/>
    <w:rsid w:val="37573D84"/>
    <w:rsid w:val="37575797"/>
    <w:rsid w:val="375C6DE7"/>
    <w:rsid w:val="376673D6"/>
    <w:rsid w:val="37670157"/>
    <w:rsid w:val="376E6B33"/>
    <w:rsid w:val="3772259C"/>
    <w:rsid w:val="37784F66"/>
    <w:rsid w:val="377B1125"/>
    <w:rsid w:val="377E29AC"/>
    <w:rsid w:val="3785064C"/>
    <w:rsid w:val="3790495E"/>
    <w:rsid w:val="379E0288"/>
    <w:rsid w:val="37A2367B"/>
    <w:rsid w:val="37A637EF"/>
    <w:rsid w:val="37AB13AC"/>
    <w:rsid w:val="37BE7BCC"/>
    <w:rsid w:val="37C95A4C"/>
    <w:rsid w:val="37D16AE0"/>
    <w:rsid w:val="37E25735"/>
    <w:rsid w:val="37E62E65"/>
    <w:rsid w:val="37ED4E22"/>
    <w:rsid w:val="37F43B46"/>
    <w:rsid w:val="37F7677D"/>
    <w:rsid w:val="38010B31"/>
    <w:rsid w:val="38052BF0"/>
    <w:rsid w:val="38090653"/>
    <w:rsid w:val="380F6B34"/>
    <w:rsid w:val="38153493"/>
    <w:rsid w:val="38207590"/>
    <w:rsid w:val="3822044B"/>
    <w:rsid w:val="38237904"/>
    <w:rsid w:val="38272059"/>
    <w:rsid w:val="382C51B9"/>
    <w:rsid w:val="383800AD"/>
    <w:rsid w:val="383C4EC4"/>
    <w:rsid w:val="383C6418"/>
    <w:rsid w:val="383F4FF1"/>
    <w:rsid w:val="38413E85"/>
    <w:rsid w:val="38433B9D"/>
    <w:rsid w:val="384E69DC"/>
    <w:rsid w:val="385432AE"/>
    <w:rsid w:val="385E0E01"/>
    <w:rsid w:val="386606BD"/>
    <w:rsid w:val="38675216"/>
    <w:rsid w:val="386D2443"/>
    <w:rsid w:val="386D52D3"/>
    <w:rsid w:val="3870332A"/>
    <w:rsid w:val="3872150C"/>
    <w:rsid w:val="387271FD"/>
    <w:rsid w:val="38765C86"/>
    <w:rsid w:val="387E44BB"/>
    <w:rsid w:val="388151B6"/>
    <w:rsid w:val="388E5799"/>
    <w:rsid w:val="38950D8F"/>
    <w:rsid w:val="38A11150"/>
    <w:rsid w:val="38A14DA4"/>
    <w:rsid w:val="38B52EC0"/>
    <w:rsid w:val="38B75506"/>
    <w:rsid w:val="38BC25E2"/>
    <w:rsid w:val="38C17A8E"/>
    <w:rsid w:val="38C4165F"/>
    <w:rsid w:val="38CD161E"/>
    <w:rsid w:val="38D315B1"/>
    <w:rsid w:val="38D657A7"/>
    <w:rsid w:val="38D66877"/>
    <w:rsid w:val="38D84957"/>
    <w:rsid w:val="38DC4173"/>
    <w:rsid w:val="38DC4D15"/>
    <w:rsid w:val="38DF5701"/>
    <w:rsid w:val="38E06774"/>
    <w:rsid w:val="38E2328F"/>
    <w:rsid w:val="38EE0781"/>
    <w:rsid w:val="38F16AA5"/>
    <w:rsid w:val="38F63ABA"/>
    <w:rsid w:val="38FF0B5D"/>
    <w:rsid w:val="38FF71D6"/>
    <w:rsid w:val="39047E23"/>
    <w:rsid w:val="39072D82"/>
    <w:rsid w:val="39072F01"/>
    <w:rsid w:val="3909573F"/>
    <w:rsid w:val="390A3A3F"/>
    <w:rsid w:val="39137979"/>
    <w:rsid w:val="39144F66"/>
    <w:rsid w:val="39153FA6"/>
    <w:rsid w:val="39174618"/>
    <w:rsid w:val="39194C1E"/>
    <w:rsid w:val="391D025D"/>
    <w:rsid w:val="392A4EC0"/>
    <w:rsid w:val="39446C9D"/>
    <w:rsid w:val="39562469"/>
    <w:rsid w:val="39577BCA"/>
    <w:rsid w:val="395914F0"/>
    <w:rsid w:val="395B071D"/>
    <w:rsid w:val="395F0370"/>
    <w:rsid w:val="3966100F"/>
    <w:rsid w:val="39697FA0"/>
    <w:rsid w:val="39711B38"/>
    <w:rsid w:val="39712946"/>
    <w:rsid w:val="397202AC"/>
    <w:rsid w:val="39723F2D"/>
    <w:rsid w:val="397865C9"/>
    <w:rsid w:val="397965DF"/>
    <w:rsid w:val="397B4977"/>
    <w:rsid w:val="397F45CA"/>
    <w:rsid w:val="398235E0"/>
    <w:rsid w:val="39870E1D"/>
    <w:rsid w:val="39882D3F"/>
    <w:rsid w:val="39924A41"/>
    <w:rsid w:val="399D59C0"/>
    <w:rsid w:val="39A03571"/>
    <w:rsid w:val="39A171A3"/>
    <w:rsid w:val="39AE7BCB"/>
    <w:rsid w:val="39B32E09"/>
    <w:rsid w:val="39B76C0D"/>
    <w:rsid w:val="39C02446"/>
    <w:rsid w:val="39C45A8E"/>
    <w:rsid w:val="39CE5795"/>
    <w:rsid w:val="39D63010"/>
    <w:rsid w:val="39DB2D68"/>
    <w:rsid w:val="39E036E8"/>
    <w:rsid w:val="39E44E27"/>
    <w:rsid w:val="39EF3A63"/>
    <w:rsid w:val="39F2758E"/>
    <w:rsid w:val="39F51F21"/>
    <w:rsid w:val="39F8049F"/>
    <w:rsid w:val="39FA45AC"/>
    <w:rsid w:val="3A0F770C"/>
    <w:rsid w:val="3A12456E"/>
    <w:rsid w:val="3A1C2DA4"/>
    <w:rsid w:val="3A2033EB"/>
    <w:rsid w:val="3A232A86"/>
    <w:rsid w:val="3A267272"/>
    <w:rsid w:val="3A27373A"/>
    <w:rsid w:val="3A3858F9"/>
    <w:rsid w:val="3A3B2355"/>
    <w:rsid w:val="3A40013B"/>
    <w:rsid w:val="3A421A17"/>
    <w:rsid w:val="3A4224D5"/>
    <w:rsid w:val="3A48295E"/>
    <w:rsid w:val="3A4C73EF"/>
    <w:rsid w:val="3A537A35"/>
    <w:rsid w:val="3A553058"/>
    <w:rsid w:val="3A5E6D57"/>
    <w:rsid w:val="3A5F014B"/>
    <w:rsid w:val="3A626D06"/>
    <w:rsid w:val="3A6669D0"/>
    <w:rsid w:val="3A6A476F"/>
    <w:rsid w:val="3A6B5560"/>
    <w:rsid w:val="3A712B04"/>
    <w:rsid w:val="3A751D32"/>
    <w:rsid w:val="3A755DC1"/>
    <w:rsid w:val="3A770FF2"/>
    <w:rsid w:val="3A773383"/>
    <w:rsid w:val="3A777D81"/>
    <w:rsid w:val="3A8401B2"/>
    <w:rsid w:val="3A872166"/>
    <w:rsid w:val="3A8A299E"/>
    <w:rsid w:val="3A8D681E"/>
    <w:rsid w:val="3A8E7D63"/>
    <w:rsid w:val="3A90441F"/>
    <w:rsid w:val="3A925E71"/>
    <w:rsid w:val="3A947BFC"/>
    <w:rsid w:val="3A9E7179"/>
    <w:rsid w:val="3AA36ADA"/>
    <w:rsid w:val="3AAB33C7"/>
    <w:rsid w:val="3AAE129F"/>
    <w:rsid w:val="3AB5512C"/>
    <w:rsid w:val="3AB71F2C"/>
    <w:rsid w:val="3AB90AF0"/>
    <w:rsid w:val="3ABA2535"/>
    <w:rsid w:val="3ABB0323"/>
    <w:rsid w:val="3ABE6C61"/>
    <w:rsid w:val="3AC12D54"/>
    <w:rsid w:val="3AC56A30"/>
    <w:rsid w:val="3AD24F08"/>
    <w:rsid w:val="3AD526CE"/>
    <w:rsid w:val="3AD8001F"/>
    <w:rsid w:val="3AEE1D2F"/>
    <w:rsid w:val="3AEF16BC"/>
    <w:rsid w:val="3AEF7D13"/>
    <w:rsid w:val="3AF4568E"/>
    <w:rsid w:val="3B047F69"/>
    <w:rsid w:val="3B071354"/>
    <w:rsid w:val="3B097256"/>
    <w:rsid w:val="3B13270C"/>
    <w:rsid w:val="3B154103"/>
    <w:rsid w:val="3B170EE1"/>
    <w:rsid w:val="3B1A3241"/>
    <w:rsid w:val="3B265FF2"/>
    <w:rsid w:val="3B285EF7"/>
    <w:rsid w:val="3B3F729E"/>
    <w:rsid w:val="3B421096"/>
    <w:rsid w:val="3B4524D9"/>
    <w:rsid w:val="3B476C55"/>
    <w:rsid w:val="3B567FFE"/>
    <w:rsid w:val="3B64238A"/>
    <w:rsid w:val="3B6A07EB"/>
    <w:rsid w:val="3B6A0EC9"/>
    <w:rsid w:val="3B6F0BFF"/>
    <w:rsid w:val="3B6F7654"/>
    <w:rsid w:val="3B72704A"/>
    <w:rsid w:val="3B7D788E"/>
    <w:rsid w:val="3B8139DF"/>
    <w:rsid w:val="3B844E86"/>
    <w:rsid w:val="3B8A1951"/>
    <w:rsid w:val="3B96722B"/>
    <w:rsid w:val="3B9A6336"/>
    <w:rsid w:val="3BA4450D"/>
    <w:rsid w:val="3BAB4E4E"/>
    <w:rsid w:val="3BB24B3E"/>
    <w:rsid w:val="3BB65D6F"/>
    <w:rsid w:val="3BB830F6"/>
    <w:rsid w:val="3BBD6DB9"/>
    <w:rsid w:val="3BBF02F7"/>
    <w:rsid w:val="3BC91515"/>
    <w:rsid w:val="3BC97A93"/>
    <w:rsid w:val="3BCF06D3"/>
    <w:rsid w:val="3BD500FA"/>
    <w:rsid w:val="3BDA06A1"/>
    <w:rsid w:val="3BF41A8F"/>
    <w:rsid w:val="3BF7127B"/>
    <w:rsid w:val="3BFE67AA"/>
    <w:rsid w:val="3C044326"/>
    <w:rsid w:val="3C123F18"/>
    <w:rsid w:val="3C157424"/>
    <w:rsid w:val="3C1608D8"/>
    <w:rsid w:val="3C161A18"/>
    <w:rsid w:val="3C21075D"/>
    <w:rsid w:val="3C281D3A"/>
    <w:rsid w:val="3C2B7CE1"/>
    <w:rsid w:val="3C3550EA"/>
    <w:rsid w:val="3C38759A"/>
    <w:rsid w:val="3C486978"/>
    <w:rsid w:val="3C4D2A7B"/>
    <w:rsid w:val="3C542BE9"/>
    <w:rsid w:val="3C5930DF"/>
    <w:rsid w:val="3C5E5B97"/>
    <w:rsid w:val="3C6027B1"/>
    <w:rsid w:val="3C6A5D2D"/>
    <w:rsid w:val="3C6C104E"/>
    <w:rsid w:val="3C6F5885"/>
    <w:rsid w:val="3C7542C9"/>
    <w:rsid w:val="3C760D8C"/>
    <w:rsid w:val="3C7756E2"/>
    <w:rsid w:val="3C7B2E9D"/>
    <w:rsid w:val="3C7C4CCB"/>
    <w:rsid w:val="3C7F794C"/>
    <w:rsid w:val="3C820466"/>
    <w:rsid w:val="3C827D2F"/>
    <w:rsid w:val="3C854E11"/>
    <w:rsid w:val="3C8A7F52"/>
    <w:rsid w:val="3C8E192E"/>
    <w:rsid w:val="3C9106DF"/>
    <w:rsid w:val="3C927310"/>
    <w:rsid w:val="3C9361D9"/>
    <w:rsid w:val="3C98563D"/>
    <w:rsid w:val="3CA60696"/>
    <w:rsid w:val="3CA86681"/>
    <w:rsid w:val="3CAB7F97"/>
    <w:rsid w:val="3CAD1097"/>
    <w:rsid w:val="3CAD7FB2"/>
    <w:rsid w:val="3CB12168"/>
    <w:rsid w:val="3CC307B2"/>
    <w:rsid w:val="3CC528C8"/>
    <w:rsid w:val="3CC83503"/>
    <w:rsid w:val="3CDC1A5B"/>
    <w:rsid w:val="3CE82D13"/>
    <w:rsid w:val="3CE85446"/>
    <w:rsid w:val="3CEA1BD9"/>
    <w:rsid w:val="3CEE5571"/>
    <w:rsid w:val="3CF62F13"/>
    <w:rsid w:val="3CF7424C"/>
    <w:rsid w:val="3CFE2018"/>
    <w:rsid w:val="3CFF4138"/>
    <w:rsid w:val="3D0719EB"/>
    <w:rsid w:val="3D080646"/>
    <w:rsid w:val="3D0A7D01"/>
    <w:rsid w:val="3D117B4D"/>
    <w:rsid w:val="3D140DE7"/>
    <w:rsid w:val="3D154789"/>
    <w:rsid w:val="3D197C01"/>
    <w:rsid w:val="3D1F7AE1"/>
    <w:rsid w:val="3D210E7F"/>
    <w:rsid w:val="3D2248E4"/>
    <w:rsid w:val="3D32550F"/>
    <w:rsid w:val="3D3B5C9C"/>
    <w:rsid w:val="3D3C603D"/>
    <w:rsid w:val="3D424260"/>
    <w:rsid w:val="3D48471F"/>
    <w:rsid w:val="3D503B25"/>
    <w:rsid w:val="3D5310AC"/>
    <w:rsid w:val="3D56190A"/>
    <w:rsid w:val="3D5C2EDA"/>
    <w:rsid w:val="3D6C4CDF"/>
    <w:rsid w:val="3D70175E"/>
    <w:rsid w:val="3D7059F2"/>
    <w:rsid w:val="3D7A4454"/>
    <w:rsid w:val="3D81153E"/>
    <w:rsid w:val="3D83204D"/>
    <w:rsid w:val="3D9226BD"/>
    <w:rsid w:val="3D9461BD"/>
    <w:rsid w:val="3D966A51"/>
    <w:rsid w:val="3D9A18CD"/>
    <w:rsid w:val="3D9A1DF3"/>
    <w:rsid w:val="3D9B15D4"/>
    <w:rsid w:val="3DAC4F54"/>
    <w:rsid w:val="3DB2652F"/>
    <w:rsid w:val="3DC36A45"/>
    <w:rsid w:val="3DCE3012"/>
    <w:rsid w:val="3DD31502"/>
    <w:rsid w:val="3DD447D5"/>
    <w:rsid w:val="3DDC75D4"/>
    <w:rsid w:val="3DDD34B7"/>
    <w:rsid w:val="3DE10282"/>
    <w:rsid w:val="3DE146D9"/>
    <w:rsid w:val="3DE63932"/>
    <w:rsid w:val="3DEC252D"/>
    <w:rsid w:val="3DF363D9"/>
    <w:rsid w:val="3DF4407F"/>
    <w:rsid w:val="3DFC769F"/>
    <w:rsid w:val="3E060923"/>
    <w:rsid w:val="3E077567"/>
    <w:rsid w:val="3E0F4F8A"/>
    <w:rsid w:val="3E0F66FD"/>
    <w:rsid w:val="3E1464F6"/>
    <w:rsid w:val="3E160177"/>
    <w:rsid w:val="3E221DB3"/>
    <w:rsid w:val="3E24348A"/>
    <w:rsid w:val="3E24651C"/>
    <w:rsid w:val="3E2F7120"/>
    <w:rsid w:val="3E384399"/>
    <w:rsid w:val="3E396A91"/>
    <w:rsid w:val="3E3A265F"/>
    <w:rsid w:val="3E3F28BA"/>
    <w:rsid w:val="3E47632C"/>
    <w:rsid w:val="3E4B0167"/>
    <w:rsid w:val="3E4D7D55"/>
    <w:rsid w:val="3E58649D"/>
    <w:rsid w:val="3E591AE0"/>
    <w:rsid w:val="3E5B30CB"/>
    <w:rsid w:val="3E5F4971"/>
    <w:rsid w:val="3E642EC4"/>
    <w:rsid w:val="3E6A3524"/>
    <w:rsid w:val="3E6D2477"/>
    <w:rsid w:val="3E6F5105"/>
    <w:rsid w:val="3E7427B6"/>
    <w:rsid w:val="3E764A60"/>
    <w:rsid w:val="3E7958F9"/>
    <w:rsid w:val="3E7B1C01"/>
    <w:rsid w:val="3E7E5894"/>
    <w:rsid w:val="3E7E5D72"/>
    <w:rsid w:val="3E8279E0"/>
    <w:rsid w:val="3E847EA3"/>
    <w:rsid w:val="3E897468"/>
    <w:rsid w:val="3E8B2CD3"/>
    <w:rsid w:val="3E8B5F85"/>
    <w:rsid w:val="3E900F2C"/>
    <w:rsid w:val="3E9055C8"/>
    <w:rsid w:val="3E92636A"/>
    <w:rsid w:val="3E944296"/>
    <w:rsid w:val="3E954BCA"/>
    <w:rsid w:val="3E991957"/>
    <w:rsid w:val="3EA13356"/>
    <w:rsid w:val="3EA333E1"/>
    <w:rsid w:val="3EA704CE"/>
    <w:rsid w:val="3EB70DA6"/>
    <w:rsid w:val="3EBD0528"/>
    <w:rsid w:val="3EBF1D3B"/>
    <w:rsid w:val="3EC01044"/>
    <w:rsid w:val="3EC259BE"/>
    <w:rsid w:val="3EC32EE9"/>
    <w:rsid w:val="3EC87820"/>
    <w:rsid w:val="3ECC0D7E"/>
    <w:rsid w:val="3ED3152B"/>
    <w:rsid w:val="3ED839E3"/>
    <w:rsid w:val="3EE109A2"/>
    <w:rsid w:val="3EE55989"/>
    <w:rsid w:val="3EE71ABA"/>
    <w:rsid w:val="3EE77BB4"/>
    <w:rsid w:val="3EEB3C31"/>
    <w:rsid w:val="3EED3002"/>
    <w:rsid w:val="3EED7C9C"/>
    <w:rsid w:val="3F00011B"/>
    <w:rsid w:val="3F024306"/>
    <w:rsid w:val="3F025978"/>
    <w:rsid w:val="3F0575FD"/>
    <w:rsid w:val="3F057C4F"/>
    <w:rsid w:val="3F0A3495"/>
    <w:rsid w:val="3F0D2D41"/>
    <w:rsid w:val="3F1415AC"/>
    <w:rsid w:val="3F1922E8"/>
    <w:rsid w:val="3F19736B"/>
    <w:rsid w:val="3F197C8D"/>
    <w:rsid w:val="3F1A2612"/>
    <w:rsid w:val="3F1A5923"/>
    <w:rsid w:val="3F1B2DCF"/>
    <w:rsid w:val="3F1F53C6"/>
    <w:rsid w:val="3F250DF5"/>
    <w:rsid w:val="3F2B6202"/>
    <w:rsid w:val="3F310C2D"/>
    <w:rsid w:val="3F324920"/>
    <w:rsid w:val="3F374CF1"/>
    <w:rsid w:val="3F376C36"/>
    <w:rsid w:val="3F3843B3"/>
    <w:rsid w:val="3F3A01BA"/>
    <w:rsid w:val="3F416A05"/>
    <w:rsid w:val="3F437930"/>
    <w:rsid w:val="3F48665F"/>
    <w:rsid w:val="3F4B4736"/>
    <w:rsid w:val="3F4D34B9"/>
    <w:rsid w:val="3F4E57AE"/>
    <w:rsid w:val="3F5071B2"/>
    <w:rsid w:val="3F53738E"/>
    <w:rsid w:val="3F565E72"/>
    <w:rsid w:val="3F5E25F5"/>
    <w:rsid w:val="3F61086A"/>
    <w:rsid w:val="3F6149C9"/>
    <w:rsid w:val="3F635955"/>
    <w:rsid w:val="3F644891"/>
    <w:rsid w:val="3F6A3D11"/>
    <w:rsid w:val="3F6C3096"/>
    <w:rsid w:val="3F7A70AC"/>
    <w:rsid w:val="3F7B0DCB"/>
    <w:rsid w:val="3F7B56C0"/>
    <w:rsid w:val="3F830C89"/>
    <w:rsid w:val="3F853E20"/>
    <w:rsid w:val="3F87017F"/>
    <w:rsid w:val="3F9726D8"/>
    <w:rsid w:val="3F990508"/>
    <w:rsid w:val="3FB3366E"/>
    <w:rsid w:val="3FB85481"/>
    <w:rsid w:val="3FB90EE9"/>
    <w:rsid w:val="3FBE2074"/>
    <w:rsid w:val="3FBF6DA5"/>
    <w:rsid w:val="3FC032C4"/>
    <w:rsid w:val="3FC67B65"/>
    <w:rsid w:val="3FC86522"/>
    <w:rsid w:val="3FC86901"/>
    <w:rsid w:val="3FD77807"/>
    <w:rsid w:val="3FE918A5"/>
    <w:rsid w:val="3FF873F1"/>
    <w:rsid w:val="3FF94C04"/>
    <w:rsid w:val="3FFC0F28"/>
    <w:rsid w:val="40066124"/>
    <w:rsid w:val="4007780B"/>
    <w:rsid w:val="40122749"/>
    <w:rsid w:val="4012633B"/>
    <w:rsid w:val="40135FA6"/>
    <w:rsid w:val="40137735"/>
    <w:rsid w:val="40181F72"/>
    <w:rsid w:val="401A525E"/>
    <w:rsid w:val="401B36F8"/>
    <w:rsid w:val="4020422E"/>
    <w:rsid w:val="40210BCD"/>
    <w:rsid w:val="402469B4"/>
    <w:rsid w:val="4029483F"/>
    <w:rsid w:val="402D3CFC"/>
    <w:rsid w:val="4039429A"/>
    <w:rsid w:val="403A000E"/>
    <w:rsid w:val="403D445E"/>
    <w:rsid w:val="404300F4"/>
    <w:rsid w:val="40443CF9"/>
    <w:rsid w:val="404848DB"/>
    <w:rsid w:val="404959F7"/>
    <w:rsid w:val="404B053D"/>
    <w:rsid w:val="404B1B2E"/>
    <w:rsid w:val="404C105F"/>
    <w:rsid w:val="404D7DB2"/>
    <w:rsid w:val="40574216"/>
    <w:rsid w:val="405E6D54"/>
    <w:rsid w:val="405E73AD"/>
    <w:rsid w:val="40625FCA"/>
    <w:rsid w:val="406A0B8A"/>
    <w:rsid w:val="406A0E43"/>
    <w:rsid w:val="406A1135"/>
    <w:rsid w:val="406B3BF6"/>
    <w:rsid w:val="406C2229"/>
    <w:rsid w:val="406F29D5"/>
    <w:rsid w:val="407603F3"/>
    <w:rsid w:val="40783C0A"/>
    <w:rsid w:val="407E3667"/>
    <w:rsid w:val="4083714A"/>
    <w:rsid w:val="40881C46"/>
    <w:rsid w:val="40996326"/>
    <w:rsid w:val="40A055BA"/>
    <w:rsid w:val="40A267D7"/>
    <w:rsid w:val="40A96292"/>
    <w:rsid w:val="40BA3701"/>
    <w:rsid w:val="40BE500E"/>
    <w:rsid w:val="40D2033D"/>
    <w:rsid w:val="40D2748B"/>
    <w:rsid w:val="40D44DD3"/>
    <w:rsid w:val="40DA167B"/>
    <w:rsid w:val="40F233FD"/>
    <w:rsid w:val="40F83C54"/>
    <w:rsid w:val="40F97CC8"/>
    <w:rsid w:val="410C4224"/>
    <w:rsid w:val="411104A2"/>
    <w:rsid w:val="41134423"/>
    <w:rsid w:val="41145753"/>
    <w:rsid w:val="411A5FC4"/>
    <w:rsid w:val="41254497"/>
    <w:rsid w:val="412D07B1"/>
    <w:rsid w:val="41352357"/>
    <w:rsid w:val="41393B69"/>
    <w:rsid w:val="41407C91"/>
    <w:rsid w:val="414F037B"/>
    <w:rsid w:val="415A6E4E"/>
    <w:rsid w:val="415B5E34"/>
    <w:rsid w:val="415D0EE1"/>
    <w:rsid w:val="415F127D"/>
    <w:rsid w:val="41657D9D"/>
    <w:rsid w:val="41660088"/>
    <w:rsid w:val="416923E0"/>
    <w:rsid w:val="416C357C"/>
    <w:rsid w:val="41747D87"/>
    <w:rsid w:val="41760089"/>
    <w:rsid w:val="41773868"/>
    <w:rsid w:val="41884393"/>
    <w:rsid w:val="418C0E65"/>
    <w:rsid w:val="418E3C82"/>
    <w:rsid w:val="419054F5"/>
    <w:rsid w:val="419653FB"/>
    <w:rsid w:val="419851F3"/>
    <w:rsid w:val="41A80D37"/>
    <w:rsid w:val="41AA6B42"/>
    <w:rsid w:val="41B66BD7"/>
    <w:rsid w:val="41B80C14"/>
    <w:rsid w:val="41BD1E1F"/>
    <w:rsid w:val="41BD70DE"/>
    <w:rsid w:val="41BF444A"/>
    <w:rsid w:val="41D47975"/>
    <w:rsid w:val="41E1654B"/>
    <w:rsid w:val="41E35EE7"/>
    <w:rsid w:val="41EB28A6"/>
    <w:rsid w:val="41F331FB"/>
    <w:rsid w:val="41F34603"/>
    <w:rsid w:val="41F77287"/>
    <w:rsid w:val="41F801BE"/>
    <w:rsid w:val="42011AC4"/>
    <w:rsid w:val="420204DA"/>
    <w:rsid w:val="4207296E"/>
    <w:rsid w:val="42093990"/>
    <w:rsid w:val="4212581D"/>
    <w:rsid w:val="42145338"/>
    <w:rsid w:val="421D0F3B"/>
    <w:rsid w:val="423215B5"/>
    <w:rsid w:val="423834B4"/>
    <w:rsid w:val="423861CA"/>
    <w:rsid w:val="423867A0"/>
    <w:rsid w:val="424E5AAB"/>
    <w:rsid w:val="42541CFD"/>
    <w:rsid w:val="42546E00"/>
    <w:rsid w:val="4255725B"/>
    <w:rsid w:val="42691F68"/>
    <w:rsid w:val="42743533"/>
    <w:rsid w:val="428E12F9"/>
    <w:rsid w:val="42983814"/>
    <w:rsid w:val="429C453B"/>
    <w:rsid w:val="42AA5EA1"/>
    <w:rsid w:val="42BA105B"/>
    <w:rsid w:val="42C5116B"/>
    <w:rsid w:val="42C85FA9"/>
    <w:rsid w:val="42CC188F"/>
    <w:rsid w:val="42CF5C44"/>
    <w:rsid w:val="42D8572C"/>
    <w:rsid w:val="42DE246D"/>
    <w:rsid w:val="42E06908"/>
    <w:rsid w:val="42E21D93"/>
    <w:rsid w:val="42E962ED"/>
    <w:rsid w:val="42E96C4D"/>
    <w:rsid w:val="42FC4704"/>
    <w:rsid w:val="42FF1BEA"/>
    <w:rsid w:val="43107B89"/>
    <w:rsid w:val="4313214F"/>
    <w:rsid w:val="43160C20"/>
    <w:rsid w:val="43163927"/>
    <w:rsid w:val="43174550"/>
    <w:rsid w:val="431C7377"/>
    <w:rsid w:val="431F0056"/>
    <w:rsid w:val="43283A45"/>
    <w:rsid w:val="432951DF"/>
    <w:rsid w:val="432B2EF5"/>
    <w:rsid w:val="432B648A"/>
    <w:rsid w:val="433A1B6A"/>
    <w:rsid w:val="433B29DE"/>
    <w:rsid w:val="433E6051"/>
    <w:rsid w:val="43436285"/>
    <w:rsid w:val="43487B44"/>
    <w:rsid w:val="435050E9"/>
    <w:rsid w:val="43531090"/>
    <w:rsid w:val="43582B12"/>
    <w:rsid w:val="43592ADB"/>
    <w:rsid w:val="435F1420"/>
    <w:rsid w:val="4365447B"/>
    <w:rsid w:val="43692A28"/>
    <w:rsid w:val="437878CE"/>
    <w:rsid w:val="4379767E"/>
    <w:rsid w:val="437D0536"/>
    <w:rsid w:val="438929EF"/>
    <w:rsid w:val="438A5840"/>
    <w:rsid w:val="438F5BA5"/>
    <w:rsid w:val="439A525B"/>
    <w:rsid w:val="43A26866"/>
    <w:rsid w:val="43A750B5"/>
    <w:rsid w:val="43B34873"/>
    <w:rsid w:val="43B93A97"/>
    <w:rsid w:val="43C07F99"/>
    <w:rsid w:val="43C10DD6"/>
    <w:rsid w:val="43C64077"/>
    <w:rsid w:val="43D03552"/>
    <w:rsid w:val="43D13B58"/>
    <w:rsid w:val="43D60EE5"/>
    <w:rsid w:val="43DE2CBF"/>
    <w:rsid w:val="43E2349D"/>
    <w:rsid w:val="43E308C1"/>
    <w:rsid w:val="43F13A93"/>
    <w:rsid w:val="4401576A"/>
    <w:rsid w:val="4403373B"/>
    <w:rsid w:val="440526DB"/>
    <w:rsid w:val="44057AF3"/>
    <w:rsid w:val="441033F6"/>
    <w:rsid w:val="44151BE3"/>
    <w:rsid w:val="44174286"/>
    <w:rsid w:val="441D4F1E"/>
    <w:rsid w:val="441E40DF"/>
    <w:rsid w:val="44200BC8"/>
    <w:rsid w:val="44292305"/>
    <w:rsid w:val="442B1604"/>
    <w:rsid w:val="442E0E14"/>
    <w:rsid w:val="442F580D"/>
    <w:rsid w:val="4437739E"/>
    <w:rsid w:val="443C2C41"/>
    <w:rsid w:val="444728D8"/>
    <w:rsid w:val="44476496"/>
    <w:rsid w:val="444C1C7E"/>
    <w:rsid w:val="444E4A37"/>
    <w:rsid w:val="444F1769"/>
    <w:rsid w:val="44532C0E"/>
    <w:rsid w:val="44536B0B"/>
    <w:rsid w:val="445E2ECB"/>
    <w:rsid w:val="44660DC1"/>
    <w:rsid w:val="44816692"/>
    <w:rsid w:val="44827449"/>
    <w:rsid w:val="44894051"/>
    <w:rsid w:val="448B40C8"/>
    <w:rsid w:val="448D5671"/>
    <w:rsid w:val="449617CF"/>
    <w:rsid w:val="449C2CF6"/>
    <w:rsid w:val="449F464A"/>
    <w:rsid w:val="44AB052A"/>
    <w:rsid w:val="44AB284E"/>
    <w:rsid w:val="44AC3B6B"/>
    <w:rsid w:val="44AD0E83"/>
    <w:rsid w:val="44BF10AF"/>
    <w:rsid w:val="44C24001"/>
    <w:rsid w:val="44C3143B"/>
    <w:rsid w:val="44C7452D"/>
    <w:rsid w:val="44D6350C"/>
    <w:rsid w:val="44D64676"/>
    <w:rsid w:val="44D77066"/>
    <w:rsid w:val="44E21AE8"/>
    <w:rsid w:val="44E41861"/>
    <w:rsid w:val="44ED5E56"/>
    <w:rsid w:val="44EF7A37"/>
    <w:rsid w:val="44F55F2E"/>
    <w:rsid w:val="450244F8"/>
    <w:rsid w:val="45060231"/>
    <w:rsid w:val="450C61F8"/>
    <w:rsid w:val="450D704A"/>
    <w:rsid w:val="450E7C7C"/>
    <w:rsid w:val="45157171"/>
    <w:rsid w:val="452A4C00"/>
    <w:rsid w:val="452D1CC9"/>
    <w:rsid w:val="45301E50"/>
    <w:rsid w:val="45374519"/>
    <w:rsid w:val="453C5C7C"/>
    <w:rsid w:val="454364DB"/>
    <w:rsid w:val="454855B2"/>
    <w:rsid w:val="454E2A38"/>
    <w:rsid w:val="45577E7A"/>
    <w:rsid w:val="45593E62"/>
    <w:rsid w:val="455C6204"/>
    <w:rsid w:val="455F1731"/>
    <w:rsid w:val="4565155C"/>
    <w:rsid w:val="4569773B"/>
    <w:rsid w:val="456C7DC9"/>
    <w:rsid w:val="45820E8D"/>
    <w:rsid w:val="459067EA"/>
    <w:rsid w:val="45A8453A"/>
    <w:rsid w:val="45B818EC"/>
    <w:rsid w:val="45B97CA3"/>
    <w:rsid w:val="45C14D4E"/>
    <w:rsid w:val="45CE788C"/>
    <w:rsid w:val="45F450CC"/>
    <w:rsid w:val="45F715AF"/>
    <w:rsid w:val="45F71B3B"/>
    <w:rsid w:val="46016305"/>
    <w:rsid w:val="461476CB"/>
    <w:rsid w:val="46150E98"/>
    <w:rsid w:val="461A1127"/>
    <w:rsid w:val="462352C8"/>
    <w:rsid w:val="46251554"/>
    <w:rsid w:val="4632261E"/>
    <w:rsid w:val="46332848"/>
    <w:rsid w:val="463E0106"/>
    <w:rsid w:val="46433CCF"/>
    <w:rsid w:val="464376B2"/>
    <w:rsid w:val="464B69A4"/>
    <w:rsid w:val="464C2012"/>
    <w:rsid w:val="464F300E"/>
    <w:rsid w:val="46614C45"/>
    <w:rsid w:val="46634905"/>
    <w:rsid w:val="46713370"/>
    <w:rsid w:val="467C0735"/>
    <w:rsid w:val="468204EF"/>
    <w:rsid w:val="46851FED"/>
    <w:rsid w:val="46854215"/>
    <w:rsid w:val="4685496D"/>
    <w:rsid w:val="468A4808"/>
    <w:rsid w:val="468E07DC"/>
    <w:rsid w:val="469336FB"/>
    <w:rsid w:val="46970B7E"/>
    <w:rsid w:val="46A307AE"/>
    <w:rsid w:val="46A34A6C"/>
    <w:rsid w:val="46B34848"/>
    <w:rsid w:val="46B63BB4"/>
    <w:rsid w:val="46B66DAB"/>
    <w:rsid w:val="46BE3BC1"/>
    <w:rsid w:val="46C46BFB"/>
    <w:rsid w:val="46C8128E"/>
    <w:rsid w:val="46CE0FC1"/>
    <w:rsid w:val="46D80D6C"/>
    <w:rsid w:val="46DB2892"/>
    <w:rsid w:val="46F87D23"/>
    <w:rsid w:val="46FA102C"/>
    <w:rsid w:val="46FD25C1"/>
    <w:rsid w:val="46FD7665"/>
    <w:rsid w:val="46FE49F2"/>
    <w:rsid w:val="47042CE7"/>
    <w:rsid w:val="471657A9"/>
    <w:rsid w:val="471D65CB"/>
    <w:rsid w:val="471F1494"/>
    <w:rsid w:val="47236D39"/>
    <w:rsid w:val="472668EF"/>
    <w:rsid w:val="472670F7"/>
    <w:rsid w:val="47301EDA"/>
    <w:rsid w:val="473D598E"/>
    <w:rsid w:val="474D3EFC"/>
    <w:rsid w:val="475070B3"/>
    <w:rsid w:val="47532228"/>
    <w:rsid w:val="475E1903"/>
    <w:rsid w:val="4761534D"/>
    <w:rsid w:val="476358C8"/>
    <w:rsid w:val="47654703"/>
    <w:rsid w:val="4769407F"/>
    <w:rsid w:val="476A28CE"/>
    <w:rsid w:val="477067B2"/>
    <w:rsid w:val="47732CD5"/>
    <w:rsid w:val="47774339"/>
    <w:rsid w:val="47885C49"/>
    <w:rsid w:val="479325FB"/>
    <w:rsid w:val="479D6E11"/>
    <w:rsid w:val="47A520E4"/>
    <w:rsid w:val="47A71922"/>
    <w:rsid w:val="47AF5AAA"/>
    <w:rsid w:val="47B15014"/>
    <w:rsid w:val="47B32C82"/>
    <w:rsid w:val="47B71EFB"/>
    <w:rsid w:val="47C04712"/>
    <w:rsid w:val="47C06166"/>
    <w:rsid w:val="47C6205A"/>
    <w:rsid w:val="47C923E1"/>
    <w:rsid w:val="47D4481E"/>
    <w:rsid w:val="47E1229F"/>
    <w:rsid w:val="47F16BCC"/>
    <w:rsid w:val="47FA5701"/>
    <w:rsid w:val="47FB39EA"/>
    <w:rsid w:val="47FE691F"/>
    <w:rsid w:val="48036331"/>
    <w:rsid w:val="480D00FD"/>
    <w:rsid w:val="4815506E"/>
    <w:rsid w:val="481D7912"/>
    <w:rsid w:val="481E3DEF"/>
    <w:rsid w:val="481F1B20"/>
    <w:rsid w:val="48282B55"/>
    <w:rsid w:val="482C36D6"/>
    <w:rsid w:val="482F4C92"/>
    <w:rsid w:val="48316C4E"/>
    <w:rsid w:val="48330A04"/>
    <w:rsid w:val="48352352"/>
    <w:rsid w:val="483B30B0"/>
    <w:rsid w:val="48466F0D"/>
    <w:rsid w:val="484855CC"/>
    <w:rsid w:val="48486C5A"/>
    <w:rsid w:val="484950EF"/>
    <w:rsid w:val="484C006F"/>
    <w:rsid w:val="48501B75"/>
    <w:rsid w:val="48511725"/>
    <w:rsid w:val="48534FE1"/>
    <w:rsid w:val="485A5C74"/>
    <w:rsid w:val="48666576"/>
    <w:rsid w:val="486C1E67"/>
    <w:rsid w:val="486F26F2"/>
    <w:rsid w:val="487F449E"/>
    <w:rsid w:val="487F6DE5"/>
    <w:rsid w:val="488024B1"/>
    <w:rsid w:val="48821331"/>
    <w:rsid w:val="488833E9"/>
    <w:rsid w:val="488B296E"/>
    <w:rsid w:val="48964544"/>
    <w:rsid w:val="48985CE2"/>
    <w:rsid w:val="489C5DC7"/>
    <w:rsid w:val="48A0681A"/>
    <w:rsid w:val="48B510D3"/>
    <w:rsid w:val="48B5156E"/>
    <w:rsid w:val="48C54594"/>
    <w:rsid w:val="48CB277A"/>
    <w:rsid w:val="48CB76C5"/>
    <w:rsid w:val="48CD5129"/>
    <w:rsid w:val="48D12487"/>
    <w:rsid w:val="48D85B5B"/>
    <w:rsid w:val="48D92EED"/>
    <w:rsid w:val="48EC6692"/>
    <w:rsid w:val="48ED09E4"/>
    <w:rsid w:val="48F17AFF"/>
    <w:rsid w:val="48F53B50"/>
    <w:rsid w:val="48F76F67"/>
    <w:rsid w:val="48FA62A8"/>
    <w:rsid w:val="49017811"/>
    <w:rsid w:val="490521E9"/>
    <w:rsid w:val="490A2F86"/>
    <w:rsid w:val="4912460D"/>
    <w:rsid w:val="49177241"/>
    <w:rsid w:val="49182D69"/>
    <w:rsid w:val="492124A2"/>
    <w:rsid w:val="49250DD6"/>
    <w:rsid w:val="49336F31"/>
    <w:rsid w:val="49344E4A"/>
    <w:rsid w:val="493665C0"/>
    <w:rsid w:val="493667C1"/>
    <w:rsid w:val="493A02D3"/>
    <w:rsid w:val="493C5A7C"/>
    <w:rsid w:val="4940267F"/>
    <w:rsid w:val="49444D7A"/>
    <w:rsid w:val="49450563"/>
    <w:rsid w:val="494C0DF4"/>
    <w:rsid w:val="49504F5F"/>
    <w:rsid w:val="49645788"/>
    <w:rsid w:val="49685F0B"/>
    <w:rsid w:val="498B2241"/>
    <w:rsid w:val="499A2F46"/>
    <w:rsid w:val="49A16698"/>
    <w:rsid w:val="49AD5226"/>
    <w:rsid w:val="49B00E94"/>
    <w:rsid w:val="49C72BFC"/>
    <w:rsid w:val="49DA6F3E"/>
    <w:rsid w:val="49E2751A"/>
    <w:rsid w:val="49E4179C"/>
    <w:rsid w:val="49EB6CBC"/>
    <w:rsid w:val="49EF241A"/>
    <w:rsid w:val="49EF3D8A"/>
    <w:rsid w:val="49EF678D"/>
    <w:rsid w:val="49EF67B1"/>
    <w:rsid w:val="49F237DC"/>
    <w:rsid w:val="49F8388E"/>
    <w:rsid w:val="49FB2C20"/>
    <w:rsid w:val="4A056C41"/>
    <w:rsid w:val="4A0D2CA4"/>
    <w:rsid w:val="4A0E4BCC"/>
    <w:rsid w:val="4A116E69"/>
    <w:rsid w:val="4A117E90"/>
    <w:rsid w:val="4A16242F"/>
    <w:rsid w:val="4A1A3C81"/>
    <w:rsid w:val="4A1E58CD"/>
    <w:rsid w:val="4A1F4D4C"/>
    <w:rsid w:val="4A266D62"/>
    <w:rsid w:val="4A2A2D74"/>
    <w:rsid w:val="4A355782"/>
    <w:rsid w:val="4A3E1E81"/>
    <w:rsid w:val="4A417661"/>
    <w:rsid w:val="4A456ADD"/>
    <w:rsid w:val="4A4914AD"/>
    <w:rsid w:val="4A4F7C57"/>
    <w:rsid w:val="4A553BB8"/>
    <w:rsid w:val="4A5B5B57"/>
    <w:rsid w:val="4A5E2074"/>
    <w:rsid w:val="4A6D468F"/>
    <w:rsid w:val="4A6D4D16"/>
    <w:rsid w:val="4A812957"/>
    <w:rsid w:val="4A834233"/>
    <w:rsid w:val="4A8A3F66"/>
    <w:rsid w:val="4A8E1844"/>
    <w:rsid w:val="4A987C21"/>
    <w:rsid w:val="4A9B1546"/>
    <w:rsid w:val="4AA03E6E"/>
    <w:rsid w:val="4AA06186"/>
    <w:rsid w:val="4AA13213"/>
    <w:rsid w:val="4AA96950"/>
    <w:rsid w:val="4AAB39B2"/>
    <w:rsid w:val="4AAE2A70"/>
    <w:rsid w:val="4ABC6C05"/>
    <w:rsid w:val="4ABF720E"/>
    <w:rsid w:val="4AC264CA"/>
    <w:rsid w:val="4AD53FD1"/>
    <w:rsid w:val="4AD9307A"/>
    <w:rsid w:val="4AE16A23"/>
    <w:rsid w:val="4AE70821"/>
    <w:rsid w:val="4AFC67E9"/>
    <w:rsid w:val="4AFD002E"/>
    <w:rsid w:val="4B007554"/>
    <w:rsid w:val="4B06274D"/>
    <w:rsid w:val="4B1559B7"/>
    <w:rsid w:val="4B186106"/>
    <w:rsid w:val="4B1C5D18"/>
    <w:rsid w:val="4B2865BE"/>
    <w:rsid w:val="4B414E4E"/>
    <w:rsid w:val="4B4C1894"/>
    <w:rsid w:val="4B4E717E"/>
    <w:rsid w:val="4B5675CA"/>
    <w:rsid w:val="4B664412"/>
    <w:rsid w:val="4B6E4E16"/>
    <w:rsid w:val="4B700DB1"/>
    <w:rsid w:val="4B717749"/>
    <w:rsid w:val="4B787838"/>
    <w:rsid w:val="4B7934E1"/>
    <w:rsid w:val="4B7D61BD"/>
    <w:rsid w:val="4B865F02"/>
    <w:rsid w:val="4B8C3E7B"/>
    <w:rsid w:val="4B942FBB"/>
    <w:rsid w:val="4B980D82"/>
    <w:rsid w:val="4B9A076E"/>
    <w:rsid w:val="4BA01AC0"/>
    <w:rsid w:val="4BB53328"/>
    <w:rsid w:val="4BB97283"/>
    <w:rsid w:val="4BBF129A"/>
    <w:rsid w:val="4BC5033F"/>
    <w:rsid w:val="4BC75ED6"/>
    <w:rsid w:val="4BD1438E"/>
    <w:rsid w:val="4BD73A90"/>
    <w:rsid w:val="4BDA73F8"/>
    <w:rsid w:val="4BDB17F8"/>
    <w:rsid w:val="4BDC02A6"/>
    <w:rsid w:val="4BDD219B"/>
    <w:rsid w:val="4BDD69C7"/>
    <w:rsid w:val="4BDE02E1"/>
    <w:rsid w:val="4BE30200"/>
    <w:rsid w:val="4BE40D01"/>
    <w:rsid w:val="4BE72B2E"/>
    <w:rsid w:val="4BEB0C49"/>
    <w:rsid w:val="4BF06D96"/>
    <w:rsid w:val="4BF712C5"/>
    <w:rsid w:val="4BFE136E"/>
    <w:rsid w:val="4C003730"/>
    <w:rsid w:val="4C054728"/>
    <w:rsid w:val="4C0F2222"/>
    <w:rsid w:val="4C124170"/>
    <w:rsid w:val="4C1476A4"/>
    <w:rsid w:val="4C162619"/>
    <w:rsid w:val="4C24087F"/>
    <w:rsid w:val="4C2835AE"/>
    <w:rsid w:val="4C3F2608"/>
    <w:rsid w:val="4C421E35"/>
    <w:rsid w:val="4C44267F"/>
    <w:rsid w:val="4C45458F"/>
    <w:rsid w:val="4C4951B3"/>
    <w:rsid w:val="4C504AF9"/>
    <w:rsid w:val="4C513763"/>
    <w:rsid w:val="4C5964D0"/>
    <w:rsid w:val="4C5A4A29"/>
    <w:rsid w:val="4C5E29FE"/>
    <w:rsid w:val="4C696A6D"/>
    <w:rsid w:val="4C6C51B9"/>
    <w:rsid w:val="4C6D4550"/>
    <w:rsid w:val="4C6D7A4F"/>
    <w:rsid w:val="4C792D67"/>
    <w:rsid w:val="4C7D4F23"/>
    <w:rsid w:val="4C991609"/>
    <w:rsid w:val="4CA34A95"/>
    <w:rsid w:val="4CAB4548"/>
    <w:rsid w:val="4CB5753A"/>
    <w:rsid w:val="4CB712A9"/>
    <w:rsid w:val="4CC076A7"/>
    <w:rsid w:val="4CC529BE"/>
    <w:rsid w:val="4CC66DC7"/>
    <w:rsid w:val="4CC76658"/>
    <w:rsid w:val="4CCC08B2"/>
    <w:rsid w:val="4CDD2165"/>
    <w:rsid w:val="4CDE36D3"/>
    <w:rsid w:val="4CDE7AC4"/>
    <w:rsid w:val="4CDF3312"/>
    <w:rsid w:val="4CE67DE1"/>
    <w:rsid w:val="4CEE59CC"/>
    <w:rsid w:val="4CF02461"/>
    <w:rsid w:val="4CF1164A"/>
    <w:rsid w:val="4CFA7AAF"/>
    <w:rsid w:val="4CFA7F3B"/>
    <w:rsid w:val="4D0215F9"/>
    <w:rsid w:val="4D050552"/>
    <w:rsid w:val="4D062868"/>
    <w:rsid w:val="4D07721A"/>
    <w:rsid w:val="4D0B7E8F"/>
    <w:rsid w:val="4D0C03F4"/>
    <w:rsid w:val="4D0C74FD"/>
    <w:rsid w:val="4D0F6236"/>
    <w:rsid w:val="4D115B26"/>
    <w:rsid w:val="4D120CCC"/>
    <w:rsid w:val="4D1454B6"/>
    <w:rsid w:val="4D1770D3"/>
    <w:rsid w:val="4D184249"/>
    <w:rsid w:val="4D217D86"/>
    <w:rsid w:val="4D2B743F"/>
    <w:rsid w:val="4D3160B5"/>
    <w:rsid w:val="4D32074E"/>
    <w:rsid w:val="4D3947F6"/>
    <w:rsid w:val="4D3D494A"/>
    <w:rsid w:val="4D410984"/>
    <w:rsid w:val="4D443A5F"/>
    <w:rsid w:val="4D526D7C"/>
    <w:rsid w:val="4D560E09"/>
    <w:rsid w:val="4D56709A"/>
    <w:rsid w:val="4D5A4F33"/>
    <w:rsid w:val="4D617324"/>
    <w:rsid w:val="4D632E8A"/>
    <w:rsid w:val="4D6B3828"/>
    <w:rsid w:val="4D72317E"/>
    <w:rsid w:val="4D7B4665"/>
    <w:rsid w:val="4D8359B7"/>
    <w:rsid w:val="4D9144D6"/>
    <w:rsid w:val="4D945CC4"/>
    <w:rsid w:val="4D9562ED"/>
    <w:rsid w:val="4D961F22"/>
    <w:rsid w:val="4D975C78"/>
    <w:rsid w:val="4D9E1EFE"/>
    <w:rsid w:val="4DA52871"/>
    <w:rsid w:val="4DA804BD"/>
    <w:rsid w:val="4DAF6529"/>
    <w:rsid w:val="4DB57321"/>
    <w:rsid w:val="4DB83C43"/>
    <w:rsid w:val="4DC75E04"/>
    <w:rsid w:val="4DCA2CD0"/>
    <w:rsid w:val="4DCC5732"/>
    <w:rsid w:val="4DD35C51"/>
    <w:rsid w:val="4DE72219"/>
    <w:rsid w:val="4DF87CD8"/>
    <w:rsid w:val="4DFB4584"/>
    <w:rsid w:val="4DFD5471"/>
    <w:rsid w:val="4E025801"/>
    <w:rsid w:val="4E063D0D"/>
    <w:rsid w:val="4E0B31BD"/>
    <w:rsid w:val="4E0E4371"/>
    <w:rsid w:val="4E101FCE"/>
    <w:rsid w:val="4E10623F"/>
    <w:rsid w:val="4E126B2F"/>
    <w:rsid w:val="4E17642E"/>
    <w:rsid w:val="4E1C0847"/>
    <w:rsid w:val="4E3917D8"/>
    <w:rsid w:val="4E487C41"/>
    <w:rsid w:val="4E4916A1"/>
    <w:rsid w:val="4E500C56"/>
    <w:rsid w:val="4E5056C3"/>
    <w:rsid w:val="4E521385"/>
    <w:rsid w:val="4E526C72"/>
    <w:rsid w:val="4E5657B7"/>
    <w:rsid w:val="4E5A1C36"/>
    <w:rsid w:val="4E5D1B43"/>
    <w:rsid w:val="4E5E194D"/>
    <w:rsid w:val="4E5F3278"/>
    <w:rsid w:val="4E5F6EC7"/>
    <w:rsid w:val="4E780CF8"/>
    <w:rsid w:val="4E787399"/>
    <w:rsid w:val="4E850346"/>
    <w:rsid w:val="4E857C56"/>
    <w:rsid w:val="4E866CBE"/>
    <w:rsid w:val="4E8F6C0B"/>
    <w:rsid w:val="4E942FA5"/>
    <w:rsid w:val="4E970723"/>
    <w:rsid w:val="4E995AAA"/>
    <w:rsid w:val="4EAE3782"/>
    <w:rsid w:val="4EB64C84"/>
    <w:rsid w:val="4EB679CA"/>
    <w:rsid w:val="4EBA23A6"/>
    <w:rsid w:val="4ECA6EDE"/>
    <w:rsid w:val="4EDF3796"/>
    <w:rsid w:val="4EE07C6B"/>
    <w:rsid w:val="4EE755A4"/>
    <w:rsid w:val="4EE92C64"/>
    <w:rsid w:val="4EEC048A"/>
    <w:rsid w:val="4EEC4798"/>
    <w:rsid w:val="4EEE36A2"/>
    <w:rsid w:val="4EF85B38"/>
    <w:rsid w:val="4F1175DE"/>
    <w:rsid w:val="4F167271"/>
    <w:rsid w:val="4F173034"/>
    <w:rsid w:val="4F175737"/>
    <w:rsid w:val="4F222B4D"/>
    <w:rsid w:val="4F22415D"/>
    <w:rsid w:val="4F2F2E4F"/>
    <w:rsid w:val="4F325948"/>
    <w:rsid w:val="4F350357"/>
    <w:rsid w:val="4F3C39D6"/>
    <w:rsid w:val="4F432EAC"/>
    <w:rsid w:val="4F473F09"/>
    <w:rsid w:val="4F4A4DB4"/>
    <w:rsid w:val="4F55181A"/>
    <w:rsid w:val="4F562E1D"/>
    <w:rsid w:val="4F623386"/>
    <w:rsid w:val="4F6278F2"/>
    <w:rsid w:val="4F6524A5"/>
    <w:rsid w:val="4F6734CD"/>
    <w:rsid w:val="4F6E78C9"/>
    <w:rsid w:val="4F800F9E"/>
    <w:rsid w:val="4F824BC4"/>
    <w:rsid w:val="4F84220D"/>
    <w:rsid w:val="4F847B70"/>
    <w:rsid w:val="4F871689"/>
    <w:rsid w:val="4F8F7A0B"/>
    <w:rsid w:val="4F9168C8"/>
    <w:rsid w:val="4F982F4F"/>
    <w:rsid w:val="4F9B56F9"/>
    <w:rsid w:val="4F9E77D3"/>
    <w:rsid w:val="4F9F2E5E"/>
    <w:rsid w:val="4FAA22F8"/>
    <w:rsid w:val="4FAB4380"/>
    <w:rsid w:val="4FAB6890"/>
    <w:rsid w:val="4FAD2F74"/>
    <w:rsid w:val="4FB13FA2"/>
    <w:rsid w:val="4FB57E74"/>
    <w:rsid w:val="4FC3272F"/>
    <w:rsid w:val="4FC616ED"/>
    <w:rsid w:val="4FDA0F6A"/>
    <w:rsid w:val="4FF365E2"/>
    <w:rsid w:val="4FFF2ADF"/>
    <w:rsid w:val="50055012"/>
    <w:rsid w:val="50062DC4"/>
    <w:rsid w:val="50083867"/>
    <w:rsid w:val="50100EFF"/>
    <w:rsid w:val="50101541"/>
    <w:rsid w:val="50112995"/>
    <w:rsid w:val="501F32AC"/>
    <w:rsid w:val="502035B4"/>
    <w:rsid w:val="50210F9C"/>
    <w:rsid w:val="5021159E"/>
    <w:rsid w:val="50272C5C"/>
    <w:rsid w:val="502B51C6"/>
    <w:rsid w:val="502C6E90"/>
    <w:rsid w:val="50313108"/>
    <w:rsid w:val="50326C49"/>
    <w:rsid w:val="503944E8"/>
    <w:rsid w:val="503C37A9"/>
    <w:rsid w:val="503E14B7"/>
    <w:rsid w:val="50430834"/>
    <w:rsid w:val="504B3690"/>
    <w:rsid w:val="50526EF4"/>
    <w:rsid w:val="505271FA"/>
    <w:rsid w:val="505358A3"/>
    <w:rsid w:val="50544708"/>
    <w:rsid w:val="5057261F"/>
    <w:rsid w:val="506223F9"/>
    <w:rsid w:val="506C673C"/>
    <w:rsid w:val="506D0237"/>
    <w:rsid w:val="506D4B46"/>
    <w:rsid w:val="50774BC1"/>
    <w:rsid w:val="50834D92"/>
    <w:rsid w:val="509513D4"/>
    <w:rsid w:val="50953316"/>
    <w:rsid w:val="509842B1"/>
    <w:rsid w:val="509C733A"/>
    <w:rsid w:val="509F36DF"/>
    <w:rsid w:val="50A02266"/>
    <w:rsid w:val="50A460C5"/>
    <w:rsid w:val="50AC470D"/>
    <w:rsid w:val="50B813A5"/>
    <w:rsid w:val="50BE304E"/>
    <w:rsid w:val="50BE7899"/>
    <w:rsid w:val="50C368BE"/>
    <w:rsid w:val="50C865A9"/>
    <w:rsid w:val="50D751D6"/>
    <w:rsid w:val="50DD66D9"/>
    <w:rsid w:val="50DE6B31"/>
    <w:rsid w:val="50DF3F72"/>
    <w:rsid w:val="50E0418D"/>
    <w:rsid w:val="50F47E1F"/>
    <w:rsid w:val="50FB5565"/>
    <w:rsid w:val="51025793"/>
    <w:rsid w:val="51063441"/>
    <w:rsid w:val="510950F3"/>
    <w:rsid w:val="510A2349"/>
    <w:rsid w:val="510A66FC"/>
    <w:rsid w:val="510F5171"/>
    <w:rsid w:val="5111322A"/>
    <w:rsid w:val="5113193A"/>
    <w:rsid w:val="51137F52"/>
    <w:rsid w:val="511A1496"/>
    <w:rsid w:val="511E42A9"/>
    <w:rsid w:val="51272A8A"/>
    <w:rsid w:val="512B622F"/>
    <w:rsid w:val="512F5DDF"/>
    <w:rsid w:val="513230EE"/>
    <w:rsid w:val="5137529F"/>
    <w:rsid w:val="51416790"/>
    <w:rsid w:val="514B1C22"/>
    <w:rsid w:val="514D1D3B"/>
    <w:rsid w:val="51525B58"/>
    <w:rsid w:val="515E2B16"/>
    <w:rsid w:val="516910E3"/>
    <w:rsid w:val="51723D5F"/>
    <w:rsid w:val="51781B7F"/>
    <w:rsid w:val="517D025B"/>
    <w:rsid w:val="517F1381"/>
    <w:rsid w:val="5182309C"/>
    <w:rsid w:val="51823275"/>
    <w:rsid w:val="51952E2E"/>
    <w:rsid w:val="51963D8E"/>
    <w:rsid w:val="51A712F2"/>
    <w:rsid w:val="51AF1BC6"/>
    <w:rsid w:val="51B030C0"/>
    <w:rsid w:val="51B1506B"/>
    <w:rsid w:val="51B343AB"/>
    <w:rsid w:val="51B856E0"/>
    <w:rsid w:val="51BB63CA"/>
    <w:rsid w:val="51BC69D1"/>
    <w:rsid w:val="51C67BA7"/>
    <w:rsid w:val="51CB5CF2"/>
    <w:rsid w:val="51D1154C"/>
    <w:rsid w:val="51D264E1"/>
    <w:rsid w:val="51D60F8B"/>
    <w:rsid w:val="51D75216"/>
    <w:rsid w:val="51E06343"/>
    <w:rsid w:val="51E3724C"/>
    <w:rsid w:val="51E66AD8"/>
    <w:rsid w:val="51EB607A"/>
    <w:rsid w:val="51F10C04"/>
    <w:rsid w:val="51F249D6"/>
    <w:rsid w:val="51F24E6A"/>
    <w:rsid w:val="51F70E08"/>
    <w:rsid w:val="51F714EE"/>
    <w:rsid w:val="520A008F"/>
    <w:rsid w:val="520C29D0"/>
    <w:rsid w:val="520E1591"/>
    <w:rsid w:val="520F0052"/>
    <w:rsid w:val="52175A06"/>
    <w:rsid w:val="52224FAA"/>
    <w:rsid w:val="522555D2"/>
    <w:rsid w:val="52290CB4"/>
    <w:rsid w:val="52402881"/>
    <w:rsid w:val="525311D5"/>
    <w:rsid w:val="526305A9"/>
    <w:rsid w:val="52661320"/>
    <w:rsid w:val="52664F6E"/>
    <w:rsid w:val="5270586C"/>
    <w:rsid w:val="527A14DE"/>
    <w:rsid w:val="527E1EAF"/>
    <w:rsid w:val="527E37EB"/>
    <w:rsid w:val="528338D9"/>
    <w:rsid w:val="52843EAB"/>
    <w:rsid w:val="528A2896"/>
    <w:rsid w:val="528D6710"/>
    <w:rsid w:val="52933E0D"/>
    <w:rsid w:val="529D37F3"/>
    <w:rsid w:val="529D59C2"/>
    <w:rsid w:val="529F29B3"/>
    <w:rsid w:val="52A62889"/>
    <w:rsid w:val="52A820CC"/>
    <w:rsid w:val="52A874A3"/>
    <w:rsid w:val="52AD3BBF"/>
    <w:rsid w:val="52AE3FA0"/>
    <w:rsid w:val="52B14033"/>
    <w:rsid w:val="52B25EF6"/>
    <w:rsid w:val="52B32AF0"/>
    <w:rsid w:val="52B43566"/>
    <w:rsid w:val="52BE760C"/>
    <w:rsid w:val="52C1181F"/>
    <w:rsid w:val="52C44E80"/>
    <w:rsid w:val="52C45064"/>
    <w:rsid w:val="52C5255A"/>
    <w:rsid w:val="52C71D6D"/>
    <w:rsid w:val="52C81A6D"/>
    <w:rsid w:val="52CA0BA9"/>
    <w:rsid w:val="52CB6FA3"/>
    <w:rsid w:val="52CD6517"/>
    <w:rsid w:val="52CE04A0"/>
    <w:rsid w:val="52D64984"/>
    <w:rsid w:val="52D92ACB"/>
    <w:rsid w:val="52DA13ED"/>
    <w:rsid w:val="52DC3133"/>
    <w:rsid w:val="52E33975"/>
    <w:rsid w:val="52E81580"/>
    <w:rsid w:val="52E85D89"/>
    <w:rsid w:val="52EE0301"/>
    <w:rsid w:val="52EE0307"/>
    <w:rsid w:val="52EF7879"/>
    <w:rsid w:val="52F57E23"/>
    <w:rsid w:val="52F70605"/>
    <w:rsid w:val="530347A8"/>
    <w:rsid w:val="53131D0B"/>
    <w:rsid w:val="531819A1"/>
    <w:rsid w:val="531D16E0"/>
    <w:rsid w:val="531E1D87"/>
    <w:rsid w:val="532847DC"/>
    <w:rsid w:val="5343356D"/>
    <w:rsid w:val="53546E0A"/>
    <w:rsid w:val="53547D59"/>
    <w:rsid w:val="535760F6"/>
    <w:rsid w:val="535D3873"/>
    <w:rsid w:val="535F3A8F"/>
    <w:rsid w:val="536A058E"/>
    <w:rsid w:val="536B4180"/>
    <w:rsid w:val="537625F2"/>
    <w:rsid w:val="53786887"/>
    <w:rsid w:val="53791837"/>
    <w:rsid w:val="538724AF"/>
    <w:rsid w:val="53997B82"/>
    <w:rsid w:val="539D3DD1"/>
    <w:rsid w:val="539D6290"/>
    <w:rsid w:val="53A03969"/>
    <w:rsid w:val="53A11227"/>
    <w:rsid w:val="53AE0C0A"/>
    <w:rsid w:val="53B904F8"/>
    <w:rsid w:val="53BD060C"/>
    <w:rsid w:val="53BF3C96"/>
    <w:rsid w:val="53D47BA2"/>
    <w:rsid w:val="53D710AA"/>
    <w:rsid w:val="53D82F21"/>
    <w:rsid w:val="53ED3AA5"/>
    <w:rsid w:val="53F14963"/>
    <w:rsid w:val="53F36916"/>
    <w:rsid w:val="53FC659A"/>
    <w:rsid w:val="541175DE"/>
    <w:rsid w:val="541F1122"/>
    <w:rsid w:val="54226686"/>
    <w:rsid w:val="5427661A"/>
    <w:rsid w:val="5434170B"/>
    <w:rsid w:val="54383A6E"/>
    <w:rsid w:val="5439763B"/>
    <w:rsid w:val="543A407E"/>
    <w:rsid w:val="543D3585"/>
    <w:rsid w:val="543E304D"/>
    <w:rsid w:val="544220A4"/>
    <w:rsid w:val="544E410C"/>
    <w:rsid w:val="54526581"/>
    <w:rsid w:val="545F6326"/>
    <w:rsid w:val="547D126C"/>
    <w:rsid w:val="54815AD6"/>
    <w:rsid w:val="54834D11"/>
    <w:rsid w:val="548A3FC9"/>
    <w:rsid w:val="548F3067"/>
    <w:rsid w:val="54961EE7"/>
    <w:rsid w:val="54967A60"/>
    <w:rsid w:val="549D7114"/>
    <w:rsid w:val="54A11674"/>
    <w:rsid w:val="54A631EB"/>
    <w:rsid w:val="54A654A5"/>
    <w:rsid w:val="54A76832"/>
    <w:rsid w:val="54AD68B4"/>
    <w:rsid w:val="54B02444"/>
    <w:rsid w:val="54B2454B"/>
    <w:rsid w:val="54B46BE6"/>
    <w:rsid w:val="54B575F6"/>
    <w:rsid w:val="54BC1B13"/>
    <w:rsid w:val="54C42CEC"/>
    <w:rsid w:val="54C70DF9"/>
    <w:rsid w:val="54CB19AE"/>
    <w:rsid w:val="54D11351"/>
    <w:rsid w:val="54D1168D"/>
    <w:rsid w:val="54D960F5"/>
    <w:rsid w:val="54E446E2"/>
    <w:rsid w:val="54F402ED"/>
    <w:rsid w:val="54FB0ADE"/>
    <w:rsid w:val="55032B54"/>
    <w:rsid w:val="55067F3A"/>
    <w:rsid w:val="55083897"/>
    <w:rsid w:val="550A228E"/>
    <w:rsid w:val="55345504"/>
    <w:rsid w:val="55400497"/>
    <w:rsid w:val="55502DFA"/>
    <w:rsid w:val="555262FC"/>
    <w:rsid w:val="555319D1"/>
    <w:rsid w:val="555F09E9"/>
    <w:rsid w:val="55613E55"/>
    <w:rsid w:val="556616C8"/>
    <w:rsid w:val="556B47C8"/>
    <w:rsid w:val="557442EA"/>
    <w:rsid w:val="55762F7B"/>
    <w:rsid w:val="55765516"/>
    <w:rsid w:val="557E7067"/>
    <w:rsid w:val="557F3F6A"/>
    <w:rsid w:val="55833079"/>
    <w:rsid w:val="558E46D6"/>
    <w:rsid w:val="5594592A"/>
    <w:rsid w:val="5598074E"/>
    <w:rsid w:val="559A7A2A"/>
    <w:rsid w:val="559E5231"/>
    <w:rsid w:val="55A162D3"/>
    <w:rsid w:val="55AF24DA"/>
    <w:rsid w:val="55C734F5"/>
    <w:rsid w:val="55D16941"/>
    <w:rsid w:val="55D35761"/>
    <w:rsid w:val="55DC50C5"/>
    <w:rsid w:val="55E81CD4"/>
    <w:rsid w:val="55E93715"/>
    <w:rsid w:val="55F33FA5"/>
    <w:rsid w:val="560148F8"/>
    <w:rsid w:val="56145405"/>
    <w:rsid w:val="561616F3"/>
    <w:rsid w:val="56164AD9"/>
    <w:rsid w:val="56185C97"/>
    <w:rsid w:val="561F7F94"/>
    <w:rsid w:val="56230716"/>
    <w:rsid w:val="562863CC"/>
    <w:rsid w:val="562A0715"/>
    <w:rsid w:val="562C17E1"/>
    <w:rsid w:val="5644426C"/>
    <w:rsid w:val="56557F7C"/>
    <w:rsid w:val="566D18EB"/>
    <w:rsid w:val="566D2477"/>
    <w:rsid w:val="566E6C4C"/>
    <w:rsid w:val="56754EBA"/>
    <w:rsid w:val="56780ED5"/>
    <w:rsid w:val="56794F6D"/>
    <w:rsid w:val="568F468B"/>
    <w:rsid w:val="569F2D23"/>
    <w:rsid w:val="56A746C7"/>
    <w:rsid w:val="56AB014A"/>
    <w:rsid w:val="56AB04D2"/>
    <w:rsid w:val="56AD12F0"/>
    <w:rsid w:val="56AF0889"/>
    <w:rsid w:val="56B848F9"/>
    <w:rsid w:val="56C2111B"/>
    <w:rsid w:val="56D86C75"/>
    <w:rsid w:val="56D96B27"/>
    <w:rsid w:val="56E03993"/>
    <w:rsid w:val="56E45187"/>
    <w:rsid w:val="56E514A1"/>
    <w:rsid w:val="56E92A63"/>
    <w:rsid w:val="56F112B1"/>
    <w:rsid w:val="56F40860"/>
    <w:rsid w:val="56F74F00"/>
    <w:rsid w:val="56F7571D"/>
    <w:rsid w:val="56FC33A3"/>
    <w:rsid w:val="570120A9"/>
    <w:rsid w:val="57075EAC"/>
    <w:rsid w:val="57076301"/>
    <w:rsid w:val="570A59B7"/>
    <w:rsid w:val="570D53A0"/>
    <w:rsid w:val="57211430"/>
    <w:rsid w:val="57270B3D"/>
    <w:rsid w:val="57272D89"/>
    <w:rsid w:val="5730608A"/>
    <w:rsid w:val="57380AFC"/>
    <w:rsid w:val="573910BE"/>
    <w:rsid w:val="573D680E"/>
    <w:rsid w:val="573E4972"/>
    <w:rsid w:val="57411EFE"/>
    <w:rsid w:val="574511ED"/>
    <w:rsid w:val="575D1C67"/>
    <w:rsid w:val="57641ED2"/>
    <w:rsid w:val="576516CC"/>
    <w:rsid w:val="576A4F03"/>
    <w:rsid w:val="576E0591"/>
    <w:rsid w:val="5773493B"/>
    <w:rsid w:val="57776ECD"/>
    <w:rsid w:val="57794F6E"/>
    <w:rsid w:val="577E60BE"/>
    <w:rsid w:val="57802C16"/>
    <w:rsid w:val="57815E55"/>
    <w:rsid w:val="578852D2"/>
    <w:rsid w:val="57A22F47"/>
    <w:rsid w:val="57A26A67"/>
    <w:rsid w:val="57A94D69"/>
    <w:rsid w:val="57AF2218"/>
    <w:rsid w:val="57B87153"/>
    <w:rsid w:val="57BC0495"/>
    <w:rsid w:val="57C06A26"/>
    <w:rsid w:val="57CC7074"/>
    <w:rsid w:val="57E76AC9"/>
    <w:rsid w:val="57EB2845"/>
    <w:rsid w:val="57F51B05"/>
    <w:rsid w:val="57F975D0"/>
    <w:rsid w:val="57FA0E5E"/>
    <w:rsid w:val="57FD35E3"/>
    <w:rsid w:val="58076D29"/>
    <w:rsid w:val="580C4B64"/>
    <w:rsid w:val="580E7831"/>
    <w:rsid w:val="580F5097"/>
    <w:rsid w:val="58100D70"/>
    <w:rsid w:val="581D0E40"/>
    <w:rsid w:val="58233747"/>
    <w:rsid w:val="5834793C"/>
    <w:rsid w:val="58377008"/>
    <w:rsid w:val="58377264"/>
    <w:rsid w:val="583F1A39"/>
    <w:rsid w:val="58446718"/>
    <w:rsid w:val="5848705A"/>
    <w:rsid w:val="58647451"/>
    <w:rsid w:val="587B7D70"/>
    <w:rsid w:val="587D6916"/>
    <w:rsid w:val="58824F05"/>
    <w:rsid w:val="588E4E06"/>
    <w:rsid w:val="589D2BE1"/>
    <w:rsid w:val="58A6088E"/>
    <w:rsid w:val="58B14B2F"/>
    <w:rsid w:val="58B84BA8"/>
    <w:rsid w:val="58C419FA"/>
    <w:rsid w:val="58CA79D4"/>
    <w:rsid w:val="58CF08A8"/>
    <w:rsid w:val="58D83D70"/>
    <w:rsid w:val="58EB49A4"/>
    <w:rsid w:val="58F03170"/>
    <w:rsid w:val="58F35A6F"/>
    <w:rsid w:val="58F77D70"/>
    <w:rsid w:val="58F82403"/>
    <w:rsid w:val="58FA0CC9"/>
    <w:rsid w:val="58FF615D"/>
    <w:rsid w:val="590167CB"/>
    <w:rsid w:val="59082ECE"/>
    <w:rsid w:val="590E5D86"/>
    <w:rsid w:val="59132528"/>
    <w:rsid w:val="59271BEF"/>
    <w:rsid w:val="592A19E3"/>
    <w:rsid w:val="592E635F"/>
    <w:rsid w:val="59331EA2"/>
    <w:rsid w:val="59336BFC"/>
    <w:rsid w:val="59342DF2"/>
    <w:rsid w:val="593C48DB"/>
    <w:rsid w:val="59433CF0"/>
    <w:rsid w:val="59496B9F"/>
    <w:rsid w:val="594A037D"/>
    <w:rsid w:val="59582258"/>
    <w:rsid w:val="596429D6"/>
    <w:rsid w:val="59651CAE"/>
    <w:rsid w:val="597459BF"/>
    <w:rsid w:val="59752418"/>
    <w:rsid w:val="597C468B"/>
    <w:rsid w:val="597D6C89"/>
    <w:rsid w:val="5986217E"/>
    <w:rsid w:val="59976FEB"/>
    <w:rsid w:val="59A00EDC"/>
    <w:rsid w:val="59A02CF1"/>
    <w:rsid w:val="59A47020"/>
    <w:rsid w:val="59A57581"/>
    <w:rsid w:val="59AB2444"/>
    <w:rsid w:val="59AC701E"/>
    <w:rsid w:val="59AD01A7"/>
    <w:rsid w:val="59AD3B63"/>
    <w:rsid w:val="59B6533D"/>
    <w:rsid w:val="59B941E0"/>
    <w:rsid w:val="59BC13A7"/>
    <w:rsid w:val="59C10F62"/>
    <w:rsid w:val="59C2730A"/>
    <w:rsid w:val="59C462B0"/>
    <w:rsid w:val="59C707D0"/>
    <w:rsid w:val="59C817EE"/>
    <w:rsid w:val="59CF317E"/>
    <w:rsid w:val="59E549BE"/>
    <w:rsid w:val="59F740F1"/>
    <w:rsid w:val="59F902DA"/>
    <w:rsid w:val="59F972F7"/>
    <w:rsid w:val="5A084C52"/>
    <w:rsid w:val="5A226ECE"/>
    <w:rsid w:val="5A2B27D6"/>
    <w:rsid w:val="5A2F594A"/>
    <w:rsid w:val="5A3E5ABB"/>
    <w:rsid w:val="5A4049FD"/>
    <w:rsid w:val="5A430D8D"/>
    <w:rsid w:val="5A467846"/>
    <w:rsid w:val="5A587DEC"/>
    <w:rsid w:val="5A5D684E"/>
    <w:rsid w:val="5A5D73C6"/>
    <w:rsid w:val="5A6C2544"/>
    <w:rsid w:val="5A6C32D3"/>
    <w:rsid w:val="5A6C6A91"/>
    <w:rsid w:val="5A702884"/>
    <w:rsid w:val="5A703622"/>
    <w:rsid w:val="5A796801"/>
    <w:rsid w:val="5A8126F4"/>
    <w:rsid w:val="5A814A82"/>
    <w:rsid w:val="5A9030E7"/>
    <w:rsid w:val="5A9261B6"/>
    <w:rsid w:val="5A940384"/>
    <w:rsid w:val="5A9474D4"/>
    <w:rsid w:val="5A991178"/>
    <w:rsid w:val="5AA3470B"/>
    <w:rsid w:val="5AB21842"/>
    <w:rsid w:val="5AB96EC4"/>
    <w:rsid w:val="5ABA75F5"/>
    <w:rsid w:val="5AC00736"/>
    <w:rsid w:val="5ACC58A9"/>
    <w:rsid w:val="5AD87AA0"/>
    <w:rsid w:val="5AE1312B"/>
    <w:rsid w:val="5AE53EED"/>
    <w:rsid w:val="5AE56ED8"/>
    <w:rsid w:val="5AE92CEA"/>
    <w:rsid w:val="5AEB179F"/>
    <w:rsid w:val="5AEC28E9"/>
    <w:rsid w:val="5AF873F9"/>
    <w:rsid w:val="5AFD5CA1"/>
    <w:rsid w:val="5B0516D1"/>
    <w:rsid w:val="5B0E2BE7"/>
    <w:rsid w:val="5B194774"/>
    <w:rsid w:val="5B215A6F"/>
    <w:rsid w:val="5B2272B8"/>
    <w:rsid w:val="5B246C93"/>
    <w:rsid w:val="5B293FA4"/>
    <w:rsid w:val="5B3B1E10"/>
    <w:rsid w:val="5B4026A7"/>
    <w:rsid w:val="5B4903B0"/>
    <w:rsid w:val="5B4B766A"/>
    <w:rsid w:val="5B5B6A56"/>
    <w:rsid w:val="5B5E5179"/>
    <w:rsid w:val="5B686769"/>
    <w:rsid w:val="5B6F4007"/>
    <w:rsid w:val="5B742E16"/>
    <w:rsid w:val="5B7431E3"/>
    <w:rsid w:val="5B803F74"/>
    <w:rsid w:val="5B864EEC"/>
    <w:rsid w:val="5B8655DE"/>
    <w:rsid w:val="5B887CBA"/>
    <w:rsid w:val="5B952E72"/>
    <w:rsid w:val="5B9F0154"/>
    <w:rsid w:val="5BA73307"/>
    <w:rsid w:val="5BA84FB7"/>
    <w:rsid w:val="5BAE7E46"/>
    <w:rsid w:val="5BB12742"/>
    <w:rsid w:val="5BB246E0"/>
    <w:rsid w:val="5BB478E2"/>
    <w:rsid w:val="5BB81E3B"/>
    <w:rsid w:val="5BC65BA5"/>
    <w:rsid w:val="5BC80610"/>
    <w:rsid w:val="5BCC3E7B"/>
    <w:rsid w:val="5BCD73CC"/>
    <w:rsid w:val="5BCF7335"/>
    <w:rsid w:val="5BD21052"/>
    <w:rsid w:val="5BE461A6"/>
    <w:rsid w:val="5BE520C5"/>
    <w:rsid w:val="5BF93486"/>
    <w:rsid w:val="5BF96C0C"/>
    <w:rsid w:val="5C050C37"/>
    <w:rsid w:val="5C0B6BEB"/>
    <w:rsid w:val="5C125416"/>
    <w:rsid w:val="5C196691"/>
    <w:rsid w:val="5C1C6D46"/>
    <w:rsid w:val="5C214C1A"/>
    <w:rsid w:val="5C2D0C32"/>
    <w:rsid w:val="5C2E0656"/>
    <w:rsid w:val="5C2F4ED9"/>
    <w:rsid w:val="5C363AC4"/>
    <w:rsid w:val="5C383883"/>
    <w:rsid w:val="5C39587B"/>
    <w:rsid w:val="5C3A3DE2"/>
    <w:rsid w:val="5C487098"/>
    <w:rsid w:val="5C5210C9"/>
    <w:rsid w:val="5C551E2B"/>
    <w:rsid w:val="5C566ADD"/>
    <w:rsid w:val="5C584FCD"/>
    <w:rsid w:val="5C685FAD"/>
    <w:rsid w:val="5C6A2A90"/>
    <w:rsid w:val="5C6A5A44"/>
    <w:rsid w:val="5C775CC1"/>
    <w:rsid w:val="5C782B70"/>
    <w:rsid w:val="5C807ED9"/>
    <w:rsid w:val="5C8C5796"/>
    <w:rsid w:val="5C9028C8"/>
    <w:rsid w:val="5C9039A1"/>
    <w:rsid w:val="5C9400FE"/>
    <w:rsid w:val="5C9802BB"/>
    <w:rsid w:val="5C9E37D6"/>
    <w:rsid w:val="5C9F4BE4"/>
    <w:rsid w:val="5CAE1841"/>
    <w:rsid w:val="5CB009C2"/>
    <w:rsid w:val="5CB30E23"/>
    <w:rsid w:val="5CC02A56"/>
    <w:rsid w:val="5CC71318"/>
    <w:rsid w:val="5CC839E4"/>
    <w:rsid w:val="5CDB024C"/>
    <w:rsid w:val="5CE9646E"/>
    <w:rsid w:val="5CEB65B4"/>
    <w:rsid w:val="5CF30508"/>
    <w:rsid w:val="5CFD1AAD"/>
    <w:rsid w:val="5D034955"/>
    <w:rsid w:val="5D037ACA"/>
    <w:rsid w:val="5D086B08"/>
    <w:rsid w:val="5D107877"/>
    <w:rsid w:val="5D14283F"/>
    <w:rsid w:val="5D14552E"/>
    <w:rsid w:val="5D1C393A"/>
    <w:rsid w:val="5D234625"/>
    <w:rsid w:val="5D290307"/>
    <w:rsid w:val="5D32024B"/>
    <w:rsid w:val="5D3664F7"/>
    <w:rsid w:val="5D3E30FA"/>
    <w:rsid w:val="5D3E7219"/>
    <w:rsid w:val="5D445352"/>
    <w:rsid w:val="5D450682"/>
    <w:rsid w:val="5D55077F"/>
    <w:rsid w:val="5D5C0CC1"/>
    <w:rsid w:val="5D666FAB"/>
    <w:rsid w:val="5D68574F"/>
    <w:rsid w:val="5D69123B"/>
    <w:rsid w:val="5D6D28CA"/>
    <w:rsid w:val="5D777C70"/>
    <w:rsid w:val="5D8104A7"/>
    <w:rsid w:val="5D897F69"/>
    <w:rsid w:val="5D927D52"/>
    <w:rsid w:val="5D975399"/>
    <w:rsid w:val="5DA82D4A"/>
    <w:rsid w:val="5DAD1625"/>
    <w:rsid w:val="5DB713CE"/>
    <w:rsid w:val="5DBA3C0B"/>
    <w:rsid w:val="5DC2500C"/>
    <w:rsid w:val="5DC3428A"/>
    <w:rsid w:val="5DC603E7"/>
    <w:rsid w:val="5DD15915"/>
    <w:rsid w:val="5DD47EED"/>
    <w:rsid w:val="5DE036AE"/>
    <w:rsid w:val="5DE768DF"/>
    <w:rsid w:val="5DEB632A"/>
    <w:rsid w:val="5DFC2B94"/>
    <w:rsid w:val="5E044051"/>
    <w:rsid w:val="5E087C39"/>
    <w:rsid w:val="5E0920D8"/>
    <w:rsid w:val="5E13621E"/>
    <w:rsid w:val="5E167DEA"/>
    <w:rsid w:val="5E252D7B"/>
    <w:rsid w:val="5E2B24BF"/>
    <w:rsid w:val="5E2C032D"/>
    <w:rsid w:val="5E34043D"/>
    <w:rsid w:val="5E377142"/>
    <w:rsid w:val="5E48734A"/>
    <w:rsid w:val="5E4D151E"/>
    <w:rsid w:val="5E5256CF"/>
    <w:rsid w:val="5E530E11"/>
    <w:rsid w:val="5E53251C"/>
    <w:rsid w:val="5E5B4CE2"/>
    <w:rsid w:val="5E5C42A1"/>
    <w:rsid w:val="5E5F3E1C"/>
    <w:rsid w:val="5E65152B"/>
    <w:rsid w:val="5E7419FA"/>
    <w:rsid w:val="5E78597B"/>
    <w:rsid w:val="5E795E0F"/>
    <w:rsid w:val="5E7A7B1D"/>
    <w:rsid w:val="5E7E6E2D"/>
    <w:rsid w:val="5E821A10"/>
    <w:rsid w:val="5E8D14AD"/>
    <w:rsid w:val="5E8D7C39"/>
    <w:rsid w:val="5E917AFD"/>
    <w:rsid w:val="5E93573A"/>
    <w:rsid w:val="5E966703"/>
    <w:rsid w:val="5E9E0399"/>
    <w:rsid w:val="5EAC0285"/>
    <w:rsid w:val="5EAD5331"/>
    <w:rsid w:val="5EC609DA"/>
    <w:rsid w:val="5ECB0709"/>
    <w:rsid w:val="5ED40587"/>
    <w:rsid w:val="5ED52E57"/>
    <w:rsid w:val="5ED61D18"/>
    <w:rsid w:val="5EDA5FEF"/>
    <w:rsid w:val="5EDC54EF"/>
    <w:rsid w:val="5EDD4B28"/>
    <w:rsid w:val="5EE85474"/>
    <w:rsid w:val="5EEC0B95"/>
    <w:rsid w:val="5EED2727"/>
    <w:rsid w:val="5EF00A7A"/>
    <w:rsid w:val="5EF71CFB"/>
    <w:rsid w:val="5EFC37E2"/>
    <w:rsid w:val="5F057E9B"/>
    <w:rsid w:val="5F100F52"/>
    <w:rsid w:val="5F1833F7"/>
    <w:rsid w:val="5F1C0006"/>
    <w:rsid w:val="5F1D4307"/>
    <w:rsid w:val="5F236821"/>
    <w:rsid w:val="5F3131FF"/>
    <w:rsid w:val="5F3561D8"/>
    <w:rsid w:val="5F3D4557"/>
    <w:rsid w:val="5F41161E"/>
    <w:rsid w:val="5F5C0E82"/>
    <w:rsid w:val="5F5D1EB0"/>
    <w:rsid w:val="5F60136E"/>
    <w:rsid w:val="5F6319B8"/>
    <w:rsid w:val="5F695B2D"/>
    <w:rsid w:val="5F725A62"/>
    <w:rsid w:val="5F74244C"/>
    <w:rsid w:val="5F835B70"/>
    <w:rsid w:val="5F850849"/>
    <w:rsid w:val="5F8959EF"/>
    <w:rsid w:val="5F8E1395"/>
    <w:rsid w:val="5F8F1515"/>
    <w:rsid w:val="5FA17311"/>
    <w:rsid w:val="5FA67D65"/>
    <w:rsid w:val="5FAC52BF"/>
    <w:rsid w:val="5FAC5F18"/>
    <w:rsid w:val="5FAC708D"/>
    <w:rsid w:val="5FAD0AD1"/>
    <w:rsid w:val="5FB14366"/>
    <w:rsid w:val="5FB22DDD"/>
    <w:rsid w:val="5FB919B2"/>
    <w:rsid w:val="5FBB0231"/>
    <w:rsid w:val="5FBB2CE0"/>
    <w:rsid w:val="5FC25A3B"/>
    <w:rsid w:val="5FC800CA"/>
    <w:rsid w:val="5FCE450D"/>
    <w:rsid w:val="5FD57842"/>
    <w:rsid w:val="5FD74889"/>
    <w:rsid w:val="5FD82DC5"/>
    <w:rsid w:val="5FE7047A"/>
    <w:rsid w:val="5FEB3422"/>
    <w:rsid w:val="5FF05FCA"/>
    <w:rsid w:val="5FF52240"/>
    <w:rsid w:val="5FFA0718"/>
    <w:rsid w:val="5FFE39B6"/>
    <w:rsid w:val="60044E19"/>
    <w:rsid w:val="60135E1A"/>
    <w:rsid w:val="601C5517"/>
    <w:rsid w:val="602007E7"/>
    <w:rsid w:val="60256FE0"/>
    <w:rsid w:val="60293727"/>
    <w:rsid w:val="603875CB"/>
    <w:rsid w:val="603D3A0F"/>
    <w:rsid w:val="604F72A6"/>
    <w:rsid w:val="605133AD"/>
    <w:rsid w:val="605C76B9"/>
    <w:rsid w:val="605F4CE9"/>
    <w:rsid w:val="6063510D"/>
    <w:rsid w:val="606876B6"/>
    <w:rsid w:val="60723414"/>
    <w:rsid w:val="60801C8A"/>
    <w:rsid w:val="6088251F"/>
    <w:rsid w:val="608F3926"/>
    <w:rsid w:val="608F5287"/>
    <w:rsid w:val="60901C43"/>
    <w:rsid w:val="60923DEE"/>
    <w:rsid w:val="60926BDF"/>
    <w:rsid w:val="609A45DE"/>
    <w:rsid w:val="60BA195F"/>
    <w:rsid w:val="60BB0C12"/>
    <w:rsid w:val="60BB6B1C"/>
    <w:rsid w:val="60C44DAC"/>
    <w:rsid w:val="60CB2763"/>
    <w:rsid w:val="60CB3E5A"/>
    <w:rsid w:val="60CF4AF3"/>
    <w:rsid w:val="60E162FE"/>
    <w:rsid w:val="60E732E5"/>
    <w:rsid w:val="60F647D1"/>
    <w:rsid w:val="60F75845"/>
    <w:rsid w:val="60FC0323"/>
    <w:rsid w:val="60FD5F5A"/>
    <w:rsid w:val="60FF47EC"/>
    <w:rsid w:val="6108122D"/>
    <w:rsid w:val="61106CC0"/>
    <w:rsid w:val="61141C9D"/>
    <w:rsid w:val="612431D1"/>
    <w:rsid w:val="61276859"/>
    <w:rsid w:val="612B0B99"/>
    <w:rsid w:val="61302BCF"/>
    <w:rsid w:val="613755FF"/>
    <w:rsid w:val="613D06E5"/>
    <w:rsid w:val="61416D81"/>
    <w:rsid w:val="614C3131"/>
    <w:rsid w:val="614E5428"/>
    <w:rsid w:val="61534507"/>
    <w:rsid w:val="616A05BA"/>
    <w:rsid w:val="61745BFE"/>
    <w:rsid w:val="618B6904"/>
    <w:rsid w:val="618B6F18"/>
    <w:rsid w:val="61902BE6"/>
    <w:rsid w:val="61917829"/>
    <w:rsid w:val="61A54181"/>
    <w:rsid w:val="61A86E74"/>
    <w:rsid w:val="61B13862"/>
    <w:rsid w:val="61CC6481"/>
    <w:rsid w:val="61D93C9B"/>
    <w:rsid w:val="61DD38D1"/>
    <w:rsid w:val="61E31D87"/>
    <w:rsid w:val="61E868FC"/>
    <w:rsid w:val="61EB343F"/>
    <w:rsid w:val="61EC2DB5"/>
    <w:rsid w:val="61EE526B"/>
    <w:rsid w:val="61FD11D4"/>
    <w:rsid w:val="62036D8B"/>
    <w:rsid w:val="620C24D2"/>
    <w:rsid w:val="6210615D"/>
    <w:rsid w:val="62153F79"/>
    <w:rsid w:val="621F029F"/>
    <w:rsid w:val="6221742E"/>
    <w:rsid w:val="62417E90"/>
    <w:rsid w:val="624D53FA"/>
    <w:rsid w:val="6251451B"/>
    <w:rsid w:val="62600241"/>
    <w:rsid w:val="626A664D"/>
    <w:rsid w:val="626D784A"/>
    <w:rsid w:val="626F3D3B"/>
    <w:rsid w:val="62726160"/>
    <w:rsid w:val="62744735"/>
    <w:rsid w:val="627F0FDA"/>
    <w:rsid w:val="62887D39"/>
    <w:rsid w:val="629E7844"/>
    <w:rsid w:val="62A30169"/>
    <w:rsid w:val="62AB6771"/>
    <w:rsid w:val="62B0051C"/>
    <w:rsid w:val="62B74D35"/>
    <w:rsid w:val="62C16E74"/>
    <w:rsid w:val="62C4198D"/>
    <w:rsid w:val="62C66907"/>
    <w:rsid w:val="62C951A9"/>
    <w:rsid w:val="62DA4BE4"/>
    <w:rsid w:val="62E21FE6"/>
    <w:rsid w:val="62EC3418"/>
    <w:rsid w:val="62FB1F5E"/>
    <w:rsid w:val="6302572B"/>
    <w:rsid w:val="63040F2F"/>
    <w:rsid w:val="630C1C94"/>
    <w:rsid w:val="631852E2"/>
    <w:rsid w:val="63194117"/>
    <w:rsid w:val="631A194D"/>
    <w:rsid w:val="631F18D2"/>
    <w:rsid w:val="63252268"/>
    <w:rsid w:val="632B39DD"/>
    <w:rsid w:val="632B5373"/>
    <w:rsid w:val="63324DC0"/>
    <w:rsid w:val="63384FFE"/>
    <w:rsid w:val="6338598B"/>
    <w:rsid w:val="633A3CCF"/>
    <w:rsid w:val="633B3150"/>
    <w:rsid w:val="633C6265"/>
    <w:rsid w:val="63410D72"/>
    <w:rsid w:val="63424319"/>
    <w:rsid w:val="634A596F"/>
    <w:rsid w:val="635C1C78"/>
    <w:rsid w:val="6361115D"/>
    <w:rsid w:val="636C69A2"/>
    <w:rsid w:val="63747317"/>
    <w:rsid w:val="637864A7"/>
    <w:rsid w:val="637A0A5E"/>
    <w:rsid w:val="637C68D1"/>
    <w:rsid w:val="63810153"/>
    <w:rsid w:val="638C475D"/>
    <w:rsid w:val="638F2034"/>
    <w:rsid w:val="6390720A"/>
    <w:rsid w:val="6393097B"/>
    <w:rsid w:val="639A4526"/>
    <w:rsid w:val="63A15B65"/>
    <w:rsid w:val="63A40434"/>
    <w:rsid w:val="63A434A0"/>
    <w:rsid w:val="63A502AA"/>
    <w:rsid w:val="63AD3DFD"/>
    <w:rsid w:val="63B349F8"/>
    <w:rsid w:val="63B71CCE"/>
    <w:rsid w:val="63BA45E6"/>
    <w:rsid w:val="63C11BFC"/>
    <w:rsid w:val="63C20D04"/>
    <w:rsid w:val="63DC4943"/>
    <w:rsid w:val="63DE2E4C"/>
    <w:rsid w:val="63E8105D"/>
    <w:rsid w:val="63E87188"/>
    <w:rsid w:val="63F4337F"/>
    <w:rsid w:val="63FB151D"/>
    <w:rsid w:val="63FB7BEE"/>
    <w:rsid w:val="64020F30"/>
    <w:rsid w:val="64065DF6"/>
    <w:rsid w:val="6410506D"/>
    <w:rsid w:val="64120074"/>
    <w:rsid w:val="641B4AB3"/>
    <w:rsid w:val="641D5D50"/>
    <w:rsid w:val="641E5A76"/>
    <w:rsid w:val="641F72F5"/>
    <w:rsid w:val="64212490"/>
    <w:rsid w:val="64264920"/>
    <w:rsid w:val="64284D93"/>
    <w:rsid w:val="642F4896"/>
    <w:rsid w:val="64362523"/>
    <w:rsid w:val="643644B1"/>
    <w:rsid w:val="643C3DFB"/>
    <w:rsid w:val="643E2BD3"/>
    <w:rsid w:val="643E534D"/>
    <w:rsid w:val="644B633C"/>
    <w:rsid w:val="6451339A"/>
    <w:rsid w:val="6456068A"/>
    <w:rsid w:val="645C6DD7"/>
    <w:rsid w:val="645D27B1"/>
    <w:rsid w:val="64644998"/>
    <w:rsid w:val="64681A73"/>
    <w:rsid w:val="646924DB"/>
    <w:rsid w:val="64694AC9"/>
    <w:rsid w:val="646D58E0"/>
    <w:rsid w:val="64745038"/>
    <w:rsid w:val="64781379"/>
    <w:rsid w:val="647A1DAB"/>
    <w:rsid w:val="648B023D"/>
    <w:rsid w:val="648B779B"/>
    <w:rsid w:val="648E18D8"/>
    <w:rsid w:val="648F3AA8"/>
    <w:rsid w:val="64903C06"/>
    <w:rsid w:val="64A07C97"/>
    <w:rsid w:val="64A55079"/>
    <w:rsid w:val="64A6478B"/>
    <w:rsid w:val="64A867F8"/>
    <w:rsid w:val="64AC0894"/>
    <w:rsid w:val="64BE61AD"/>
    <w:rsid w:val="64D1157E"/>
    <w:rsid w:val="64D57A97"/>
    <w:rsid w:val="64D63485"/>
    <w:rsid w:val="64E27658"/>
    <w:rsid w:val="6503657A"/>
    <w:rsid w:val="650B0218"/>
    <w:rsid w:val="650D1CAF"/>
    <w:rsid w:val="65127C38"/>
    <w:rsid w:val="6517484E"/>
    <w:rsid w:val="6517496E"/>
    <w:rsid w:val="651F664A"/>
    <w:rsid w:val="65227A4F"/>
    <w:rsid w:val="652F0A2D"/>
    <w:rsid w:val="652F59CE"/>
    <w:rsid w:val="6534721D"/>
    <w:rsid w:val="653C5699"/>
    <w:rsid w:val="654D30E7"/>
    <w:rsid w:val="654F25D3"/>
    <w:rsid w:val="65532D27"/>
    <w:rsid w:val="655B63EE"/>
    <w:rsid w:val="655C6080"/>
    <w:rsid w:val="65623116"/>
    <w:rsid w:val="656627BF"/>
    <w:rsid w:val="65687859"/>
    <w:rsid w:val="656C4076"/>
    <w:rsid w:val="656D03A1"/>
    <w:rsid w:val="656D17D2"/>
    <w:rsid w:val="657713CD"/>
    <w:rsid w:val="6577655B"/>
    <w:rsid w:val="657A32D6"/>
    <w:rsid w:val="6592636B"/>
    <w:rsid w:val="65931280"/>
    <w:rsid w:val="659371F9"/>
    <w:rsid w:val="659B722F"/>
    <w:rsid w:val="659D08D8"/>
    <w:rsid w:val="65A15B32"/>
    <w:rsid w:val="65A22A7F"/>
    <w:rsid w:val="65B073B1"/>
    <w:rsid w:val="65B57D4C"/>
    <w:rsid w:val="65B63234"/>
    <w:rsid w:val="65B85B12"/>
    <w:rsid w:val="65B909B4"/>
    <w:rsid w:val="65BF2FB7"/>
    <w:rsid w:val="65C92EDD"/>
    <w:rsid w:val="65CD0FDC"/>
    <w:rsid w:val="65CE09EE"/>
    <w:rsid w:val="65D94F1F"/>
    <w:rsid w:val="65DB7E2E"/>
    <w:rsid w:val="65DC3CB9"/>
    <w:rsid w:val="65E21F00"/>
    <w:rsid w:val="65EB028C"/>
    <w:rsid w:val="65EB742A"/>
    <w:rsid w:val="65EF094D"/>
    <w:rsid w:val="65EF6597"/>
    <w:rsid w:val="65FB4F29"/>
    <w:rsid w:val="66022202"/>
    <w:rsid w:val="660309B0"/>
    <w:rsid w:val="660C5876"/>
    <w:rsid w:val="66167018"/>
    <w:rsid w:val="661C606C"/>
    <w:rsid w:val="661D7B2C"/>
    <w:rsid w:val="662533F5"/>
    <w:rsid w:val="66286C85"/>
    <w:rsid w:val="662C338C"/>
    <w:rsid w:val="662C6105"/>
    <w:rsid w:val="662D3F0C"/>
    <w:rsid w:val="66353557"/>
    <w:rsid w:val="66360279"/>
    <w:rsid w:val="66453182"/>
    <w:rsid w:val="66515450"/>
    <w:rsid w:val="665A5CD5"/>
    <w:rsid w:val="66605B83"/>
    <w:rsid w:val="66640C7A"/>
    <w:rsid w:val="666646A6"/>
    <w:rsid w:val="667033E2"/>
    <w:rsid w:val="66743E4E"/>
    <w:rsid w:val="66765D82"/>
    <w:rsid w:val="667736A3"/>
    <w:rsid w:val="667C5ED4"/>
    <w:rsid w:val="668B6205"/>
    <w:rsid w:val="668F27D9"/>
    <w:rsid w:val="668F2BF0"/>
    <w:rsid w:val="6690699C"/>
    <w:rsid w:val="6696580B"/>
    <w:rsid w:val="66983CFA"/>
    <w:rsid w:val="669A3DB2"/>
    <w:rsid w:val="669C1200"/>
    <w:rsid w:val="66A51953"/>
    <w:rsid w:val="66A650D9"/>
    <w:rsid w:val="66A75FD3"/>
    <w:rsid w:val="66A97DBA"/>
    <w:rsid w:val="66AB361E"/>
    <w:rsid w:val="66B24BAD"/>
    <w:rsid w:val="66B24E7E"/>
    <w:rsid w:val="66B3673A"/>
    <w:rsid w:val="66B4080A"/>
    <w:rsid w:val="66B905D4"/>
    <w:rsid w:val="66B91700"/>
    <w:rsid w:val="66C1412F"/>
    <w:rsid w:val="66D971A4"/>
    <w:rsid w:val="66DB3E9D"/>
    <w:rsid w:val="66DE0D17"/>
    <w:rsid w:val="66F42C1D"/>
    <w:rsid w:val="66F60A36"/>
    <w:rsid w:val="6706035F"/>
    <w:rsid w:val="6707199F"/>
    <w:rsid w:val="67072C08"/>
    <w:rsid w:val="67122355"/>
    <w:rsid w:val="67144396"/>
    <w:rsid w:val="671E3E7C"/>
    <w:rsid w:val="67272EEF"/>
    <w:rsid w:val="67331F7A"/>
    <w:rsid w:val="67384868"/>
    <w:rsid w:val="673E0325"/>
    <w:rsid w:val="67411078"/>
    <w:rsid w:val="674F317D"/>
    <w:rsid w:val="6754761A"/>
    <w:rsid w:val="675A11AE"/>
    <w:rsid w:val="676845DE"/>
    <w:rsid w:val="676D456A"/>
    <w:rsid w:val="676D67E6"/>
    <w:rsid w:val="676E3EF2"/>
    <w:rsid w:val="677411DA"/>
    <w:rsid w:val="67803D0D"/>
    <w:rsid w:val="67880C2D"/>
    <w:rsid w:val="67891FF6"/>
    <w:rsid w:val="67991BFE"/>
    <w:rsid w:val="679C243B"/>
    <w:rsid w:val="67A7301C"/>
    <w:rsid w:val="67A95559"/>
    <w:rsid w:val="67AB6AAA"/>
    <w:rsid w:val="67AE4BBF"/>
    <w:rsid w:val="67B242B1"/>
    <w:rsid w:val="67B35E4E"/>
    <w:rsid w:val="67BA0EC2"/>
    <w:rsid w:val="67C501A7"/>
    <w:rsid w:val="67C83EA7"/>
    <w:rsid w:val="67C96AF6"/>
    <w:rsid w:val="67DD7727"/>
    <w:rsid w:val="67DE3823"/>
    <w:rsid w:val="67E16919"/>
    <w:rsid w:val="67EB281D"/>
    <w:rsid w:val="67EF6A95"/>
    <w:rsid w:val="67F20F5B"/>
    <w:rsid w:val="67F44D0A"/>
    <w:rsid w:val="67F55EC6"/>
    <w:rsid w:val="67FA6EFF"/>
    <w:rsid w:val="68144D95"/>
    <w:rsid w:val="681F60D4"/>
    <w:rsid w:val="682C3893"/>
    <w:rsid w:val="683F123A"/>
    <w:rsid w:val="68436057"/>
    <w:rsid w:val="684941A9"/>
    <w:rsid w:val="684A163D"/>
    <w:rsid w:val="684B3682"/>
    <w:rsid w:val="684E4A69"/>
    <w:rsid w:val="68680F81"/>
    <w:rsid w:val="686B4A24"/>
    <w:rsid w:val="686E424D"/>
    <w:rsid w:val="68717C38"/>
    <w:rsid w:val="68763A15"/>
    <w:rsid w:val="687640CE"/>
    <w:rsid w:val="687E370E"/>
    <w:rsid w:val="689031D4"/>
    <w:rsid w:val="68910A2F"/>
    <w:rsid w:val="68963137"/>
    <w:rsid w:val="689F2031"/>
    <w:rsid w:val="68A019EB"/>
    <w:rsid w:val="68A172FF"/>
    <w:rsid w:val="68A2613A"/>
    <w:rsid w:val="68A44CC5"/>
    <w:rsid w:val="68B40871"/>
    <w:rsid w:val="68B57AD4"/>
    <w:rsid w:val="68B903C5"/>
    <w:rsid w:val="68BC1AB7"/>
    <w:rsid w:val="68C502E7"/>
    <w:rsid w:val="68C5421B"/>
    <w:rsid w:val="68CD5AEF"/>
    <w:rsid w:val="68D658BE"/>
    <w:rsid w:val="68DA2E33"/>
    <w:rsid w:val="68DE733A"/>
    <w:rsid w:val="68E03F04"/>
    <w:rsid w:val="68E10BEE"/>
    <w:rsid w:val="68E114F2"/>
    <w:rsid w:val="68FA490F"/>
    <w:rsid w:val="68FB0C3A"/>
    <w:rsid w:val="69035C29"/>
    <w:rsid w:val="690E375A"/>
    <w:rsid w:val="69144C46"/>
    <w:rsid w:val="691751DE"/>
    <w:rsid w:val="69186260"/>
    <w:rsid w:val="6919739A"/>
    <w:rsid w:val="693275D5"/>
    <w:rsid w:val="69343F33"/>
    <w:rsid w:val="693B054D"/>
    <w:rsid w:val="693C3E42"/>
    <w:rsid w:val="693E76AF"/>
    <w:rsid w:val="69426968"/>
    <w:rsid w:val="69436F2C"/>
    <w:rsid w:val="69473733"/>
    <w:rsid w:val="694774FF"/>
    <w:rsid w:val="694C640B"/>
    <w:rsid w:val="6953089E"/>
    <w:rsid w:val="695F72BA"/>
    <w:rsid w:val="69673F37"/>
    <w:rsid w:val="696C4EA3"/>
    <w:rsid w:val="696F17AC"/>
    <w:rsid w:val="69714FA5"/>
    <w:rsid w:val="697B0051"/>
    <w:rsid w:val="697C7EC1"/>
    <w:rsid w:val="697E40EB"/>
    <w:rsid w:val="698603DC"/>
    <w:rsid w:val="698B2497"/>
    <w:rsid w:val="698C5D3A"/>
    <w:rsid w:val="698E1D27"/>
    <w:rsid w:val="69987965"/>
    <w:rsid w:val="699A328A"/>
    <w:rsid w:val="699D4130"/>
    <w:rsid w:val="69AD11FF"/>
    <w:rsid w:val="69BE2697"/>
    <w:rsid w:val="69BF2F7D"/>
    <w:rsid w:val="69C65FD0"/>
    <w:rsid w:val="69CC297C"/>
    <w:rsid w:val="69D67007"/>
    <w:rsid w:val="69D7213B"/>
    <w:rsid w:val="69DB6B23"/>
    <w:rsid w:val="69DD7D9E"/>
    <w:rsid w:val="69DE1B61"/>
    <w:rsid w:val="69DF3FC1"/>
    <w:rsid w:val="69E22807"/>
    <w:rsid w:val="69E420D3"/>
    <w:rsid w:val="69EB45E0"/>
    <w:rsid w:val="69F07FAE"/>
    <w:rsid w:val="69FA1B39"/>
    <w:rsid w:val="69FD0B82"/>
    <w:rsid w:val="6A0D5967"/>
    <w:rsid w:val="6A1202B5"/>
    <w:rsid w:val="6A1322C3"/>
    <w:rsid w:val="6A2417B9"/>
    <w:rsid w:val="6A2B078F"/>
    <w:rsid w:val="6A351BBE"/>
    <w:rsid w:val="6A3811E8"/>
    <w:rsid w:val="6A3A3B0F"/>
    <w:rsid w:val="6A3F7D9A"/>
    <w:rsid w:val="6A5341AF"/>
    <w:rsid w:val="6A63387F"/>
    <w:rsid w:val="6A6379E6"/>
    <w:rsid w:val="6A6514AF"/>
    <w:rsid w:val="6A672AFE"/>
    <w:rsid w:val="6A791CA8"/>
    <w:rsid w:val="6A7C083A"/>
    <w:rsid w:val="6A8A50D1"/>
    <w:rsid w:val="6A8E369A"/>
    <w:rsid w:val="6A9343B3"/>
    <w:rsid w:val="6AAD06D7"/>
    <w:rsid w:val="6ABD5AC3"/>
    <w:rsid w:val="6AC74C5A"/>
    <w:rsid w:val="6ACD16CA"/>
    <w:rsid w:val="6AD273F7"/>
    <w:rsid w:val="6AD41A83"/>
    <w:rsid w:val="6AE27277"/>
    <w:rsid w:val="6AE34CA7"/>
    <w:rsid w:val="6AE84659"/>
    <w:rsid w:val="6AED1147"/>
    <w:rsid w:val="6AF82EED"/>
    <w:rsid w:val="6B0074AE"/>
    <w:rsid w:val="6B067730"/>
    <w:rsid w:val="6B125236"/>
    <w:rsid w:val="6B1D6B63"/>
    <w:rsid w:val="6B20309C"/>
    <w:rsid w:val="6B210A01"/>
    <w:rsid w:val="6B23725F"/>
    <w:rsid w:val="6B2D5950"/>
    <w:rsid w:val="6B35059A"/>
    <w:rsid w:val="6B357B4C"/>
    <w:rsid w:val="6B38141F"/>
    <w:rsid w:val="6B3E4E9A"/>
    <w:rsid w:val="6B4510F8"/>
    <w:rsid w:val="6B465CCC"/>
    <w:rsid w:val="6B473287"/>
    <w:rsid w:val="6B492FA0"/>
    <w:rsid w:val="6B532EFE"/>
    <w:rsid w:val="6B5673BA"/>
    <w:rsid w:val="6B596BBE"/>
    <w:rsid w:val="6B61517B"/>
    <w:rsid w:val="6B666391"/>
    <w:rsid w:val="6B6721B9"/>
    <w:rsid w:val="6B681DAE"/>
    <w:rsid w:val="6B6B308B"/>
    <w:rsid w:val="6B6D0775"/>
    <w:rsid w:val="6B7900F7"/>
    <w:rsid w:val="6B7A4956"/>
    <w:rsid w:val="6B7C357C"/>
    <w:rsid w:val="6B7F0D94"/>
    <w:rsid w:val="6B8206F2"/>
    <w:rsid w:val="6B865812"/>
    <w:rsid w:val="6B8E6F75"/>
    <w:rsid w:val="6B933BBB"/>
    <w:rsid w:val="6B954626"/>
    <w:rsid w:val="6B974D2E"/>
    <w:rsid w:val="6BAB71D3"/>
    <w:rsid w:val="6BAC1189"/>
    <w:rsid w:val="6BAC43D7"/>
    <w:rsid w:val="6BAF509E"/>
    <w:rsid w:val="6BB822DC"/>
    <w:rsid w:val="6BC0415C"/>
    <w:rsid w:val="6BC84B07"/>
    <w:rsid w:val="6BCA3618"/>
    <w:rsid w:val="6BCF3C1A"/>
    <w:rsid w:val="6BD10A2F"/>
    <w:rsid w:val="6BD8100E"/>
    <w:rsid w:val="6BE25F3B"/>
    <w:rsid w:val="6BEC7739"/>
    <w:rsid w:val="6BEE27E7"/>
    <w:rsid w:val="6BF80129"/>
    <w:rsid w:val="6BFC0004"/>
    <w:rsid w:val="6C000248"/>
    <w:rsid w:val="6C031215"/>
    <w:rsid w:val="6C1B46BB"/>
    <w:rsid w:val="6C1C7A64"/>
    <w:rsid w:val="6C1E695B"/>
    <w:rsid w:val="6C23218C"/>
    <w:rsid w:val="6C28098A"/>
    <w:rsid w:val="6C2B5936"/>
    <w:rsid w:val="6C3167A1"/>
    <w:rsid w:val="6C333924"/>
    <w:rsid w:val="6C355BFC"/>
    <w:rsid w:val="6C3E7F33"/>
    <w:rsid w:val="6C41208A"/>
    <w:rsid w:val="6C450881"/>
    <w:rsid w:val="6C4572B8"/>
    <w:rsid w:val="6C4E742E"/>
    <w:rsid w:val="6C563089"/>
    <w:rsid w:val="6C636E09"/>
    <w:rsid w:val="6C670AEC"/>
    <w:rsid w:val="6C6E066F"/>
    <w:rsid w:val="6C7506A3"/>
    <w:rsid w:val="6C7577C2"/>
    <w:rsid w:val="6C7B5EC3"/>
    <w:rsid w:val="6C83293F"/>
    <w:rsid w:val="6C85596C"/>
    <w:rsid w:val="6C8B30CE"/>
    <w:rsid w:val="6C91557B"/>
    <w:rsid w:val="6C9226BF"/>
    <w:rsid w:val="6C982439"/>
    <w:rsid w:val="6C9C2625"/>
    <w:rsid w:val="6CAD5A24"/>
    <w:rsid w:val="6CAF2DAC"/>
    <w:rsid w:val="6CBB5ED0"/>
    <w:rsid w:val="6CBE4020"/>
    <w:rsid w:val="6CCB7CF7"/>
    <w:rsid w:val="6CD7423E"/>
    <w:rsid w:val="6CDC431E"/>
    <w:rsid w:val="6CE26CAA"/>
    <w:rsid w:val="6CE6484A"/>
    <w:rsid w:val="6CE8485E"/>
    <w:rsid w:val="6CF83396"/>
    <w:rsid w:val="6CFA2346"/>
    <w:rsid w:val="6CFC4D29"/>
    <w:rsid w:val="6D047403"/>
    <w:rsid w:val="6D090F6A"/>
    <w:rsid w:val="6D0F39D8"/>
    <w:rsid w:val="6D121576"/>
    <w:rsid w:val="6D173CE5"/>
    <w:rsid w:val="6D1845AE"/>
    <w:rsid w:val="6D194506"/>
    <w:rsid w:val="6D212275"/>
    <w:rsid w:val="6D466E0C"/>
    <w:rsid w:val="6D476DF6"/>
    <w:rsid w:val="6D4C112F"/>
    <w:rsid w:val="6D4D6B34"/>
    <w:rsid w:val="6D526F61"/>
    <w:rsid w:val="6D5477C0"/>
    <w:rsid w:val="6D564056"/>
    <w:rsid w:val="6D6130ED"/>
    <w:rsid w:val="6D6F2500"/>
    <w:rsid w:val="6D7301C9"/>
    <w:rsid w:val="6D75204A"/>
    <w:rsid w:val="6D894F96"/>
    <w:rsid w:val="6D8F571C"/>
    <w:rsid w:val="6D91154C"/>
    <w:rsid w:val="6D9E3A5E"/>
    <w:rsid w:val="6D9F07AE"/>
    <w:rsid w:val="6DA950DB"/>
    <w:rsid w:val="6DBB5AAA"/>
    <w:rsid w:val="6DBD1686"/>
    <w:rsid w:val="6DC71B14"/>
    <w:rsid w:val="6DCC0D2D"/>
    <w:rsid w:val="6DD02F19"/>
    <w:rsid w:val="6DD06488"/>
    <w:rsid w:val="6DD7199D"/>
    <w:rsid w:val="6DDB56A0"/>
    <w:rsid w:val="6DDC0050"/>
    <w:rsid w:val="6DE02641"/>
    <w:rsid w:val="6DE42A39"/>
    <w:rsid w:val="6DEE5118"/>
    <w:rsid w:val="6DEF6212"/>
    <w:rsid w:val="6DF27014"/>
    <w:rsid w:val="6DF30BD1"/>
    <w:rsid w:val="6DF73B27"/>
    <w:rsid w:val="6E0F52D7"/>
    <w:rsid w:val="6E130334"/>
    <w:rsid w:val="6E185FCD"/>
    <w:rsid w:val="6E1C5E51"/>
    <w:rsid w:val="6E263E98"/>
    <w:rsid w:val="6E2D5D6D"/>
    <w:rsid w:val="6E376A98"/>
    <w:rsid w:val="6E386F5E"/>
    <w:rsid w:val="6E4C415B"/>
    <w:rsid w:val="6E5122CF"/>
    <w:rsid w:val="6E570751"/>
    <w:rsid w:val="6E5754A9"/>
    <w:rsid w:val="6E5A500E"/>
    <w:rsid w:val="6E5C4E98"/>
    <w:rsid w:val="6E5F7947"/>
    <w:rsid w:val="6E60658B"/>
    <w:rsid w:val="6E695896"/>
    <w:rsid w:val="6E6C01DF"/>
    <w:rsid w:val="6E6D7C27"/>
    <w:rsid w:val="6E6F77A5"/>
    <w:rsid w:val="6E701332"/>
    <w:rsid w:val="6E7B483B"/>
    <w:rsid w:val="6E800B96"/>
    <w:rsid w:val="6E830D30"/>
    <w:rsid w:val="6E8566BA"/>
    <w:rsid w:val="6E89512C"/>
    <w:rsid w:val="6E8965D6"/>
    <w:rsid w:val="6E8C0511"/>
    <w:rsid w:val="6E931F11"/>
    <w:rsid w:val="6E9E7F0F"/>
    <w:rsid w:val="6EA13C94"/>
    <w:rsid w:val="6EA3670A"/>
    <w:rsid w:val="6EAB7815"/>
    <w:rsid w:val="6EAC5E7F"/>
    <w:rsid w:val="6EB23337"/>
    <w:rsid w:val="6EBD6814"/>
    <w:rsid w:val="6EC27080"/>
    <w:rsid w:val="6EC45E24"/>
    <w:rsid w:val="6EC65B99"/>
    <w:rsid w:val="6EC70CB8"/>
    <w:rsid w:val="6ECB4229"/>
    <w:rsid w:val="6ED17AA0"/>
    <w:rsid w:val="6EDB548A"/>
    <w:rsid w:val="6EF52B6E"/>
    <w:rsid w:val="6EF535E4"/>
    <w:rsid w:val="6EF67243"/>
    <w:rsid w:val="6F077D96"/>
    <w:rsid w:val="6F083446"/>
    <w:rsid w:val="6F0A790D"/>
    <w:rsid w:val="6F1902C5"/>
    <w:rsid w:val="6F1A312E"/>
    <w:rsid w:val="6F1E116D"/>
    <w:rsid w:val="6F276B55"/>
    <w:rsid w:val="6F301887"/>
    <w:rsid w:val="6F3323F9"/>
    <w:rsid w:val="6F3B4C8B"/>
    <w:rsid w:val="6F3D7BA9"/>
    <w:rsid w:val="6F4206A3"/>
    <w:rsid w:val="6F453A40"/>
    <w:rsid w:val="6F4E5FC7"/>
    <w:rsid w:val="6F4F749B"/>
    <w:rsid w:val="6F502A4C"/>
    <w:rsid w:val="6F577232"/>
    <w:rsid w:val="6F5D1962"/>
    <w:rsid w:val="6F5E1880"/>
    <w:rsid w:val="6F641BAE"/>
    <w:rsid w:val="6F6C292D"/>
    <w:rsid w:val="6F72024E"/>
    <w:rsid w:val="6F7C2AD5"/>
    <w:rsid w:val="6F7E2AA0"/>
    <w:rsid w:val="6F80296B"/>
    <w:rsid w:val="6F8964D8"/>
    <w:rsid w:val="6F8C07AA"/>
    <w:rsid w:val="6F8F3090"/>
    <w:rsid w:val="6F8F414B"/>
    <w:rsid w:val="6F9C1661"/>
    <w:rsid w:val="6FA10237"/>
    <w:rsid w:val="6FA354B4"/>
    <w:rsid w:val="6FA37BAD"/>
    <w:rsid w:val="6FA85EF5"/>
    <w:rsid w:val="6FA939CB"/>
    <w:rsid w:val="6FAA1FAA"/>
    <w:rsid w:val="6FAF4A0F"/>
    <w:rsid w:val="6FB6638D"/>
    <w:rsid w:val="6FBA3679"/>
    <w:rsid w:val="6FC15642"/>
    <w:rsid w:val="6FC33788"/>
    <w:rsid w:val="6FC87C51"/>
    <w:rsid w:val="6FD21659"/>
    <w:rsid w:val="6FD34E20"/>
    <w:rsid w:val="6FE969BF"/>
    <w:rsid w:val="6FF75CA4"/>
    <w:rsid w:val="6FF86614"/>
    <w:rsid w:val="6FFF2140"/>
    <w:rsid w:val="70013535"/>
    <w:rsid w:val="700F3CEF"/>
    <w:rsid w:val="701F16FA"/>
    <w:rsid w:val="7020074B"/>
    <w:rsid w:val="702748A7"/>
    <w:rsid w:val="7028216C"/>
    <w:rsid w:val="703302EF"/>
    <w:rsid w:val="703E6382"/>
    <w:rsid w:val="704654AA"/>
    <w:rsid w:val="704A19BF"/>
    <w:rsid w:val="704B7320"/>
    <w:rsid w:val="70513018"/>
    <w:rsid w:val="705328B2"/>
    <w:rsid w:val="70553DF8"/>
    <w:rsid w:val="705B79C3"/>
    <w:rsid w:val="705C5D84"/>
    <w:rsid w:val="705C716E"/>
    <w:rsid w:val="705D334D"/>
    <w:rsid w:val="70645294"/>
    <w:rsid w:val="70677D76"/>
    <w:rsid w:val="70714C60"/>
    <w:rsid w:val="70774F92"/>
    <w:rsid w:val="70792530"/>
    <w:rsid w:val="70797815"/>
    <w:rsid w:val="708B6483"/>
    <w:rsid w:val="708E0945"/>
    <w:rsid w:val="709C4EB7"/>
    <w:rsid w:val="70A1195B"/>
    <w:rsid w:val="70B02AFF"/>
    <w:rsid w:val="70B2620E"/>
    <w:rsid w:val="70BB2883"/>
    <w:rsid w:val="70C25FEB"/>
    <w:rsid w:val="70C745CA"/>
    <w:rsid w:val="70DA4D9D"/>
    <w:rsid w:val="70E64EC1"/>
    <w:rsid w:val="70E73F46"/>
    <w:rsid w:val="70FA297E"/>
    <w:rsid w:val="70FA499F"/>
    <w:rsid w:val="70FE03BA"/>
    <w:rsid w:val="70FF1C74"/>
    <w:rsid w:val="71045FFA"/>
    <w:rsid w:val="710F66E1"/>
    <w:rsid w:val="71143B8A"/>
    <w:rsid w:val="711448F7"/>
    <w:rsid w:val="71267FB6"/>
    <w:rsid w:val="7128357B"/>
    <w:rsid w:val="712E2478"/>
    <w:rsid w:val="712E5B76"/>
    <w:rsid w:val="71331318"/>
    <w:rsid w:val="71377B98"/>
    <w:rsid w:val="7141589B"/>
    <w:rsid w:val="714479C8"/>
    <w:rsid w:val="714B3B81"/>
    <w:rsid w:val="714D5BA5"/>
    <w:rsid w:val="714E25DE"/>
    <w:rsid w:val="71566EC1"/>
    <w:rsid w:val="715E59A7"/>
    <w:rsid w:val="715F3600"/>
    <w:rsid w:val="71633699"/>
    <w:rsid w:val="716C2D64"/>
    <w:rsid w:val="71721DB0"/>
    <w:rsid w:val="71776F63"/>
    <w:rsid w:val="717D2CFB"/>
    <w:rsid w:val="718740B7"/>
    <w:rsid w:val="71916474"/>
    <w:rsid w:val="7193322E"/>
    <w:rsid w:val="71975A88"/>
    <w:rsid w:val="719A0DD7"/>
    <w:rsid w:val="71A21432"/>
    <w:rsid w:val="71A243D5"/>
    <w:rsid w:val="71A86FFA"/>
    <w:rsid w:val="71B87BFC"/>
    <w:rsid w:val="71BF2E91"/>
    <w:rsid w:val="71CA0007"/>
    <w:rsid w:val="71CA1EC1"/>
    <w:rsid w:val="71D51046"/>
    <w:rsid w:val="71E650F8"/>
    <w:rsid w:val="71E86FC2"/>
    <w:rsid w:val="71F34F09"/>
    <w:rsid w:val="71FB277D"/>
    <w:rsid w:val="71FC0C50"/>
    <w:rsid w:val="720226F5"/>
    <w:rsid w:val="72055131"/>
    <w:rsid w:val="72072549"/>
    <w:rsid w:val="720B1087"/>
    <w:rsid w:val="72181E17"/>
    <w:rsid w:val="72394DEB"/>
    <w:rsid w:val="723A7C99"/>
    <w:rsid w:val="724858A3"/>
    <w:rsid w:val="724A4585"/>
    <w:rsid w:val="724C169E"/>
    <w:rsid w:val="7256691C"/>
    <w:rsid w:val="725D2801"/>
    <w:rsid w:val="72603D42"/>
    <w:rsid w:val="72636F80"/>
    <w:rsid w:val="726805DE"/>
    <w:rsid w:val="727E4734"/>
    <w:rsid w:val="72851BFC"/>
    <w:rsid w:val="72907968"/>
    <w:rsid w:val="7291124D"/>
    <w:rsid w:val="72A52A32"/>
    <w:rsid w:val="72A703A1"/>
    <w:rsid w:val="72AD4ED3"/>
    <w:rsid w:val="72BC28CE"/>
    <w:rsid w:val="72CC236B"/>
    <w:rsid w:val="72D103AA"/>
    <w:rsid w:val="72D57833"/>
    <w:rsid w:val="72D73775"/>
    <w:rsid w:val="72E32665"/>
    <w:rsid w:val="72E422B0"/>
    <w:rsid w:val="72E727FA"/>
    <w:rsid w:val="72F83CCF"/>
    <w:rsid w:val="730A4900"/>
    <w:rsid w:val="730E4732"/>
    <w:rsid w:val="73137151"/>
    <w:rsid w:val="731433A2"/>
    <w:rsid w:val="73147D6A"/>
    <w:rsid w:val="731964AC"/>
    <w:rsid w:val="73244C47"/>
    <w:rsid w:val="732540EB"/>
    <w:rsid w:val="732579C4"/>
    <w:rsid w:val="732950C8"/>
    <w:rsid w:val="732B35B2"/>
    <w:rsid w:val="73314C47"/>
    <w:rsid w:val="733572B0"/>
    <w:rsid w:val="73393162"/>
    <w:rsid w:val="733C5A7A"/>
    <w:rsid w:val="73421BB1"/>
    <w:rsid w:val="73436002"/>
    <w:rsid w:val="7348083F"/>
    <w:rsid w:val="73511323"/>
    <w:rsid w:val="735311C9"/>
    <w:rsid w:val="735A7EFD"/>
    <w:rsid w:val="73640708"/>
    <w:rsid w:val="73651751"/>
    <w:rsid w:val="73681BF5"/>
    <w:rsid w:val="736931B0"/>
    <w:rsid w:val="736C6E76"/>
    <w:rsid w:val="736D7A5B"/>
    <w:rsid w:val="73725505"/>
    <w:rsid w:val="7375143E"/>
    <w:rsid w:val="737E37EE"/>
    <w:rsid w:val="73811C6B"/>
    <w:rsid w:val="738327A1"/>
    <w:rsid w:val="7383602F"/>
    <w:rsid w:val="738A200A"/>
    <w:rsid w:val="739C05EC"/>
    <w:rsid w:val="739E4F47"/>
    <w:rsid w:val="739F4CEB"/>
    <w:rsid w:val="73A36F60"/>
    <w:rsid w:val="73A72F36"/>
    <w:rsid w:val="73A81128"/>
    <w:rsid w:val="73AB55B6"/>
    <w:rsid w:val="73AC20BC"/>
    <w:rsid w:val="73B3752D"/>
    <w:rsid w:val="73BC6FB6"/>
    <w:rsid w:val="73BC7DCF"/>
    <w:rsid w:val="73C549DD"/>
    <w:rsid w:val="73C66D55"/>
    <w:rsid w:val="73C80071"/>
    <w:rsid w:val="73DA1BE9"/>
    <w:rsid w:val="73ED11A4"/>
    <w:rsid w:val="73EE68C5"/>
    <w:rsid w:val="73EF7DB5"/>
    <w:rsid w:val="73F0094D"/>
    <w:rsid w:val="73F86087"/>
    <w:rsid w:val="74083905"/>
    <w:rsid w:val="740B1A0D"/>
    <w:rsid w:val="740B5D45"/>
    <w:rsid w:val="74107850"/>
    <w:rsid w:val="74166EE1"/>
    <w:rsid w:val="7417064D"/>
    <w:rsid w:val="74257F85"/>
    <w:rsid w:val="74330E81"/>
    <w:rsid w:val="74336611"/>
    <w:rsid w:val="743D22C4"/>
    <w:rsid w:val="743F386D"/>
    <w:rsid w:val="74460566"/>
    <w:rsid w:val="744F5002"/>
    <w:rsid w:val="74515897"/>
    <w:rsid w:val="74525446"/>
    <w:rsid w:val="74591A20"/>
    <w:rsid w:val="745A402C"/>
    <w:rsid w:val="745D351C"/>
    <w:rsid w:val="746D2D49"/>
    <w:rsid w:val="747351CD"/>
    <w:rsid w:val="747533B4"/>
    <w:rsid w:val="74806AF8"/>
    <w:rsid w:val="749327C3"/>
    <w:rsid w:val="74944F3F"/>
    <w:rsid w:val="7495089F"/>
    <w:rsid w:val="749709EA"/>
    <w:rsid w:val="74A968D2"/>
    <w:rsid w:val="74B026BC"/>
    <w:rsid w:val="74B31327"/>
    <w:rsid w:val="74BB6E1B"/>
    <w:rsid w:val="74BD2567"/>
    <w:rsid w:val="74C60570"/>
    <w:rsid w:val="74CD020E"/>
    <w:rsid w:val="74D75775"/>
    <w:rsid w:val="74DB0643"/>
    <w:rsid w:val="74E06734"/>
    <w:rsid w:val="74E41ECA"/>
    <w:rsid w:val="74EE3F2F"/>
    <w:rsid w:val="74EE5686"/>
    <w:rsid w:val="74F920A2"/>
    <w:rsid w:val="74FA74AE"/>
    <w:rsid w:val="74FF0E11"/>
    <w:rsid w:val="750D66AE"/>
    <w:rsid w:val="7510728E"/>
    <w:rsid w:val="75122A96"/>
    <w:rsid w:val="752D2252"/>
    <w:rsid w:val="753E01D2"/>
    <w:rsid w:val="755A5D34"/>
    <w:rsid w:val="755E6B2C"/>
    <w:rsid w:val="75612E8C"/>
    <w:rsid w:val="75690961"/>
    <w:rsid w:val="756B645F"/>
    <w:rsid w:val="75727F8C"/>
    <w:rsid w:val="757759BB"/>
    <w:rsid w:val="757D431E"/>
    <w:rsid w:val="75825F86"/>
    <w:rsid w:val="758C4102"/>
    <w:rsid w:val="75957DB3"/>
    <w:rsid w:val="759F7A55"/>
    <w:rsid w:val="75A847D4"/>
    <w:rsid w:val="75B2299C"/>
    <w:rsid w:val="75B37393"/>
    <w:rsid w:val="75B85A11"/>
    <w:rsid w:val="75BF7059"/>
    <w:rsid w:val="75C06197"/>
    <w:rsid w:val="75CA76AB"/>
    <w:rsid w:val="75D0670B"/>
    <w:rsid w:val="75D86337"/>
    <w:rsid w:val="75D91027"/>
    <w:rsid w:val="75DE7C24"/>
    <w:rsid w:val="75E43E49"/>
    <w:rsid w:val="75EB6E1B"/>
    <w:rsid w:val="75ED3C73"/>
    <w:rsid w:val="75EF1396"/>
    <w:rsid w:val="75F32D07"/>
    <w:rsid w:val="75FD61D2"/>
    <w:rsid w:val="76064A1F"/>
    <w:rsid w:val="76146B01"/>
    <w:rsid w:val="7615066E"/>
    <w:rsid w:val="761B49ED"/>
    <w:rsid w:val="761F7C33"/>
    <w:rsid w:val="761F7C96"/>
    <w:rsid w:val="76311C78"/>
    <w:rsid w:val="76323996"/>
    <w:rsid w:val="76373F94"/>
    <w:rsid w:val="763A3ABC"/>
    <w:rsid w:val="765242F7"/>
    <w:rsid w:val="76540FD1"/>
    <w:rsid w:val="765C6756"/>
    <w:rsid w:val="76711323"/>
    <w:rsid w:val="7675555E"/>
    <w:rsid w:val="767603DF"/>
    <w:rsid w:val="767B3EE5"/>
    <w:rsid w:val="76813313"/>
    <w:rsid w:val="768229A0"/>
    <w:rsid w:val="76836277"/>
    <w:rsid w:val="76841B13"/>
    <w:rsid w:val="769777E5"/>
    <w:rsid w:val="769E5F6F"/>
    <w:rsid w:val="76A76C88"/>
    <w:rsid w:val="76AC235E"/>
    <w:rsid w:val="76AF33B0"/>
    <w:rsid w:val="76BC0FD4"/>
    <w:rsid w:val="76C547D3"/>
    <w:rsid w:val="76C92DCB"/>
    <w:rsid w:val="76CA670E"/>
    <w:rsid w:val="76CF197B"/>
    <w:rsid w:val="76D27EFB"/>
    <w:rsid w:val="76D508FD"/>
    <w:rsid w:val="76D50B34"/>
    <w:rsid w:val="76D60E98"/>
    <w:rsid w:val="76D73366"/>
    <w:rsid w:val="76DD5D8F"/>
    <w:rsid w:val="76E13BA4"/>
    <w:rsid w:val="76E22AB3"/>
    <w:rsid w:val="76E638E0"/>
    <w:rsid w:val="77004592"/>
    <w:rsid w:val="770251D2"/>
    <w:rsid w:val="77032B70"/>
    <w:rsid w:val="7708097D"/>
    <w:rsid w:val="770A67AF"/>
    <w:rsid w:val="77154CF8"/>
    <w:rsid w:val="77203387"/>
    <w:rsid w:val="772C4170"/>
    <w:rsid w:val="772F2C3B"/>
    <w:rsid w:val="773306AE"/>
    <w:rsid w:val="773D39B5"/>
    <w:rsid w:val="774866E8"/>
    <w:rsid w:val="774B3887"/>
    <w:rsid w:val="77502310"/>
    <w:rsid w:val="77564513"/>
    <w:rsid w:val="775B2785"/>
    <w:rsid w:val="77602FC0"/>
    <w:rsid w:val="77647A3A"/>
    <w:rsid w:val="7767567E"/>
    <w:rsid w:val="776D7169"/>
    <w:rsid w:val="77785783"/>
    <w:rsid w:val="777B3509"/>
    <w:rsid w:val="777D2EF5"/>
    <w:rsid w:val="777E0767"/>
    <w:rsid w:val="778D63EE"/>
    <w:rsid w:val="7797127E"/>
    <w:rsid w:val="779F0D4A"/>
    <w:rsid w:val="77A44A88"/>
    <w:rsid w:val="77B20C3C"/>
    <w:rsid w:val="77BA7D2D"/>
    <w:rsid w:val="77BB59E0"/>
    <w:rsid w:val="77C21BAD"/>
    <w:rsid w:val="77C55394"/>
    <w:rsid w:val="77CB4678"/>
    <w:rsid w:val="77CD3E88"/>
    <w:rsid w:val="77DA0776"/>
    <w:rsid w:val="77E17C21"/>
    <w:rsid w:val="77E30CC3"/>
    <w:rsid w:val="77E634A7"/>
    <w:rsid w:val="77E641A5"/>
    <w:rsid w:val="77E972D4"/>
    <w:rsid w:val="77EB18C5"/>
    <w:rsid w:val="77EF540C"/>
    <w:rsid w:val="78001AEF"/>
    <w:rsid w:val="78005AC0"/>
    <w:rsid w:val="780463BD"/>
    <w:rsid w:val="780D0C6C"/>
    <w:rsid w:val="78131046"/>
    <w:rsid w:val="78136924"/>
    <w:rsid w:val="78194D5D"/>
    <w:rsid w:val="781A7934"/>
    <w:rsid w:val="781B2C8F"/>
    <w:rsid w:val="782020F4"/>
    <w:rsid w:val="782A09D9"/>
    <w:rsid w:val="782B2239"/>
    <w:rsid w:val="783103E9"/>
    <w:rsid w:val="783454ED"/>
    <w:rsid w:val="783A55A4"/>
    <w:rsid w:val="783F5079"/>
    <w:rsid w:val="784D3606"/>
    <w:rsid w:val="78530F24"/>
    <w:rsid w:val="78552288"/>
    <w:rsid w:val="785637E9"/>
    <w:rsid w:val="785F536B"/>
    <w:rsid w:val="785F7754"/>
    <w:rsid w:val="787258A5"/>
    <w:rsid w:val="78762AE6"/>
    <w:rsid w:val="78767391"/>
    <w:rsid w:val="7877507D"/>
    <w:rsid w:val="78793251"/>
    <w:rsid w:val="787A10D0"/>
    <w:rsid w:val="787C3218"/>
    <w:rsid w:val="78835694"/>
    <w:rsid w:val="788C5745"/>
    <w:rsid w:val="788F055D"/>
    <w:rsid w:val="78974216"/>
    <w:rsid w:val="789901FE"/>
    <w:rsid w:val="78BA0845"/>
    <w:rsid w:val="78BB077D"/>
    <w:rsid w:val="78BD22F1"/>
    <w:rsid w:val="78BE1364"/>
    <w:rsid w:val="78BF59CE"/>
    <w:rsid w:val="78C45D02"/>
    <w:rsid w:val="78E33283"/>
    <w:rsid w:val="78EB313D"/>
    <w:rsid w:val="78EE552B"/>
    <w:rsid w:val="78F002A8"/>
    <w:rsid w:val="78F63DD4"/>
    <w:rsid w:val="78FC7964"/>
    <w:rsid w:val="7905396D"/>
    <w:rsid w:val="79100D13"/>
    <w:rsid w:val="79153F55"/>
    <w:rsid w:val="791C4D2D"/>
    <w:rsid w:val="7923282E"/>
    <w:rsid w:val="79276B05"/>
    <w:rsid w:val="79286182"/>
    <w:rsid w:val="792A7832"/>
    <w:rsid w:val="793752AC"/>
    <w:rsid w:val="79456A3E"/>
    <w:rsid w:val="7947493B"/>
    <w:rsid w:val="794E5C17"/>
    <w:rsid w:val="794F2472"/>
    <w:rsid w:val="79584247"/>
    <w:rsid w:val="795E412D"/>
    <w:rsid w:val="7968353F"/>
    <w:rsid w:val="796A100E"/>
    <w:rsid w:val="796E10C6"/>
    <w:rsid w:val="79700799"/>
    <w:rsid w:val="79734421"/>
    <w:rsid w:val="799677A5"/>
    <w:rsid w:val="79975AB1"/>
    <w:rsid w:val="799875F6"/>
    <w:rsid w:val="79A057D2"/>
    <w:rsid w:val="79B742FA"/>
    <w:rsid w:val="79BA0DDA"/>
    <w:rsid w:val="79C042EA"/>
    <w:rsid w:val="79C12663"/>
    <w:rsid w:val="79C2574F"/>
    <w:rsid w:val="79CA5A16"/>
    <w:rsid w:val="79DA31B1"/>
    <w:rsid w:val="79DC2089"/>
    <w:rsid w:val="79DE2C2A"/>
    <w:rsid w:val="79F72F74"/>
    <w:rsid w:val="79F75648"/>
    <w:rsid w:val="7A035C90"/>
    <w:rsid w:val="7A0A6F13"/>
    <w:rsid w:val="7A143182"/>
    <w:rsid w:val="7A1512F4"/>
    <w:rsid w:val="7A1950DB"/>
    <w:rsid w:val="7A1A36E3"/>
    <w:rsid w:val="7A21704F"/>
    <w:rsid w:val="7A245EC1"/>
    <w:rsid w:val="7A2659CF"/>
    <w:rsid w:val="7A2C3979"/>
    <w:rsid w:val="7A37456E"/>
    <w:rsid w:val="7A390514"/>
    <w:rsid w:val="7A465E66"/>
    <w:rsid w:val="7A4D4F83"/>
    <w:rsid w:val="7A5C585F"/>
    <w:rsid w:val="7A672BD8"/>
    <w:rsid w:val="7A68155D"/>
    <w:rsid w:val="7A7010D8"/>
    <w:rsid w:val="7A7A7EDE"/>
    <w:rsid w:val="7A7E7141"/>
    <w:rsid w:val="7A7F42F7"/>
    <w:rsid w:val="7A84302D"/>
    <w:rsid w:val="7A86021F"/>
    <w:rsid w:val="7A875E1C"/>
    <w:rsid w:val="7A8F4124"/>
    <w:rsid w:val="7AA55E20"/>
    <w:rsid w:val="7AAD0AD9"/>
    <w:rsid w:val="7AAD77DB"/>
    <w:rsid w:val="7AB4605F"/>
    <w:rsid w:val="7AB50C2A"/>
    <w:rsid w:val="7AB85E6F"/>
    <w:rsid w:val="7AC10BF1"/>
    <w:rsid w:val="7AC35BF4"/>
    <w:rsid w:val="7AC439F8"/>
    <w:rsid w:val="7AC53893"/>
    <w:rsid w:val="7ACB7653"/>
    <w:rsid w:val="7ACC098C"/>
    <w:rsid w:val="7ACC3D02"/>
    <w:rsid w:val="7AD402F3"/>
    <w:rsid w:val="7AD920E6"/>
    <w:rsid w:val="7AEA62DF"/>
    <w:rsid w:val="7AF31E92"/>
    <w:rsid w:val="7B035EA0"/>
    <w:rsid w:val="7B062A7D"/>
    <w:rsid w:val="7B092F7C"/>
    <w:rsid w:val="7B105975"/>
    <w:rsid w:val="7B13647D"/>
    <w:rsid w:val="7B171866"/>
    <w:rsid w:val="7B2252E6"/>
    <w:rsid w:val="7B257605"/>
    <w:rsid w:val="7B27008E"/>
    <w:rsid w:val="7B3C4232"/>
    <w:rsid w:val="7B4303C9"/>
    <w:rsid w:val="7B442DBA"/>
    <w:rsid w:val="7B472B20"/>
    <w:rsid w:val="7B4C6C5F"/>
    <w:rsid w:val="7B4C7E96"/>
    <w:rsid w:val="7B4E50CF"/>
    <w:rsid w:val="7B510D35"/>
    <w:rsid w:val="7B510DB3"/>
    <w:rsid w:val="7B534D03"/>
    <w:rsid w:val="7B5C1AD7"/>
    <w:rsid w:val="7B5C1B3B"/>
    <w:rsid w:val="7B5D6C33"/>
    <w:rsid w:val="7B5F7760"/>
    <w:rsid w:val="7B767318"/>
    <w:rsid w:val="7B7A2D3C"/>
    <w:rsid w:val="7B805244"/>
    <w:rsid w:val="7B8419F8"/>
    <w:rsid w:val="7B8440BF"/>
    <w:rsid w:val="7B8D0F98"/>
    <w:rsid w:val="7B9302C0"/>
    <w:rsid w:val="7B9427B7"/>
    <w:rsid w:val="7B956E63"/>
    <w:rsid w:val="7B9F2773"/>
    <w:rsid w:val="7BA372CF"/>
    <w:rsid w:val="7BA60B4B"/>
    <w:rsid w:val="7BAB29F0"/>
    <w:rsid w:val="7BB10411"/>
    <w:rsid w:val="7BB400CE"/>
    <w:rsid w:val="7BB61D01"/>
    <w:rsid w:val="7BBE5349"/>
    <w:rsid w:val="7BCB4D4F"/>
    <w:rsid w:val="7BCE78E1"/>
    <w:rsid w:val="7BD63036"/>
    <w:rsid w:val="7BDE1BB7"/>
    <w:rsid w:val="7BDF54FA"/>
    <w:rsid w:val="7BE90669"/>
    <w:rsid w:val="7C021D63"/>
    <w:rsid w:val="7C063131"/>
    <w:rsid w:val="7C101F62"/>
    <w:rsid w:val="7C121D87"/>
    <w:rsid w:val="7C132EC2"/>
    <w:rsid w:val="7C191320"/>
    <w:rsid w:val="7C1D5D53"/>
    <w:rsid w:val="7C355C97"/>
    <w:rsid w:val="7C37216E"/>
    <w:rsid w:val="7C3D4040"/>
    <w:rsid w:val="7C40092F"/>
    <w:rsid w:val="7C41420C"/>
    <w:rsid w:val="7C454889"/>
    <w:rsid w:val="7C46400D"/>
    <w:rsid w:val="7C4648C1"/>
    <w:rsid w:val="7C507604"/>
    <w:rsid w:val="7C6604EE"/>
    <w:rsid w:val="7C662B35"/>
    <w:rsid w:val="7C697CC2"/>
    <w:rsid w:val="7C7623EB"/>
    <w:rsid w:val="7C782756"/>
    <w:rsid w:val="7C84313F"/>
    <w:rsid w:val="7C902833"/>
    <w:rsid w:val="7C9251F7"/>
    <w:rsid w:val="7C94071F"/>
    <w:rsid w:val="7C97739E"/>
    <w:rsid w:val="7C9F6428"/>
    <w:rsid w:val="7CB233AA"/>
    <w:rsid w:val="7CB36444"/>
    <w:rsid w:val="7CB60672"/>
    <w:rsid w:val="7CB83DD0"/>
    <w:rsid w:val="7CC53420"/>
    <w:rsid w:val="7CD50A1F"/>
    <w:rsid w:val="7CD73E6F"/>
    <w:rsid w:val="7CD8653A"/>
    <w:rsid w:val="7CDF415F"/>
    <w:rsid w:val="7CEA15BA"/>
    <w:rsid w:val="7CEC5AE4"/>
    <w:rsid w:val="7CEE0A51"/>
    <w:rsid w:val="7CF053CA"/>
    <w:rsid w:val="7CFA4D1B"/>
    <w:rsid w:val="7CFF74FD"/>
    <w:rsid w:val="7D001F55"/>
    <w:rsid w:val="7D013991"/>
    <w:rsid w:val="7D0658B4"/>
    <w:rsid w:val="7D072B09"/>
    <w:rsid w:val="7D080889"/>
    <w:rsid w:val="7D216A97"/>
    <w:rsid w:val="7D2403F6"/>
    <w:rsid w:val="7D336C15"/>
    <w:rsid w:val="7D5A1809"/>
    <w:rsid w:val="7D640779"/>
    <w:rsid w:val="7D6513F2"/>
    <w:rsid w:val="7D87623B"/>
    <w:rsid w:val="7D925637"/>
    <w:rsid w:val="7D9C3A9E"/>
    <w:rsid w:val="7DAA3AC1"/>
    <w:rsid w:val="7DAB2F22"/>
    <w:rsid w:val="7DAC4660"/>
    <w:rsid w:val="7DB01837"/>
    <w:rsid w:val="7DB96D90"/>
    <w:rsid w:val="7DC557A7"/>
    <w:rsid w:val="7DC91981"/>
    <w:rsid w:val="7DCB273D"/>
    <w:rsid w:val="7DCF22DF"/>
    <w:rsid w:val="7DD20D98"/>
    <w:rsid w:val="7DD42076"/>
    <w:rsid w:val="7DD45665"/>
    <w:rsid w:val="7DD62225"/>
    <w:rsid w:val="7DDD085F"/>
    <w:rsid w:val="7DE013C3"/>
    <w:rsid w:val="7DE35497"/>
    <w:rsid w:val="7DE63734"/>
    <w:rsid w:val="7DFD29E7"/>
    <w:rsid w:val="7DFD3DE7"/>
    <w:rsid w:val="7E0340E3"/>
    <w:rsid w:val="7E0C72A7"/>
    <w:rsid w:val="7E0E1504"/>
    <w:rsid w:val="7E1068AD"/>
    <w:rsid w:val="7E1A3354"/>
    <w:rsid w:val="7E1D1412"/>
    <w:rsid w:val="7E262D1A"/>
    <w:rsid w:val="7E3D5D54"/>
    <w:rsid w:val="7E445120"/>
    <w:rsid w:val="7E454A83"/>
    <w:rsid w:val="7E4876AF"/>
    <w:rsid w:val="7E517EAE"/>
    <w:rsid w:val="7E56175B"/>
    <w:rsid w:val="7E581989"/>
    <w:rsid w:val="7E656261"/>
    <w:rsid w:val="7E69428C"/>
    <w:rsid w:val="7E6E5139"/>
    <w:rsid w:val="7E705088"/>
    <w:rsid w:val="7E761B3B"/>
    <w:rsid w:val="7E81026B"/>
    <w:rsid w:val="7E912556"/>
    <w:rsid w:val="7E935007"/>
    <w:rsid w:val="7E9D6604"/>
    <w:rsid w:val="7EC1742C"/>
    <w:rsid w:val="7ED73B7E"/>
    <w:rsid w:val="7F020DD4"/>
    <w:rsid w:val="7F057A2A"/>
    <w:rsid w:val="7F070033"/>
    <w:rsid w:val="7F072F4B"/>
    <w:rsid w:val="7F084ACC"/>
    <w:rsid w:val="7F0D0BD2"/>
    <w:rsid w:val="7F10114A"/>
    <w:rsid w:val="7F1848C8"/>
    <w:rsid w:val="7F1C0D12"/>
    <w:rsid w:val="7F1C4EB2"/>
    <w:rsid w:val="7F2E528F"/>
    <w:rsid w:val="7F323BCF"/>
    <w:rsid w:val="7F3A01F4"/>
    <w:rsid w:val="7F415352"/>
    <w:rsid w:val="7F426FA6"/>
    <w:rsid w:val="7F485479"/>
    <w:rsid w:val="7F486BDD"/>
    <w:rsid w:val="7F4C795A"/>
    <w:rsid w:val="7F4E1577"/>
    <w:rsid w:val="7F5237EA"/>
    <w:rsid w:val="7F5349BF"/>
    <w:rsid w:val="7F547198"/>
    <w:rsid w:val="7F58451F"/>
    <w:rsid w:val="7F5B7316"/>
    <w:rsid w:val="7F621CE0"/>
    <w:rsid w:val="7F6536DB"/>
    <w:rsid w:val="7F6D71C0"/>
    <w:rsid w:val="7F720800"/>
    <w:rsid w:val="7F754370"/>
    <w:rsid w:val="7F7B22F2"/>
    <w:rsid w:val="7F81726E"/>
    <w:rsid w:val="7F871946"/>
    <w:rsid w:val="7F8C333B"/>
    <w:rsid w:val="7F8D215B"/>
    <w:rsid w:val="7F8E2B3F"/>
    <w:rsid w:val="7F957325"/>
    <w:rsid w:val="7F997B6B"/>
    <w:rsid w:val="7FA405F3"/>
    <w:rsid w:val="7FA80184"/>
    <w:rsid w:val="7FAA0174"/>
    <w:rsid w:val="7FAE382A"/>
    <w:rsid w:val="7FC578DC"/>
    <w:rsid w:val="7FC66319"/>
    <w:rsid w:val="7FC70268"/>
    <w:rsid w:val="7FCC5153"/>
    <w:rsid w:val="7FD0468B"/>
    <w:rsid w:val="7FD9337D"/>
    <w:rsid w:val="7FDA3561"/>
    <w:rsid w:val="7FF91DD5"/>
    <w:rsid w:val="7FF9388A"/>
    <w:rsid w:val="7FFB57F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qFormat="1" w:unhideWhenUsed="0" w:uiPriority="0" w:semiHidden="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semiHidden="0" w:name="toa heading"/>
    <w:lsdException w:unhideWhenUsed="0" w:uiPriority="0" w:semiHidden="0" w:name="List"/>
    <w:lsdException w:unhideWhenUsed="0" w:uiPriority="0" w:semiHidden="0" w:name="List Bullet"/>
    <w:lsdException w:uiPriority="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0" w:name="List Bullet 5"/>
    <w:lsdException w:qFormat="1" w:unhideWhenUsed="0" w:uiPriority="0" w:semiHidden="0" w:name="List Number 2"/>
    <w:lsdException w:qFormat="1" w:unhideWhenUsed="0" w:uiPriority="0" w:semiHidden="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102"/>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106"/>
    <w:qFormat/>
    <w:uiPriority w:val="0"/>
    <w:pPr>
      <w:keepNext/>
      <w:keepLines/>
      <w:spacing w:before="260" w:after="260" w:line="413" w:lineRule="auto"/>
      <w:outlineLvl w:val="2"/>
    </w:pPr>
    <w:rPr>
      <w:b/>
      <w:sz w:val="32"/>
    </w:rPr>
  </w:style>
  <w:style w:type="paragraph" w:styleId="5">
    <w:name w:val="heading 4"/>
    <w:basedOn w:val="1"/>
    <w:next w:val="1"/>
    <w:qFormat/>
    <w:uiPriority w:val="0"/>
    <w:pPr>
      <w:spacing w:before="280" w:after="290" w:line="372" w:lineRule="auto"/>
      <w:outlineLvl w:val="3"/>
    </w:p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2">
    <w:name w:val="Default Paragraph Font"/>
    <w:semiHidden/>
    <w:unhideWhenUsed/>
    <w:qFormat/>
    <w:uiPriority w:val="1"/>
  </w:style>
  <w:style w:type="table" w:default="1" w:styleId="60">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39"/>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83"/>
    <w:qFormat/>
    <w:uiPriority w:val="0"/>
    <w:pPr>
      <w:adjustRightInd w:val="0"/>
      <w:spacing w:line="360" w:lineRule="atLeast"/>
      <w:jc w:val="left"/>
      <w:textAlignment w:val="baseline"/>
    </w:pPr>
    <w:rPr>
      <w:kern w:val="0"/>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tabs>
        <w:tab w:val="left" w:pos="1200"/>
      </w:tabs>
      <w:adjustRightInd w:val="0"/>
      <w:snapToGrid w:val="0"/>
      <w:spacing w:line="360" w:lineRule="auto"/>
      <w:ind w:left="1200" w:hanging="360"/>
    </w:pPr>
    <w:rPr>
      <w:sz w:val="24"/>
    </w:rPr>
  </w:style>
  <w:style w:type="paragraph" w:styleId="22">
    <w:name w:val="Body Text"/>
    <w:basedOn w:val="1"/>
    <w:next w:val="1"/>
    <w:link w:val="276"/>
    <w:qFormat/>
    <w:uiPriority w:val="99"/>
    <w:rPr>
      <w:rFonts w:ascii="仿宋_GB2312" w:eastAsia="仿宋_GB2312"/>
      <w:sz w:val="32"/>
    </w:rPr>
  </w:style>
  <w:style w:type="paragraph" w:styleId="23">
    <w:name w:val="Body Text Indent"/>
    <w:basedOn w:val="1"/>
    <w:next w:val="24"/>
    <w:link w:val="85"/>
    <w:qFormat/>
    <w:uiPriority w:val="0"/>
    <w:pPr>
      <w:spacing w:line="700" w:lineRule="exact"/>
      <w:ind w:left="960"/>
    </w:pPr>
    <w:rPr>
      <w:sz w:val="44"/>
    </w:rPr>
  </w:style>
  <w:style w:type="paragraph" w:customStyle="1" w:styleId="24">
    <w:name w:val="样式 宋体 五号 行距: 单倍行距"/>
    <w:basedOn w:val="1"/>
    <w:qFormat/>
    <w:uiPriority w:val="0"/>
    <w:pPr>
      <w:adjustRightInd w:val="0"/>
      <w:jc w:val="left"/>
    </w:pPr>
    <w:rPr>
      <w:rFonts w:ascii="宋体" w:hAnsi="宋体"/>
      <w:kern w:val="0"/>
      <w:sz w:val="21"/>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line="360" w:lineRule="auto"/>
      <w:ind w:left="420" w:leftChars="200"/>
    </w:pPr>
    <w:rPr>
      <w:sz w:val="24"/>
    </w:rPr>
  </w:style>
  <w:style w:type="paragraph" w:styleId="28">
    <w:name w:val="Block Text"/>
    <w:basedOn w:val="1"/>
    <w:qFormat/>
    <w:uiPriority w:val="0"/>
    <w:pPr>
      <w:spacing w:after="120"/>
      <w:ind w:left="1440" w:leftChars="700" w:right="1440" w:rightChars="700"/>
    </w:pPr>
  </w:style>
  <w:style w:type="paragraph" w:styleId="29">
    <w:name w:val="List Bullet 2"/>
    <w:basedOn w:val="1"/>
    <w:qFormat/>
    <w:uiPriority w:val="0"/>
    <w:pPr>
      <w:numPr>
        <w:ilvl w:val="0"/>
        <w:numId w:val="2"/>
      </w:numPr>
      <w:adjustRightInd w:val="0"/>
      <w:snapToGrid w:val="0"/>
      <w:spacing w:line="360" w:lineRule="auto"/>
    </w:pPr>
    <w:rPr>
      <w:sz w:val="24"/>
    </w:rPr>
  </w:style>
  <w:style w:type="paragraph" w:styleId="30">
    <w:name w:val="toc 5"/>
    <w:basedOn w:val="1"/>
    <w:next w:val="1"/>
    <w:qFormat/>
    <w:uiPriority w:val="39"/>
    <w:pPr>
      <w:ind w:left="1680" w:leftChars="800"/>
    </w:pPr>
  </w:style>
  <w:style w:type="paragraph" w:styleId="31">
    <w:name w:val="toc 3"/>
    <w:basedOn w:val="1"/>
    <w:next w:val="1"/>
    <w:qFormat/>
    <w:uiPriority w:val="39"/>
    <w:pPr>
      <w:ind w:left="840" w:leftChars="400"/>
    </w:pPr>
  </w:style>
  <w:style w:type="paragraph" w:styleId="32">
    <w:name w:val="Plain Text"/>
    <w:basedOn w:val="1"/>
    <w:qFormat/>
    <w:uiPriority w:val="0"/>
    <w:rPr>
      <w:rFonts w:ascii="宋体" w:hAnsi="Courier New"/>
      <w:sz w:val="21"/>
    </w:rPr>
  </w:style>
  <w:style w:type="paragraph" w:styleId="33">
    <w:name w:val="toc 8"/>
    <w:basedOn w:val="1"/>
    <w:next w:val="1"/>
    <w:qFormat/>
    <w:uiPriority w:val="39"/>
    <w:pPr>
      <w:ind w:left="2940" w:leftChars="1400"/>
    </w:pPr>
  </w:style>
  <w:style w:type="paragraph" w:styleId="34">
    <w:name w:val="Date"/>
    <w:basedOn w:val="1"/>
    <w:next w:val="1"/>
    <w:link w:val="111"/>
    <w:qFormat/>
    <w:uiPriority w:val="0"/>
  </w:style>
  <w:style w:type="paragraph" w:styleId="35">
    <w:name w:val="Body Text Indent 2"/>
    <w:basedOn w:val="1"/>
    <w:link w:val="80"/>
    <w:qFormat/>
    <w:uiPriority w:val="0"/>
    <w:pPr>
      <w:snapToGrid w:val="0"/>
      <w:spacing w:line="560" w:lineRule="atLeast"/>
      <w:ind w:firstLine="540"/>
    </w:pPr>
  </w:style>
  <w:style w:type="paragraph" w:styleId="36">
    <w:name w:val="Balloon Text"/>
    <w:basedOn w:val="1"/>
    <w:qFormat/>
    <w:uiPriority w:val="0"/>
    <w:rPr>
      <w:sz w:val="18"/>
    </w:rPr>
  </w:style>
  <w:style w:type="paragraph" w:styleId="37">
    <w:name w:val="footer"/>
    <w:basedOn w:val="1"/>
    <w:link w:val="118"/>
    <w:qFormat/>
    <w:uiPriority w:val="99"/>
    <w:pPr>
      <w:tabs>
        <w:tab w:val="center" w:pos="4153"/>
        <w:tab w:val="right" w:pos="8306"/>
      </w:tabs>
      <w:snapToGrid w:val="0"/>
      <w:jc w:val="left"/>
    </w:pPr>
    <w:rPr>
      <w:sz w:val="18"/>
    </w:rPr>
  </w:style>
  <w:style w:type="paragraph" w:styleId="38">
    <w:name w:val="header"/>
    <w:basedOn w:val="1"/>
    <w:qFormat/>
    <w:uiPriority w:val="0"/>
    <w:pPr>
      <w:pBdr>
        <w:bottom w:val="single" w:color="auto" w:sz="6" w:space="1"/>
      </w:pBdr>
      <w:tabs>
        <w:tab w:val="center" w:pos="4153"/>
        <w:tab w:val="right" w:pos="8306"/>
      </w:tabs>
      <w:snapToGrid w:val="0"/>
      <w:jc w:val="center"/>
    </w:pPr>
    <w:rPr>
      <w:sz w:val="18"/>
    </w:rPr>
  </w:style>
  <w:style w:type="paragraph" w:styleId="39">
    <w:name w:val="toc 1"/>
    <w:basedOn w:val="1"/>
    <w:next w:val="1"/>
    <w:qFormat/>
    <w:uiPriority w:val="39"/>
    <w:pPr>
      <w:spacing w:line="180" w:lineRule="auto"/>
      <w:jc w:val="center"/>
    </w:pPr>
    <w:rPr>
      <w:sz w:val="30"/>
    </w:rPr>
  </w:style>
  <w:style w:type="paragraph" w:styleId="40">
    <w:name w:val="List Continue 4"/>
    <w:basedOn w:val="1"/>
    <w:qFormat/>
    <w:uiPriority w:val="0"/>
    <w:pPr>
      <w:adjustRightInd w:val="0"/>
      <w:snapToGrid w:val="0"/>
      <w:spacing w:after="120" w:line="360" w:lineRule="auto"/>
      <w:ind w:left="1680" w:leftChars="800"/>
    </w:pPr>
    <w:rPr>
      <w:sz w:val="24"/>
    </w:rPr>
  </w:style>
  <w:style w:type="paragraph" w:styleId="41">
    <w:name w:val="toc 4"/>
    <w:basedOn w:val="1"/>
    <w:next w:val="1"/>
    <w:qFormat/>
    <w:uiPriority w:val="39"/>
    <w:pPr>
      <w:ind w:left="1260" w:leftChars="600"/>
    </w:pPr>
  </w:style>
  <w:style w:type="paragraph" w:styleId="42">
    <w:name w:val="footnote text"/>
    <w:basedOn w:val="1"/>
    <w:link w:val="91"/>
    <w:qFormat/>
    <w:uiPriority w:val="0"/>
    <w:pPr>
      <w:spacing w:line="360" w:lineRule="auto"/>
    </w:pPr>
    <w:rPr>
      <w:sz w:val="18"/>
    </w:rPr>
  </w:style>
  <w:style w:type="paragraph" w:styleId="43">
    <w:name w:val="toc 6"/>
    <w:basedOn w:val="1"/>
    <w:next w:val="1"/>
    <w:qFormat/>
    <w:uiPriority w:val="39"/>
    <w:pPr>
      <w:ind w:left="2100" w:leftChars="1000"/>
    </w:pPr>
  </w:style>
  <w:style w:type="paragraph" w:styleId="44">
    <w:name w:val="List 5"/>
    <w:basedOn w:val="1"/>
    <w:qFormat/>
    <w:uiPriority w:val="0"/>
    <w:pPr>
      <w:adjustRightInd w:val="0"/>
      <w:snapToGrid w:val="0"/>
      <w:spacing w:line="360" w:lineRule="auto"/>
      <w:ind w:left="100" w:leftChars="800" w:hanging="200" w:hangingChars="200"/>
    </w:pPr>
    <w:rPr>
      <w:sz w:val="24"/>
    </w:rPr>
  </w:style>
  <w:style w:type="paragraph" w:styleId="45">
    <w:name w:val="Body Text Indent 3"/>
    <w:basedOn w:val="1"/>
    <w:qFormat/>
    <w:uiPriority w:val="0"/>
    <w:pPr>
      <w:spacing w:line="360" w:lineRule="auto"/>
      <w:ind w:firstLine="632"/>
    </w:pPr>
    <w:rPr>
      <w:rFonts w:ascii="黑体" w:eastAsia="黑体"/>
    </w:rPr>
  </w:style>
  <w:style w:type="paragraph" w:styleId="46">
    <w:name w:val="table of figures"/>
    <w:basedOn w:val="1"/>
    <w:next w:val="1"/>
    <w:qFormat/>
    <w:uiPriority w:val="0"/>
    <w:pPr>
      <w:tabs>
        <w:tab w:val="right" w:leader="dot" w:pos="8640"/>
      </w:tabs>
      <w:spacing w:line="360" w:lineRule="auto"/>
      <w:ind w:left="400" w:hanging="400"/>
    </w:pPr>
    <w:rPr>
      <w:sz w:val="24"/>
    </w:rPr>
  </w:style>
  <w:style w:type="paragraph" w:styleId="47">
    <w:name w:val="toc 2"/>
    <w:basedOn w:val="1"/>
    <w:next w:val="1"/>
    <w:qFormat/>
    <w:uiPriority w:val="39"/>
    <w:pPr>
      <w:ind w:left="420" w:leftChars="200"/>
    </w:pPr>
  </w:style>
  <w:style w:type="paragraph" w:styleId="48">
    <w:name w:val="toc 9"/>
    <w:basedOn w:val="1"/>
    <w:next w:val="1"/>
    <w:qFormat/>
    <w:uiPriority w:val="39"/>
    <w:pPr>
      <w:ind w:left="3360" w:leftChars="1600"/>
    </w:pPr>
  </w:style>
  <w:style w:type="paragraph" w:styleId="49">
    <w:name w:val="Body Text 2"/>
    <w:basedOn w:val="1"/>
    <w:qFormat/>
    <w:uiPriority w:val="0"/>
    <w:pPr>
      <w:adjustRightInd w:val="0"/>
      <w:snapToGrid w:val="0"/>
      <w:spacing w:after="120" w:line="480" w:lineRule="auto"/>
    </w:pPr>
    <w:rPr>
      <w:sz w:val="24"/>
    </w:rPr>
  </w:style>
  <w:style w:type="paragraph" w:styleId="50">
    <w:name w:val="List 4"/>
    <w:basedOn w:val="1"/>
    <w:qFormat/>
    <w:uiPriority w:val="0"/>
    <w:pPr>
      <w:adjustRightInd w:val="0"/>
      <w:snapToGrid w:val="0"/>
      <w:spacing w:line="360" w:lineRule="auto"/>
      <w:ind w:left="100" w:leftChars="600" w:hanging="200" w:hangingChars="200"/>
    </w:pPr>
    <w:rPr>
      <w:sz w:val="24"/>
    </w:rPr>
  </w:style>
  <w:style w:type="paragraph" w:styleId="51">
    <w:name w:val="List Continue 2"/>
    <w:basedOn w:val="1"/>
    <w:qFormat/>
    <w:uiPriority w:val="0"/>
    <w:pPr>
      <w:adjustRightInd w:val="0"/>
      <w:snapToGrid w:val="0"/>
      <w:spacing w:after="120" w:line="360" w:lineRule="auto"/>
      <w:ind w:left="840" w:leftChars="400"/>
    </w:pPr>
    <w:rPr>
      <w:sz w:val="24"/>
    </w:rPr>
  </w:style>
  <w:style w:type="paragraph" w:styleId="52">
    <w:name w:val="HTML Preformatted"/>
    <w:basedOn w:val="1"/>
    <w:qFormat/>
    <w:uiPriority w:val="0"/>
    <w:rPr>
      <w:rFonts w:ascii="Courier New" w:hAnsi="Courier New"/>
      <w:sz w:val="20"/>
    </w:rPr>
  </w:style>
  <w:style w:type="paragraph" w:styleId="53">
    <w:name w:val="Normal (Web)"/>
    <w:basedOn w:val="1"/>
    <w:qFormat/>
    <w:uiPriority w:val="0"/>
    <w:pPr>
      <w:widowControl/>
      <w:spacing w:before="100" w:beforeAutospacing="1" w:after="100" w:afterAutospacing="1"/>
      <w:jc w:val="left"/>
    </w:pPr>
    <w:rPr>
      <w:rFonts w:ascii="宋体" w:hAnsi="宋体"/>
      <w:kern w:val="0"/>
      <w:sz w:val="24"/>
    </w:rPr>
  </w:style>
  <w:style w:type="paragraph" w:styleId="54">
    <w:name w:val="List Continue 3"/>
    <w:basedOn w:val="1"/>
    <w:qFormat/>
    <w:uiPriority w:val="0"/>
    <w:pPr>
      <w:adjustRightInd w:val="0"/>
      <w:snapToGrid w:val="0"/>
      <w:spacing w:after="120" w:line="360" w:lineRule="auto"/>
      <w:ind w:left="1260" w:leftChars="600"/>
    </w:pPr>
    <w:rPr>
      <w:sz w:val="24"/>
    </w:rPr>
  </w:style>
  <w:style w:type="paragraph" w:styleId="55">
    <w:name w:val="index 1"/>
    <w:basedOn w:val="1"/>
    <w:next w:val="1"/>
    <w:qFormat/>
    <w:uiPriority w:val="0"/>
    <w:pPr>
      <w:adjustRightInd w:val="0"/>
      <w:spacing w:line="240" w:lineRule="atLeast"/>
      <w:textAlignment w:val="baseline"/>
    </w:pPr>
    <w:rPr>
      <w:rFonts w:ascii="宋体"/>
      <w:kern w:val="0"/>
      <w:sz w:val="21"/>
    </w:rPr>
  </w:style>
  <w:style w:type="paragraph" w:styleId="56">
    <w:name w:val="Title"/>
    <w:basedOn w:val="1"/>
    <w:next w:val="1"/>
    <w:qFormat/>
    <w:uiPriority w:val="0"/>
    <w:pPr>
      <w:widowControl/>
      <w:spacing w:after="240" w:line="360" w:lineRule="auto"/>
      <w:jc w:val="center"/>
    </w:pPr>
    <w:rPr>
      <w:rFonts w:ascii="Arial" w:hAnsi="Arial"/>
      <w:b/>
      <w:smallCaps/>
      <w:kern w:val="28"/>
      <w:sz w:val="36"/>
      <w:lang w:eastAsia="en-US"/>
    </w:rPr>
  </w:style>
  <w:style w:type="paragraph" w:styleId="57">
    <w:name w:val="annotation subject"/>
    <w:basedOn w:val="19"/>
    <w:next w:val="19"/>
    <w:link w:val="82"/>
    <w:qFormat/>
    <w:uiPriority w:val="0"/>
    <w:pPr>
      <w:adjustRightInd/>
      <w:spacing w:line="240" w:lineRule="auto"/>
      <w:textAlignment w:val="auto"/>
    </w:pPr>
  </w:style>
  <w:style w:type="paragraph" w:styleId="58">
    <w:name w:val="Body Text First Indent"/>
    <w:basedOn w:val="22"/>
    <w:next w:val="1"/>
    <w:qFormat/>
    <w:uiPriority w:val="0"/>
    <w:pPr>
      <w:spacing w:line="360" w:lineRule="auto"/>
      <w:ind w:firstLine="420"/>
    </w:pPr>
    <w:rPr>
      <w:rFonts w:ascii="宋体" w:hAnsi="宋体"/>
      <w:sz w:val="24"/>
    </w:rPr>
  </w:style>
  <w:style w:type="paragraph" w:styleId="59">
    <w:name w:val="Body Text First Indent 2"/>
    <w:basedOn w:val="23"/>
    <w:next w:val="58"/>
    <w:link w:val="109"/>
    <w:qFormat/>
    <w:uiPriority w:val="0"/>
    <w:pPr>
      <w:spacing w:after="120" w:line="240" w:lineRule="auto"/>
      <w:ind w:left="420" w:leftChars="200" w:firstLine="420" w:firstLineChars="200"/>
    </w:pPr>
  </w:style>
  <w:style w:type="table" w:styleId="61">
    <w:name w:val="Table Grid"/>
    <w:basedOn w:val="6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3">
    <w:name w:val="Strong"/>
    <w:qFormat/>
    <w:uiPriority w:val="0"/>
    <w:rPr>
      <w:b/>
    </w:rPr>
  </w:style>
  <w:style w:type="character" w:styleId="64">
    <w:name w:val="page number"/>
    <w:basedOn w:val="62"/>
    <w:qFormat/>
    <w:uiPriority w:val="0"/>
  </w:style>
  <w:style w:type="character" w:styleId="65">
    <w:name w:val="FollowedHyperlink"/>
    <w:qFormat/>
    <w:uiPriority w:val="99"/>
    <w:rPr>
      <w:color w:val="800080"/>
      <w:u w:val="single"/>
    </w:rPr>
  </w:style>
  <w:style w:type="character" w:styleId="66">
    <w:name w:val="Emphasis"/>
    <w:qFormat/>
    <w:uiPriority w:val="0"/>
    <w:rPr>
      <w:i/>
    </w:rPr>
  </w:style>
  <w:style w:type="character" w:styleId="67">
    <w:name w:val="Hyperlink"/>
    <w:basedOn w:val="62"/>
    <w:qFormat/>
    <w:uiPriority w:val="99"/>
    <w:rPr>
      <w:color w:val="0000FF"/>
      <w:u w:val="single"/>
    </w:rPr>
  </w:style>
  <w:style w:type="character" w:styleId="68">
    <w:name w:val="annotation reference"/>
    <w:qFormat/>
    <w:uiPriority w:val="0"/>
    <w:rPr>
      <w:sz w:val="21"/>
      <w:szCs w:val="21"/>
    </w:rPr>
  </w:style>
  <w:style w:type="character" w:styleId="69">
    <w:name w:val="footnote reference"/>
    <w:qFormat/>
    <w:uiPriority w:val="0"/>
    <w:rPr>
      <w:position w:val="6"/>
      <w:sz w:val="14"/>
      <w:vertAlign w:val="superscript"/>
    </w:rPr>
  </w:style>
  <w:style w:type="paragraph" w:customStyle="1" w:styleId="70">
    <w:name w:val="BodyText"/>
    <w:basedOn w:val="1"/>
    <w:next w:val="1"/>
    <w:qFormat/>
    <w:uiPriority w:val="0"/>
    <w:pPr>
      <w:jc w:val="both"/>
      <w:textAlignment w:val="baseline"/>
    </w:pPr>
    <w:rPr>
      <w:rFonts w:ascii="仿宋_GB2312" w:eastAsia="仿宋_GB2312"/>
      <w:kern w:val="2"/>
      <w:sz w:val="32"/>
      <w:lang w:val="en-US" w:eastAsia="zh-CN" w:bidi="ar-SA"/>
    </w:rPr>
  </w:style>
  <w:style w:type="paragraph" w:customStyle="1" w:styleId="71">
    <w:name w:val="Default"/>
    <w:next w:val="72"/>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paragraph" w:customStyle="1" w:styleId="72">
    <w:name w:val="明显引用1"/>
    <w:basedOn w:val="1"/>
    <w:next w:val="1"/>
    <w:qFormat/>
    <w:uiPriority w:val="0"/>
    <w:pPr>
      <w:wordWrap w:val="0"/>
      <w:spacing w:before="360" w:after="360"/>
      <w:ind w:left="950" w:right="950"/>
      <w:jc w:val="center"/>
    </w:pPr>
    <w:rPr>
      <w:b/>
      <w:bCs/>
      <w:i/>
      <w:iCs/>
      <w:color w:val="4F81BD"/>
      <w:kern w:val="0"/>
    </w:rPr>
  </w:style>
  <w:style w:type="paragraph" w:customStyle="1" w:styleId="73">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paragraph" w:customStyle="1" w:styleId="74">
    <w:name w:val="标书正文1"/>
    <w:basedOn w:val="1"/>
    <w:qFormat/>
    <w:uiPriority w:val="0"/>
    <w:pPr>
      <w:spacing w:line="520" w:lineRule="exact"/>
      <w:ind w:firstLine="640" w:firstLineChars="200"/>
    </w:pPr>
    <w:rPr>
      <w:rFonts w:ascii="Times New Roman" w:hAnsi="Times New Roman"/>
    </w:rPr>
  </w:style>
  <w:style w:type="character" w:customStyle="1" w:styleId="75">
    <w:name w:val="Char Char7"/>
    <w:qFormat/>
    <w:uiPriority w:val="0"/>
    <w:rPr>
      <w:rFonts w:ascii="宋体" w:hAnsi="宋体" w:eastAsia="宋体"/>
      <w:kern w:val="2"/>
      <w:sz w:val="28"/>
    </w:rPr>
  </w:style>
  <w:style w:type="character" w:customStyle="1" w:styleId="76">
    <w:name w:val="font91"/>
    <w:qFormat/>
    <w:uiPriority w:val="0"/>
    <w:rPr>
      <w:rFonts w:hint="eastAsia" w:ascii="宋体" w:hAnsi="宋体" w:eastAsia="宋体" w:cs="宋体"/>
      <w:color w:val="000000"/>
      <w:sz w:val="20"/>
      <w:szCs w:val="20"/>
      <w:u w:val="none"/>
    </w:rPr>
  </w:style>
  <w:style w:type="character" w:customStyle="1" w:styleId="77">
    <w:name w:val="未命名11"/>
    <w:qFormat/>
    <w:uiPriority w:val="0"/>
    <w:rPr>
      <w:color w:val="77FFFF"/>
      <w:sz w:val="24"/>
    </w:rPr>
  </w:style>
  <w:style w:type="character" w:customStyle="1" w:styleId="78">
    <w:name w:val="font51"/>
    <w:qFormat/>
    <w:uiPriority w:val="0"/>
    <w:rPr>
      <w:rFonts w:hint="eastAsia" w:ascii="宋体" w:hAnsi="宋体" w:eastAsia="宋体" w:cs="宋体"/>
      <w:color w:val="000000"/>
      <w:sz w:val="20"/>
      <w:szCs w:val="20"/>
      <w:u w:val="none"/>
      <w:vertAlign w:val="superscript"/>
    </w:rPr>
  </w:style>
  <w:style w:type="character" w:customStyle="1" w:styleId="79">
    <w:name w:val="content-white1"/>
    <w:qFormat/>
    <w:uiPriority w:val="0"/>
    <w:rPr>
      <w:color w:val="auto"/>
      <w:sz w:val="18"/>
      <w:u w:val="none"/>
    </w:rPr>
  </w:style>
  <w:style w:type="character" w:customStyle="1" w:styleId="80">
    <w:name w:val="正文文本缩进 2 字符"/>
    <w:link w:val="35"/>
    <w:qFormat/>
    <w:uiPriority w:val="0"/>
    <w:rPr>
      <w:kern w:val="2"/>
      <w:sz w:val="28"/>
    </w:rPr>
  </w:style>
  <w:style w:type="character" w:customStyle="1" w:styleId="81">
    <w:name w:val="Char Char11"/>
    <w:qFormat/>
    <w:uiPriority w:val="0"/>
    <w:rPr>
      <w:rFonts w:ascii="宋体"/>
      <w:kern w:val="2"/>
      <w:sz w:val="28"/>
    </w:rPr>
  </w:style>
  <w:style w:type="character" w:customStyle="1" w:styleId="82">
    <w:name w:val="批注主题 字符"/>
    <w:basedOn w:val="83"/>
    <w:link w:val="57"/>
    <w:qFormat/>
    <w:uiPriority w:val="0"/>
    <w:rPr>
      <w:sz w:val="24"/>
    </w:rPr>
  </w:style>
  <w:style w:type="character" w:customStyle="1" w:styleId="83">
    <w:name w:val="批注文字 字符"/>
    <w:link w:val="19"/>
    <w:qFormat/>
    <w:uiPriority w:val="0"/>
    <w:rPr>
      <w:sz w:val="24"/>
    </w:rPr>
  </w:style>
  <w:style w:type="character" w:customStyle="1" w:styleId="84">
    <w:name w:val="font41"/>
    <w:qFormat/>
    <w:uiPriority w:val="0"/>
    <w:rPr>
      <w:rFonts w:hint="eastAsia" w:ascii="宋体" w:hAnsi="宋体" w:eastAsia="宋体" w:cs="宋体"/>
      <w:color w:val="000000"/>
      <w:sz w:val="20"/>
      <w:szCs w:val="20"/>
      <w:u w:val="none"/>
    </w:rPr>
  </w:style>
  <w:style w:type="character" w:customStyle="1" w:styleId="85">
    <w:name w:val="正文文本缩进 字符"/>
    <w:link w:val="23"/>
    <w:qFormat/>
    <w:uiPriority w:val="0"/>
    <w:rPr>
      <w:kern w:val="2"/>
      <w:sz w:val="44"/>
    </w:rPr>
  </w:style>
  <w:style w:type="character" w:customStyle="1" w:styleId="86">
    <w:name w:val="Table Text Char"/>
    <w:link w:val="87"/>
    <w:qFormat/>
    <w:uiPriority w:val="0"/>
    <w:rPr>
      <w:rFonts w:ascii="Arial" w:hAnsi="Arial"/>
      <w:kern w:val="2"/>
      <w:sz w:val="18"/>
      <w:lang w:val="en-US" w:eastAsia="zh-CN" w:bidi="ar-SA"/>
    </w:rPr>
  </w:style>
  <w:style w:type="paragraph" w:customStyle="1" w:styleId="87">
    <w:name w:val="Table Text"/>
    <w:link w:val="86"/>
    <w:qFormat/>
    <w:uiPriority w:val="0"/>
    <w:pPr>
      <w:snapToGrid w:val="0"/>
      <w:spacing w:before="80" w:after="80"/>
    </w:pPr>
    <w:rPr>
      <w:rFonts w:ascii="Arial" w:hAnsi="Arial" w:eastAsia="宋体" w:cs="Times New Roman"/>
      <w:kern w:val="2"/>
      <w:sz w:val="18"/>
      <w:lang w:val="en-US" w:eastAsia="zh-CN" w:bidi="ar-SA"/>
    </w:rPr>
  </w:style>
  <w:style w:type="character" w:customStyle="1" w:styleId="88">
    <w:name w:val="v151"/>
    <w:qFormat/>
    <w:uiPriority w:val="0"/>
    <w:rPr>
      <w:sz w:val="18"/>
    </w:rPr>
  </w:style>
  <w:style w:type="character" w:customStyle="1" w:styleId="89">
    <w:name w:val="样式 宋体"/>
    <w:qFormat/>
    <w:uiPriority w:val="0"/>
    <w:rPr>
      <w:rFonts w:ascii="宋体" w:hAnsi="宋体" w:eastAsia="宋体"/>
      <w:sz w:val="28"/>
    </w:rPr>
  </w:style>
  <w:style w:type="character" w:customStyle="1" w:styleId="90">
    <w:name w:val="title_emph1"/>
    <w:qFormat/>
    <w:uiPriority w:val="0"/>
    <w:rPr>
      <w:rFonts w:hint="default" w:ascii="Arial" w:hAnsi="Arial"/>
      <w:b/>
      <w:sz w:val="20"/>
    </w:rPr>
  </w:style>
  <w:style w:type="character" w:customStyle="1" w:styleId="91">
    <w:name w:val="脚注文本 字符"/>
    <w:link w:val="42"/>
    <w:qFormat/>
    <w:uiPriority w:val="0"/>
    <w:rPr>
      <w:kern w:val="2"/>
      <w:sz w:val="18"/>
    </w:rPr>
  </w:style>
  <w:style w:type="character" w:customStyle="1" w:styleId="92">
    <w:name w:val="Char Char"/>
    <w:qFormat/>
    <w:uiPriority w:val="0"/>
    <w:rPr>
      <w:rFonts w:ascii="宋体" w:hAnsi="宋体" w:eastAsia="宋体"/>
      <w:kern w:val="2"/>
      <w:sz w:val="24"/>
      <w:lang w:val="en-US" w:eastAsia="zh-CN" w:bidi="ar-SA"/>
    </w:rPr>
  </w:style>
  <w:style w:type="character" w:customStyle="1" w:styleId="93">
    <w:name w:val="Table Heading Char Char"/>
    <w:qFormat/>
    <w:uiPriority w:val="0"/>
    <w:rPr>
      <w:rFonts w:ascii="Arial" w:hAnsi="Arial" w:eastAsia="黑体"/>
      <w:kern w:val="2"/>
      <w:sz w:val="18"/>
      <w:lang w:val="en-US" w:eastAsia="zh-CN"/>
    </w:rPr>
  </w:style>
  <w:style w:type="character" w:customStyle="1" w:styleId="94">
    <w:name w:val="正文 + 三号 Char"/>
    <w:qFormat/>
    <w:uiPriority w:val="0"/>
    <w:rPr>
      <w:rFonts w:eastAsia="宋体"/>
      <w:kern w:val="2"/>
      <w:sz w:val="21"/>
      <w:lang w:val="en-US" w:eastAsia="zh-CN"/>
    </w:rPr>
  </w:style>
  <w:style w:type="character" w:customStyle="1" w:styleId="95">
    <w:name w:val="Char Char5"/>
    <w:qFormat/>
    <w:uiPriority w:val="0"/>
    <w:rPr>
      <w:rFonts w:ascii="Arial" w:hAnsi="Arial" w:eastAsia="宋体"/>
      <w:b/>
      <w:smallCaps/>
      <w:kern w:val="28"/>
      <w:sz w:val="36"/>
      <w:lang w:val="en-US" w:eastAsia="en-US"/>
    </w:rPr>
  </w:style>
  <w:style w:type="character" w:customStyle="1" w:styleId="96">
    <w:name w:val="Table Text Char Char Char Char"/>
    <w:link w:val="97"/>
    <w:qFormat/>
    <w:uiPriority w:val="0"/>
    <w:rPr>
      <w:rFonts w:ascii="Arial" w:hAnsi="Arial"/>
      <w:kern w:val="2"/>
      <w:sz w:val="18"/>
      <w:lang w:val="en-US" w:eastAsia="zh-CN" w:bidi="ar-SA"/>
    </w:rPr>
  </w:style>
  <w:style w:type="paragraph" w:customStyle="1" w:styleId="97">
    <w:name w:val="Table Text Char Char Char"/>
    <w:link w:val="96"/>
    <w:qFormat/>
    <w:uiPriority w:val="0"/>
    <w:pPr>
      <w:snapToGrid w:val="0"/>
      <w:spacing w:before="80" w:after="80"/>
    </w:pPr>
    <w:rPr>
      <w:rFonts w:ascii="Arial" w:hAnsi="Arial" w:eastAsia="宋体" w:cs="Times New Roman"/>
      <w:kern w:val="2"/>
      <w:sz w:val="18"/>
      <w:lang w:val="en-US" w:eastAsia="zh-CN" w:bidi="ar-SA"/>
    </w:rPr>
  </w:style>
  <w:style w:type="character" w:customStyle="1" w:styleId="98">
    <w:name w:val="font01"/>
    <w:qFormat/>
    <w:uiPriority w:val="0"/>
    <w:rPr>
      <w:rFonts w:hint="default" w:ascii="Times New Roman" w:hAnsi="Times New Roman" w:cs="Times New Roman"/>
      <w:color w:val="000000"/>
      <w:sz w:val="20"/>
      <w:szCs w:val="20"/>
      <w:u w:val="none"/>
    </w:rPr>
  </w:style>
  <w:style w:type="character" w:customStyle="1" w:styleId="99">
    <w:name w:val="font101"/>
    <w:qFormat/>
    <w:uiPriority w:val="0"/>
    <w:rPr>
      <w:rFonts w:hint="default" w:ascii="Times New Roman" w:hAnsi="Times New Roman" w:cs="Times New Roman"/>
      <w:color w:val="000000"/>
      <w:sz w:val="20"/>
      <w:szCs w:val="20"/>
      <w:u w:val="none"/>
    </w:rPr>
  </w:style>
  <w:style w:type="character" w:customStyle="1" w:styleId="100">
    <w:name w:val="Table Text Char1 Char"/>
    <w:qFormat/>
    <w:uiPriority w:val="0"/>
    <w:rPr>
      <w:rFonts w:ascii="Arial" w:hAnsi="Arial"/>
      <w:kern w:val="2"/>
      <w:sz w:val="18"/>
      <w:lang w:val="en-US" w:eastAsia="zh-CN" w:bidi="ar-SA"/>
    </w:rPr>
  </w:style>
  <w:style w:type="character" w:customStyle="1" w:styleId="101">
    <w:name w:val="Char Char2"/>
    <w:qFormat/>
    <w:uiPriority w:val="0"/>
    <w:rPr>
      <w:rFonts w:eastAsia="宋体"/>
      <w:kern w:val="2"/>
      <w:sz w:val="18"/>
      <w:lang w:val="en-US" w:eastAsia="zh-CN"/>
    </w:rPr>
  </w:style>
  <w:style w:type="character" w:customStyle="1" w:styleId="102">
    <w:name w:val="标题 2 字符"/>
    <w:link w:val="3"/>
    <w:qFormat/>
    <w:uiPriority w:val="0"/>
    <w:rPr>
      <w:rFonts w:ascii="Arial" w:hAnsi="Arial" w:eastAsia="黑体"/>
      <w:b/>
      <w:kern w:val="2"/>
      <w:sz w:val="32"/>
    </w:rPr>
  </w:style>
  <w:style w:type="character" w:customStyle="1" w:styleId="103">
    <w:name w:val="font31"/>
    <w:qFormat/>
    <w:uiPriority w:val="0"/>
    <w:rPr>
      <w:rFonts w:hint="eastAsia" w:ascii="宋体" w:hAnsi="宋体" w:eastAsia="宋体" w:cs="宋体"/>
      <w:b/>
      <w:color w:val="000000"/>
      <w:sz w:val="20"/>
      <w:szCs w:val="20"/>
      <w:u w:val="none"/>
    </w:rPr>
  </w:style>
  <w:style w:type="character" w:customStyle="1" w:styleId="104">
    <w:name w:val="文字 Char"/>
    <w:link w:val="105"/>
    <w:qFormat/>
    <w:uiPriority w:val="0"/>
    <w:rPr>
      <w:rFonts w:ascii="宋体"/>
      <w:kern w:val="2"/>
      <w:sz w:val="28"/>
    </w:rPr>
  </w:style>
  <w:style w:type="paragraph" w:customStyle="1" w:styleId="105">
    <w:name w:val="文字"/>
    <w:basedOn w:val="1"/>
    <w:link w:val="104"/>
    <w:qFormat/>
    <w:uiPriority w:val="0"/>
    <w:pPr>
      <w:tabs>
        <w:tab w:val="left" w:pos="8520"/>
      </w:tabs>
      <w:spacing w:line="312" w:lineRule="auto"/>
      <w:ind w:right="-210" w:firstLine="556"/>
    </w:pPr>
    <w:rPr>
      <w:rFonts w:ascii="宋体"/>
    </w:rPr>
  </w:style>
  <w:style w:type="character" w:customStyle="1" w:styleId="106">
    <w:name w:val="标题 3 字符"/>
    <w:link w:val="4"/>
    <w:qFormat/>
    <w:uiPriority w:val="0"/>
    <w:rPr>
      <w:rFonts w:eastAsia="宋体"/>
      <w:b/>
      <w:kern w:val="2"/>
      <w:sz w:val="32"/>
      <w:lang w:val="en-US" w:eastAsia="zh-CN"/>
    </w:rPr>
  </w:style>
  <w:style w:type="character" w:customStyle="1" w:styleId="107">
    <w:name w:val="Char Char6"/>
    <w:qFormat/>
    <w:uiPriority w:val="0"/>
    <w:rPr>
      <w:rFonts w:ascii="仿宋_GB2312" w:eastAsia="仿宋_GB2312"/>
      <w:kern w:val="2"/>
      <w:sz w:val="32"/>
    </w:rPr>
  </w:style>
  <w:style w:type="character" w:customStyle="1" w:styleId="108">
    <w:name w:val="Char Char3"/>
    <w:qFormat/>
    <w:uiPriority w:val="0"/>
    <w:rPr>
      <w:rFonts w:eastAsia="宋体"/>
      <w:kern w:val="2"/>
      <w:sz w:val="18"/>
      <w:lang w:val="en-US" w:eastAsia="zh-CN"/>
    </w:rPr>
  </w:style>
  <w:style w:type="character" w:customStyle="1" w:styleId="109">
    <w:name w:val="正文文本首行缩进 2 字符"/>
    <w:basedOn w:val="85"/>
    <w:link w:val="59"/>
    <w:qFormat/>
    <w:uiPriority w:val="0"/>
    <w:rPr>
      <w:kern w:val="2"/>
      <w:sz w:val="44"/>
    </w:rPr>
  </w:style>
  <w:style w:type="character" w:customStyle="1" w:styleId="110">
    <w:name w:val="标书正文:  0.74 厘米 Char1"/>
    <w:qFormat/>
    <w:uiPriority w:val="0"/>
    <w:rPr>
      <w:rFonts w:eastAsia="宋体"/>
      <w:kern w:val="2"/>
      <w:sz w:val="24"/>
      <w:lang w:val="en-US" w:eastAsia="zh-CN"/>
    </w:rPr>
  </w:style>
  <w:style w:type="character" w:customStyle="1" w:styleId="111">
    <w:name w:val="日期 字符"/>
    <w:link w:val="34"/>
    <w:qFormat/>
    <w:uiPriority w:val="0"/>
    <w:rPr>
      <w:kern w:val="2"/>
      <w:sz w:val="28"/>
    </w:rPr>
  </w:style>
  <w:style w:type="character" w:customStyle="1" w:styleId="112">
    <w:name w:val="font1"/>
    <w:qFormat/>
    <w:uiPriority w:val="0"/>
    <w:rPr>
      <w:color w:val="000000"/>
      <w:sz w:val="18"/>
    </w:rPr>
  </w:style>
  <w:style w:type="character" w:customStyle="1" w:styleId="113">
    <w:name w:val="Char Char4"/>
    <w:qFormat/>
    <w:uiPriority w:val="0"/>
    <w:rPr>
      <w:rFonts w:eastAsia="宋体"/>
      <w:b/>
      <w:kern w:val="2"/>
      <w:sz w:val="21"/>
      <w:lang w:val="en-US" w:eastAsia="zh-CN"/>
    </w:rPr>
  </w:style>
  <w:style w:type="character" w:customStyle="1" w:styleId="114">
    <w:name w:val="top-det1"/>
    <w:qFormat/>
    <w:uiPriority w:val="0"/>
    <w:rPr>
      <w:b/>
      <w:color w:val="000000"/>
    </w:rPr>
  </w:style>
  <w:style w:type="character" w:customStyle="1" w:styleId="115">
    <w:name w:val="crowed11"/>
    <w:qFormat/>
    <w:uiPriority w:val="0"/>
    <w:rPr>
      <w:rFonts w:hint="default"/>
      <w:sz w:val="24"/>
    </w:rPr>
  </w:style>
  <w:style w:type="character" w:customStyle="1" w:styleId="116">
    <w:name w:val="H2 Char"/>
    <w:qFormat/>
    <w:uiPriority w:val="0"/>
    <w:rPr>
      <w:rFonts w:ascii="Arial" w:hAnsi="Arial" w:eastAsia="宋体"/>
      <w:kern w:val="2"/>
      <w:sz w:val="28"/>
      <w:lang w:val="en-US" w:eastAsia="zh-CN"/>
    </w:rPr>
  </w:style>
  <w:style w:type="character" w:customStyle="1" w:styleId="117">
    <w:name w:val="小 Char"/>
    <w:qFormat/>
    <w:uiPriority w:val="0"/>
    <w:rPr>
      <w:rFonts w:ascii="宋体" w:hAnsi="Courier New" w:eastAsia="宋体"/>
      <w:kern w:val="2"/>
      <w:sz w:val="21"/>
      <w:lang w:val="en-US" w:eastAsia="zh-CN" w:bidi="ar-SA"/>
    </w:rPr>
  </w:style>
  <w:style w:type="character" w:customStyle="1" w:styleId="118">
    <w:name w:val="页脚 字符"/>
    <w:link w:val="37"/>
    <w:qFormat/>
    <w:uiPriority w:val="99"/>
    <w:rPr>
      <w:kern w:val="2"/>
      <w:sz w:val="18"/>
    </w:rPr>
  </w:style>
  <w:style w:type="character" w:customStyle="1" w:styleId="119">
    <w:name w:val="font11"/>
    <w:qFormat/>
    <w:uiPriority w:val="0"/>
    <w:rPr>
      <w:rFonts w:hint="eastAsia" w:ascii="宋体" w:hAnsi="宋体" w:eastAsia="宋体" w:cs="宋体"/>
      <w:color w:val="000000"/>
      <w:sz w:val="20"/>
      <w:szCs w:val="20"/>
      <w:u w:val="none"/>
      <w:vertAlign w:val="superscript"/>
    </w:rPr>
  </w:style>
  <w:style w:type="paragraph" w:customStyle="1" w:styleId="120">
    <w:name w:val="样式 正文缩进正文（首行缩进两字）表正文正文非缩进特点标题4段1 + 首行缩进:  2 字符"/>
    <w:basedOn w:val="15"/>
    <w:qFormat/>
    <w:uiPriority w:val="0"/>
    <w:pPr>
      <w:ind w:firstLine="480" w:firstLineChars="200"/>
    </w:pPr>
  </w:style>
  <w:style w:type="paragraph" w:customStyle="1" w:styleId="121">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22">
    <w:name w:val="修订1"/>
    <w:qFormat/>
    <w:uiPriority w:val="0"/>
    <w:rPr>
      <w:rFonts w:ascii="Calibri" w:hAnsi="Calibri" w:eastAsia="宋体" w:cs="Times New Roman"/>
      <w:kern w:val="2"/>
      <w:sz w:val="21"/>
      <w:lang w:val="en-US" w:eastAsia="zh-CN" w:bidi="ar-SA"/>
    </w:rPr>
  </w:style>
  <w:style w:type="paragraph" w:customStyle="1" w:styleId="123">
    <w:name w:val="正文（首行不缩进）"/>
    <w:basedOn w:val="1"/>
    <w:qFormat/>
    <w:uiPriority w:val="0"/>
    <w:pPr>
      <w:autoSpaceDE w:val="0"/>
      <w:autoSpaceDN w:val="0"/>
      <w:adjustRightInd w:val="0"/>
      <w:spacing w:line="360" w:lineRule="auto"/>
      <w:jc w:val="left"/>
    </w:pPr>
    <w:rPr>
      <w:kern w:val="0"/>
      <w:sz w:val="21"/>
    </w:rPr>
  </w:style>
  <w:style w:type="paragraph" w:customStyle="1" w:styleId="124">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5">
    <w:name w:val="无间隔1"/>
    <w:qFormat/>
    <w:uiPriority w:val="1"/>
    <w:pPr>
      <w:jc w:val="both"/>
    </w:pPr>
    <w:rPr>
      <w:rFonts w:ascii="Calibri" w:hAnsi="Calibri" w:eastAsia="Times New Roman" w:cs="Times New Roman"/>
      <w:lang w:val="en-US" w:eastAsia="zh-CN" w:bidi="ar-SA"/>
    </w:rPr>
  </w:style>
  <w:style w:type="paragraph" w:customStyle="1" w:styleId="126">
    <w:name w:val="操作步骤"/>
    <w:basedOn w:val="1"/>
    <w:qFormat/>
    <w:uiPriority w:val="0"/>
    <w:pPr>
      <w:numPr>
        <w:ilvl w:val="0"/>
        <w:numId w:val="3"/>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27">
    <w:name w:val="Table Paragraph"/>
    <w:basedOn w:val="1"/>
    <w:qFormat/>
    <w:uiPriority w:val="1"/>
    <w:pPr>
      <w:autoSpaceDE w:val="0"/>
      <w:autoSpaceDN w:val="0"/>
      <w:adjustRightInd w:val="0"/>
    </w:pPr>
    <w:rPr>
      <w:sz w:val="24"/>
    </w:rPr>
  </w:style>
  <w:style w:type="paragraph" w:customStyle="1" w:styleId="128">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29">
    <w:name w:val="样式5"/>
    <w:basedOn w:val="130"/>
    <w:next w:val="1"/>
    <w:qFormat/>
    <w:uiPriority w:val="0"/>
  </w:style>
  <w:style w:type="paragraph" w:customStyle="1" w:styleId="130">
    <w:name w:val="编号正文"/>
    <w:basedOn w:val="131"/>
    <w:qFormat/>
    <w:uiPriority w:val="0"/>
    <w:pPr>
      <w:snapToGrid/>
      <w:spacing w:line="360" w:lineRule="auto"/>
      <w:ind w:left="1407" w:hanging="1047"/>
      <w:jc w:val="left"/>
    </w:pPr>
    <w:rPr>
      <w:rFonts w:eastAsia="仿宋_GB2312"/>
    </w:rPr>
  </w:style>
  <w:style w:type="paragraph" w:customStyle="1" w:styleId="131">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32">
    <w:name w:val="样式10"/>
    <w:basedOn w:val="1"/>
    <w:next w:val="1"/>
    <w:qFormat/>
    <w:uiPriority w:val="0"/>
    <w:rPr>
      <w:rFonts w:ascii="Times New Roman" w:hAnsi="Times New Roman" w:eastAsia="仿宋"/>
      <w:sz w:val="24"/>
    </w:rPr>
  </w:style>
  <w:style w:type="paragraph" w:customStyle="1" w:styleId="133">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34">
    <w:name w:val="Char Char1 Char"/>
    <w:basedOn w:val="1"/>
    <w:qFormat/>
    <w:uiPriority w:val="0"/>
    <w:rPr>
      <w:rFonts w:ascii="Tahoma" w:hAnsi="Tahoma"/>
      <w:sz w:val="24"/>
      <w:szCs w:val="24"/>
    </w:rPr>
  </w:style>
  <w:style w:type="paragraph" w:customStyle="1" w:styleId="135">
    <w:name w:val="样式1xz"/>
    <w:basedOn w:val="1"/>
    <w:qFormat/>
    <w:uiPriority w:val="0"/>
    <w:pPr>
      <w:tabs>
        <w:tab w:val="left" w:pos="1050"/>
        <w:tab w:val="right" w:leader="dot" w:pos="8296"/>
      </w:tabs>
    </w:pPr>
    <w:rPr>
      <w:caps/>
      <w:spacing w:val="20"/>
      <w:sz w:val="24"/>
    </w:rPr>
  </w:style>
  <w:style w:type="paragraph" w:customStyle="1" w:styleId="136">
    <w:name w:val="_Style 19"/>
    <w:basedOn w:val="1"/>
    <w:next w:val="137"/>
    <w:qFormat/>
    <w:uiPriority w:val="0"/>
    <w:pPr>
      <w:ind w:firstLine="420" w:firstLineChars="200"/>
    </w:pPr>
    <w:rPr>
      <w:sz w:val="21"/>
      <w:szCs w:val="22"/>
    </w:rPr>
  </w:style>
  <w:style w:type="paragraph" w:styleId="137">
    <w:name w:val="List Paragraph"/>
    <w:basedOn w:val="1"/>
    <w:qFormat/>
    <w:uiPriority w:val="0"/>
    <w:pPr>
      <w:ind w:firstLine="420" w:firstLineChars="200"/>
    </w:pPr>
  </w:style>
  <w:style w:type="paragraph" w:customStyle="1" w:styleId="138">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39">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40">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4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42">
    <w:name w:val="司法正文"/>
    <w:qFormat/>
    <w:uiPriority w:val="0"/>
    <w:pPr>
      <w:widowControl w:val="0"/>
      <w:ind w:firstLine="200" w:firstLineChars="200"/>
      <w:jc w:val="both"/>
    </w:pPr>
    <w:rPr>
      <w:rFonts w:ascii="Calibri" w:hAnsi="Calibri" w:eastAsia="仿宋_GB2312" w:cs="Times New Roman"/>
      <w:sz w:val="32"/>
      <w:lang w:val="en-US" w:eastAsia="zh-CN" w:bidi="ar-SA"/>
    </w:rPr>
  </w:style>
  <w:style w:type="paragraph" w:customStyle="1" w:styleId="143">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44">
    <w:name w:val="正文文本 21"/>
    <w:basedOn w:val="1"/>
    <w:qFormat/>
    <w:uiPriority w:val="0"/>
    <w:pPr>
      <w:adjustRightInd w:val="0"/>
      <w:spacing w:before="120" w:line="360" w:lineRule="auto"/>
      <w:ind w:firstLine="480"/>
      <w:textAlignment w:val="baseline"/>
    </w:pPr>
    <w:rPr>
      <w:sz w:val="24"/>
    </w:rPr>
  </w:style>
  <w:style w:type="paragraph" w:customStyle="1" w:styleId="145">
    <w:name w:val="首行缩进"/>
    <w:basedOn w:val="1"/>
    <w:qFormat/>
    <w:uiPriority w:val="0"/>
    <w:pPr>
      <w:numPr>
        <w:ilvl w:val="0"/>
        <w:numId w:val="4"/>
      </w:numPr>
      <w:spacing w:line="360" w:lineRule="auto"/>
    </w:pPr>
    <w:rPr>
      <w:rFonts w:eastAsia="仿宋_GB2312"/>
    </w:rPr>
  </w:style>
  <w:style w:type="paragraph" w:customStyle="1" w:styleId="146">
    <w:name w:val="简单回函地址"/>
    <w:basedOn w:val="1"/>
    <w:qFormat/>
    <w:uiPriority w:val="0"/>
    <w:pPr>
      <w:adjustRightInd w:val="0"/>
      <w:snapToGrid w:val="0"/>
      <w:spacing w:line="360" w:lineRule="auto"/>
    </w:pPr>
    <w:rPr>
      <w:sz w:val="24"/>
    </w:rPr>
  </w:style>
  <w:style w:type="paragraph" w:customStyle="1" w:styleId="147">
    <w:name w:val="二级列表"/>
    <w:basedOn w:val="148"/>
    <w:next w:val="148"/>
    <w:qFormat/>
    <w:uiPriority w:val="0"/>
    <w:pPr>
      <w:tabs>
        <w:tab w:val="left" w:pos="2120"/>
      </w:tabs>
      <w:ind w:firstLine="0" w:firstLineChars="0"/>
    </w:pPr>
    <w:rPr>
      <w:b/>
    </w:rPr>
  </w:style>
  <w:style w:type="paragraph" w:customStyle="1" w:styleId="148">
    <w:name w:val="段落正文"/>
    <w:basedOn w:val="1"/>
    <w:qFormat/>
    <w:uiPriority w:val="0"/>
    <w:pPr>
      <w:spacing w:beforeLines="50" w:line="360" w:lineRule="auto"/>
      <w:ind w:firstLine="200" w:firstLineChars="200"/>
    </w:pPr>
    <w:rPr>
      <w:spacing w:val="2"/>
      <w:sz w:val="24"/>
    </w:rPr>
  </w:style>
  <w:style w:type="paragraph" w:customStyle="1" w:styleId="149">
    <w:name w:val="标题无"/>
    <w:basedOn w:val="1"/>
    <w:qFormat/>
    <w:uiPriority w:val="0"/>
    <w:pPr>
      <w:spacing w:line="360" w:lineRule="auto"/>
    </w:pPr>
    <w:rPr>
      <w:sz w:val="24"/>
    </w:rPr>
  </w:style>
  <w:style w:type="paragraph" w:customStyle="1" w:styleId="150">
    <w:name w:val="没有缩进（为图形使用）"/>
    <w:basedOn w:val="1"/>
    <w:qFormat/>
    <w:uiPriority w:val="0"/>
    <w:pPr>
      <w:spacing w:before="120" w:after="120" w:line="360" w:lineRule="auto"/>
    </w:pPr>
    <w:rPr>
      <w:sz w:val="24"/>
    </w:rPr>
  </w:style>
  <w:style w:type="paragraph" w:customStyle="1" w:styleId="151">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52">
    <w:name w:val="正文表格"/>
    <w:basedOn w:val="1"/>
    <w:qFormat/>
    <w:uiPriority w:val="0"/>
    <w:pPr>
      <w:adjustRightInd w:val="0"/>
      <w:spacing w:before="40" w:after="40"/>
    </w:pPr>
    <w:rPr>
      <w:sz w:val="24"/>
    </w:rPr>
  </w:style>
  <w:style w:type="paragraph" w:customStyle="1" w:styleId="15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54">
    <w:name w:val="标书正文:  0.74 厘米"/>
    <w:basedOn w:val="1"/>
    <w:qFormat/>
    <w:uiPriority w:val="0"/>
    <w:pPr>
      <w:snapToGrid w:val="0"/>
      <w:spacing w:line="360" w:lineRule="auto"/>
      <w:ind w:firstLine="420"/>
    </w:pPr>
    <w:rPr>
      <w:sz w:val="24"/>
    </w:rPr>
  </w:style>
  <w:style w:type="paragraph" w:customStyle="1" w:styleId="155">
    <w:name w:val="Title - Date"/>
    <w:basedOn w:val="56"/>
    <w:next w:val="1"/>
    <w:qFormat/>
    <w:uiPriority w:val="0"/>
    <w:pPr>
      <w:spacing w:before="240" w:after="720"/>
    </w:pPr>
    <w:rPr>
      <w:sz w:val="28"/>
    </w:rPr>
  </w:style>
  <w:style w:type="paragraph" w:customStyle="1" w:styleId="156">
    <w:name w:val="样式 标题 6第五层条 + 三号 段前: 0.5 行"/>
    <w:basedOn w:val="7"/>
    <w:qFormat/>
    <w:uiPriority w:val="0"/>
    <w:pPr>
      <w:widowControl/>
      <w:adjustRightInd/>
      <w:snapToGrid/>
      <w:spacing w:beforeLines="50"/>
      <w:jc w:val="left"/>
    </w:pPr>
    <w:rPr>
      <w:snapToGrid w:val="0"/>
      <w:kern w:val="24"/>
      <w:sz w:val="28"/>
    </w:rPr>
  </w:style>
  <w:style w:type="paragraph" w:customStyle="1" w:styleId="157">
    <w:name w:val="样式11"/>
    <w:basedOn w:val="1"/>
    <w:next w:val="1"/>
    <w:qFormat/>
    <w:uiPriority w:val="0"/>
    <w:rPr>
      <w:rFonts w:ascii="Times New Roman" w:hAnsi="Times New Roman"/>
    </w:rPr>
  </w:style>
  <w:style w:type="paragraph" w:customStyle="1" w:styleId="158">
    <w:name w:val="Char Char14 Char Char"/>
    <w:basedOn w:val="1"/>
    <w:qFormat/>
    <w:uiPriority w:val="0"/>
    <w:rPr>
      <w:sz w:val="21"/>
      <w:szCs w:val="24"/>
    </w:rPr>
  </w:style>
  <w:style w:type="paragraph" w:customStyle="1" w:styleId="159">
    <w:name w:val="正文1"/>
    <w:basedOn w:val="1"/>
    <w:qFormat/>
    <w:uiPriority w:val="0"/>
    <w:pPr>
      <w:spacing w:line="300" w:lineRule="auto"/>
      <w:ind w:firstLine="200" w:firstLineChars="200"/>
    </w:pPr>
    <w:rPr>
      <w:sz w:val="24"/>
    </w:rPr>
  </w:style>
  <w:style w:type="paragraph" w:customStyle="1" w:styleId="160">
    <w:name w:val="表头文本"/>
    <w:qFormat/>
    <w:uiPriority w:val="0"/>
    <w:pPr>
      <w:jc w:val="center"/>
    </w:pPr>
    <w:rPr>
      <w:rFonts w:ascii="Arial" w:hAnsi="Arial" w:eastAsia="宋体" w:cs="Times New Roman"/>
      <w:b/>
      <w:sz w:val="21"/>
      <w:lang w:val="en-US" w:eastAsia="zh-CN" w:bidi="ar-SA"/>
    </w:rPr>
  </w:style>
  <w:style w:type="paragraph" w:customStyle="1" w:styleId="161">
    <w:name w:val="Char Char Char Char Char Char Char"/>
    <w:basedOn w:val="1"/>
    <w:qFormat/>
    <w:uiPriority w:val="0"/>
    <w:rPr>
      <w:rFonts w:ascii="Tahoma" w:hAnsi="Tahoma"/>
      <w:sz w:val="24"/>
    </w:rPr>
  </w:style>
  <w:style w:type="paragraph" w:customStyle="1" w:styleId="162">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3">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64">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65">
    <w:name w:val="正文文本缩进 21"/>
    <w:basedOn w:val="1"/>
    <w:qFormat/>
    <w:uiPriority w:val="0"/>
    <w:pPr>
      <w:adjustRightInd w:val="0"/>
      <w:spacing w:before="120"/>
      <w:ind w:firstLine="420"/>
      <w:textAlignment w:val="baseline"/>
    </w:pPr>
    <w:rPr>
      <w:sz w:val="24"/>
    </w:rPr>
  </w:style>
  <w:style w:type="paragraph" w:customStyle="1" w:styleId="166">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67">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68">
    <w:name w:val="样式 正文首行缩进 2 + 首行缩进:  2 字符"/>
    <w:basedOn w:val="1"/>
    <w:qFormat/>
    <w:uiPriority w:val="0"/>
    <w:pPr>
      <w:numPr>
        <w:ilvl w:val="0"/>
        <w:numId w:val="5"/>
      </w:numPr>
      <w:adjustRightInd w:val="0"/>
      <w:snapToGrid w:val="0"/>
      <w:spacing w:line="360" w:lineRule="auto"/>
    </w:pPr>
    <w:rPr>
      <w:rFonts w:ascii="Arial" w:hAnsi="Arial"/>
      <w:b/>
      <w:sz w:val="24"/>
    </w:rPr>
  </w:style>
  <w:style w:type="paragraph" w:customStyle="1" w:styleId="169">
    <w:name w:val="样式 首行缩进:  0.74 厘米"/>
    <w:basedOn w:val="1"/>
    <w:qFormat/>
    <w:uiPriority w:val="0"/>
    <w:pPr>
      <w:spacing w:line="360" w:lineRule="auto"/>
      <w:ind w:firstLine="420"/>
    </w:pPr>
    <w:rPr>
      <w:sz w:val="24"/>
    </w:rPr>
  </w:style>
  <w:style w:type="paragraph" w:customStyle="1" w:styleId="170">
    <w:name w:val="表格文本"/>
    <w:qFormat/>
    <w:uiPriority w:val="0"/>
    <w:pPr>
      <w:tabs>
        <w:tab w:val="decimal" w:pos="0"/>
      </w:tabs>
    </w:pPr>
    <w:rPr>
      <w:rFonts w:ascii="Arial" w:hAnsi="Arial" w:eastAsia="宋体" w:cs="Times New Roman"/>
      <w:sz w:val="21"/>
      <w:lang w:val="en-US" w:eastAsia="zh-CN" w:bidi="ar-SA"/>
    </w:rPr>
  </w:style>
  <w:style w:type="paragraph" w:customStyle="1" w:styleId="171">
    <w:name w:val="默认段落字体 Para Char Char Char Char Char Char Char"/>
    <w:basedOn w:val="1"/>
    <w:qFormat/>
    <w:uiPriority w:val="0"/>
    <w:rPr>
      <w:rFonts w:ascii="Tahoma" w:hAnsi="Tahoma"/>
      <w:sz w:val="24"/>
    </w:rPr>
  </w:style>
  <w:style w:type="paragraph" w:customStyle="1" w:styleId="172">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73">
    <w:name w:val="Char1"/>
    <w:basedOn w:val="1"/>
    <w:qFormat/>
    <w:uiPriority w:val="0"/>
    <w:rPr>
      <w:sz w:val="21"/>
    </w:rPr>
  </w:style>
  <w:style w:type="paragraph" w:customStyle="1" w:styleId="174">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175">
    <w:name w:val="Char1 Char Char Char"/>
    <w:basedOn w:val="1"/>
    <w:qFormat/>
    <w:uiPriority w:val="0"/>
    <w:rPr>
      <w:rFonts w:ascii="Tahoma" w:hAnsi="Tahoma"/>
      <w:sz w:val="30"/>
    </w:rPr>
  </w:style>
  <w:style w:type="paragraph" w:customStyle="1" w:styleId="176">
    <w:name w:val="Char Char Char Char Char"/>
    <w:basedOn w:val="1"/>
    <w:qFormat/>
    <w:uiPriority w:val="0"/>
    <w:pPr>
      <w:numPr>
        <w:ilvl w:val="0"/>
        <w:numId w:val="6"/>
      </w:numPr>
      <w:tabs>
        <w:tab w:val="left" w:pos="425"/>
        <w:tab w:val="clear" w:pos="1620"/>
      </w:tabs>
    </w:pPr>
    <w:rPr>
      <w:rFonts w:ascii="Tahoma" w:hAnsi="Tahoma"/>
      <w:sz w:val="24"/>
    </w:rPr>
  </w:style>
  <w:style w:type="paragraph" w:customStyle="1" w:styleId="177">
    <w:name w:val="Item Step in Table"/>
    <w:qFormat/>
    <w:uiPriority w:val="0"/>
    <w:pPr>
      <w:numPr>
        <w:ilvl w:val="0"/>
        <w:numId w:val="7"/>
      </w:numPr>
      <w:tabs>
        <w:tab w:val="left" w:pos="397"/>
      </w:tabs>
      <w:spacing w:before="40" w:after="40"/>
      <w:jc w:val="both"/>
    </w:pPr>
    <w:rPr>
      <w:rFonts w:ascii="Arial" w:hAnsi="Arial" w:eastAsia="宋体" w:cs="Times New Roman"/>
      <w:sz w:val="18"/>
      <w:lang w:val="en-US" w:eastAsia="zh-CN" w:bidi="ar-SA"/>
    </w:rPr>
  </w:style>
  <w:style w:type="paragraph" w:customStyle="1" w:styleId="178">
    <w:name w:val="Table Contents"/>
    <w:basedOn w:val="22"/>
    <w:qFormat/>
    <w:uiPriority w:val="0"/>
    <w:pPr>
      <w:suppressAutoHyphens/>
      <w:jc w:val="left"/>
    </w:pPr>
    <w:rPr>
      <w:rFonts w:ascii="Times New Roman" w:eastAsia="Times New Roman"/>
      <w:kern w:val="0"/>
      <w:sz w:val="24"/>
    </w:rPr>
  </w:style>
  <w:style w:type="paragraph" w:customStyle="1" w:styleId="179">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180">
    <w:name w:val="List Paragraph11"/>
    <w:basedOn w:val="1"/>
    <w:qFormat/>
    <w:uiPriority w:val="0"/>
    <w:pPr>
      <w:ind w:firstLine="420" w:firstLineChars="200"/>
    </w:pPr>
    <w:rPr>
      <w:rFonts w:ascii="等线" w:hAnsi="等线" w:eastAsia="等线"/>
      <w:sz w:val="21"/>
      <w:szCs w:val="22"/>
    </w:rPr>
  </w:style>
  <w:style w:type="paragraph" w:customStyle="1" w:styleId="181">
    <w:name w:val="附录3"/>
    <w:basedOn w:val="1"/>
    <w:next w:val="1"/>
    <w:qFormat/>
    <w:uiPriority w:val="0"/>
    <w:pPr>
      <w:tabs>
        <w:tab w:val="left" w:pos="851"/>
      </w:tabs>
      <w:ind w:left="425" w:hanging="425"/>
      <w:outlineLvl w:val="2"/>
    </w:pPr>
    <w:rPr>
      <w:rFonts w:eastAsia="黑体"/>
      <w:b/>
      <w:sz w:val="32"/>
    </w:rPr>
  </w:style>
  <w:style w:type="paragraph" w:customStyle="1" w:styleId="182">
    <w:name w:val="标题3——2"/>
    <w:basedOn w:val="4"/>
    <w:next w:val="58"/>
    <w:qFormat/>
    <w:uiPriority w:val="0"/>
    <w:pPr>
      <w:tabs>
        <w:tab w:val="left" w:pos="1280"/>
        <w:tab w:val="right" w:leader="dot" w:pos="8777"/>
      </w:tabs>
      <w:spacing w:beforeLines="100" w:after="0" w:line="240" w:lineRule="auto"/>
      <w:ind w:left="851" w:hanging="851"/>
      <w:outlineLvl w:val="9"/>
    </w:pPr>
    <w:rPr>
      <w:rFonts w:ascii="黑体" w:hAnsi="宋体" w:eastAsia="黑体"/>
      <w:sz w:val="30"/>
    </w:rPr>
  </w:style>
  <w:style w:type="paragraph" w:customStyle="1" w:styleId="183">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84">
    <w:name w:val="表号"/>
    <w:basedOn w:val="1"/>
    <w:qFormat/>
    <w:uiPriority w:val="0"/>
    <w:pPr>
      <w:numPr>
        <w:ilvl w:val="0"/>
        <w:numId w:val="8"/>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85">
    <w:name w:val="List Paragraph1"/>
    <w:basedOn w:val="1"/>
    <w:qFormat/>
    <w:uiPriority w:val="0"/>
    <w:pPr>
      <w:ind w:firstLine="420" w:firstLineChars="200"/>
    </w:pPr>
    <w:rPr>
      <w:sz w:val="21"/>
      <w:szCs w:val="22"/>
    </w:rPr>
  </w:style>
  <w:style w:type="paragraph" w:customStyle="1" w:styleId="186">
    <w:name w:val="af"/>
    <w:basedOn w:val="1"/>
    <w:qFormat/>
    <w:uiPriority w:val="0"/>
    <w:pPr>
      <w:widowControl/>
      <w:spacing w:line="300" w:lineRule="atLeast"/>
      <w:jc w:val="left"/>
    </w:pPr>
    <w:rPr>
      <w:rFonts w:ascii="宋体" w:hAnsi="宋体"/>
      <w:kern w:val="0"/>
      <w:sz w:val="18"/>
    </w:rPr>
  </w:style>
  <w:style w:type="paragraph" w:customStyle="1" w:styleId="187">
    <w:name w:val="样式8"/>
    <w:basedOn w:val="1"/>
    <w:next w:val="1"/>
    <w:qFormat/>
    <w:uiPriority w:val="0"/>
    <w:rPr>
      <w:rFonts w:ascii="Times New Roman" w:hAnsi="Times New Roman" w:eastAsia="仿宋"/>
      <w:sz w:val="24"/>
    </w:rPr>
  </w:style>
  <w:style w:type="paragraph" w:customStyle="1" w:styleId="188">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89">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190">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191">
    <w:name w:val="图片文字"/>
    <w:basedOn w:val="1"/>
    <w:qFormat/>
    <w:uiPriority w:val="0"/>
    <w:pPr>
      <w:spacing w:line="240" w:lineRule="atLeast"/>
      <w:jc w:val="center"/>
    </w:pPr>
    <w:rPr>
      <w:sz w:val="21"/>
    </w:rPr>
  </w:style>
  <w:style w:type="paragraph" w:customStyle="1" w:styleId="192">
    <w:name w:val="表格内文字"/>
    <w:basedOn w:val="32"/>
    <w:qFormat/>
    <w:uiPriority w:val="0"/>
    <w:pPr>
      <w:adjustRightInd w:val="0"/>
    </w:pPr>
    <w:rPr>
      <w:color w:val="000000"/>
      <w:lang w:val="en-GB"/>
    </w:rPr>
  </w:style>
  <w:style w:type="paragraph" w:customStyle="1" w:styleId="193">
    <w:name w:val="二级条标题"/>
    <w:basedOn w:val="194"/>
    <w:next w:val="196"/>
    <w:qFormat/>
    <w:uiPriority w:val="0"/>
    <w:pPr>
      <w:ind w:left="840"/>
      <w:outlineLvl w:val="3"/>
    </w:pPr>
  </w:style>
  <w:style w:type="paragraph" w:customStyle="1" w:styleId="194">
    <w:name w:val="一级条标题"/>
    <w:basedOn w:val="195"/>
    <w:next w:val="196"/>
    <w:qFormat/>
    <w:uiPriority w:val="0"/>
    <w:pPr>
      <w:numPr>
        <w:numId w:val="0"/>
      </w:numPr>
      <w:spacing w:beforeLines="0" w:afterLines="0"/>
      <w:ind w:left="525"/>
      <w:outlineLvl w:val="2"/>
    </w:pPr>
    <w:rPr>
      <w:sz w:val="21"/>
    </w:rPr>
  </w:style>
  <w:style w:type="paragraph" w:customStyle="1" w:styleId="195">
    <w:name w:val="章标题"/>
    <w:next w:val="1"/>
    <w:qFormat/>
    <w:uiPriority w:val="0"/>
    <w:pPr>
      <w:numPr>
        <w:ilvl w:val="1"/>
        <w:numId w:val="7"/>
      </w:numPr>
      <w:spacing w:beforeLines="50" w:afterLines="50"/>
      <w:ind w:left="0"/>
      <w:jc w:val="both"/>
      <w:outlineLvl w:val="1"/>
    </w:pPr>
    <w:rPr>
      <w:rFonts w:ascii="黑体" w:hAnsi="Calibri" w:eastAsia="宋体" w:cs="Times New Roman"/>
      <w:sz w:val="24"/>
      <w:lang w:val="en-US" w:eastAsia="zh-CN" w:bidi="ar-SA"/>
    </w:rPr>
  </w:style>
  <w:style w:type="paragraph" w:customStyle="1" w:styleId="196">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7">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98">
    <w:name w:val="标题 5（有编号）（绿盟科技）"/>
    <w:basedOn w:val="1"/>
    <w:next w:val="151"/>
    <w:qFormat/>
    <w:uiPriority w:val="0"/>
    <w:pPr>
      <w:keepNext/>
      <w:keepLines/>
      <w:numPr>
        <w:ilvl w:val="4"/>
        <w:numId w:val="9"/>
      </w:numPr>
      <w:spacing w:before="280" w:after="156" w:line="377" w:lineRule="auto"/>
      <w:jc w:val="left"/>
      <w:outlineLvl w:val="4"/>
    </w:pPr>
    <w:rPr>
      <w:rFonts w:ascii="Arial" w:hAnsi="Arial" w:eastAsia="黑体"/>
      <w:b/>
      <w:kern w:val="0"/>
      <w:sz w:val="24"/>
      <w:szCs w:val="28"/>
    </w:rPr>
  </w:style>
  <w:style w:type="paragraph" w:customStyle="1" w:styleId="199">
    <w:name w:val="Char2 Char Char Char Char Char Char"/>
    <w:basedOn w:val="1"/>
    <w:qFormat/>
    <w:uiPriority w:val="0"/>
    <w:rPr>
      <w:rFonts w:ascii="仿宋_GB2312"/>
      <w:b/>
      <w:sz w:val="30"/>
    </w:rPr>
  </w:style>
  <w:style w:type="paragraph" w:customStyle="1" w:styleId="200">
    <w:name w:val="表头样式"/>
    <w:basedOn w:val="1"/>
    <w:qFormat/>
    <w:uiPriority w:val="0"/>
    <w:pPr>
      <w:autoSpaceDE w:val="0"/>
      <w:autoSpaceDN w:val="0"/>
      <w:adjustRightInd w:val="0"/>
      <w:spacing w:line="360" w:lineRule="auto"/>
      <w:jc w:val="left"/>
    </w:pPr>
    <w:rPr>
      <w:b/>
      <w:kern w:val="0"/>
      <w:sz w:val="21"/>
    </w:rPr>
  </w:style>
  <w:style w:type="paragraph" w:customStyle="1" w:styleId="201">
    <w:name w:val="文本框样式1"/>
    <w:basedOn w:val="1"/>
    <w:qFormat/>
    <w:uiPriority w:val="0"/>
    <w:pPr>
      <w:adjustRightInd w:val="0"/>
      <w:snapToGrid w:val="0"/>
      <w:spacing w:before="60" w:line="180" w:lineRule="exact"/>
      <w:jc w:val="center"/>
    </w:pPr>
    <w:rPr>
      <w:sz w:val="21"/>
    </w:rPr>
  </w:style>
  <w:style w:type="paragraph" w:customStyle="1" w:styleId="202">
    <w:name w:val="样式6"/>
    <w:basedOn w:val="1"/>
    <w:next w:val="1"/>
    <w:qFormat/>
    <w:uiPriority w:val="0"/>
    <w:rPr>
      <w:rFonts w:ascii="Times New Roman" w:hAnsi="Times New Roman"/>
    </w:rPr>
  </w:style>
  <w:style w:type="paragraph" w:customStyle="1" w:styleId="203">
    <w:name w:val="_"/>
    <w:basedOn w:val="1"/>
    <w:qFormat/>
    <w:uiPriority w:val="0"/>
    <w:pPr>
      <w:adjustRightInd w:val="0"/>
      <w:spacing w:line="360" w:lineRule="auto"/>
      <w:ind w:left="480" w:firstLine="200" w:firstLineChars="200"/>
      <w:textAlignment w:val="baseline"/>
    </w:pPr>
    <w:rPr>
      <w:kern w:val="0"/>
      <w:sz w:val="24"/>
    </w:rPr>
  </w:style>
  <w:style w:type="paragraph" w:customStyle="1" w:styleId="204">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05">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206">
    <w:name w:val="样式 样式 首行缩进:  2 字符 + 首行缩进:  2 字符"/>
    <w:basedOn w:val="1"/>
    <w:qFormat/>
    <w:uiPriority w:val="0"/>
    <w:pPr>
      <w:numPr>
        <w:ilvl w:val="0"/>
        <w:numId w:val="10"/>
      </w:numPr>
      <w:tabs>
        <w:tab w:val="clear" w:pos="1230"/>
      </w:tabs>
      <w:spacing w:line="360" w:lineRule="auto"/>
      <w:ind w:firstLine="480" w:firstLineChars="200"/>
    </w:pPr>
    <w:rPr>
      <w:sz w:val="24"/>
    </w:rPr>
  </w:style>
  <w:style w:type="paragraph" w:customStyle="1" w:styleId="207">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208">
    <w:name w:val="Table Heading"/>
    <w:qFormat/>
    <w:uiPriority w:val="0"/>
    <w:pPr>
      <w:keepNext/>
      <w:snapToGrid w:val="0"/>
      <w:spacing w:before="80" w:after="80"/>
      <w:jc w:val="center"/>
    </w:pPr>
    <w:rPr>
      <w:rFonts w:ascii="Arial" w:hAnsi="Arial" w:eastAsia="宋体" w:cs="Times New Roman"/>
      <w:sz w:val="18"/>
      <w:lang w:val="en-US" w:eastAsia="zh-CN" w:bidi="ar-SA"/>
    </w:rPr>
  </w:style>
  <w:style w:type="paragraph" w:customStyle="1" w:styleId="209">
    <w:name w:val="文本1"/>
    <w:basedOn w:val="1"/>
    <w:qFormat/>
    <w:uiPriority w:val="0"/>
    <w:pPr>
      <w:adjustRightInd w:val="0"/>
      <w:spacing w:line="312" w:lineRule="atLeast"/>
      <w:jc w:val="center"/>
      <w:textAlignment w:val="baseline"/>
    </w:pPr>
    <w:rPr>
      <w:kern w:val="0"/>
      <w:sz w:val="18"/>
    </w:rPr>
  </w:style>
  <w:style w:type="paragraph" w:customStyle="1" w:styleId="210">
    <w:name w:val="IN Feature"/>
    <w:next w:val="211"/>
    <w:qFormat/>
    <w:uiPriority w:val="0"/>
    <w:pPr>
      <w:keepNext/>
      <w:keepLines/>
      <w:spacing w:before="240" w:after="240"/>
      <w:outlineLvl w:val="7"/>
    </w:pPr>
    <w:rPr>
      <w:rFonts w:ascii="Arial" w:hAnsi="Arial" w:eastAsia="宋体" w:cs="Times New Roman"/>
      <w:sz w:val="21"/>
      <w:lang w:val="en-US" w:eastAsia="zh-CN" w:bidi="ar-SA"/>
    </w:rPr>
  </w:style>
  <w:style w:type="paragraph" w:customStyle="1" w:styleId="211">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212">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13">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14">
    <w:name w:val="正文字缩2字"/>
    <w:basedOn w:val="1"/>
    <w:qFormat/>
    <w:uiPriority w:val="0"/>
    <w:pPr>
      <w:spacing w:before="60" w:after="60" w:line="360" w:lineRule="auto"/>
      <w:ind w:left="200" w:leftChars="200" w:firstLine="200" w:firstLineChars="200"/>
    </w:pPr>
    <w:rPr>
      <w:sz w:val="24"/>
    </w:rPr>
  </w:style>
  <w:style w:type="paragraph" w:customStyle="1" w:styleId="21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16">
    <w:name w:val="样式4"/>
    <w:basedOn w:val="5"/>
    <w:qFormat/>
    <w:uiPriority w:val="0"/>
    <w:pPr>
      <w:adjustRightInd w:val="0"/>
      <w:snapToGrid w:val="0"/>
    </w:pPr>
  </w:style>
  <w:style w:type="paragraph" w:customStyle="1" w:styleId="217">
    <w:name w:val="样式 行距: 1.5 倍行距1"/>
    <w:basedOn w:val="1"/>
    <w:qFormat/>
    <w:uiPriority w:val="0"/>
    <w:pPr>
      <w:snapToGrid w:val="0"/>
    </w:pPr>
    <w:rPr>
      <w:sz w:val="21"/>
    </w:rPr>
  </w:style>
  <w:style w:type="paragraph" w:customStyle="1" w:styleId="218">
    <w:name w:val="Char"/>
    <w:basedOn w:val="1"/>
    <w:qFormat/>
    <w:uiPriority w:val="0"/>
    <w:pPr>
      <w:spacing w:line="240" w:lineRule="atLeast"/>
      <w:ind w:left="420" w:firstLine="420"/>
    </w:pPr>
    <w:rPr>
      <w:kern w:val="0"/>
      <w:sz w:val="21"/>
    </w:rPr>
  </w:style>
  <w:style w:type="paragraph" w:customStyle="1" w:styleId="219">
    <w:name w:val="样式1"/>
    <w:basedOn w:val="5"/>
    <w:qFormat/>
    <w:uiPriority w:val="0"/>
    <w:pPr>
      <w:tabs>
        <w:tab w:val="left" w:pos="720"/>
      </w:tabs>
      <w:spacing w:before="500" w:after="260" w:line="560" w:lineRule="atLeast"/>
      <w:ind w:left="420" w:hanging="420"/>
    </w:pPr>
  </w:style>
  <w:style w:type="paragraph" w:customStyle="1" w:styleId="220">
    <w:name w:val="标准正文"/>
    <w:basedOn w:val="23"/>
    <w:qFormat/>
    <w:uiPriority w:val="0"/>
    <w:pPr>
      <w:spacing w:before="60" w:after="60" w:line="360" w:lineRule="auto"/>
      <w:ind w:left="0" w:firstLine="482"/>
    </w:pPr>
    <w:rPr>
      <w:rFonts w:ascii="Arial" w:hAnsi="Arial"/>
      <w:sz w:val="24"/>
    </w:rPr>
  </w:style>
  <w:style w:type="paragraph" w:customStyle="1" w:styleId="221">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22">
    <w:name w:val="Item List"/>
    <w:qFormat/>
    <w:uiPriority w:val="0"/>
    <w:pPr>
      <w:numPr>
        <w:ilvl w:val="0"/>
        <w:numId w:val="11"/>
      </w:numPr>
      <w:spacing w:line="300" w:lineRule="auto"/>
      <w:jc w:val="both"/>
    </w:pPr>
    <w:rPr>
      <w:rFonts w:ascii="Arial" w:hAnsi="Arial" w:eastAsia="宋体" w:cs="Times New Roman"/>
      <w:sz w:val="21"/>
      <w:lang w:val="en-US" w:eastAsia="zh-CN" w:bidi="ar-SA"/>
    </w:rPr>
  </w:style>
  <w:style w:type="paragraph" w:customStyle="1" w:styleId="223">
    <w:name w:val="Figure Description"/>
    <w:next w:val="1"/>
    <w:qFormat/>
    <w:uiPriority w:val="0"/>
    <w:pPr>
      <w:snapToGrid w:val="0"/>
      <w:spacing w:before="80" w:after="320"/>
      <w:ind w:left="1134"/>
      <w:jc w:val="center"/>
    </w:pPr>
    <w:rPr>
      <w:rFonts w:ascii="Arial" w:hAnsi="Arial" w:eastAsia="宋体" w:cs="Times New Roman"/>
      <w:sz w:val="18"/>
      <w:lang w:val="en-US" w:eastAsia="zh-CN" w:bidi="ar-SA"/>
    </w:rPr>
  </w:style>
  <w:style w:type="paragraph" w:customStyle="1" w:styleId="224">
    <w:name w:val="样式7"/>
    <w:basedOn w:val="1"/>
    <w:next w:val="1"/>
    <w:qFormat/>
    <w:uiPriority w:val="0"/>
    <w:rPr>
      <w:rFonts w:ascii="Times New Roman" w:hAnsi="Times New Roman"/>
    </w:rPr>
  </w:style>
  <w:style w:type="paragraph" w:customStyle="1" w:styleId="225">
    <w:name w:val="正文 A"/>
    <w:qFormat/>
    <w:uiPriority w:val="0"/>
    <w:pPr>
      <w:framePr w:wrap="around" w:vAnchor="margin" w:hAnchor="text" w:y="1"/>
      <w:widowControl w:val="0"/>
      <w:jc w:val="both"/>
    </w:pPr>
    <w:rPr>
      <w:rFonts w:ascii="Calibri" w:hAnsi="Calibri" w:eastAsia="Times New Roman" w:cs="Times New Roman"/>
      <w:color w:val="000000"/>
      <w:kern w:val="2"/>
      <w:sz w:val="28"/>
      <w:szCs w:val="28"/>
      <w:lang w:val="en-US" w:eastAsia="zh-CN" w:bidi="ar-SA"/>
    </w:rPr>
  </w:style>
  <w:style w:type="paragraph" w:customStyle="1" w:styleId="226">
    <w:name w:val="Table Description"/>
    <w:next w:val="1"/>
    <w:qFormat/>
    <w:uiPriority w:val="0"/>
    <w:pPr>
      <w:keepNext/>
      <w:snapToGrid w:val="0"/>
      <w:spacing w:before="160" w:after="80"/>
      <w:ind w:left="1134"/>
      <w:jc w:val="center"/>
    </w:pPr>
    <w:rPr>
      <w:rFonts w:ascii="Arial" w:hAnsi="Arial" w:eastAsia="宋体" w:cs="Times New Roman"/>
      <w:sz w:val="18"/>
      <w:lang w:val="en-US" w:eastAsia="zh-CN" w:bidi="ar-SA"/>
    </w:rPr>
  </w:style>
  <w:style w:type="paragraph" w:customStyle="1" w:styleId="227">
    <w:name w:val="Char Char 字元 字元 字元 Char Char Char Char"/>
    <w:basedOn w:val="1"/>
    <w:qFormat/>
    <w:uiPriority w:val="0"/>
    <w:pPr>
      <w:adjustRightInd w:val="0"/>
      <w:spacing w:line="360" w:lineRule="auto"/>
    </w:pPr>
    <w:rPr>
      <w:kern w:val="0"/>
      <w:sz w:val="24"/>
    </w:rPr>
  </w:style>
  <w:style w:type="paragraph" w:customStyle="1" w:styleId="228">
    <w:name w:val="内容标题"/>
    <w:basedOn w:val="17"/>
    <w:qFormat/>
    <w:uiPriority w:val="0"/>
    <w:rPr>
      <w:rFonts w:ascii="Tahoma" w:hAnsi="Tahoma"/>
      <w:sz w:val="24"/>
    </w:rPr>
  </w:style>
  <w:style w:type="paragraph" w:customStyle="1" w:styleId="229">
    <w:name w:val="Char Char Char Char Char Char Char Char Char Char Char Char Char Char Char Char"/>
    <w:basedOn w:val="1"/>
    <w:qFormat/>
    <w:uiPriority w:val="0"/>
    <w:pPr>
      <w:tabs>
        <w:tab w:val="left" w:pos="360"/>
      </w:tabs>
    </w:pPr>
    <w:rPr>
      <w:sz w:val="24"/>
    </w:rPr>
  </w:style>
  <w:style w:type="paragraph" w:customStyle="1" w:styleId="230">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31">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32">
    <w:name w:val="图例"/>
    <w:basedOn w:val="1"/>
    <w:qFormat/>
    <w:uiPriority w:val="0"/>
    <w:pPr>
      <w:spacing w:before="120" w:after="120" w:line="360" w:lineRule="auto"/>
      <w:jc w:val="center"/>
    </w:pPr>
    <w:rPr>
      <w:rFonts w:eastAsia="仿宋_GB2312"/>
      <w:b/>
      <w:sz w:val="24"/>
    </w:rPr>
  </w:style>
  <w:style w:type="paragraph" w:customStyle="1" w:styleId="233">
    <w:name w:val="00"/>
    <w:basedOn w:val="1"/>
    <w:qFormat/>
    <w:uiPriority w:val="0"/>
    <w:pPr>
      <w:autoSpaceDE w:val="0"/>
      <w:autoSpaceDN w:val="0"/>
      <w:adjustRightInd w:val="0"/>
      <w:jc w:val="left"/>
    </w:pPr>
    <w:rPr>
      <w:rFonts w:ascii="黑体" w:eastAsia="黑体"/>
      <w:b/>
      <w:kern w:val="0"/>
      <w:sz w:val="20"/>
    </w:rPr>
  </w:style>
  <w:style w:type="paragraph" w:customStyle="1" w:styleId="234">
    <w:name w:val="Char1 Char Char Char1"/>
    <w:basedOn w:val="1"/>
    <w:qFormat/>
    <w:uiPriority w:val="0"/>
    <w:rPr>
      <w:rFonts w:ascii="Tahoma" w:hAnsi="Tahoma"/>
      <w:sz w:val="24"/>
    </w:rPr>
  </w:style>
  <w:style w:type="paragraph" w:customStyle="1" w:styleId="235">
    <w:name w:val="表文字"/>
    <w:qFormat/>
    <w:uiPriority w:val="0"/>
    <w:rPr>
      <w:rFonts w:ascii="宋体" w:hAnsi="Calibri" w:eastAsia="宋体" w:cs="Times New Roman"/>
      <w:kern w:val="2"/>
      <w:lang w:val="en-US" w:eastAsia="zh-CN" w:bidi="ar-SA"/>
    </w:rPr>
  </w:style>
  <w:style w:type="paragraph" w:customStyle="1" w:styleId="236">
    <w:name w:val="正文4"/>
    <w:basedOn w:val="1"/>
    <w:qFormat/>
    <w:uiPriority w:val="0"/>
    <w:pPr>
      <w:tabs>
        <w:tab w:val="left" w:pos="1275"/>
      </w:tabs>
      <w:spacing w:before="60" w:after="60" w:line="360" w:lineRule="auto"/>
      <w:ind w:left="820" w:leftChars="400" w:hanging="705"/>
    </w:pPr>
    <w:rPr>
      <w:sz w:val="24"/>
    </w:rPr>
  </w:style>
  <w:style w:type="paragraph" w:customStyle="1" w:styleId="237">
    <w:name w:val="可研正文"/>
    <w:basedOn w:val="22"/>
    <w:qFormat/>
    <w:uiPriority w:val="0"/>
    <w:pPr>
      <w:adjustRightInd w:val="0"/>
      <w:snapToGrid w:val="0"/>
      <w:spacing w:line="440" w:lineRule="exact"/>
      <w:ind w:firstLine="567"/>
    </w:pPr>
    <w:rPr>
      <w:sz w:val="28"/>
    </w:rPr>
  </w:style>
  <w:style w:type="paragraph" w:customStyle="1" w:styleId="238">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239">
    <w:name w:val="正文 + 三号"/>
    <w:basedOn w:val="1"/>
    <w:qFormat/>
    <w:uiPriority w:val="0"/>
    <w:rPr>
      <w:sz w:val="21"/>
    </w:rPr>
  </w:style>
  <w:style w:type="paragraph" w:customStyle="1" w:styleId="240">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241">
    <w:name w:val="列表项目"/>
    <w:basedOn w:val="1"/>
    <w:qFormat/>
    <w:uiPriority w:val="0"/>
    <w:pPr>
      <w:numPr>
        <w:ilvl w:val="0"/>
        <w:numId w:val="12"/>
      </w:numPr>
      <w:tabs>
        <w:tab w:val="left" w:pos="420"/>
        <w:tab w:val="clear" w:pos="1200"/>
      </w:tabs>
      <w:spacing w:line="288" w:lineRule="auto"/>
      <w:ind w:left="840" w:leftChars="200" w:hanging="420" w:hangingChars="200"/>
    </w:pPr>
    <w:rPr>
      <w:sz w:val="21"/>
    </w:rPr>
  </w:style>
  <w:style w:type="paragraph" w:customStyle="1" w:styleId="242">
    <w:name w:val="标题1"/>
    <w:basedOn w:val="1"/>
    <w:next w:val="1"/>
    <w:qFormat/>
    <w:uiPriority w:val="0"/>
    <w:rPr>
      <w:rFonts w:ascii="Times New Roman" w:hAnsi="Times New Roman"/>
    </w:rPr>
  </w:style>
  <w:style w:type="paragraph" w:customStyle="1" w:styleId="243">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244">
    <w:name w:val="关键词"/>
    <w:basedOn w:val="1"/>
    <w:next w:val="1"/>
    <w:qFormat/>
    <w:uiPriority w:val="0"/>
    <w:pPr>
      <w:spacing w:line="360" w:lineRule="auto"/>
    </w:pPr>
    <w:rPr>
      <w:rFonts w:eastAsia="黑体"/>
      <w:sz w:val="20"/>
    </w:rPr>
  </w:style>
  <w:style w:type="paragraph" w:customStyle="1" w:styleId="245">
    <w:name w:val="Char Char Char Char Char Char Char1"/>
    <w:basedOn w:val="17"/>
    <w:qFormat/>
    <w:uiPriority w:val="0"/>
    <w:rPr>
      <w:rFonts w:ascii="宋体" w:hAnsi="Tahoma"/>
    </w:rPr>
  </w:style>
  <w:style w:type="paragraph" w:customStyle="1" w:styleId="246">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47">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248">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249">
    <w:name w:val="Char2"/>
    <w:basedOn w:val="1"/>
    <w:qFormat/>
    <w:uiPriority w:val="0"/>
    <w:pPr>
      <w:spacing w:line="240" w:lineRule="atLeast"/>
      <w:ind w:left="420" w:firstLine="420"/>
    </w:pPr>
    <w:rPr>
      <w:kern w:val="0"/>
      <w:sz w:val="21"/>
    </w:rPr>
  </w:style>
  <w:style w:type="paragraph" w:customStyle="1" w:styleId="250">
    <w:name w:val="样式12"/>
    <w:basedOn w:val="1"/>
    <w:next w:val="1"/>
    <w:qFormat/>
    <w:uiPriority w:val="0"/>
    <w:rPr>
      <w:rFonts w:ascii="Times New Roman" w:hAnsi="Times New Roman" w:eastAsia="仿宋"/>
      <w:sz w:val="24"/>
    </w:rPr>
  </w:style>
  <w:style w:type="paragraph" w:customStyle="1" w:styleId="251">
    <w:name w:val="样式2"/>
    <w:basedOn w:val="5"/>
    <w:qFormat/>
    <w:uiPriority w:val="0"/>
    <w:pPr>
      <w:numPr>
        <w:ilvl w:val="0"/>
        <w:numId w:val="13"/>
      </w:numPr>
      <w:spacing w:before="560" w:line="400" w:lineRule="exact"/>
      <w:jc w:val="center"/>
      <w:outlineLvl w:val="0"/>
    </w:pPr>
    <w:rPr>
      <w:sz w:val="44"/>
    </w:rPr>
  </w:style>
  <w:style w:type="paragraph" w:customStyle="1" w:styleId="252">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253">
    <w:name w:val="列出段落1"/>
    <w:qFormat/>
    <w:uiPriority w:val="0"/>
    <w:pPr>
      <w:framePr w:wrap="around" w:vAnchor="margin" w:hAnchor="text" w:y="1"/>
      <w:widowControl w:val="0"/>
      <w:ind w:firstLine="420"/>
      <w:jc w:val="both"/>
    </w:pPr>
    <w:rPr>
      <w:rFonts w:ascii="Calibri" w:hAnsi="Calibri" w:eastAsia="Times New Roman" w:cs="Calibri"/>
      <w:color w:val="000000"/>
      <w:kern w:val="2"/>
      <w:sz w:val="21"/>
      <w:szCs w:val="21"/>
      <w:u w:color="000000"/>
      <w:lang w:val="en-US" w:eastAsia="zh-CN" w:bidi="ar-SA"/>
    </w:rPr>
  </w:style>
  <w:style w:type="paragraph" w:customStyle="1" w:styleId="254">
    <w:name w:val="文章正文"/>
    <w:basedOn w:val="1"/>
    <w:qFormat/>
    <w:uiPriority w:val="0"/>
    <w:pPr>
      <w:ind w:firstLine="560" w:firstLineChars="200"/>
    </w:pPr>
    <w:rPr>
      <w:rFonts w:ascii="仿宋_GB2312" w:hAnsi="宋体" w:eastAsia="仿宋_GB2312"/>
      <w:color w:val="000000"/>
    </w:rPr>
  </w:style>
  <w:style w:type="paragraph" w:customStyle="1" w:styleId="255">
    <w:name w:val="默认段落字体 Para Char Char Char Char Char Char Char Char Char1 Char Char Char Char"/>
    <w:basedOn w:val="1"/>
    <w:qFormat/>
    <w:uiPriority w:val="0"/>
    <w:rPr>
      <w:rFonts w:ascii="Tahoma" w:hAnsi="Tahoma"/>
      <w:sz w:val="24"/>
    </w:rPr>
  </w:style>
  <w:style w:type="paragraph" w:customStyle="1" w:styleId="256">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257">
    <w:name w:val="Title - Revision"/>
    <w:basedOn w:val="56"/>
    <w:qFormat/>
    <w:uiPriority w:val="0"/>
    <w:pPr>
      <w:spacing w:before="720"/>
    </w:pPr>
  </w:style>
  <w:style w:type="paragraph" w:customStyle="1" w:styleId="258">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59">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260">
    <w:name w:val="Note"/>
    <w:basedOn w:val="1"/>
    <w:qFormat/>
    <w:uiPriority w:val="0"/>
    <w:pPr>
      <w:pBdr>
        <w:top w:val="single" w:color="auto" w:sz="12" w:space="3"/>
        <w:bottom w:val="single" w:color="auto" w:sz="12" w:space="3"/>
      </w:pBdr>
      <w:spacing w:line="360" w:lineRule="auto"/>
    </w:pPr>
    <w:rPr>
      <w:sz w:val="24"/>
    </w:rPr>
  </w:style>
  <w:style w:type="paragraph" w:customStyle="1" w:styleId="261">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62">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63">
    <w:name w:val="样式9"/>
    <w:basedOn w:val="1"/>
    <w:next w:val="1"/>
    <w:qFormat/>
    <w:uiPriority w:val="0"/>
    <w:rPr>
      <w:rFonts w:ascii="Times New Roman" w:hAnsi="Times New Roman" w:eastAsia="仿宋"/>
      <w:sz w:val="24"/>
    </w:rPr>
  </w:style>
  <w:style w:type="paragraph" w:customStyle="1" w:styleId="264">
    <w:name w:val="首行缩进 1"/>
    <w:basedOn w:val="1"/>
    <w:qFormat/>
    <w:uiPriority w:val="0"/>
    <w:pPr>
      <w:spacing w:after="120" w:line="360" w:lineRule="auto"/>
      <w:ind w:firstLine="200" w:firstLineChars="200"/>
    </w:pPr>
    <w:rPr>
      <w:sz w:val="24"/>
    </w:rPr>
  </w:style>
  <w:style w:type="paragraph" w:customStyle="1" w:styleId="265">
    <w:name w:val="1"/>
    <w:basedOn w:val="1"/>
    <w:next w:val="32"/>
    <w:qFormat/>
    <w:uiPriority w:val="0"/>
    <w:rPr>
      <w:rFonts w:ascii="宋体" w:hAnsi="Courier New"/>
      <w:sz w:val="21"/>
    </w:rPr>
  </w:style>
  <w:style w:type="paragraph" w:customStyle="1" w:styleId="266">
    <w:name w:val="1.正文"/>
    <w:basedOn w:val="1"/>
    <w:qFormat/>
    <w:uiPriority w:val="0"/>
    <w:pPr>
      <w:spacing w:line="360" w:lineRule="auto"/>
      <w:ind w:left="540" w:leftChars="225" w:firstLine="540" w:firstLineChars="225"/>
    </w:pPr>
    <w:rPr>
      <w:sz w:val="24"/>
    </w:rPr>
  </w:style>
  <w:style w:type="paragraph" w:customStyle="1" w:styleId="267">
    <w:name w:val="Style Heading 3h3Heading 3 - oldLevel 3 HeadH3level_3PIM 3se..."/>
    <w:basedOn w:val="4"/>
    <w:qFormat/>
    <w:uiPriority w:val="0"/>
    <w:pPr>
      <w:tabs>
        <w:tab w:val="left" w:pos="709"/>
        <w:tab w:val="left" w:pos="1620"/>
      </w:tabs>
      <w:ind w:left="1620" w:hanging="360"/>
    </w:pPr>
  </w:style>
  <w:style w:type="paragraph" w:customStyle="1" w:styleId="268">
    <w:name w:val="摘要"/>
    <w:basedOn w:val="1"/>
    <w:next w:val="3"/>
    <w:qFormat/>
    <w:uiPriority w:val="0"/>
    <w:pPr>
      <w:spacing w:line="360" w:lineRule="auto"/>
    </w:pPr>
    <w:rPr>
      <w:rFonts w:eastAsia="黑体"/>
      <w:sz w:val="20"/>
    </w:rPr>
  </w:style>
  <w:style w:type="paragraph" w:customStyle="1" w:styleId="269">
    <w:name w:val="Char Char Char"/>
    <w:basedOn w:val="1"/>
    <w:qFormat/>
    <w:uiPriority w:val="0"/>
    <w:rPr>
      <w:rFonts w:ascii="Tahoma" w:hAnsi="Tahoma"/>
      <w:sz w:val="24"/>
    </w:rPr>
  </w:style>
  <w:style w:type="paragraph" w:customStyle="1" w:styleId="270">
    <w:name w:val="表内文字"/>
    <w:basedOn w:val="1"/>
    <w:qFormat/>
    <w:uiPriority w:val="0"/>
    <w:rPr>
      <w:rFonts w:ascii="仿宋_GB2312" w:hAnsi="Times New Roman"/>
      <w:sz w:val="21"/>
      <w:szCs w:val="21"/>
    </w:rPr>
  </w:style>
  <w:style w:type="character" w:customStyle="1" w:styleId="271">
    <w:name w:val="NormalCharacter"/>
    <w:semiHidden/>
    <w:qFormat/>
    <w:uiPriority w:val="0"/>
    <w:rPr>
      <w:rFonts w:ascii="Verdana" w:hAnsi="Verdana" w:eastAsia="仿宋_GB2312"/>
      <w:sz w:val="24"/>
      <w:lang w:val="en-US" w:eastAsia="en-US" w:bidi="ar-SA"/>
    </w:rPr>
  </w:style>
  <w:style w:type="character" w:customStyle="1" w:styleId="272">
    <w:name w:val="UserStyle_125"/>
    <w:link w:val="273"/>
    <w:semiHidden/>
    <w:qFormat/>
    <w:uiPriority w:val="0"/>
    <w:rPr>
      <w:rFonts w:eastAsia="仿宋_GB2312"/>
      <w:kern w:val="2"/>
      <w:sz w:val="24"/>
      <w:szCs w:val="24"/>
    </w:rPr>
  </w:style>
  <w:style w:type="paragraph" w:customStyle="1" w:styleId="273">
    <w:name w:val="NormalIndent"/>
    <w:basedOn w:val="1"/>
    <w:link w:val="272"/>
    <w:semiHidden/>
    <w:qFormat/>
    <w:uiPriority w:val="0"/>
    <w:pPr>
      <w:widowControl/>
      <w:snapToGrid w:val="0"/>
      <w:spacing w:line="360" w:lineRule="auto"/>
      <w:ind w:firstLine="420" w:firstLineChars="200"/>
      <w:jc w:val="left"/>
      <w:textAlignment w:val="baseline"/>
    </w:pPr>
    <w:rPr>
      <w:rFonts w:ascii="Times New Roman" w:hAnsi="Times New Roman" w:eastAsia="仿宋_GB2312"/>
      <w:sz w:val="24"/>
      <w:szCs w:val="24"/>
    </w:rPr>
  </w:style>
  <w:style w:type="paragraph" w:customStyle="1" w:styleId="274">
    <w:name w:val="UserStyle_225"/>
    <w:semiHidden/>
    <w:qFormat/>
    <w:uiPriority w:val="0"/>
    <w:pPr>
      <w:ind w:firstLine="200" w:firstLineChars="200"/>
      <w:jc w:val="both"/>
      <w:textAlignment w:val="baseline"/>
    </w:pPr>
    <w:rPr>
      <w:rFonts w:ascii="宋体" w:hAnsi="Times New Roman" w:eastAsia="宋体" w:cstheme="minorBidi"/>
      <w:sz w:val="21"/>
      <w:lang w:val="en-US" w:eastAsia="zh-CN" w:bidi="ar-SA"/>
    </w:rPr>
  </w:style>
  <w:style w:type="paragraph" w:customStyle="1" w:styleId="275">
    <w:name w:val="UserStyle_358"/>
    <w:basedOn w:val="1"/>
    <w:semiHidden/>
    <w:qFormat/>
    <w:uiPriority w:val="0"/>
    <w:pPr>
      <w:widowControl/>
      <w:spacing w:before="120" w:after="120" w:line="360" w:lineRule="auto"/>
      <w:ind w:firstLine="200" w:firstLineChars="200"/>
      <w:jc w:val="center"/>
      <w:textAlignment w:val="baseline"/>
    </w:pPr>
    <w:rPr>
      <w:rFonts w:ascii="Times New Roman" w:hAnsi="Times New Roman" w:eastAsia="仿宋_GB2312" w:cstheme="minorBidi"/>
      <w:b/>
      <w:sz w:val="24"/>
      <w:szCs w:val="24"/>
    </w:rPr>
  </w:style>
  <w:style w:type="character" w:customStyle="1" w:styleId="276">
    <w:name w:val="正文文本 字符"/>
    <w:basedOn w:val="62"/>
    <w:link w:val="22"/>
    <w:qFormat/>
    <w:uiPriority w:val="99"/>
    <w:rPr>
      <w:rFonts w:ascii="仿宋_GB2312" w:hAnsi="Calibri" w:eastAsia="仿宋_GB2312"/>
      <w:kern w:val="2"/>
      <w:sz w:val="32"/>
    </w:rPr>
  </w:style>
  <w:style w:type="paragraph" w:customStyle="1" w:styleId="277">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79">
    <w:name w:val="xl66"/>
    <w:basedOn w:val="1"/>
    <w:qFormat/>
    <w:uiPriority w:val="0"/>
    <w:pPr>
      <w:widowControl/>
      <w:spacing w:before="100" w:beforeAutospacing="1" w:after="100" w:afterAutospacing="1"/>
      <w:jc w:val="center"/>
    </w:pPr>
    <w:rPr>
      <w:rFonts w:ascii="Times New Roman" w:hAnsi="Times New Roman"/>
      <w:kern w:val="0"/>
      <w:sz w:val="18"/>
      <w:szCs w:val="18"/>
    </w:rPr>
  </w:style>
  <w:style w:type="paragraph" w:customStyle="1" w:styleId="280">
    <w:name w:val="xl67"/>
    <w:basedOn w:val="1"/>
    <w:qFormat/>
    <w:uiPriority w:val="0"/>
    <w:pPr>
      <w:widowControl/>
      <w:spacing w:before="100" w:beforeAutospacing="1" w:after="100" w:afterAutospacing="1"/>
      <w:jc w:val="center"/>
    </w:pPr>
    <w:rPr>
      <w:rFonts w:ascii="Times New Roman" w:hAnsi="Times New Roman"/>
      <w:b/>
      <w:bCs/>
      <w:kern w:val="0"/>
      <w:sz w:val="18"/>
      <w:szCs w:val="18"/>
    </w:rPr>
  </w:style>
  <w:style w:type="paragraph" w:customStyle="1" w:styleId="281">
    <w:name w:val="xl68"/>
    <w:basedOn w:val="1"/>
    <w:qFormat/>
    <w:uiPriority w:val="0"/>
    <w:pPr>
      <w:widowControl/>
      <w:spacing w:before="100" w:beforeAutospacing="1" w:after="100" w:afterAutospacing="1"/>
      <w:jc w:val="center"/>
    </w:pPr>
    <w:rPr>
      <w:rFonts w:ascii="Times New Roman" w:hAnsi="Times New Roman"/>
      <w:kern w:val="0"/>
      <w:sz w:val="18"/>
      <w:szCs w:val="18"/>
    </w:rPr>
  </w:style>
  <w:style w:type="paragraph" w:customStyle="1" w:styleId="282">
    <w:name w:val="xl69"/>
    <w:basedOn w:val="1"/>
    <w:qFormat/>
    <w:uiPriority w:val="0"/>
    <w:pPr>
      <w:widowControl/>
      <w:spacing w:before="100" w:beforeAutospacing="1" w:after="100" w:afterAutospacing="1"/>
      <w:jc w:val="left"/>
      <w:textAlignment w:val="bottom"/>
    </w:pPr>
    <w:rPr>
      <w:rFonts w:ascii="宋体" w:hAnsi="宋体" w:cs="宋体"/>
      <w:kern w:val="0"/>
      <w:sz w:val="18"/>
      <w:szCs w:val="18"/>
    </w:rPr>
  </w:style>
  <w:style w:type="paragraph" w:customStyle="1" w:styleId="283">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8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b/>
      <w:bCs/>
      <w:kern w:val="0"/>
      <w:sz w:val="20"/>
    </w:rPr>
  </w:style>
  <w:style w:type="paragraph" w:customStyle="1" w:styleId="28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kern w:val="0"/>
      <w:sz w:val="20"/>
    </w:rPr>
  </w:style>
  <w:style w:type="paragraph" w:customStyle="1" w:styleId="286">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kern w:val="0"/>
      <w:sz w:val="18"/>
      <w:szCs w:val="18"/>
    </w:rPr>
  </w:style>
  <w:style w:type="paragraph" w:customStyle="1" w:styleId="287">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kern w:val="0"/>
      <w:sz w:val="18"/>
      <w:szCs w:val="18"/>
    </w:rPr>
  </w:style>
  <w:style w:type="paragraph" w:customStyle="1" w:styleId="288">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289">
    <w:name w:val="xl7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right"/>
    </w:pPr>
    <w:rPr>
      <w:rFonts w:ascii="宋体" w:hAnsi="宋体" w:cs="宋体"/>
      <w:kern w:val="0"/>
      <w:sz w:val="18"/>
      <w:szCs w:val="18"/>
    </w:rPr>
  </w:style>
  <w:style w:type="paragraph" w:customStyle="1" w:styleId="290">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b/>
      <w:bCs/>
      <w:kern w:val="0"/>
      <w:sz w:val="20"/>
    </w:rPr>
  </w:style>
  <w:style w:type="paragraph" w:customStyle="1" w:styleId="29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9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kern w:val="0"/>
      <w:sz w:val="20"/>
    </w:rPr>
  </w:style>
  <w:style w:type="paragraph" w:customStyle="1" w:styleId="293">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rPr>
  </w:style>
  <w:style w:type="paragraph" w:customStyle="1" w:styleId="294">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18"/>
      <w:szCs w:val="18"/>
    </w:rPr>
  </w:style>
  <w:style w:type="paragraph" w:customStyle="1" w:styleId="295">
    <w:name w:val="xl8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96">
    <w:name w:val="xl8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b/>
      <w:bCs/>
      <w:kern w:val="0"/>
      <w:sz w:val="18"/>
      <w:szCs w:val="18"/>
    </w:rPr>
  </w:style>
  <w:style w:type="paragraph" w:customStyle="1" w:styleId="297">
    <w:name w:val="xl8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98">
    <w:name w:val="xl8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b/>
      <w:bCs/>
      <w:kern w:val="0"/>
      <w:sz w:val="20"/>
    </w:rPr>
  </w:style>
  <w:style w:type="paragraph" w:customStyle="1" w:styleId="299">
    <w:name w:val="xl8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0">
    <w:name w:val="xl8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20"/>
    </w:rPr>
  </w:style>
  <w:style w:type="paragraph" w:customStyle="1" w:styleId="301">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48</Pages>
  <Words>14797</Words>
  <Characters>16564</Characters>
  <Lines>110</Lines>
  <Paragraphs>31</Paragraphs>
  <TotalTime>7</TotalTime>
  <ScaleCrop>false</ScaleCrop>
  <LinksUpToDate>false</LinksUpToDate>
  <CharactersWithSpaces>16771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2022-06-21T01:00:00Z</dcterms:created>
  <dc:creator>刘胜仲</dc:creator>
  <cp:lastModifiedBy>圆圆</cp:lastModifiedBy>
  <cp:lastPrinted>2022-06-13T02:30:00Z</cp:lastPrinted>
  <dcterms:modified xsi:type="dcterms:W3CDTF">2025-06-27T10:04:39Z</dcterms:modified>
  <dc:title>竞争性谈判文件</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SaveFontToCloudKey">
    <vt:lpwstr>7990579_cloud</vt:lpwstr>
  </property>
  <property fmtid="{D5CDD505-2E9C-101B-9397-08002B2CF9AE}" pid="4" name="ICV">
    <vt:lpwstr>075EF71E594C42E68A21EF56BA9B06C7_13</vt:lpwstr>
  </property>
  <property fmtid="{D5CDD505-2E9C-101B-9397-08002B2CF9AE}" pid="5" name="KSOTemplateDocerSaveRecord">
    <vt:lpwstr>eyJoZGlkIjoiZjI1Mjk2NzY4YWIyYWVmYTI0MTlmNjc5YTMzZTJjNmIiLCJ1c2VySWQiOiIxMTM5NTc0NTM3In0=</vt:lpwstr>
  </property>
</Properties>
</file>